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B45E6D" w:rsidRPr="00B21D17" w14:paraId="70292665" w14:textId="77777777" w:rsidTr="00CB7C2A">
        <w:trPr>
          <w:trHeight w:hRule="exact" w:val="418"/>
          <w:jc w:val="center"/>
        </w:trPr>
        <w:tc>
          <w:tcPr>
            <w:tcW w:w="8721" w:type="dxa"/>
            <w:gridSpan w:val="2"/>
          </w:tcPr>
          <w:p w14:paraId="6FD24189" w14:textId="77777777" w:rsidR="00B45E6D" w:rsidRPr="00B21D17" w:rsidRDefault="00B45E6D" w:rsidP="00E248F5">
            <w:pPr>
              <w:pStyle w:val="a3"/>
              <w:jc w:val="center"/>
              <w:rPr>
                <w:rFonts w:ascii="FrankRuehl" w:hAnsi="FrankRuehl" w:cs="FrankRuehl"/>
                <w:color w:val="000080"/>
                <w:sz w:val="32"/>
                <w:szCs w:val="32"/>
                <w:rtl/>
              </w:rPr>
            </w:pPr>
            <w:bookmarkStart w:id="0" w:name="LastJudge"/>
            <w:r w:rsidRPr="00B21D17">
              <w:rPr>
                <w:rFonts w:ascii="FrankRuehl" w:hAnsi="FrankRuehl" w:cs="FrankRuehl"/>
                <w:b/>
                <w:bCs/>
                <w:color w:val="000080"/>
                <w:sz w:val="32"/>
                <w:szCs w:val="32"/>
                <w:rtl/>
              </w:rPr>
              <w:t>בית משפט השלום בירושלים</w:t>
            </w:r>
          </w:p>
        </w:tc>
      </w:tr>
      <w:tr w:rsidR="00B45E6D" w:rsidRPr="00B21D17" w14:paraId="23436BBB" w14:textId="77777777" w:rsidTr="00CB7C2A">
        <w:trPr>
          <w:trHeight w:val="337"/>
          <w:jc w:val="center"/>
        </w:trPr>
        <w:tc>
          <w:tcPr>
            <w:tcW w:w="5061" w:type="dxa"/>
          </w:tcPr>
          <w:p w14:paraId="75B2D3D2" w14:textId="77777777" w:rsidR="00B45E6D" w:rsidRPr="00B21D17" w:rsidRDefault="00B45E6D" w:rsidP="00E248F5">
            <w:pPr>
              <w:rPr>
                <w:rFonts w:ascii="FrankRuehl" w:hAnsi="FrankRuehl" w:cs="FrankRuehl"/>
                <w:sz w:val="26"/>
                <w:szCs w:val="26"/>
                <w:rtl/>
              </w:rPr>
            </w:pPr>
            <w:r w:rsidRPr="00B21D17">
              <w:rPr>
                <w:rFonts w:ascii="FrankRuehl" w:hAnsi="FrankRuehl" w:cs="FrankRuehl"/>
                <w:sz w:val="26"/>
                <w:szCs w:val="26"/>
                <w:rtl/>
              </w:rPr>
              <w:t>ת"פ 59203-07-17 מדינת ישראל נ' עזרא(אחר/נוסף)</w:t>
            </w:r>
          </w:p>
          <w:p w14:paraId="6875051D" w14:textId="77777777" w:rsidR="00B45E6D" w:rsidRPr="00B21D17" w:rsidRDefault="00B45E6D" w:rsidP="00E248F5">
            <w:pPr>
              <w:rPr>
                <w:rFonts w:ascii="FrankRuehl" w:hAnsi="FrankRuehl" w:cs="FrankRuehl"/>
                <w:sz w:val="26"/>
                <w:szCs w:val="26"/>
                <w:rtl/>
              </w:rPr>
            </w:pPr>
            <w:r w:rsidRPr="00B21D17">
              <w:rPr>
                <w:rFonts w:ascii="FrankRuehl" w:hAnsi="FrankRuehl" w:cs="FrankRuehl"/>
                <w:sz w:val="26"/>
                <w:szCs w:val="26"/>
                <w:rtl/>
              </w:rPr>
              <w:t>ת"פ 11119-08-18 מדינת ישראל נ' עזרא</w:t>
            </w:r>
            <w:r w:rsidRPr="00B21D17">
              <w:rPr>
                <w:rFonts w:ascii="FrankRuehl" w:hAnsi="FrankRuehl" w:cs="FrankRuehl"/>
                <w:sz w:val="26"/>
                <w:szCs w:val="26"/>
                <w:rtl/>
              </w:rPr>
              <w:br/>
              <w:t>פ"ל 1927-08-17 מדינת ישראל נ' עזרא (תעבורה)</w:t>
            </w:r>
            <w:r w:rsidRPr="00B21D17">
              <w:rPr>
                <w:rFonts w:ascii="FrankRuehl" w:hAnsi="FrankRuehl" w:cs="FrankRuehl"/>
                <w:sz w:val="26"/>
                <w:szCs w:val="26"/>
                <w:rtl/>
              </w:rPr>
              <w:br/>
            </w:r>
            <w:r w:rsidRPr="00B21D17">
              <w:rPr>
                <w:rFonts w:ascii="FrankRuehl" w:hAnsi="FrankRuehl" w:cs="FrankRuehl" w:hint="cs"/>
                <w:sz w:val="26"/>
                <w:szCs w:val="26"/>
                <w:rtl/>
              </w:rPr>
              <w:t>פ"ל 66-11-18 מדינת ישראל נ' עזרא (תעבורה)</w:t>
            </w:r>
          </w:p>
          <w:p w14:paraId="6C52240A" w14:textId="77777777" w:rsidR="00B45E6D" w:rsidRPr="00B21D17" w:rsidRDefault="00B45E6D" w:rsidP="00E248F5">
            <w:pPr>
              <w:rPr>
                <w:rFonts w:ascii="FrankRuehl" w:hAnsi="FrankRuehl" w:cs="FrankRuehl"/>
                <w:rtl/>
              </w:rPr>
            </w:pPr>
          </w:p>
        </w:tc>
        <w:tc>
          <w:tcPr>
            <w:tcW w:w="3660" w:type="dxa"/>
          </w:tcPr>
          <w:p w14:paraId="263D932A" w14:textId="77777777" w:rsidR="00B45E6D" w:rsidRPr="00B21D17" w:rsidRDefault="00B45E6D" w:rsidP="00E248F5">
            <w:pPr>
              <w:rPr>
                <w:rFonts w:ascii="FrankRuehl" w:hAnsi="FrankRuehl" w:cs="FrankRuehl"/>
                <w:rtl/>
              </w:rPr>
            </w:pPr>
          </w:p>
        </w:tc>
      </w:tr>
    </w:tbl>
    <w:p w14:paraId="6C88A49F" w14:textId="77777777" w:rsidR="00B45E6D" w:rsidRPr="00B21D17" w:rsidRDefault="00B45E6D" w:rsidP="00B45E6D">
      <w:pPr>
        <w:pStyle w:val="a3"/>
        <w:rPr>
          <w:rtl/>
        </w:rPr>
      </w:pPr>
      <w:r w:rsidRPr="00B21D17">
        <w:rPr>
          <w:rFonts w:hint="cs"/>
          <w:rtl/>
        </w:rPr>
        <w:t xml:space="preserve"> </w:t>
      </w:r>
    </w:p>
    <w:p w14:paraId="512050BC" w14:textId="77777777" w:rsidR="00B45E6D" w:rsidRPr="00B21D17" w:rsidRDefault="00B45E6D" w:rsidP="00B45E6D">
      <w:pPr>
        <w:rPr>
          <w:rtl/>
        </w:rPr>
      </w:pPr>
    </w:p>
    <w:p w14:paraId="5FC62891" w14:textId="77777777" w:rsidR="00B45E6D" w:rsidRPr="00B21D17" w:rsidRDefault="00B45E6D" w:rsidP="00B45E6D">
      <w:pPr>
        <w:rPr>
          <w:rtl/>
        </w:rPr>
      </w:pPr>
    </w:p>
    <w:tbl>
      <w:tblPr>
        <w:bidiVisual/>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4630"/>
        <w:gridCol w:w="3267"/>
      </w:tblGrid>
      <w:tr w:rsidR="00B45E6D" w:rsidRPr="00B21D17" w14:paraId="01143223" w14:textId="77777777" w:rsidTr="00B45E6D">
        <w:trPr>
          <w:trHeight w:val="295"/>
          <w:jc w:val="center"/>
        </w:trPr>
        <w:tc>
          <w:tcPr>
            <w:tcW w:w="1034" w:type="dxa"/>
            <w:tcBorders>
              <w:top w:val="nil"/>
              <w:left w:val="nil"/>
              <w:bottom w:val="nil"/>
              <w:right w:val="nil"/>
            </w:tcBorders>
            <w:shd w:val="clear" w:color="auto" w:fill="auto"/>
          </w:tcPr>
          <w:p w14:paraId="500F2E92" w14:textId="77777777" w:rsidR="00B45E6D" w:rsidRPr="00B21D17" w:rsidRDefault="00B45E6D" w:rsidP="00B45E6D">
            <w:pPr>
              <w:jc w:val="both"/>
              <w:rPr>
                <w:rFonts w:ascii="FrankRuehl" w:hAnsi="FrankRuehl" w:cs="FrankRuehl"/>
                <w:sz w:val="28"/>
                <w:szCs w:val="28"/>
              </w:rPr>
            </w:pPr>
            <w:r w:rsidRPr="00B21D17">
              <w:rPr>
                <w:rFonts w:ascii="FrankRuehl" w:hAnsi="FrankRuehl" w:cs="FrankRuehl"/>
                <w:sz w:val="28"/>
                <w:szCs w:val="28"/>
                <w:rtl/>
              </w:rPr>
              <w:t xml:space="preserve">בפני </w:t>
            </w:r>
          </w:p>
        </w:tc>
        <w:tc>
          <w:tcPr>
            <w:tcW w:w="7897" w:type="dxa"/>
            <w:gridSpan w:val="2"/>
            <w:tcBorders>
              <w:top w:val="nil"/>
              <w:left w:val="nil"/>
              <w:bottom w:val="nil"/>
              <w:right w:val="nil"/>
            </w:tcBorders>
            <w:shd w:val="clear" w:color="auto" w:fill="auto"/>
          </w:tcPr>
          <w:p w14:paraId="717A8674" w14:textId="77777777" w:rsidR="00B45E6D" w:rsidRPr="00B21D17" w:rsidRDefault="00B45E6D" w:rsidP="00E248F5">
            <w:pPr>
              <w:rPr>
                <w:rFonts w:ascii="FrankRuehl" w:hAnsi="FrankRuehl" w:cs="FrankRuehl"/>
                <w:b/>
                <w:bCs/>
                <w:sz w:val="28"/>
                <w:szCs w:val="28"/>
                <w:rtl/>
              </w:rPr>
            </w:pPr>
            <w:r w:rsidRPr="00B21D17">
              <w:rPr>
                <w:rFonts w:ascii="FrankRuehl" w:hAnsi="FrankRuehl" w:cs="FrankRuehl"/>
                <w:b/>
                <w:bCs/>
                <w:sz w:val="28"/>
                <w:szCs w:val="28"/>
                <w:rtl/>
              </w:rPr>
              <w:t>כבוד השופט  דוד שאול גבאי ריכטר</w:t>
            </w:r>
          </w:p>
          <w:p w14:paraId="0485142B" w14:textId="77777777" w:rsidR="00B45E6D" w:rsidRPr="00B21D17" w:rsidRDefault="00B45E6D" w:rsidP="00E248F5">
            <w:pPr>
              <w:rPr>
                <w:rFonts w:ascii="FrankRuehl" w:hAnsi="FrankRuehl" w:cs="FrankRuehl"/>
                <w:sz w:val="28"/>
                <w:szCs w:val="28"/>
                <w:rtl/>
              </w:rPr>
            </w:pPr>
          </w:p>
          <w:p w14:paraId="00636B33" w14:textId="77777777" w:rsidR="00B45E6D" w:rsidRPr="00B21D17" w:rsidRDefault="00B45E6D" w:rsidP="00B45E6D">
            <w:pPr>
              <w:jc w:val="both"/>
              <w:rPr>
                <w:rFonts w:ascii="FrankRuehl" w:hAnsi="FrankRuehl" w:cs="FrankRuehl"/>
                <w:sz w:val="28"/>
                <w:szCs w:val="28"/>
              </w:rPr>
            </w:pPr>
          </w:p>
        </w:tc>
      </w:tr>
      <w:tr w:rsidR="00B45E6D" w:rsidRPr="00B21D17" w14:paraId="0FA0F395" w14:textId="77777777" w:rsidTr="00B45E6D">
        <w:trPr>
          <w:trHeight w:val="355"/>
          <w:jc w:val="center"/>
        </w:trPr>
        <w:tc>
          <w:tcPr>
            <w:tcW w:w="1034" w:type="dxa"/>
            <w:tcBorders>
              <w:top w:val="nil"/>
              <w:left w:val="nil"/>
              <w:bottom w:val="nil"/>
              <w:right w:val="nil"/>
            </w:tcBorders>
            <w:shd w:val="clear" w:color="auto" w:fill="auto"/>
          </w:tcPr>
          <w:p w14:paraId="7ED41B70" w14:textId="77777777" w:rsidR="00B45E6D" w:rsidRPr="00B21D17" w:rsidRDefault="00B45E6D" w:rsidP="00B45E6D">
            <w:pPr>
              <w:jc w:val="both"/>
              <w:rPr>
                <w:rFonts w:ascii="FrankRuehl" w:hAnsi="FrankRuehl" w:cs="FrankRuehl"/>
                <w:sz w:val="28"/>
                <w:szCs w:val="28"/>
              </w:rPr>
            </w:pPr>
            <w:bookmarkStart w:id="1" w:name="FirstAppellant"/>
            <w:r w:rsidRPr="00B21D17">
              <w:rPr>
                <w:rFonts w:ascii="FrankRuehl" w:hAnsi="FrankRuehl" w:cs="FrankRuehl"/>
                <w:sz w:val="28"/>
                <w:szCs w:val="28"/>
                <w:rtl/>
              </w:rPr>
              <w:t>בעניין:</w:t>
            </w:r>
          </w:p>
        </w:tc>
        <w:tc>
          <w:tcPr>
            <w:tcW w:w="4630" w:type="dxa"/>
            <w:tcBorders>
              <w:top w:val="nil"/>
              <w:left w:val="nil"/>
              <w:bottom w:val="nil"/>
              <w:right w:val="nil"/>
            </w:tcBorders>
            <w:shd w:val="clear" w:color="auto" w:fill="auto"/>
          </w:tcPr>
          <w:p w14:paraId="2A2DA524" w14:textId="77777777" w:rsidR="00B45E6D" w:rsidRPr="00B21D17" w:rsidRDefault="00B45E6D" w:rsidP="00E248F5">
            <w:pPr>
              <w:rPr>
                <w:rFonts w:ascii="FrankRuehl" w:hAnsi="FrankRuehl" w:cs="FrankRuehl"/>
                <w:b/>
                <w:bCs/>
                <w:sz w:val="28"/>
                <w:szCs w:val="28"/>
              </w:rPr>
            </w:pPr>
            <w:r w:rsidRPr="00B21D17">
              <w:rPr>
                <w:rFonts w:ascii="FrankRuehl" w:hAnsi="FrankRuehl" w:cs="FrankRuehl"/>
                <w:b/>
                <w:bCs/>
                <w:sz w:val="28"/>
                <w:szCs w:val="28"/>
                <w:rtl/>
              </w:rPr>
              <w:t>מדינת ישראל</w:t>
            </w:r>
          </w:p>
        </w:tc>
        <w:tc>
          <w:tcPr>
            <w:tcW w:w="3267" w:type="dxa"/>
            <w:tcBorders>
              <w:top w:val="nil"/>
              <w:left w:val="nil"/>
              <w:bottom w:val="nil"/>
              <w:right w:val="nil"/>
            </w:tcBorders>
            <w:shd w:val="clear" w:color="auto" w:fill="auto"/>
          </w:tcPr>
          <w:p w14:paraId="34252248" w14:textId="77777777" w:rsidR="00B45E6D" w:rsidRPr="00B21D17" w:rsidRDefault="00B45E6D" w:rsidP="00B45E6D">
            <w:pPr>
              <w:jc w:val="both"/>
              <w:rPr>
                <w:rFonts w:ascii="FrankRuehl" w:hAnsi="FrankRuehl" w:cs="FrankRuehl"/>
                <w:sz w:val="28"/>
                <w:szCs w:val="28"/>
              </w:rPr>
            </w:pPr>
          </w:p>
        </w:tc>
      </w:tr>
      <w:bookmarkEnd w:id="1"/>
      <w:tr w:rsidR="00B45E6D" w:rsidRPr="00B21D17" w14:paraId="37005498" w14:textId="77777777" w:rsidTr="00B45E6D">
        <w:trPr>
          <w:trHeight w:val="355"/>
          <w:jc w:val="center"/>
        </w:trPr>
        <w:tc>
          <w:tcPr>
            <w:tcW w:w="1034" w:type="dxa"/>
            <w:tcBorders>
              <w:top w:val="nil"/>
              <w:left w:val="nil"/>
              <w:bottom w:val="nil"/>
              <w:right w:val="nil"/>
            </w:tcBorders>
            <w:shd w:val="clear" w:color="auto" w:fill="auto"/>
          </w:tcPr>
          <w:p w14:paraId="2CAD6349" w14:textId="77777777" w:rsidR="00B45E6D" w:rsidRPr="00B21D17" w:rsidRDefault="00B45E6D" w:rsidP="00B45E6D">
            <w:pPr>
              <w:jc w:val="both"/>
              <w:rPr>
                <w:rFonts w:ascii="FrankRuehl" w:hAnsi="FrankRuehl" w:cs="FrankRuehl"/>
                <w:sz w:val="28"/>
                <w:szCs w:val="28"/>
                <w:rtl/>
              </w:rPr>
            </w:pPr>
          </w:p>
        </w:tc>
        <w:tc>
          <w:tcPr>
            <w:tcW w:w="4630" w:type="dxa"/>
            <w:tcBorders>
              <w:top w:val="nil"/>
              <w:left w:val="nil"/>
              <w:bottom w:val="nil"/>
              <w:right w:val="nil"/>
            </w:tcBorders>
            <w:shd w:val="clear" w:color="auto" w:fill="auto"/>
          </w:tcPr>
          <w:p w14:paraId="12C6BE4A" w14:textId="77777777" w:rsidR="00B45E6D" w:rsidRPr="00B21D17" w:rsidRDefault="00B45E6D" w:rsidP="00B45E6D">
            <w:pPr>
              <w:jc w:val="both"/>
              <w:rPr>
                <w:rFonts w:ascii="FrankRuehl" w:hAnsi="FrankRuehl" w:cs="FrankRuehl"/>
                <w:sz w:val="28"/>
                <w:szCs w:val="28"/>
                <w:rtl/>
              </w:rPr>
            </w:pPr>
            <w:r w:rsidRPr="00B21D17">
              <w:rPr>
                <w:rFonts w:ascii="FrankRuehl" w:hAnsi="FrankRuehl" w:cs="FrankRuehl"/>
                <w:sz w:val="28"/>
                <w:szCs w:val="28"/>
                <w:rtl/>
              </w:rPr>
              <w:t>ע"י תביעות ירושלים</w:t>
            </w:r>
          </w:p>
        </w:tc>
        <w:tc>
          <w:tcPr>
            <w:tcW w:w="3267" w:type="dxa"/>
            <w:tcBorders>
              <w:top w:val="nil"/>
              <w:left w:val="nil"/>
              <w:bottom w:val="nil"/>
              <w:right w:val="nil"/>
            </w:tcBorders>
            <w:shd w:val="clear" w:color="auto" w:fill="auto"/>
          </w:tcPr>
          <w:p w14:paraId="6D7EDD65" w14:textId="77777777" w:rsidR="00B45E6D" w:rsidRPr="00B21D17" w:rsidRDefault="00B45E6D" w:rsidP="00B45E6D">
            <w:pPr>
              <w:jc w:val="right"/>
              <w:rPr>
                <w:rFonts w:ascii="FrankRuehl" w:hAnsi="FrankRuehl" w:cs="FrankRuehl"/>
                <w:sz w:val="28"/>
                <w:szCs w:val="28"/>
                <w:rtl/>
              </w:rPr>
            </w:pPr>
            <w:r w:rsidRPr="00B21D17">
              <w:rPr>
                <w:rFonts w:ascii="FrankRuehl" w:hAnsi="FrankRuehl" w:cs="FrankRuehl"/>
                <w:sz w:val="28"/>
                <w:szCs w:val="28"/>
                <w:rtl/>
              </w:rPr>
              <w:t>המאשימה</w:t>
            </w:r>
          </w:p>
        </w:tc>
      </w:tr>
      <w:tr w:rsidR="00B45E6D" w:rsidRPr="00B21D17" w14:paraId="1E66BC1C" w14:textId="77777777" w:rsidTr="00B45E6D">
        <w:trPr>
          <w:trHeight w:val="355"/>
          <w:jc w:val="center"/>
        </w:trPr>
        <w:tc>
          <w:tcPr>
            <w:tcW w:w="1034" w:type="dxa"/>
            <w:tcBorders>
              <w:top w:val="nil"/>
              <w:left w:val="nil"/>
              <w:bottom w:val="nil"/>
              <w:right w:val="nil"/>
            </w:tcBorders>
            <w:shd w:val="clear" w:color="auto" w:fill="auto"/>
          </w:tcPr>
          <w:p w14:paraId="22BA0A16" w14:textId="77777777" w:rsidR="00B45E6D" w:rsidRPr="00B21D17" w:rsidRDefault="00B45E6D" w:rsidP="00B45E6D">
            <w:pPr>
              <w:jc w:val="both"/>
              <w:rPr>
                <w:rFonts w:ascii="FrankRuehl" w:hAnsi="FrankRuehl" w:cs="FrankRuehl"/>
                <w:sz w:val="28"/>
                <w:szCs w:val="28"/>
                <w:rtl/>
              </w:rPr>
            </w:pPr>
          </w:p>
        </w:tc>
        <w:tc>
          <w:tcPr>
            <w:tcW w:w="7897" w:type="dxa"/>
            <w:gridSpan w:val="2"/>
            <w:tcBorders>
              <w:top w:val="nil"/>
              <w:left w:val="nil"/>
              <w:bottom w:val="nil"/>
              <w:right w:val="nil"/>
            </w:tcBorders>
            <w:shd w:val="clear" w:color="auto" w:fill="auto"/>
          </w:tcPr>
          <w:p w14:paraId="5621B0AD" w14:textId="77777777" w:rsidR="00B45E6D" w:rsidRPr="00B21D17" w:rsidRDefault="00B45E6D" w:rsidP="00B45E6D">
            <w:pPr>
              <w:jc w:val="center"/>
              <w:rPr>
                <w:rFonts w:ascii="FrankRuehl" w:hAnsi="FrankRuehl" w:cs="FrankRuehl"/>
                <w:b/>
                <w:bCs/>
                <w:sz w:val="28"/>
                <w:szCs w:val="28"/>
                <w:rtl/>
              </w:rPr>
            </w:pPr>
          </w:p>
          <w:p w14:paraId="6583D003" w14:textId="77777777" w:rsidR="00B45E6D" w:rsidRPr="00B21D17" w:rsidRDefault="00B45E6D" w:rsidP="00B45E6D">
            <w:pPr>
              <w:jc w:val="center"/>
              <w:rPr>
                <w:rFonts w:ascii="FrankRuehl" w:hAnsi="FrankRuehl" w:cs="FrankRuehl"/>
                <w:b/>
                <w:bCs/>
                <w:sz w:val="28"/>
                <w:szCs w:val="28"/>
                <w:rtl/>
              </w:rPr>
            </w:pPr>
            <w:r w:rsidRPr="00B21D17">
              <w:rPr>
                <w:rFonts w:ascii="FrankRuehl" w:hAnsi="FrankRuehl" w:cs="FrankRuehl"/>
                <w:b/>
                <w:bCs/>
                <w:sz w:val="28"/>
                <w:szCs w:val="28"/>
                <w:rtl/>
              </w:rPr>
              <w:t>נגד</w:t>
            </w:r>
          </w:p>
          <w:p w14:paraId="0CCFE3E7" w14:textId="77777777" w:rsidR="00B45E6D" w:rsidRPr="00B21D17" w:rsidRDefault="00B45E6D" w:rsidP="00B45E6D">
            <w:pPr>
              <w:jc w:val="both"/>
              <w:rPr>
                <w:rFonts w:ascii="FrankRuehl" w:hAnsi="FrankRuehl" w:cs="FrankRuehl"/>
                <w:sz w:val="28"/>
                <w:szCs w:val="28"/>
              </w:rPr>
            </w:pPr>
          </w:p>
        </w:tc>
      </w:tr>
      <w:tr w:rsidR="00B45E6D" w:rsidRPr="00B21D17" w14:paraId="44F493A4" w14:textId="77777777" w:rsidTr="00B45E6D">
        <w:trPr>
          <w:trHeight w:val="355"/>
          <w:jc w:val="center"/>
        </w:trPr>
        <w:tc>
          <w:tcPr>
            <w:tcW w:w="1034" w:type="dxa"/>
            <w:tcBorders>
              <w:top w:val="nil"/>
              <w:left w:val="nil"/>
              <w:bottom w:val="nil"/>
              <w:right w:val="nil"/>
            </w:tcBorders>
            <w:shd w:val="clear" w:color="auto" w:fill="auto"/>
          </w:tcPr>
          <w:p w14:paraId="664B3192" w14:textId="77777777" w:rsidR="00B45E6D" w:rsidRPr="00B21D17" w:rsidRDefault="00B45E6D" w:rsidP="00E248F5">
            <w:pPr>
              <w:rPr>
                <w:rFonts w:ascii="FrankRuehl" w:hAnsi="FrankRuehl" w:cs="FrankRuehl"/>
                <w:sz w:val="28"/>
                <w:szCs w:val="28"/>
                <w:rtl/>
              </w:rPr>
            </w:pPr>
          </w:p>
        </w:tc>
        <w:tc>
          <w:tcPr>
            <w:tcW w:w="4630" w:type="dxa"/>
            <w:tcBorders>
              <w:top w:val="nil"/>
              <w:left w:val="nil"/>
              <w:bottom w:val="nil"/>
              <w:right w:val="nil"/>
            </w:tcBorders>
            <w:shd w:val="clear" w:color="auto" w:fill="auto"/>
          </w:tcPr>
          <w:p w14:paraId="6DB99F1A" w14:textId="77777777" w:rsidR="00B45E6D" w:rsidRPr="00B21D17" w:rsidRDefault="00B45E6D" w:rsidP="00E248F5">
            <w:pPr>
              <w:rPr>
                <w:rFonts w:ascii="FrankRuehl" w:hAnsi="FrankRuehl" w:cs="FrankRuehl"/>
                <w:sz w:val="28"/>
                <w:szCs w:val="28"/>
                <w:rtl/>
              </w:rPr>
            </w:pPr>
            <w:r w:rsidRPr="00B21D17">
              <w:rPr>
                <w:rFonts w:ascii="FrankRuehl" w:hAnsi="FrankRuehl" w:cs="FrankRuehl"/>
                <w:b/>
                <w:bCs/>
                <w:sz w:val="28"/>
                <w:szCs w:val="28"/>
                <w:rtl/>
              </w:rPr>
              <w:t xml:space="preserve">יצחק עדן עזרא, ת"ז </w:t>
            </w:r>
            <w:r w:rsidR="00B21D17">
              <w:rPr>
                <w:rFonts w:ascii="FrankRuehl" w:hAnsi="FrankRuehl" w:cs="FrankRuehl"/>
                <w:b/>
                <w:bCs/>
                <w:sz w:val="28"/>
                <w:szCs w:val="28"/>
              </w:rPr>
              <w:t>xxxxxxxxx</w:t>
            </w:r>
          </w:p>
        </w:tc>
        <w:tc>
          <w:tcPr>
            <w:tcW w:w="3267" w:type="dxa"/>
            <w:tcBorders>
              <w:top w:val="nil"/>
              <w:left w:val="nil"/>
              <w:bottom w:val="nil"/>
              <w:right w:val="nil"/>
            </w:tcBorders>
            <w:shd w:val="clear" w:color="auto" w:fill="auto"/>
          </w:tcPr>
          <w:p w14:paraId="0519AC53" w14:textId="77777777" w:rsidR="00B45E6D" w:rsidRPr="00B21D17" w:rsidRDefault="00B45E6D" w:rsidP="00B45E6D">
            <w:pPr>
              <w:jc w:val="right"/>
              <w:rPr>
                <w:rFonts w:ascii="FrankRuehl" w:hAnsi="FrankRuehl" w:cs="FrankRuehl"/>
                <w:sz w:val="28"/>
                <w:szCs w:val="28"/>
              </w:rPr>
            </w:pPr>
          </w:p>
        </w:tc>
      </w:tr>
      <w:tr w:rsidR="00B45E6D" w:rsidRPr="00B21D17" w14:paraId="1060ACF9" w14:textId="77777777" w:rsidTr="00B45E6D">
        <w:trPr>
          <w:trHeight w:val="355"/>
          <w:jc w:val="center"/>
        </w:trPr>
        <w:tc>
          <w:tcPr>
            <w:tcW w:w="1034" w:type="dxa"/>
            <w:tcBorders>
              <w:top w:val="nil"/>
              <w:left w:val="nil"/>
              <w:bottom w:val="nil"/>
              <w:right w:val="nil"/>
            </w:tcBorders>
            <w:shd w:val="clear" w:color="auto" w:fill="auto"/>
          </w:tcPr>
          <w:p w14:paraId="75D0C9D9" w14:textId="77777777" w:rsidR="00B45E6D" w:rsidRPr="00B21D17" w:rsidRDefault="00B45E6D" w:rsidP="00B45E6D">
            <w:pPr>
              <w:jc w:val="both"/>
              <w:rPr>
                <w:rFonts w:ascii="FrankRuehl" w:hAnsi="FrankRuehl" w:cs="FrankRuehl"/>
                <w:sz w:val="28"/>
                <w:szCs w:val="28"/>
                <w:rtl/>
              </w:rPr>
            </w:pPr>
            <w:bookmarkStart w:id="2" w:name="FirstLawyer"/>
          </w:p>
        </w:tc>
        <w:tc>
          <w:tcPr>
            <w:tcW w:w="4630" w:type="dxa"/>
            <w:tcBorders>
              <w:top w:val="nil"/>
              <w:left w:val="nil"/>
              <w:bottom w:val="nil"/>
              <w:right w:val="nil"/>
            </w:tcBorders>
            <w:shd w:val="clear" w:color="auto" w:fill="auto"/>
          </w:tcPr>
          <w:p w14:paraId="65DC90C7" w14:textId="77777777" w:rsidR="00B45E6D" w:rsidRPr="00B21D17" w:rsidRDefault="00B45E6D" w:rsidP="00B45E6D">
            <w:pPr>
              <w:jc w:val="both"/>
              <w:rPr>
                <w:rFonts w:ascii="FrankRuehl" w:hAnsi="FrankRuehl" w:cs="FrankRuehl"/>
                <w:sz w:val="28"/>
                <w:szCs w:val="28"/>
                <w:rtl/>
              </w:rPr>
            </w:pPr>
            <w:r w:rsidRPr="00B21D17">
              <w:rPr>
                <w:rFonts w:ascii="FrankRuehl" w:hAnsi="FrankRuehl" w:cs="FrankRuehl"/>
                <w:sz w:val="28"/>
                <w:szCs w:val="28"/>
                <w:rtl/>
              </w:rPr>
              <w:t>ע"י ב"כ עו"ד מיכאל עירוני</w:t>
            </w:r>
            <w:r w:rsidRPr="00B21D17">
              <w:rPr>
                <w:rFonts w:ascii="FrankRuehl" w:hAnsi="FrankRuehl" w:cs="FrankRuehl" w:hint="cs"/>
                <w:sz w:val="28"/>
                <w:szCs w:val="28"/>
                <w:rtl/>
              </w:rPr>
              <w:t xml:space="preserve"> ועו"ד מעיין נופר-עמון</w:t>
            </w:r>
          </w:p>
        </w:tc>
        <w:tc>
          <w:tcPr>
            <w:tcW w:w="3267" w:type="dxa"/>
            <w:tcBorders>
              <w:top w:val="nil"/>
              <w:left w:val="nil"/>
              <w:bottom w:val="nil"/>
              <w:right w:val="nil"/>
            </w:tcBorders>
            <w:shd w:val="clear" w:color="auto" w:fill="auto"/>
          </w:tcPr>
          <w:p w14:paraId="59AB0160" w14:textId="77777777" w:rsidR="00B45E6D" w:rsidRPr="00B21D17" w:rsidRDefault="00B45E6D" w:rsidP="00B45E6D">
            <w:pPr>
              <w:jc w:val="right"/>
              <w:rPr>
                <w:rFonts w:ascii="FrankRuehl" w:hAnsi="FrankRuehl" w:cs="FrankRuehl"/>
                <w:sz w:val="28"/>
                <w:szCs w:val="28"/>
              </w:rPr>
            </w:pPr>
            <w:r w:rsidRPr="00B21D17">
              <w:rPr>
                <w:rFonts w:ascii="FrankRuehl" w:hAnsi="FrankRuehl" w:cs="FrankRuehl"/>
                <w:sz w:val="28"/>
                <w:szCs w:val="28"/>
                <w:rtl/>
              </w:rPr>
              <w:t>הנאשם</w:t>
            </w:r>
          </w:p>
        </w:tc>
      </w:tr>
      <w:bookmarkEnd w:id="2"/>
    </w:tbl>
    <w:p w14:paraId="67D891EA" w14:textId="77777777" w:rsidR="00B45E6D" w:rsidRPr="00B21D17" w:rsidRDefault="00B45E6D" w:rsidP="00B45E6D">
      <w:pPr>
        <w:rPr>
          <w:rtl/>
        </w:rPr>
      </w:pPr>
    </w:p>
    <w:p w14:paraId="7A62A674" w14:textId="77777777" w:rsidR="00CB7C2A" w:rsidRPr="00CB7C2A" w:rsidRDefault="00CB7C2A" w:rsidP="00CB7C2A">
      <w:pPr>
        <w:spacing w:before="120" w:after="120" w:line="240" w:lineRule="exact"/>
        <w:ind w:left="283" w:hanging="283"/>
        <w:jc w:val="both"/>
        <w:rPr>
          <w:rFonts w:ascii="FrankRuehl" w:hAnsi="FrankRuehl" w:cs="FrankRuehl"/>
          <w:rtl/>
        </w:rPr>
      </w:pPr>
      <w:bookmarkStart w:id="3" w:name="LawTable"/>
      <w:bookmarkEnd w:id="3"/>
      <w:r w:rsidRPr="00CB7C2A">
        <w:rPr>
          <w:rFonts w:ascii="FrankRuehl" w:hAnsi="FrankRuehl" w:cs="FrankRuehl"/>
          <w:rtl/>
        </w:rPr>
        <w:t xml:space="preserve">חקיקה שאוזכרה: </w:t>
      </w:r>
    </w:p>
    <w:p w14:paraId="3598B849" w14:textId="77777777" w:rsidR="00CB7C2A" w:rsidRPr="00CB7C2A" w:rsidRDefault="00CB7C2A" w:rsidP="00CB7C2A">
      <w:pPr>
        <w:spacing w:before="120" w:after="120" w:line="240" w:lineRule="exact"/>
        <w:ind w:left="283" w:hanging="283"/>
        <w:jc w:val="both"/>
        <w:rPr>
          <w:rFonts w:ascii="FrankRuehl" w:hAnsi="FrankRuehl" w:cs="FrankRuehl"/>
          <w:rtl/>
        </w:rPr>
      </w:pPr>
      <w:hyperlink r:id="rId7" w:history="1">
        <w:r w:rsidRPr="00CB7C2A">
          <w:rPr>
            <w:rFonts w:ascii="FrankRuehl" w:hAnsi="FrankRuehl" w:cs="FrankRuehl"/>
            <w:color w:val="0000FF"/>
            <w:u w:val="single"/>
            <w:rtl/>
          </w:rPr>
          <w:t>פקודת הסמים המסוכנים [נוסח חדש], תשל"ג-1973</w:t>
        </w:r>
      </w:hyperlink>
      <w:r w:rsidRPr="00CB7C2A">
        <w:rPr>
          <w:rFonts w:ascii="FrankRuehl" w:hAnsi="FrankRuehl" w:cs="FrankRuehl"/>
          <w:rtl/>
        </w:rPr>
        <w:t xml:space="preserve">: סע'  </w:t>
      </w:r>
      <w:hyperlink r:id="rId8" w:history="1">
        <w:r w:rsidRPr="00CB7C2A">
          <w:rPr>
            <w:rFonts w:ascii="FrankRuehl" w:hAnsi="FrankRuehl" w:cs="FrankRuehl"/>
            <w:color w:val="0000FF"/>
            <w:u w:val="single"/>
            <w:rtl/>
          </w:rPr>
          <w:t>13</w:t>
        </w:r>
      </w:hyperlink>
      <w:r w:rsidRPr="00CB7C2A">
        <w:rPr>
          <w:rFonts w:ascii="FrankRuehl" w:hAnsi="FrankRuehl" w:cs="FrankRuehl"/>
          <w:rtl/>
        </w:rPr>
        <w:t xml:space="preserve">, </w:t>
      </w:r>
      <w:hyperlink r:id="rId9" w:history="1">
        <w:r w:rsidRPr="00CB7C2A">
          <w:rPr>
            <w:rFonts w:ascii="FrankRuehl" w:hAnsi="FrankRuehl" w:cs="FrankRuehl"/>
            <w:color w:val="0000FF"/>
            <w:u w:val="single"/>
            <w:rtl/>
          </w:rPr>
          <w:t>19א</w:t>
        </w:r>
      </w:hyperlink>
    </w:p>
    <w:p w14:paraId="3EE2A402" w14:textId="77777777" w:rsidR="00CB7C2A" w:rsidRPr="00CB7C2A" w:rsidRDefault="00CB7C2A" w:rsidP="00CB7C2A">
      <w:pPr>
        <w:spacing w:before="120" w:after="120" w:line="240" w:lineRule="exact"/>
        <w:ind w:left="283" w:hanging="283"/>
        <w:jc w:val="both"/>
        <w:rPr>
          <w:rFonts w:ascii="FrankRuehl" w:hAnsi="FrankRuehl" w:cs="FrankRuehl"/>
          <w:rtl/>
        </w:rPr>
      </w:pPr>
      <w:hyperlink r:id="rId10" w:history="1">
        <w:r w:rsidRPr="00CB7C2A">
          <w:rPr>
            <w:rFonts w:ascii="FrankRuehl" w:hAnsi="FrankRuehl" w:cs="FrankRuehl"/>
            <w:color w:val="0000FF"/>
            <w:u w:val="single"/>
            <w:rtl/>
          </w:rPr>
          <w:t>פקודת התעבורה [נוסח חדש]</w:t>
        </w:r>
      </w:hyperlink>
      <w:r w:rsidRPr="00CB7C2A">
        <w:rPr>
          <w:rFonts w:ascii="FrankRuehl" w:hAnsi="FrankRuehl" w:cs="FrankRuehl"/>
          <w:rtl/>
        </w:rPr>
        <w:t xml:space="preserve">: סע'  </w:t>
      </w:r>
      <w:hyperlink r:id="rId11" w:history="1">
        <w:r w:rsidRPr="00CB7C2A">
          <w:rPr>
            <w:rFonts w:ascii="FrankRuehl" w:hAnsi="FrankRuehl" w:cs="FrankRuehl"/>
            <w:color w:val="0000FF"/>
            <w:u w:val="single"/>
            <w:rtl/>
          </w:rPr>
          <w:t>62(3)</w:t>
        </w:r>
      </w:hyperlink>
    </w:p>
    <w:p w14:paraId="17BAB240" w14:textId="77777777" w:rsidR="00CB7C2A" w:rsidRPr="00CB7C2A" w:rsidRDefault="00CB7C2A" w:rsidP="00CB7C2A">
      <w:pPr>
        <w:spacing w:before="120" w:after="120" w:line="240" w:lineRule="exact"/>
        <w:ind w:left="283" w:hanging="283"/>
        <w:jc w:val="both"/>
        <w:rPr>
          <w:rFonts w:ascii="FrankRuehl" w:hAnsi="FrankRuehl" w:cs="FrankRuehl"/>
          <w:rtl/>
        </w:rPr>
      </w:pPr>
      <w:hyperlink r:id="rId12" w:history="1">
        <w:r w:rsidRPr="00CB7C2A">
          <w:rPr>
            <w:rFonts w:ascii="FrankRuehl" w:hAnsi="FrankRuehl" w:cs="FrankRuehl"/>
            <w:color w:val="0000FF"/>
            <w:u w:val="single"/>
            <w:rtl/>
          </w:rPr>
          <w:t>חוק העונשין, תשל"ז-1977</w:t>
        </w:r>
      </w:hyperlink>
      <w:r w:rsidRPr="00CB7C2A">
        <w:rPr>
          <w:rFonts w:ascii="FrankRuehl" w:hAnsi="FrankRuehl" w:cs="FrankRuehl"/>
          <w:rtl/>
        </w:rPr>
        <w:t xml:space="preserve">: סע'  </w:t>
      </w:r>
      <w:hyperlink r:id="rId13" w:history="1">
        <w:r w:rsidRPr="00CB7C2A">
          <w:rPr>
            <w:rFonts w:ascii="FrankRuehl" w:hAnsi="FrankRuehl" w:cs="FrankRuehl"/>
            <w:color w:val="0000FF"/>
            <w:u w:val="single"/>
            <w:rtl/>
          </w:rPr>
          <w:t>40ט'</w:t>
        </w:r>
      </w:hyperlink>
      <w:r w:rsidRPr="00CB7C2A">
        <w:rPr>
          <w:rFonts w:ascii="FrankRuehl" w:hAnsi="FrankRuehl" w:cs="FrankRuehl"/>
          <w:rtl/>
        </w:rPr>
        <w:t xml:space="preserve">, </w:t>
      </w:r>
      <w:hyperlink r:id="rId14" w:history="1">
        <w:r w:rsidRPr="00CB7C2A">
          <w:rPr>
            <w:rFonts w:ascii="FrankRuehl" w:hAnsi="FrankRuehl" w:cs="FrankRuehl"/>
            <w:color w:val="0000FF"/>
            <w:u w:val="single"/>
            <w:rtl/>
          </w:rPr>
          <w:t>287(א)</w:t>
        </w:r>
      </w:hyperlink>
      <w:r w:rsidRPr="00CB7C2A">
        <w:rPr>
          <w:rFonts w:ascii="FrankRuehl" w:hAnsi="FrankRuehl" w:cs="FrankRuehl"/>
          <w:rtl/>
        </w:rPr>
        <w:t xml:space="preserve">, </w:t>
      </w:r>
      <w:hyperlink r:id="rId15" w:history="1">
        <w:r w:rsidRPr="00CB7C2A">
          <w:rPr>
            <w:rFonts w:ascii="FrankRuehl" w:hAnsi="FrankRuehl" w:cs="FrankRuehl"/>
            <w:color w:val="0000FF"/>
            <w:u w:val="single"/>
            <w:rtl/>
          </w:rPr>
          <w:t>40יא</w:t>
        </w:r>
      </w:hyperlink>
    </w:p>
    <w:p w14:paraId="70550CB3" w14:textId="77777777" w:rsidR="00B45E6D" w:rsidRPr="00CB7C2A" w:rsidRDefault="00B45E6D" w:rsidP="00CB7C2A">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5E6D" w14:paraId="73BF53DB" w14:textId="77777777" w:rsidTr="00B45E6D">
        <w:trPr>
          <w:trHeight w:val="355"/>
          <w:jc w:val="center"/>
        </w:trPr>
        <w:tc>
          <w:tcPr>
            <w:tcW w:w="8820" w:type="dxa"/>
            <w:tcBorders>
              <w:top w:val="nil"/>
              <w:left w:val="nil"/>
              <w:bottom w:val="nil"/>
              <w:right w:val="nil"/>
            </w:tcBorders>
            <w:shd w:val="clear" w:color="auto" w:fill="auto"/>
          </w:tcPr>
          <w:p w14:paraId="09D52BDD" w14:textId="77777777" w:rsidR="00B21D17" w:rsidRPr="00B21D17" w:rsidRDefault="00B21D17" w:rsidP="00B21D17">
            <w:pPr>
              <w:jc w:val="center"/>
              <w:rPr>
                <w:rFonts w:ascii="Arial" w:hAnsi="Arial" w:cs="FrankRuehl"/>
                <w:b/>
                <w:bCs/>
                <w:sz w:val="32"/>
                <w:szCs w:val="32"/>
                <w:u w:val="single"/>
                <w:rtl/>
              </w:rPr>
            </w:pPr>
            <w:bookmarkStart w:id="5" w:name="PsakDin" w:colFirst="0" w:colLast="0"/>
            <w:bookmarkEnd w:id="0"/>
            <w:r w:rsidRPr="00B21D17">
              <w:rPr>
                <w:rFonts w:ascii="Arial" w:hAnsi="Arial" w:cs="FrankRuehl"/>
                <w:b/>
                <w:bCs/>
                <w:sz w:val="32"/>
                <w:szCs w:val="32"/>
                <w:u w:val="single"/>
                <w:rtl/>
              </w:rPr>
              <w:t>גזר דין</w:t>
            </w:r>
          </w:p>
          <w:p w14:paraId="52006213" w14:textId="77777777" w:rsidR="00B45E6D" w:rsidRPr="00B21D17" w:rsidRDefault="00B45E6D" w:rsidP="00B21D17">
            <w:pPr>
              <w:jc w:val="center"/>
              <w:rPr>
                <w:rFonts w:ascii="Arial" w:hAnsi="Arial" w:cs="FrankRuehl"/>
                <w:bCs/>
                <w:sz w:val="32"/>
                <w:szCs w:val="32"/>
                <w:u w:val="single"/>
                <w:rtl/>
              </w:rPr>
            </w:pPr>
          </w:p>
        </w:tc>
      </w:tr>
      <w:bookmarkEnd w:id="5"/>
    </w:tbl>
    <w:p w14:paraId="0E00FA6A" w14:textId="77777777" w:rsidR="00B45E6D" w:rsidRPr="00B05847" w:rsidRDefault="00B45E6D" w:rsidP="00B45E6D">
      <w:pPr>
        <w:rPr>
          <w:rFonts w:ascii="Arial" w:hAnsi="Arial"/>
          <w:rtl/>
        </w:rPr>
      </w:pPr>
    </w:p>
    <w:p w14:paraId="56935FBE" w14:textId="77777777" w:rsidR="00B45E6D" w:rsidRPr="00B05847" w:rsidRDefault="00B45E6D" w:rsidP="00B45E6D">
      <w:pPr>
        <w:rPr>
          <w:rFonts w:ascii="Arial" w:hAnsi="Arial"/>
          <w:rtl/>
        </w:rPr>
      </w:pPr>
    </w:p>
    <w:p w14:paraId="6ECCCE71" w14:textId="77777777" w:rsidR="00B45E6D" w:rsidRPr="00F01362" w:rsidRDefault="00B45E6D" w:rsidP="00B45E6D">
      <w:pPr>
        <w:spacing w:line="360" w:lineRule="auto"/>
        <w:jc w:val="both"/>
        <w:rPr>
          <w:rFonts w:ascii="FrankRuehl" w:hAnsi="FrankRuehl" w:cs="FrankRuehl"/>
          <w:sz w:val="28"/>
          <w:szCs w:val="28"/>
          <w:rtl/>
        </w:rPr>
      </w:pPr>
      <w:bookmarkStart w:id="6" w:name="ABSTRACT_START"/>
      <w:bookmarkEnd w:id="6"/>
      <w:r w:rsidRPr="00F01362">
        <w:rPr>
          <w:rFonts w:ascii="FrankRuehl" w:hAnsi="FrankRuehl" w:cs="FrankRuehl"/>
          <w:sz w:val="28"/>
          <w:szCs w:val="28"/>
          <w:rtl/>
        </w:rPr>
        <w:t xml:space="preserve">נגד הנאשם הוגשו </w:t>
      </w:r>
      <w:r w:rsidRPr="00F01362">
        <w:rPr>
          <w:rFonts w:ascii="FrankRuehl" w:hAnsi="FrankRuehl" w:cs="FrankRuehl" w:hint="cs"/>
          <w:sz w:val="28"/>
          <w:szCs w:val="28"/>
          <w:rtl/>
        </w:rPr>
        <w:t>4</w:t>
      </w:r>
      <w:r w:rsidRPr="00F01362">
        <w:rPr>
          <w:rFonts w:ascii="FrankRuehl" w:hAnsi="FrankRuehl" w:cs="FrankRuehl"/>
          <w:sz w:val="28"/>
          <w:szCs w:val="28"/>
          <w:rtl/>
        </w:rPr>
        <w:t xml:space="preserve"> כתבי אישום </w:t>
      </w:r>
      <w:r w:rsidRPr="00F01362">
        <w:rPr>
          <w:rFonts w:ascii="FrankRuehl" w:hAnsi="FrankRuehl" w:cs="FrankRuehl" w:hint="cs"/>
          <w:sz w:val="28"/>
          <w:szCs w:val="28"/>
          <w:rtl/>
        </w:rPr>
        <w:t xml:space="preserve">שחלקם תוקן, </w:t>
      </w:r>
      <w:r w:rsidRPr="00F01362">
        <w:rPr>
          <w:rFonts w:ascii="FrankRuehl" w:hAnsi="FrankRuehl" w:cs="FrankRuehl"/>
          <w:sz w:val="28"/>
          <w:szCs w:val="28"/>
          <w:rtl/>
        </w:rPr>
        <w:t xml:space="preserve">שבגינם </w:t>
      </w:r>
      <w:r>
        <w:rPr>
          <w:rFonts w:ascii="FrankRuehl" w:hAnsi="FrankRuehl" w:cs="FrankRuehl" w:hint="cs"/>
          <w:sz w:val="28"/>
          <w:szCs w:val="28"/>
          <w:rtl/>
        </w:rPr>
        <w:t xml:space="preserve">הנאשם </w:t>
      </w:r>
      <w:r w:rsidRPr="00F01362">
        <w:rPr>
          <w:rFonts w:ascii="FrankRuehl" w:hAnsi="FrankRuehl" w:cs="FrankRuehl"/>
          <w:sz w:val="28"/>
          <w:szCs w:val="28"/>
          <w:rtl/>
        </w:rPr>
        <w:t>הורשע על-פי הודאתו, אליהם אתייחס על-פי סדרם.</w:t>
      </w:r>
    </w:p>
    <w:p w14:paraId="4218BDC3" w14:textId="77777777" w:rsidR="00B45E6D" w:rsidRPr="00F01362" w:rsidRDefault="00B45E6D" w:rsidP="00B45E6D">
      <w:pPr>
        <w:rPr>
          <w:rFonts w:ascii="FrankRuehl" w:hAnsi="FrankRuehl" w:cs="FrankRuehl"/>
          <w:sz w:val="28"/>
          <w:szCs w:val="28"/>
          <w:rtl/>
        </w:rPr>
      </w:pPr>
      <w:bookmarkStart w:id="7" w:name="ABSTRACT_END"/>
      <w:bookmarkEnd w:id="7"/>
    </w:p>
    <w:p w14:paraId="4A34AD4B" w14:textId="77777777" w:rsidR="00B45E6D" w:rsidRPr="00F01362" w:rsidRDefault="00B45E6D" w:rsidP="00B45E6D">
      <w:pPr>
        <w:spacing w:line="360" w:lineRule="auto"/>
        <w:rPr>
          <w:rFonts w:ascii="FrankRuehl" w:hAnsi="FrankRuehl" w:cs="FrankRuehl"/>
          <w:b/>
          <w:bCs/>
          <w:sz w:val="28"/>
          <w:szCs w:val="28"/>
          <w:u w:val="single"/>
          <w:rtl/>
        </w:rPr>
      </w:pPr>
    </w:p>
    <w:p w14:paraId="61E8ECB6" w14:textId="77777777" w:rsidR="00B45E6D" w:rsidRPr="00F01362" w:rsidRDefault="00B45E6D" w:rsidP="00B45E6D">
      <w:pPr>
        <w:spacing w:line="360" w:lineRule="auto"/>
        <w:rPr>
          <w:rFonts w:ascii="FrankRuehl" w:hAnsi="FrankRuehl" w:cs="FrankRuehl"/>
          <w:b/>
          <w:bCs/>
          <w:sz w:val="28"/>
          <w:szCs w:val="28"/>
          <w:u w:val="single"/>
          <w:rtl/>
        </w:rPr>
      </w:pPr>
      <w:r w:rsidRPr="00F01362">
        <w:rPr>
          <w:rFonts w:ascii="FrankRuehl" w:hAnsi="FrankRuehl" w:cs="FrankRuehl"/>
          <w:b/>
          <w:bCs/>
          <w:sz w:val="28"/>
          <w:szCs w:val="28"/>
          <w:u w:val="single"/>
          <w:rtl/>
        </w:rPr>
        <w:t>כתב אישום מתוקן ב</w:t>
      </w:r>
      <w:hyperlink r:id="rId16" w:history="1">
        <w:r w:rsidR="00B21D17" w:rsidRPr="00B21D17">
          <w:rPr>
            <w:rFonts w:ascii="FrankRuehl" w:hAnsi="FrankRuehl" w:cs="FrankRuehl"/>
            <w:b/>
            <w:bCs/>
            <w:color w:val="0000FF"/>
            <w:sz w:val="28"/>
            <w:szCs w:val="28"/>
            <w:u w:val="single"/>
            <w:rtl/>
          </w:rPr>
          <w:t>ת"פ 59203-07-17</w:t>
        </w:r>
      </w:hyperlink>
      <w:r w:rsidRPr="00F01362">
        <w:rPr>
          <w:rFonts w:ascii="FrankRuehl" w:hAnsi="FrankRuehl" w:cs="FrankRuehl"/>
          <w:b/>
          <w:bCs/>
          <w:sz w:val="28"/>
          <w:szCs w:val="28"/>
          <w:u w:val="single"/>
          <w:rtl/>
        </w:rPr>
        <w:t xml:space="preserve"> (להלן – התיק הראשון)</w:t>
      </w:r>
    </w:p>
    <w:p w14:paraId="3FCDF37C" w14:textId="77777777" w:rsidR="00B45E6D" w:rsidRPr="00F01362" w:rsidRDefault="00B45E6D" w:rsidP="00B45E6D">
      <w:pPr>
        <w:spacing w:line="360" w:lineRule="auto"/>
        <w:jc w:val="both"/>
        <w:rPr>
          <w:rFonts w:ascii="FrankRuehl" w:hAnsi="FrankRuehl" w:cs="FrankRuehl"/>
          <w:sz w:val="28"/>
          <w:szCs w:val="28"/>
          <w:rtl/>
        </w:rPr>
      </w:pPr>
      <w:r w:rsidRPr="00F01362">
        <w:rPr>
          <w:rFonts w:ascii="FrankRuehl" w:hAnsi="FrankRuehl" w:cs="FrankRuehl"/>
          <w:sz w:val="28"/>
          <w:szCs w:val="28"/>
          <w:rtl/>
        </w:rPr>
        <w:t>מעובדות האישום הראשון עולה כי ביום 6.2.2017 מכר הנאשם לסוכן משטרתי קוקאין במשקל 1.48 גרם נטו תמורת 1,200 ₪.</w:t>
      </w:r>
      <w:r w:rsidRPr="00F01362">
        <w:rPr>
          <w:rFonts w:ascii="FrankRuehl" w:hAnsi="FrankRuehl" w:cs="FrankRuehl" w:hint="cs"/>
          <w:sz w:val="28"/>
          <w:szCs w:val="28"/>
          <w:rtl/>
        </w:rPr>
        <w:t xml:space="preserve"> </w:t>
      </w:r>
      <w:r w:rsidRPr="00F01362">
        <w:rPr>
          <w:rFonts w:ascii="FrankRuehl" w:hAnsi="FrankRuehl" w:cs="FrankRuehl"/>
          <w:sz w:val="28"/>
          <w:szCs w:val="28"/>
          <w:rtl/>
        </w:rPr>
        <w:t>מעובדות האישום השני עולה, כי ביום 27.3.2017 מכר הנאשם לאותו סוכן 20 סיגריות קנבוס תמורת 2,000 ₪.</w:t>
      </w:r>
      <w:r w:rsidRPr="00F01362">
        <w:rPr>
          <w:rFonts w:ascii="FrankRuehl" w:hAnsi="FrankRuehl" w:cs="FrankRuehl" w:hint="cs"/>
          <w:sz w:val="28"/>
          <w:szCs w:val="28"/>
          <w:rtl/>
        </w:rPr>
        <w:t xml:space="preserve"> </w:t>
      </w:r>
      <w:r w:rsidRPr="00F01362">
        <w:rPr>
          <w:rFonts w:ascii="FrankRuehl" w:hAnsi="FrankRuehl" w:cs="FrankRuehl"/>
          <w:sz w:val="28"/>
          <w:szCs w:val="28"/>
          <w:rtl/>
        </w:rPr>
        <w:t xml:space="preserve">בגין שני האישומים הורשע הנאשם בביצוע שתי </w:t>
      </w:r>
      <w:r w:rsidRPr="00F01362">
        <w:rPr>
          <w:rFonts w:ascii="FrankRuehl" w:hAnsi="FrankRuehl" w:cs="FrankRuehl"/>
          <w:sz w:val="28"/>
          <w:szCs w:val="28"/>
          <w:rtl/>
        </w:rPr>
        <w:lastRenderedPageBreak/>
        <w:t xml:space="preserve">עבירות של </w:t>
      </w:r>
      <w:r w:rsidRPr="00F01362">
        <w:rPr>
          <w:rFonts w:ascii="FrankRuehl" w:hAnsi="FrankRuehl" w:cs="FrankRuehl"/>
          <w:b/>
          <w:bCs/>
          <w:sz w:val="28"/>
          <w:szCs w:val="28"/>
          <w:rtl/>
        </w:rPr>
        <w:t>סחר בסם מסוכן</w:t>
      </w:r>
      <w:r w:rsidRPr="00F01362">
        <w:rPr>
          <w:rFonts w:ascii="FrankRuehl" w:hAnsi="FrankRuehl" w:cs="FrankRuehl"/>
          <w:sz w:val="28"/>
          <w:szCs w:val="28"/>
          <w:rtl/>
        </w:rPr>
        <w:t xml:space="preserve">, לפי </w:t>
      </w:r>
      <w:hyperlink r:id="rId17" w:history="1">
        <w:r w:rsidR="00CB7C2A" w:rsidRPr="00CB7C2A">
          <w:rPr>
            <w:rFonts w:ascii="FrankRuehl" w:hAnsi="FrankRuehl" w:cs="FrankRuehl"/>
            <w:color w:val="0000FF"/>
            <w:sz w:val="28"/>
            <w:szCs w:val="28"/>
            <w:u w:val="single"/>
            <w:rtl/>
          </w:rPr>
          <w:t>סעיפים 13</w:t>
        </w:r>
      </w:hyperlink>
      <w:r w:rsidRPr="00F01362">
        <w:rPr>
          <w:rFonts w:ascii="FrankRuehl" w:hAnsi="FrankRuehl" w:cs="FrankRuehl"/>
          <w:sz w:val="28"/>
          <w:szCs w:val="28"/>
          <w:rtl/>
        </w:rPr>
        <w:t xml:space="preserve"> + </w:t>
      </w:r>
      <w:hyperlink r:id="rId18" w:history="1">
        <w:r w:rsidR="00CB7C2A" w:rsidRPr="00CB7C2A">
          <w:rPr>
            <w:rFonts w:ascii="FrankRuehl" w:hAnsi="FrankRuehl" w:cs="FrankRuehl"/>
            <w:color w:val="0000FF"/>
            <w:sz w:val="28"/>
            <w:szCs w:val="28"/>
            <w:u w:val="single"/>
            <w:rtl/>
          </w:rPr>
          <w:t>19א</w:t>
        </w:r>
      </w:hyperlink>
      <w:r w:rsidRPr="00F01362">
        <w:rPr>
          <w:rFonts w:ascii="FrankRuehl" w:hAnsi="FrankRuehl" w:cs="FrankRuehl"/>
          <w:sz w:val="28"/>
          <w:szCs w:val="28"/>
          <w:rtl/>
        </w:rPr>
        <w:t xml:space="preserve"> ל</w:t>
      </w:r>
      <w:hyperlink r:id="rId19" w:history="1">
        <w:r w:rsidR="00B21D17" w:rsidRPr="00B21D17">
          <w:rPr>
            <w:rFonts w:ascii="FrankRuehl" w:hAnsi="FrankRuehl" w:cs="FrankRuehl"/>
            <w:color w:val="0000FF"/>
            <w:sz w:val="28"/>
            <w:szCs w:val="28"/>
            <w:u w:val="single"/>
            <w:rtl/>
          </w:rPr>
          <w:t>פקודת הסמים המסוכנים</w:t>
        </w:r>
      </w:hyperlink>
      <w:r w:rsidRPr="00F01362">
        <w:rPr>
          <w:rFonts w:ascii="FrankRuehl" w:hAnsi="FrankRuehl" w:cs="FrankRuehl"/>
          <w:sz w:val="28"/>
          <w:szCs w:val="28"/>
          <w:rtl/>
        </w:rPr>
        <w:t xml:space="preserve"> (נוסח חדש), התשל"ג-1973.</w:t>
      </w:r>
    </w:p>
    <w:p w14:paraId="5B02AF11" w14:textId="77777777" w:rsidR="00B45E6D" w:rsidRPr="00F01362" w:rsidRDefault="00B45E6D" w:rsidP="00B45E6D">
      <w:pPr>
        <w:spacing w:line="360" w:lineRule="auto"/>
        <w:rPr>
          <w:rFonts w:ascii="FrankRuehl" w:hAnsi="FrankRuehl" w:cs="FrankRuehl"/>
          <w:b/>
          <w:bCs/>
          <w:sz w:val="28"/>
          <w:szCs w:val="28"/>
          <w:u w:val="single"/>
          <w:rtl/>
        </w:rPr>
      </w:pPr>
    </w:p>
    <w:p w14:paraId="110302E9" w14:textId="77777777" w:rsidR="00B45E6D" w:rsidRPr="00F01362" w:rsidRDefault="00B45E6D" w:rsidP="00B45E6D">
      <w:pPr>
        <w:spacing w:line="360" w:lineRule="auto"/>
        <w:rPr>
          <w:rFonts w:ascii="FrankRuehl" w:hAnsi="FrankRuehl" w:cs="FrankRuehl"/>
          <w:b/>
          <w:bCs/>
          <w:sz w:val="28"/>
          <w:szCs w:val="28"/>
          <w:u w:val="single"/>
        </w:rPr>
      </w:pPr>
      <w:r w:rsidRPr="00F01362">
        <w:rPr>
          <w:rFonts w:ascii="FrankRuehl" w:hAnsi="FrankRuehl" w:cs="FrankRuehl"/>
          <w:b/>
          <w:bCs/>
          <w:sz w:val="28"/>
          <w:szCs w:val="28"/>
          <w:u w:val="single"/>
          <w:rtl/>
        </w:rPr>
        <w:t>כתב אישום</w:t>
      </w:r>
      <w:r w:rsidRPr="00F01362">
        <w:rPr>
          <w:rFonts w:ascii="FrankRuehl" w:hAnsi="FrankRuehl" w:cs="FrankRuehl" w:hint="cs"/>
          <w:b/>
          <w:bCs/>
          <w:sz w:val="28"/>
          <w:szCs w:val="28"/>
          <w:u w:val="single"/>
          <w:rtl/>
        </w:rPr>
        <w:t xml:space="preserve"> מתוקן ב</w:t>
      </w:r>
      <w:hyperlink r:id="rId20" w:history="1">
        <w:r w:rsidR="00B21D17" w:rsidRPr="00B21D17">
          <w:rPr>
            <w:rFonts w:ascii="FrankRuehl" w:hAnsi="FrankRuehl" w:cs="FrankRuehl"/>
            <w:b/>
            <w:bCs/>
            <w:color w:val="0000FF"/>
            <w:sz w:val="28"/>
            <w:szCs w:val="28"/>
            <w:u w:val="single"/>
            <w:rtl/>
          </w:rPr>
          <w:t>פ"ל (תעבורה) 1927-08-17</w:t>
        </w:r>
      </w:hyperlink>
      <w:r w:rsidRPr="00F01362">
        <w:rPr>
          <w:rFonts w:ascii="FrankRuehl" w:hAnsi="FrankRuehl" w:cs="FrankRuehl" w:hint="cs"/>
          <w:b/>
          <w:bCs/>
          <w:sz w:val="28"/>
          <w:szCs w:val="28"/>
          <w:u w:val="single"/>
          <w:rtl/>
        </w:rPr>
        <w:t xml:space="preserve"> (להלן </w:t>
      </w:r>
      <w:r w:rsidRPr="00F01362">
        <w:rPr>
          <w:rFonts w:ascii="FrankRuehl" w:hAnsi="FrankRuehl" w:cs="FrankRuehl"/>
          <w:b/>
          <w:bCs/>
          <w:sz w:val="28"/>
          <w:szCs w:val="28"/>
          <w:u w:val="single"/>
          <w:rtl/>
        </w:rPr>
        <w:t>–</w:t>
      </w:r>
      <w:r w:rsidRPr="00F01362">
        <w:rPr>
          <w:rFonts w:ascii="FrankRuehl" w:hAnsi="FrankRuehl" w:cs="FrankRuehl" w:hint="cs"/>
          <w:b/>
          <w:bCs/>
          <w:sz w:val="28"/>
          <w:szCs w:val="28"/>
          <w:u w:val="single"/>
          <w:rtl/>
        </w:rPr>
        <w:t xml:space="preserve"> התיק השני)</w:t>
      </w:r>
    </w:p>
    <w:p w14:paraId="3B934F0E" w14:textId="77777777" w:rsidR="00B45E6D" w:rsidRPr="00F01362" w:rsidRDefault="00B45E6D" w:rsidP="00B45E6D">
      <w:pPr>
        <w:spacing w:after="160" w:line="360" w:lineRule="auto"/>
        <w:jc w:val="both"/>
        <w:rPr>
          <w:rFonts w:ascii="FrankRuehl" w:hAnsi="FrankRuehl" w:cs="FrankRuehl"/>
          <w:sz w:val="28"/>
          <w:szCs w:val="28"/>
          <w:rtl/>
        </w:rPr>
      </w:pPr>
      <w:r w:rsidRPr="00F01362">
        <w:rPr>
          <w:rFonts w:ascii="FrankRuehl" w:hAnsi="FrankRuehl" w:cs="FrankRuehl" w:hint="cs"/>
          <w:sz w:val="28"/>
          <w:szCs w:val="28"/>
          <w:rtl/>
        </w:rPr>
        <w:t xml:space="preserve">מעובדות כתב האישום המתוקן עולה כי ביום 15.5.2017 בצהריים נהג הנאשם ברכב פרטי כשהוא שיכור, זאת על סמך ממצאי בדיקת שתן שבה נתגלו שרידי קוקאין ותוצר חילוף חומרים של סם זה. בגין עובדות אילו הורשע הנאשם בביצוע עבירה של </w:t>
      </w:r>
      <w:r w:rsidRPr="00F01362">
        <w:rPr>
          <w:rFonts w:ascii="FrankRuehl" w:hAnsi="FrankRuehl" w:cs="FrankRuehl" w:hint="cs"/>
          <w:b/>
          <w:bCs/>
          <w:sz w:val="28"/>
          <w:szCs w:val="28"/>
          <w:rtl/>
        </w:rPr>
        <w:t>נהיגה בשכרות</w:t>
      </w:r>
      <w:r w:rsidRPr="00F01362">
        <w:rPr>
          <w:rFonts w:ascii="FrankRuehl" w:hAnsi="FrankRuehl" w:cs="FrankRuehl" w:hint="cs"/>
          <w:sz w:val="28"/>
          <w:szCs w:val="28"/>
          <w:rtl/>
        </w:rPr>
        <w:t xml:space="preserve">, לפי </w:t>
      </w:r>
      <w:hyperlink r:id="rId21" w:history="1">
        <w:r w:rsidR="00CB7C2A" w:rsidRPr="00CB7C2A">
          <w:rPr>
            <w:rFonts w:ascii="FrankRuehl" w:hAnsi="FrankRuehl" w:cs="FrankRuehl"/>
            <w:color w:val="0000FF"/>
            <w:sz w:val="28"/>
            <w:szCs w:val="28"/>
            <w:u w:val="single"/>
            <w:rtl/>
          </w:rPr>
          <w:t>סעיף 62(3)</w:t>
        </w:r>
      </w:hyperlink>
      <w:r w:rsidRPr="00F01362">
        <w:rPr>
          <w:rFonts w:ascii="FrankRuehl" w:hAnsi="FrankRuehl" w:cs="FrankRuehl" w:hint="cs"/>
          <w:sz w:val="28"/>
          <w:szCs w:val="28"/>
          <w:rtl/>
        </w:rPr>
        <w:t xml:space="preserve"> ל</w:t>
      </w:r>
      <w:hyperlink r:id="rId22" w:history="1">
        <w:r w:rsidR="00B21D17" w:rsidRPr="00B21D17">
          <w:rPr>
            <w:rFonts w:ascii="FrankRuehl" w:hAnsi="FrankRuehl" w:cs="FrankRuehl"/>
            <w:color w:val="0000FF"/>
            <w:sz w:val="28"/>
            <w:szCs w:val="28"/>
            <w:u w:val="single"/>
            <w:rtl/>
          </w:rPr>
          <w:t>פקודת התעבורה</w:t>
        </w:r>
      </w:hyperlink>
      <w:r w:rsidRPr="00F01362">
        <w:rPr>
          <w:rFonts w:ascii="FrankRuehl" w:hAnsi="FrankRuehl" w:cs="FrankRuehl" w:hint="cs"/>
          <w:sz w:val="28"/>
          <w:szCs w:val="28"/>
          <w:rtl/>
        </w:rPr>
        <w:t xml:space="preserve"> (נוסח משולב), התשכ"א-1961 (להלן </w:t>
      </w:r>
      <w:r w:rsidRPr="00F01362">
        <w:rPr>
          <w:rFonts w:ascii="FrankRuehl" w:hAnsi="FrankRuehl" w:cs="FrankRuehl"/>
          <w:sz w:val="28"/>
          <w:szCs w:val="28"/>
          <w:rtl/>
        </w:rPr>
        <w:t>–</w:t>
      </w:r>
      <w:r w:rsidRPr="00F01362">
        <w:rPr>
          <w:rFonts w:ascii="FrankRuehl" w:hAnsi="FrankRuehl" w:cs="FrankRuehl" w:hint="cs"/>
          <w:sz w:val="28"/>
          <w:szCs w:val="28"/>
          <w:rtl/>
        </w:rPr>
        <w:t xml:space="preserve"> </w:t>
      </w:r>
      <w:r w:rsidRPr="00F01362">
        <w:rPr>
          <w:rFonts w:ascii="FrankRuehl" w:hAnsi="FrankRuehl" w:cs="FrankRuehl" w:hint="cs"/>
          <w:b/>
          <w:bCs/>
          <w:sz w:val="28"/>
          <w:szCs w:val="28"/>
          <w:rtl/>
        </w:rPr>
        <w:t>פקודת התעבורה</w:t>
      </w:r>
      <w:r w:rsidRPr="00F01362">
        <w:rPr>
          <w:rFonts w:ascii="FrankRuehl" w:hAnsi="FrankRuehl" w:cs="FrankRuehl" w:hint="cs"/>
          <w:sz w:val="28"/>
          <w:szCs w:val="28"/>
          <w:rtl/>
        </w:rPr>
        <w:t>).</w:t>
      </w:r>
    </w:p>
    <w:p w14:paraId="1D4C9E96" w14:textId="77777777" w:rsidR="00B45E6D" w:rsidRPr="00F01362" w:rsidRDefault="00B45E6D" w:rsidP="00B45E6D">
      <w:pPr>
        <w:spacing w:after="160"/>
        <w:jc w:val="both"/>
        <w:rPr>
          <w:rFonts w:ascii="FrankRuehl" w:hAnsi="FrankRuehl" w:cs="FrankRuehl"/>
          <w:b/>
          <w:bCs/>
          <w:sz w:val="28"/>
          <w:szCs w:val="28"/>
          <w:u w:val="single"/>
          <w:rtl/>
        </w:rPr>
      </w:pPr>
      <w:r w:rsidRPr="00F01362">
        <w:rPr>
          <w:rFonts w:ascii="FrankRuehl" w:hAnsi="FrankRuehl" w:cs="FrankRuehl" w:hint="cs"/>
          <w:b/>
          <w:bCs/>
          <w:sz w:val="28"/>
          <w:szCs w:val="28"/>
          <w:u w:val="single"/>
          <w:rtl/>
        </w:rPr>
        <w:t>כתב אישום מתוקן ב</w:t>
      </w:r>
      <w:hyperlink r:id="rId23" w:history="1">
        <w:r w:rsidR="00B21D17" w:rsidRPr="00B21D17">
          <w:rPr>
            <w:rFonts w:ascii="FrankRuehl" w:hAnsi="FrankRuehl" w:cs="FrankRuehl"/>
            <w:b/>
            <w:bCs/>
            <w:color w:val="0000FF"/>
            <w:sz w:val="28"/>
            <w:szCs w:val="28"/>
            <w:u w:val="single"/>
            <w:rtl/>
          </w:rPr>
          <w:t>ת"פ 11119-08-18</w:t>
        </w:r>
      </w:hyperlink>
      <w:r w:rsidRPr="00F01362">
        <w:rPr>
          <w:rFonts w:ascii="FrankRuehl" w:hAnsi="FrankRuehl" w:cs="FrankRuehl" w:hint="cs"/>
          <w:b/>
          <w:bCs/>
          <w:sz w:val="28"/>
          <w:szCs w:val="28"/>
          <w:u w:val="single"/>
          <w:rtl/>
        </w:rPr>
        <w:t xml:space="preserve"> (להלן </w:t>
      </w:r>
      <w:r w:rsidRPr="00F01362">
        <w:rPr>
          <w:rFonts w:ascii="FrankRuehl" w:hAnsi="FrankRuehl" w:cs="FrankRuehl"/>
          <w:b/>
          <w:bCs/>
          <w:sz w:val="28"/>
          <w:szCs w:val="28"/>
          <w:u w:val="single"/>
          <w:rtl/>
        </w:rPr>
        <w:t>–</w:t>
      </w:r>
      <w:r w:rsidRPr="00F01362">
        <w:rPr>
          <w:rFonts w:ascii="FrankRuehl" w:hAnsi="FrankRuehl" w:cs="FrankRuehl" w:hint="cs"/>
          <w:b/>
          <w:bCs/>
          <w:sz w:val="28"/>
          <w:szCs w:val="28"/>
          <w:u w:val="single"/>
          <w:rtl/>
        </w:rPr>
        <w:t xml:space="preserve"> התיק השלישי)</w:t>
      </w:r>
    </w:p>
    <w:p w14:paraId="1F6C9372" w14:textId="77777777" w:rsidR="00B45E6D" w:rsidRPr="00F01362" w:rsidRDefault="00B45E6D" w:rsidP="00B45E6D">
      <w:pPr>
        <w:tabs>
          <w:tab w:val="left" w:pos="688"/>
        </w:tabs>
        <w:spacing w:after="160" w:line="360" w:lineRule="auto"/>
        <w:jc w:val="both"/>
        <w:rPr>
          <w:rFonts w:ascii="FrankRuehl" w:hAnsi="FrankRuehl" w:cs="FrankRuehl"/>
          <w:sz w:val="28"/>
          <w:szCs w:val="28"/>
          <w:rtl/>
        </w:rPr>
      </w:pPr>
      <w:r w:rsidRPr="00F01362">
        <w:rPr>
          <w:rFonts w:ascii="FrankRuehl" w:hAnsi="FrankRuehl" w:cs="FrankRuehl" w:hint="cs"/>
          <w:sz w:val="28"/>
          <w:szCs w:val="28"/>
          <w:rtl/>
        </w:rPr>
        <w:t xml:space="preserve">מעובדות כתב האישום המתוקן עולה, כי נגד הנאשם היו תלויים ועומדים תנאי שחרור. בניגוד לאותם תנאים, ביום 16.6.2018 בשעת לילה, יצא את בית הוריו עם רכבה של אמו ללא אחד מהמלווים שאושרו לכך, עמו נתפס. בגין כך הורשע הנאשם בביצוע עבירה של </w:t>
      </w:r>
      <w:r w:rsidRPr="00F01362">
        <w:rPr>
          <w:rFonts w:ascii="FrankRuehl" w:hAnsi="FrankRuehl" w:cs="FrankRuehl" w:hint="cs"/>
          <w:b/>
          <w:bCs/>
          <w:sz w:val="28"/>
          <w:szCs w:val="28"/>
          <w:rtl/>
        </w:rPr>
        <w:t>הפרת הוראה חוקית</w:t>
      </w:r>
      <w:r w:rsidRPr="00F01362">
        <w:rPr>
          <w:rFonts w:ascii="FrankRuehl" w:hAnsi="FrankRuehl" w:cs="FrankRuehl" w:hint="cs"/>
          <w:sz w:val="28"/>
          <w:szCs w:val="28"/>
          <w:rtl/>
        </w:rPr>
        <w:t xml:space="preserve">, לפי </w:t>
      </w:r>
      <w:hyperlink r:id="rId24" w:history="1">
        <w:r w:rsidR="00CB7C2A" w:rsidRPr="00CB7C2A">
          <w:rPr>
            <w:rFonts w:ascii="FrankRuehl" w:hAnsi="FrankRuehl" w:cs="FrankRuehl"/>
            <w:color w:val="0000FF"/>
            <w:sz w:val="28"/>
            <w:szCs w:val="28"/>
            <w:u w:val="single"/>
            <w:rtl/>
          </w:rPr>
          <w:t>סעיף 287(א)</w:t>
        </w:r>
      </w:hyperlink>
      <w:r w:rsidRPr="00F01362">
        <w:rPr>
          <w:rFonts w:ascii="FrankRuehl" w:hAnsi="FrankRuehl" w:cs="FrankRuehl" w:hint="cs"/>
          <w:sz w:val="28"/>
          <w:szCs w:val="28"/>
          <w:rtl/>
        </w:rPr>
        <w:t xml:space="preserve"> ל</w:t>
      </w:r>
      <w:hyperlink r:id="rId25" w:history="1">
        <w:r w:rsidR="00B21D17" w:rsidRPr="00B21D17">
          <w:rPr>
            <w:rFonts w:ascii="FrankRuehl" w:hAnsi="FrankRuehl" w:cs="FrankRuehl"/>
            <w:color w:val="0000FF"/>
            <w:sz w:val="28"/>
            <w:szCs w:val="28"/>
            <w:u w:val="single"/>
            <w:rtl/>
          </w:rPr>
          <w:t>חוק העונשין</w:t>
        </w:r>
      </w:hyperlink>
      <w:r w:rsidRPr="00F01362">
        <w:rPr>
          <w:rFonts w:ascii="FrankRuehl" w:hAnsi="FrankRuehl" w:cs="FrankRuehl" w:hint="cs"/>
          <w:sz w:val="28"/>
          <w:szCs w:val="28"/>
          <w:rtl/>
        </w:rPr>
        <w:t xml:space="preserve">, התשל"ז-1977 (להלן - </w:t>
      </w:r>
      <w:r w:rsidRPr="00F01362">
        <w:rPr>
          <w:rFonts w:ascii="FrankRuehl" w:hAnsi="FrankRuehl" w:cs="FrankRuehl" w:hint="cs"/>
          <w:b/>
          <w:bCs/>
          <w:sz w:val="28"/>
          <w:szCs w:val="28"/>
          <w:rtl/>
        </w:rPr>
        <w:t>החוק</w:t>
      </w:r>
      <w:r w:rsidRPr="00F01362">
        <w:rPr>
          <w:rFonts w:ascii="FrankRuehl" w:hAnsi="FrankRuehl" w:cs="FrankRuehl" w:hint="cs"/>
          <w:sz w:val="28"/>
          <w:szCs w:val="28"/>
          <w:rtl/>
        </w:rPr>
        <w:t xml:space="preserve">). </w:t>
      </w:r>
    </w:p>
    <w:p w14:paraId="236143AC" w14:textId="77777777" w:rsidR="00B45E6D" w:rsidRPr="00F01362" w:rsidRDefault="00B45E6D" w:rsidP="00B45E6D">
      <w:pPr>
        <w:tabs>
          <w:tab w:val="left" w:pos="688"/>
        </w:tabs>
        <w:spacing w:line="360" w:lineRule="auto"/>
        <w:jc w:val="both"/>
        <w:rPr>
          <w:rFonts w:ascii="FrankRuehl" w:hAnsi="FrankRuehl" w:cs="FrankRuehl"/>
          <w:b/>
          <w:bCs/>
          <w:sz w:val="28"/>
          <w:szCs w:val="28"/>
          <w:u w:val="single"/>
          <w:rtl/>
        </w:rPr>
      </w:pPr>
      <w:r w:rsidRPr="00F01362">
        <w:rPr>
          <w:rFonts w:ascii="FrankRuehl" w:hAnsi="FrankRuehl" w:cs="FrankRuehl" w:hint="cs"/>
          <w:b/>
          <w:bCs/>
          <w:sz w:val="28"/>
          <w:szCs w:val="28"/>
          <w:u w:val="single"/>
          <w:rtl/>
        </w:rPr>
        <w:t>כתב אישום ב</w:t>
      </w:r>
      <w:hyperlink r:id="rId26" w:history="1">
        <w:r w:rsidR="00B21D17" w:rsidRPr="00B21D17">
          <w:rPr>
            <w:rFonts w:ascii="FrankRuehl" w:hAnsi="FrankRuehl" w:cs="FrankRuehl"/>
            <w:b/>
            <w:bCs/>
            <w:color w:val="0000FF"/>
            <w:sz w:val="28"/>
            <w:szCs w:val="28"/>
            <w:u w:val="single"/>
            <w:rtl/>
          </w:rPr>
          <w:t>פ"ל 66-11-18</w:t>
        </w:r>
      </w:hyperlink>
      <w:r w:rsidRPr="00F01362">
        <w:rPr>
          <w:rFonts w:ascii="FrankRuehl" w:hAnsi="FrankRuehl" w:cs="FrankRuehl" w:hint="cs"/>
          <w:b/>
          <w:bCs/>
          <w:sz w:val="28"/>
          <w:szCs w:val="28"/>
          <w:u w:val="single"/>
          <w:rtl/>
        </w:rPr>
        <w:t xml:space="preserve">  (להלן </w:t>
      </w:r>
      <w:r w:rsidRPr="00F01362">
        <w:rPr>
          <w:rFonts w:ascii="FrankRuehl" w:hAnsi="FrankRuehl" w:cs="FrankRuehl"/>
          <w:b/>
          <w:bCs/>
          <w:sz w:val="28"/>
          <w:szCs w:val="28"/>
          <w:u w:val="single"/>
          <w:rtl/>
        </w:rPr>
        <w:t>–</w:t>
      </w:r>
      <w:r w:rsidRPr="00F01362">
        <w:rPr>
          <w:rFonts w:ascii="FrankRuehl" w:hAnsi="FrankRuehl" w:cs="FrankRuehl" w:hint="cs"/>
          <w:b/>
          <w:bCs/>
          <w:sz w:val="28"/>
          <w:szCs w:val="28"/>
          <w:u w:val="single"/>
          <w:rtl/>
        </w:rPr>
        <w:t xml:space="preserve"> התיק הרביעי)</w:t>
      </w:r>
    </w:p>
    <w:p w14:paraId="656DED5B" w14:textId="77777777" w:rsidR="00B45E6D" w:rsidRPr="00F01362" w:rsidRDefault="00B45E6D" w:rsidP="00B45E6D">
      <w:pPr>
        <w:tabs>
          <w:tab w:val="left" w:pos="688"/>
        </w:tabs>
        <w:spacing w:line="360" w:lineRule="auto"/>
        <w:jc w:val="both"/>
        <w:rPr>
          <w:rFonts w:ascii="FrankRuehl" w:hAnsi="FrankRuehl" w:cs="FrankRuehl"/>
          <w:sz w:val="28"/>
          <w:szCs w:val="28"/>
          <w:rtl/>
        </w:rPr>
      </w:pPr>
      <w:r w:rsidRPr="00F01362">
        <w:rPr>
          <w:rFonts w:ascii="FrankRuehl" w:hAnsi="FrankRuehl" w:cs="FrankRuehl" w:hint="cs"/>
          <w:b/>
          <w:bCs/>
          <w:sz w:val="28"/>
          <w:szCs w:val="28"/>
          <w:rtl/>
        </w:rPr>
        <w:t>באישום הראשון</w:t>
      </w:r>
      <w:r w:rsidRPr="00F01362">
        <w:rPr>
          <w:rFonts w:ascii="FrankRuehl" w:hAnsi="FrankRuehl" w:cs="FrankRuehl" w:hint="cs"/>
          <w:sz w:val="28"/>
          <w:szCs w:val="28"/>
          <w:rtl/>
        </w:rPr>
        <w:t xml:space="preserve"> מצוין, כי ביום 29.10.2018 נהג הנאשם ברכב בירושלים, וכאשר נדרש לתת דגימת שתן ע"י שוטר, סירב לכך. בגין כך הודה הנאשם והורשע בביצוע עבירה של נהיגה בשכרות (סמים, מכוח סירוב), לפי </w:t>
      </w:r>
      <w:hyperlink r:id="rId27" w:history="1">
        <w:r w:rsidR="00CB7C2A" w:rsidRPr="00CB7C2A">
          <w:rPr>
            <w:rFonts w:ascii="FrankRuehl" w:hAnsi="FrankRuehl" w:cs="FrankRuehl"/>
            <w:color w:val="0000FF"/>
            <w:sz w:val="28"/>
            <w:szCs w:val="28"/>
            <w:u w:val="single"/>
            <w:rtl/>
          </w:rPr>
          <w:t>סעיף 62(3)</w:t>
        </w:r>
      </w:hyperlink>
      <w:r w:rsidRPr="00F01362">
        <w:rPr>
          <w:rFonts w:ascii="FrankRuehl" w:hAnsi="FrankRuehl" w:cs="FrankRuehl" w:hint="cs"/>
          <w:sz w:val="28"/>
          <w:szCs w:val="28"/>
          <w:rtl/>
        </w:rPr>
        <w:t xml:space="preserve"> ל</w:t>
      </w:r>
      <w:hyperlink r:id="rId28" w:history="1">
        <w:r w:rsidR="00B21D17" w:rsidRPr="00B21D17">
          <w:rPr>
            <w:rFonts w:ascii="FrankRuehl" w:hAnsi="FrankRuehl" w:cs="FrankRuehl"/>
            <w:color w:val="0000FF"/>
            <w:sz w:val="28"/>
            <w:szCs w:val="28"/>
            <w:u w:val="single"/>
            <w:rtl/>
          </w:rPr>
          <w:t>פקודת התעבורה</w:t>
        </w:r>
      </w:hyperlink>
      <w:r w:rsidRPr="00F01362">
        <w:rPr>
          <w:rFonts w:ascii="FrankRuehl" w:hAnsi="FrankRuehl" w:cs="FrankRuehl" w:hint="cs"/>
          <w:sz w:val="28"/>
          <w:szCs w:val="28"/>
          <w:rtl/>
        </w:rPr>
        <w:t>.</w:t>
      </w:r>
    </w:p>
    <w:p w14:paraId="4537AE06" w14:textId="77777777" w:rsidR="00B45E6D" w:rsidRPr="00F01362" w:rsidRDefault="00B45E6D" w:rsidP="00B45E6D">
      <w:pPr>
        <w:tabs>
          <w:tab w:val="left" w:pos="688"/>
        </w:tabs>
        <w:spacing w:line="360" w:lineRule="auto"/>
        <w:jc w:val="both"/>
        <w:rPr>
          <w:rFonts w:ascii="FrankRuehl" w:hAnsi="FrankRuehl" w:cs="FrankRuehl"/>
          <w:sz w:val="28"/>
          <w:szCs w:val="28"/>
          <w:rtl/>
        </w:rPr>
      </w:pPr>
      <w:r w:rsidRPr="00F01362">
        <w:rPr>
          <w:rFonts w:ascii="FrankRuehl" w:hAnsi="FrankRuehl" w:cs="FrankRuehl" w:hint="cs"/>
          <w:b/>
          <w:bCs/>
          <w:sz w:val="28"/>
          <w:szCs w:val="28"/>
          <w:rtl/>
        </w:rPr>
        <w:t>באישום השני</w:t>
      </w:r>
      <w:r w:rsidRPr="00F01362">
        <w:rPr>
          <w:rFonts w:ascii="FrankRuehl" w:hAnsi="FrankRuehl" w:cs="FrankRuehl" w:hint="cs"/>
          <w:sz w:val="28"/>
          <w:szCs w:val="28"/>
          <w:rtl/>
        </w:rPr>
        <w:t xml:space="preserve"> מצוין, כי ביום 16.11.2016 נהג הנאשם ברכב בירושלים, וכאשר נדרש לתת דגימת שתן ע"י שוטר, סירב לכך. בגין כך הודה הנאשם והורשע בביצוע עבירה של נהיגה בשכרות (סמים, מכוח סירוב), לפי </w:t>
      </w:r>
      <w:hyperlink r:id="rId29" w:history="1">
        <w:r w:rsidR="00CB7C2A" w:rsidRPr="00CB7C2A">
          <w:rPr>
            <w:rFonts w:ascii="FrankRuehl" w:hAnsi="FrankRuehl" w:cs="FrankRuehl"/>
            <w:color w:val="0000FF"/>
            <w:sz w:val="28"/>
            <w:szCs w:val="28"/>
            <w:u w:val="single"/>
            <w:rtl/>
          </w:rPr>
          <w:t>סעיף 62(3)</w:t>
        </w:r>
      </w:hyperlink>
      <w:r w:rsidRPr="00F01362">
        <w:rPr>
          <w:rFonts w:ascii="FrankRuehl" w:hAnsi="FrankRuehl" w:cs="FrankRuehl" w:hint="cs"/>
          <w:sz w:val="28"/>
          <w:szCs w:val="28"/>
          <w:rtl/>
        </w:rPr>
        <w:t xml:space="preserve"> ל</w:t>
      </w:r>
      <w:hyperlink r:id="rId30" w:history="1">
        <w:r w:rsidR="00B21D17" w:rsidRPr="00B21D17">
          <w:rPr>
            <w:rFonts w:ascii="FrankRuehl" w:hAnsi="FrankRuehl" w:cs="FrankRuehl"/>
            <w:color w:val="0000FF"/>
            <w:sz w:val="28"/>
            <w:szCs w:val="28"/>
            <w:u w:val="single"/>
            <w:rtl/>
          </w:rPr>
          <w:t>פקודת התעבורה</w:t>
        </w:r>
      </w:hyperlink>
      <w:r w:rsidRPr="00F01362">
        <w:rPr>
          <w:rFonts w:ascii="FrankRuehl" w:hAnsi="FrankRuehl" w:cs="FrankRuehl" w:hint="cs"/>
          <w:sz w:val="28"/>
          <w:szCs w:val="28"/>
          <w:rtl/>
        </w:rPr>
        <w:t>.</w:t>
      </w:r>
    </w:p>
    <w:p w14:paraId="041C0096" w14:textId="77777777" w:rsidR="00B45E6D" w:rsidRPr="00F01362" w:rsidRDefault="00B45E6D" w:rsidP="00B45E6D">
      <w:pPr>
        <w:tabs>
          <w:tab w:val="left" w:pos="688"/>
        </w:tabs>
        <w:spacing w:line="360" w:lineRule="auto"/>
        <w:jc w:val="both"/>
        <w:rPr>
          <w:rFonts w:ascii="FrankRuehl" w:hAnsi="FrankRuehl" w:cs="FrankRuehl"/>
          <w:sz w:val="28"/>
          <w:szCs w:val="28"/>
        </w:rPr>
      </w:pPr>
    </w:p>
    <w:p w14:paraId="414F3D41" w14:textId="77777777" w:rsidR="00B45E6D" w:rsidRPr="00B45E6D" w:rsidRDefault="00B45E6D" w:rsidP="00B45E6D">
      <w:pPr>
        <w:spacing w:after="160" w:line="360" w:lineRule="auto"/>
        <w:jc w:val="both"/>
        <w:rPr>
          <w:rFonts w:ascii="Calibri" w:hAnsi="Calibri" w:cs="FrankRuehl"/>
          <w:b/>
          <w:bCs/>
          <w:sz w:val="28"/>
          <w:szCs w:val="28"/>
          <w:u w:val="single"/>
          <w:rtl/>
        </w:rPr>
      </w:pPr>
      <w:r w:rsidRPr="00B45E6D">
        <w:rPr>
          <w:rFonts w:ascii="Calibri" w:hAnsi="Calibri" w:cs="FrankRuehl" w:hint="cs"/>
          <w:b/>
          <w:bCs/>
          <w:sz w:val="28"/>
          <w:szCs w:val="28"/>
          <w:u w:val="single"/>
          <w:rtl/>
        </w:rPr>
        <w:t>מהלך הדיון</w:t>
      </w:r>
    </w:p>
    <w:p w14:paraId="17EDBA63"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ביום 7.8.2017 שוחרר הנאשם בתנאים של מעצר בית מלא בתיק המעצר. ביום 8.11.2017 התאפשר לנאשם לצאת לעבודה לאחר שהגיש בקשה לעיון חוזר בתנאי שחרורו. ביום 4.7.2018 הוקלו התנאים פעם נוספת והוסרה חובת הליווי שחלה על הנאשם להגעה לטיפולים וחזרה מהם. ביום 31.7.2018 הורשע הנאשם על-פי הודאתו בתיק הראשון. ב-12.9.2018 צירף הנאשם לפניי את התיק השני. ביום 28.10.2018 בוטלו התנאים המגבילים שהושתו על הנאשם.</w:t>
      </w:r>
    </w:p>
    <w:p w14:paraId="16141E4A" w14:textId="77777777" w:rsidR="00B45E6D" w:rsidRPr="00B45E6D" w:rsidRDefault="00B45E6D" w:rsidP="00B45E6D">
      <w:pPr>
        <w:spacing w:after="160" w:line="360" w:lineRule="auto"/>
        <w:jc w:val="both"/>
        <w:rPr>
          <w:rFonts w:ascii="Calibri" w:hAnsi="Calibri" w:cs="FrankRuehl"/>
          <w:b/>
          <w:bCs/>
          <w:sz w:val="28"/>
          <w:szCs w:val="28"/>
          <w:u w:val="single"/>
          <w:rtl/>
        </w:rPr>
      </w:pPr>
    </w:p>
    <w:p w14:paraId="1CDACAD0" w14:textId="77777777" w:rsidR="00B45E6D" w:rsidRPr="00B45E6D" w:rsidRDefault="00B45E6D" w:rsidP="00B45E6D">
      <w:pPr>
        <w:spacing w:after="160" w:line="360" w:lineRule="auto"/>
        <w:jc w:val="both"/>
        <w:rPr>
          <w:rFonts w:ascii="Calibri" w:hAnsi="Calibri" w:cs="FrankRuehl"/>
          <w:b/>
          <w:bCs/>
          <w:sz w:val="28"/>
          <w:szCs w:val="28"/>
          <w:u w:val="single"/>
        </w:rPr>
      </w:pPr>
      <w:r w:rsidRPr="00B45E6D">
        <w:rPr>
          <w:rFonts w:ascii="Calibri" w:hAnsi="Calibri" w:cs="FrankRuehl" w:hint="cs"/>
          <w:b/>
          <w:bCs/>
          <w:sz w:val="28"/>
          <w:szCs w:val="28"/>
          <w:u w:val="single"/>
          <w:rtl/>
        </w:rPr>
        <w:lastRenderedPageBreak/>
        <w:t>טיעונים לעונש</w:t>
      </w:r>
    </w:p>
    <w:p w14:paraId="10A33D72"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 xml:space="preserve">הצדדים לא הגיעו להסכמה עונשית. </w:t>
      </w:r>
    </w:p>
    <w:p w14:paraId="6178F483"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 xml:space="preserve">מחד, המאשימה טענה כי יש להטיל על המשיב עונש מאסר בפועל על סמך מתחמים להם טענה כמפורט בפרוטוקול, וכן הפנתה לפסיקה. כמו כן עתרה להטלת מאסר על תנאי, קנס, פסילה בפועל ופסילה על-תנאי וכן עתרה להכריז על הנאשם סוחר סמים. אציין כי לגבי </w:t>
      </w:r>
      <w:hyperlink r:id="rId31" w:history="1">
        <w:r w:rsidR="00B21D17" w:rsidRPr="00B21D17">
          <w:rPr>
            <w:rFonts w:ascii="Calibri" w:hAnsi="Calibri" w:cs="FrankRuehl" w:hint="eastAsia"/>
            <w:color w:val="0000FF"/>
            <w:sz w:val="28"/>
            <w:szCs w:val="28"/>
            <w:u w:val="single"/>
            <w:rtl/>
          </w:rPr>
          <w:t>רע</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פ</w:t>
        </w:r>
        <w:r w:rsidR="00B21D17" w:rsidRPr="00B21D17">
          <w:rPr>
            <w:rFonts w:ascii="Calibri" w:hAnsi="Calibri" w:cs="FrankRuehl"/>
            <w:color w:val="0000FF"/>
            <w:sz w:val="28"/>
            <w:szCs w:val="28"/>
            <w:u w:val="single"/>
            <w:rtl/>
          </w:rPr>
          <w:t xml:space="preserve"> 8408/15</w:t>
        </w:r>
      </w:hyperlink>
      <w:r w:rsidRPr="00B45E6D">
        <w:rPr>
          <w:rFonts w:ascii="Calibri" w:hAnsi="Calibri" w:cs="FrankRuehl" w:hint="cs"/>
          <w:sz w:val="28"/>
          <w:szCs w:val="28"/>
          <w:rtl/>
        </w:rPr>
        <w:t xml:space="preserve"> </w:t>
      </w:r>
      <w:r w:rsidRPr="00B45E6D">
        <w:rPr>
          <w:rFonts w:ascii="Calibri" w:hAnsi="Calibri" w:cs="FrankRuehl" w:hint="cs"/>
          <w:b/>
          <w:bCs/>
          <w:sz w:val="28"/>
          <w:szCs w:val="28"/>
          <w:u w:val="single"/>
          <w:rtl/>
        </w:rPr>
        <w:t>חביב</w:t>
      </w:r>
      <w:r w:rsidRPr="00B45E6D">
        <w:rPr>
          <w:rFonts w:ascii="Calibri" w:hAnsi="Calibri" w:cs="FrankRuehl" w:hint="cs"/>
          <w:sz w:val="28"/>
          <w:szCs w:val="28"/>
          <w:rtl/>
        </w:rPr>
        <w:t xml:space="preserve"> נ' </w:t>
      </w:r>
      <w:r w:rsidRPr="00B45E6D">
        <w:rPr>
          <w:rFonts w:ascii="Calibri" w:hAnsi="Calibri" w:cs="FrankRuehl" w:hint="cs"/>
          <w:b/>
          <w:bCs/>
          <w:sz w:val="28"/>
          <w:szCs w:val="28"/>
          <w:u w:val="single"/>
          <w:rtl/>
        </w:rPr>
        <w:t>מ"י</w:t>
      </w:r>
      <w:r w:rsidRPr="00B45E6D">
        <w:rPr>
          <w:rFonts w:ascii="Calibri" w:hAnsi="Calibri" w:cs="FrankRuehl" w:hint="cs"/>
          <w:sz w:val="28"/>
          <w:szCs w:val="28"/>
          <w:rtl/>
        </w:rPr>
        <w:t xml:space="preserve"> (מיום 9.2.2015) אין מדובר בהפניה רלבנטית בשל הנסיבות השונות (2 עסקאות סמים בקוקאין ונסיבות אישיות אחרות). כך גם לגבי </w:t>
      </w:r>
      <w:hyperlink r:id="rId32" w:history="1">
        <w:r w:rsidR="00B21D17" w:rsidRPr="00B21D17">
          <w:rPr>
            <w:rFonts w:ascii="Calibri" w:hAnsi="Calibri" w:cs="FrankRuehl" w:hint="eastAsia"/>
            <w:color w:val="0000FF"/>
            <w:sz w:val="28"/>
            <w:szCs w:val="28"/>
            <w:u w:val="single"/>
            <w:rtl/>
          </w:rPr>
          <w:t>רע</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פ</w:t>
        </w:r>
        <w:r w:rsidR="00B21D17" w:rsidRPr="00B21D17">
          <w:rPr>
            <w:rFonts w:ascii="Calibri" w:hAnsi="Calibri" w:cs="FrankRuehl"/>
            <w:color w:val="0000FF"/>
            <w:sz w:val="28"/>
            <w:szCs w:val="28"/>
            <w:u w:val="single"/>
            <w:rtl/>
          </w:rPr>
          <w:t xml:space="preserve"> 126/15</w:t>
        </w:r>
      </w:hyperlink>
      <w:r w:rsidRPr="00B45E6D">
        <w:rPr>
          <w:rFonts w:ascii="Calibri" w:hAnsi="Calibri" w:cs="FrankRuehl" w:hint="cs"/>
          <w:sz w:val="28"/>
          <w:szCs w:val="28"/>
          <w:rtl/>
        </w:rPr>
        <w:t xml:space="preserve"> </w:t>
      </w:r>
      <w:r w:rsidRPr="00B45E6D">
        <w:rPr>
          <w:rFonts w:ascii="Calibri" w:hAnsi="Calibri" w:cs="FrankRuehl" w:hint="cs"/>
          <w:b/>
          <w:bCs/>
          <w:sz w:val="28"/>
          <w:szCs w:val="28"/>
          <w:u w:val="single"/>
          <w:rtl/>
        </w:rPr>
        <w:t>חביף</w:t>
      </w:r>
      <w:r w:rsidRPr="00B45E6D">
        <w:rPr>
          <w:rFonts w:ascii="Calibri" w:hAnsi="Calibri" w:cs="FrankRuehl" w:hint="cs"/>
          <w:sz w:val="28"/>
          <w:szCs w:val="28"/>
          <w:rtl/>
        </w:rPr>
        <w:t xml:space="preserve"> נ' </w:t>
      </w:r>
      <w:r w:rsidRPr="00B45E6D">
        <w:rPr>
          <w:rFonts w:ascii="Calibri" w:hAnsi="Calibri" w:cs="FrankRuehl" w:hint="cs"/>
          <w:b/>
          <w:bCs/>
          <w:sz w:val="28"/>
          <w:szCs w:val="28"/>
          <w:u w:val="single"/>
          <w:rtl/>
        </w:rPr>
        <w:t>מ"י</w:t>
      </w:r>
      <w:r w:rsidRPr="00B45E6D">
        <w:rPr>
          <w:rFonts w:ascii="Calibri" w:hAnsi="Calibri" w:cs="FrankRuehl" w:hint="cs"/>
          <w:sz w:val="28"/>
          <w:szCs w:val="28"/>
          <w:rtl/>
        </w:rPr>
        <w:t xml:space="preserve"> (מיום 13.1.2015) שם נקבע מתחם לגבי מספר רב יותר של עבירות סמים.</w:t>
      </w:r>
    </w:p>
    <w:p w14:paraId="784924F8" w14:textId="77777777" w:rsidR="00B45E6D" w:rsidRPr="00B45E6D" w:rsidRDefault="00B45E6D" w:rsidP="00B45E6D">
      <w:pPr>
        <w:spacing w:after="160" w:line="360" w:lineRule="auto"/>
        <w:jc w:val="both"/>
        <w:rPr>
          <w:rFonts w:ascii="Calibri" w:hAnsi="Calibri" w:cs="FrankRuehl"/>
          <w:b/>
          <w:bCs/>
          <w:sz w:val="28"/>
          <w:szCs w:val="28"/>
          <w:u w:val="single"/>
          <w:rtl/>
        </w:rPr>
      </w:pPr>
      <w:r w:rsidRPr="00B45E6D">
        <w:rPr>
          <w:rFonts w:ascii="Calibri" w:hAnsi="Calibri" w:cs="FrankRuehl" w:hint="cs"/>
          <w:sz w:val="28"/>
          <w:szCs w:val="28"/>
          <w:rtl/>
        </w:rPr>
        <w:t xml:space="preserve">מאידך, הסניגורית עתרה להסתפק בהטלת עונש מאסר בעבודות שירות לנוכח נסיבותיו של הנאשם והתהליך הטיפולי שעבר. </w:t>
      </w:r>
    </w:p>
    <w:p w14:paraId="291C4710" w14:textId="77777777" w:rsidR="00B45E6D" w:rsidRPr="00B45E6D" w:rsidRDefault="00B45E6D" w:rsidP="00B45E6D">
      <w:pPr>
        <w:spacing w:after="160" w:line="360" w:lineRule="auto"/>
        <w:jc w:val="both"/>
        <w:rPr>
          <w:rFonts w:ascii="Calibri" w:hAnsi="Calibri" w:cs="FrankRuehl"/>
          <w:b/>
          <w:bCs/>
          <w:sz w:val="28"/>
          <w:szCs w:val="28"/>
          <w:u w:val="single"/>
          <w:rtl/>
        </w:rPr>
      </w:pPr>
      <w:r w:rsidRPr="00B45E6D">
        <w:rPr>
          <w:rFonts w:ascii="Calibri" w:hAnsi="Calibri" w:cs="FrankRuehl" w:hint="cs"/>
          <w:b/>
          <w:bCs/>
          <w:sz w:val="28"/>
          <w:szCs w:val="28"/>
          <w:u w:val="single"/>
          <w:rtl/>
        </w:rPr>
        <w:t>תסקיר</w:t>
      </w:r>
    </w:p>
    <w:p w14:paraId="3CDF0C27"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 xml:space="preserve">בעניינו של הנאשם הוגשו מספר תסקירים. </w:t>
      </w:r>
    </w:p>
    <w:p w14:paraId="53E1F7C1"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 xml:space="preserve">מהתסקירים עולה, כי הנאשם הנו כבן 24, רווק, עובד כמסגר בעיריית ירושלים. הוא גדל במשפחה שבה הוריו התגרשו כשהיה כבן 6 ונשאר לחיות עם אמו, אלא שכעבור מספר שנים ההורים שבו ונישאו ומאז מקיימים יחד חיי משפחה. הנאשם סיים 12 שנות לימוד, התגייס לצבא ושובץ בתפקיד מינהלתי למרות שלדבריו, שאף להשתבץ בתפקיד לחימה. בשל קשיי קשב וריכוז וקשיים התנהגותיים, השתחרר מהצבא מוקדם מהמצופה והשתלב בעבודה בעירייה, שבה עובד מאז, כשהוא מגלה שביעות רצון ממנה. הנאשם החל להשתמש בסמים טרם שירותו הצבאי בתדירות גבוהה, אך במסגרת צו פיקוח מעצרים שולב בטיפול שידע עליות ומורדות. מכל מקום במהלך בדיקות שתן שמסר תחת צו פיקוח המעצרים לא נמצאו שרידי סם. במהלך תקופת שחרורו הנאשם אובחן כמי שסובל מהפרעה נפשית המצריכה טיפול תרופתי, ומאז הוא נמצא במעקב מרפאתי, אם כי הגורמים הטיפוליים טרם עמדו באופן מובהק, על נסיבותיו הנפשיות של הנאשם. לנאשם רישום פלילי בעבירות איומים, גניבה, הפרעה לשוטר והעלבת עובד ציבור, וכן רישום תעבורתי. אשר לתיק הראשון (סחר בסמים), הנאשם נטל אחריות למעשיו, טען כי מכר את הסמים לחבר ללא כוונת רווח. אשר לתיק השני (נהיגה תחת השפעה), הנאשם לא נטל אחריות למעשים, שלל שימוש בסמים טרם הנהיגה והכחיש את המיוחס לו ואף הביע אדישות כלפי מצבו. אשר לתיק השלישי (הפרת הוראה חוקית), הנאשם מזער מחומרת ההפרה. אשר לתיק הרביעי (שתי עבירות של נהיגה תחת השפעת סמים) קיבל הנאשם אחריות לגבי האישום השני, אך ציין לגבי האישום הראשון שלא מסר בדיקת שתן כי התקשה בכך באותה עת.  שירות המבחן סבר, כי לנאשם שאיפות לנהל אורח חיים נורמטיבי ואף מעוניין לטפל באופן אפקטיבי בבעיותיו. לצד זאת, בשל מאפייני אישיותו הוא נוטה למופנמות, הוא מתקשה לתת אמון בגורמי הטיפול ומצבו הנפשי טרם התייצב, והדבר בא לידי ביטוי באופן תפקודו השלילי בטיפול.  בתסקירו מחודש אפריל 2019 עמד שירות המבחן על כך שקיים חשד שהנאשם זייף בדיקות שתן שמסר, וכשעומת ביחס לכך, היה תוקפני. </w:t>
      </w:r>
    </w:p>
    <w:p w14:paraId="1EEA7ACF"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 xml:space="preserve">בתסקיר מחודש ספטמבר 2019 עמד שירות המבחן על כך שהנאשם לא המשיך למסור בדיקות שתן ולא חזר להשתלב בטיפול במכון הירושלמי לתחלואה כפולה ואף הביע התנגדות להמשיך בכך. הוא הלין על כך שהתרופות שנרשמו לו ע"י הפסיכיאטרית אינן מסייעות לו. הנאשם מסר כי קיבל קביעות בעבודה ויש לו שאיפות ללמוד הנדסאות. שירות המבחן התרשם (שוב) מנסיגה במצבו של הנאשם, כשהשירות חושד בכך שהנאשם שב ליטול סמים וכאשר מצבו הנפשי אינו מאוזן. שירות המבחן סבר, כי ההליכים הפליליים אינם מרתיעים אותו ורמת הסיכון להישנות עבירות גבוהה. מכאן ששירות המבחן נמנע מהמלצה טיפולית, אך לצד זאת סבר כי יש להטיל על הנאשם מאסר לריצוי בעבודות שירות. </w:t>
      </w:r>
    </w:p>
    <w:p w14:paraId="24762CEB"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שלחתי את הנאשם שוב לשירות המבחן תוך שהבהרתי לו מה עומד על הפרק. בתסקיר האחרון, מדצמבר 2019, שבה ועלתה תמונה שלילית ביחס לרצון הנאשם להשתלב בטיפול, לרבות נטילת טיפול תרופתי ביחס למצבו הנפשי, ולא רק זאת, אלא שנפתח לו תיק חדש בגין חשד לנהיגה תחת השפעת סמים. הבנתי כי התיק נסגר. מנגד, הנאשם מסר בדיקות שתן שנמצאו כולן נקיות. בנסיבות אלו ולנוכח היעדר מוטיבציה לטיפול, סבר שירות המבחן כי יש להטיל על הנאשם מאסר לריצוי בעבודות שירות.</w:t>
      </w:r>
    </w:p>
    <w:p w14:paraId="64A6056A" w14:textId="77777777" w:rsidR="00B45E6D" w:rsidRPr="00B45E6D" w:rsidRDefault="00B45E6D" w:rsidP="00B45E6D">
      <w:pPr>
        <w:spacing w:after="160" w:line="360" w:lineRule="auto"/>
        <w:jc w:val="both"/>
        <w:rPr>
          <w:rFonts w:ascii="Calibri" w:hAnsi="Calibri" w:cs="FrankRuehl"/>
          <w:b/>
          <w:bCs/>
          <w:sz w:val="28"/>
          <w:szCs w:val="28"/>
          <w:u w:val="single"/>
          <w:rtl/>
        </w:rPr>
      </w:pPr>
    </w:p>
    <w:p w14:paraId="502AAFBD" w14:textId="77777777" w:rsidR="00B45E6D" w:rsidRPr="00B45E6D" w:rsidRDefault="00B45E6D" w:rsidP="00B45E6D">
      <w:pPr>
        <w:spacing w:after="160" w:line="360" w:lineRule="auto"/>
        <w:jc w:val="both"/>
        <w:rPr>
          <w:rFonts w:ascii="Calibri" w:hAnsi="Calibri" w:cs="FrankRuehl"/>
          <w:b/>
          <w:bCs/>
          <w:sz w:val="28"/>
          <w:szCs w:val="28"/>
          <w:u w:val="single"/>
          <w:rtl/>
        </w:rPr>
      </w:pPr>
      <w:r w:rsidRPr="00B45E6D">
        <w:rPr>
          <w:rFonts w:ascii="Calibri" w:hAnsi="Calibri" w:cs="FrankRuehl" w:hint="cs"/>
          <w:b/>
          <w:bCs/>
          <w:sz w:val="28"/>
          <w:szCs w:val="28"/>
          <w:u w:val="single"/>
          <w:rtl/>
        </w:rPr>
        <w:t>חוות דעת של הממונה על עבודות השירות</w:t>
      </w:r>
    </w:p>
    <w:p w14:paraId="10A4C5A6"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בעניינו של הנאשם הוגשה ביום 13.1.2019 חוות דעת מטעם הממונה על עבודות שירות . הנאשם נמצא כשיר לביצוע עבודות שירות בחברה קדישא לעדת הבבלים בירושלים.</w:t>
      </w:r>
    </w:p>
    <w:p w14:paraId="1C3F1892" w14:textId="77777777" w:rsidR="00B45E6D" w:rsidRPr="00B45E6D" w:rsidRDefault="00B45E6D" w:rsidP="00B45E6D">
      <w:pPr>
        <w:spacing w:after="160" w:line="360" w:lineRule="auto"/>
        <w:jc w:val="both"/>
        <w:rPr>
          <w:rFonts w:ascii="Calibri" w:hAnsi="Calibri" w:cs="FrankRuehl"/>
          <w:sz w:val="28"/>
          <w:szCs w:val="28"/>
          <w:rtl/>
        </w:rPr>
      </w:pPr>
    </w:p>
    <w:p w14:paraId="3B9E5369" w14:textId="77777777" w:rsidR="00B45E6D" w:rsidRPr="00B45E6D" w:rsidRDefault="00B45E6D" w:rsidP="00B45E6D">
      <w:pPr>
        <w:spacing w:after="160" w:line="360" w:lineRule="auto"/>
        <w:jc w:val="both"/>
        <w:rPr>
          <w:rFonts w:ascii="Calibri" w:hAnsi="Calibri" w:cs="FrankRuehl"/>
          <w:b/>
          <w:bCs/>
          <w:sz w:val="28"/>
          <w:szCs w:val="28"/>
          <w:u w:val="single"/>
          <w:rtl/>
        </w:rPr>
      </w:pPr>
      <w:r w:rsidRPr="00B45E6D">
        <w:rPr>
          <w:rFonts w:ascii="Calibri" w:hAnsi="Calibri" w:cs="FrankRuehl" w:hint="cs"/>
          <w:b/>
          <w:bCs/>
          <w:sz w:val="28"/>
          <w:szCs w:val="28"/>
          <w:u w:val="single"/>
          <w:rtl/>
        </w:rPr>
        <w:t xml:space="preserve">קביעת מתחם הענישה </w:t>
      </w:r>
      <w:r w:rsidRPr="00B45E6D">
        <w:rPr>
          <w:rFonts w:ascii="Calibri" w:hAnsi="Calibri"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3F2A9BA" w14:textId="77777777" w:rsidR="00B45E6D" w:rsidRPr="00B45E6D" w:rsidRDefault="00B45E6D" w:rsidP="00B45E6D">
      <w:pPr>
        <w:spacing w:after="160" w:line="360" w:lineRule="auto"/>
        <w:jc w:val="both"/>
        <w:rPr>
          <w:rFonts w:ascii="Calibri" w:hAnsi="Calibri" w:cs="FrankRuehl"/>
          <w:b/>
          <w:bCs/>
          <w:sz w:val="28"/>
          <w:szCs w:val="28"/>
          <w:u w:val="single"/>
          <w:rtl/>
        </w:rPr>
      </w:pPr>
    </w:p>
    <w:p w14:paraId="4F662274"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b/>
          <w:bCs/>
          <w:sz w:val="28"/>
          <w:szCs w:val="28"/>
          <w:u w:val="single"/>
          <w:rtl/>
        </w:rPr>
        <w:t xml:space="preserve">אשר לערך המוגן </w:t>
      </w:r>
      <w:r w:rsidRPr="00B45E6D">
        <w:rPr>
          <w:rFonts w:ascii="Calibri" w:hAnsi="Calibri" w:cs="FrankRuehl" w:hint="cs"/>
          <w:sz w:val="28"/>
          <w:szCs w:val="28"/>
          <w:rtl/>
        </w:rPr>
        <w:t xml:space="preserve">– העבירות אותן עבר הנאשם פוגעות בערך המוגן של שמירה על שלום הציבור ובריאותו מפני נגע הסמים, כאשר מכירת קוקאין היא ברף חומרה גבוה בהתחשב טיב הסם ונזקו. אשר לעבירת הנהיגה בשכרות, מדובר בפגיעה בביטחון הציבור ושלום המשתמשים בדרך, שכן נהיגה בשכרות מסכנת עד מאוד הן את נהג הן את המשתמשים בדרך. אשר להפרת הוראה חוקית, מדובר בשלטון החוק ובמעמד הוראות בית המשפט. </w:t>
      </w:r>
    </w:p>
    <w:p w14:paraId="1C44ACD6" w14:textId="77777777" w:rsidR="00B45E6D" w:rsidRPr="00B45E6D" w:rsidRDefault="00B45E6D" w:rsidP="00B45E6D">
      <w:pPr>
        <w:spacing w:line="360" w:lineRule="auto"/>
        <w:jc w:val="both"/>
        <w:rPr>
          <w:rFonts w:ascii="Calibri" w:hAnsi="Calibri" w:cs="FrankRuehl"/>
          <w:sz w:val="28"/>
          <w:szCs w:val="28"/>
          <w:rtl/>
        </w:rPr>
      </w:pPr>
    </w:p>
    <w:p w14:paraId="11A7486A"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b/>
          <w:bCs/>
          <w:sz w:val="28"/>
          <w:szCs w:val="28"/>
          <w:u w:val="single"/>
          <w:rtl/>
        </w:rPr>
        <w:t xml:space="preserve">נסיבות הקשורות בביצוע העבירה, לפי </w:t>
      </w:r>
      <w:hyperlink r:id="rId33" w:history="1">
        <w:r w:rsidR="00CB7C2A" w:rsidRPr="00CB7C2A">
          <w:rPr>
            <w:rFonts w:ascii="Calibri" w:hAnsi="Calibri" w:cs="FrankRuehl" w:hint="eastAsia"/>
            <w:b/>
            <w:bCs/>
            <w:color w:val="0000FF"/>
            <w:sz w:val="28"/>
            <w:szCs w:val="28"/>
            <w:u w:val="single"/>
            <w:rtl/>
          </w:rPr>
          <w:t>סעיף</w:t>
        </w:r>
        <w:r w:rsidR="00CB7C2A" w:rsidRPr="00CB7C2A">
          <w:rPr>
            <w:rFonts w:ascii="Calibri" w:hAnsi="Calibri" w:cs="FrankRuehl"/>
            <w:b/>
            <w:bCs/>
            <w:color w:val="0000FF"/>
            <w:sz w:val="28"/>
            <w:szCs w:val="28"/>
            <w:u w:val="single"/>
            <w:rtl/>
          </w:rPr>
          <w:t xml:space="preserve"> 40</w:t>
        </w:r>
        <w:r w:rsidR="00CB7C2A" w:rsidRPr="00CB7C2A">
          <w:rPr>
            <w:rFonts w:ascii="Calibri" w:hAnsi="Calibri" w:cs="FrankRuehl" w:hint="eastAsia"/>
            <w:b/>
            <w:bCs/>
            <w:color w:val="0000FF"/>
            <w:sz w:val="28"/>
            <w:szCs w:val="28"/>
            <w:u w:val="single"/>
            <w:rtl/>
          </w:rPr>
          <w:t>ט</w:t>
        </w:r>
        <w:r w:rsidR="00CB7C2A" w:rsidRPr="00CB7C2A">
          <w:rPr>
            <w:rFonts w:ascii="Calibri" w:hAnsi="Calibri" w:cs="FrankRuehl"/>
            <w:b/>
            <w:bCs/>
            <w:color w:val="0000FF"/>
            <w:sz w:val="28"/>
            <w:szCs w:val="28"/>
            <w:u w:val="single"/>
            <w:rtl/>
          </w:rPr>
          <w:t>'</w:t>
        </w:r>
      </w:hyperlink>
      <w:r w:rsidRPr="00B45E6D">
        <w:rPr>
          <w:rFonts w:ascii="Calibri" w:hAnsi="Calibri" w:cs="FrankRuehl" w:hint="cs"/>
          <w:b/>
          <w:bCs/>
          <w:sz w:val="28"/>
          <w:szCs w:val="28"/>
          <w:u w:val="single"/>
          <w:rtl/>
        </w:rPr>
        <w:t xml:space="preserve"> ל</w:t>
      </w:r>
      <w:hyperlink r:id="rId34" w:history="1">
        <w:r w:rsidR="00B21D17" w:rsidRPr="00B21D17">
          <w:rPr>
            <w:rFonts w:ascii="Calibri" w:hAnsi="Calibri" w:cs="FrankRuehl" w:hint="eastAsia"/>
            <w:b/>
            <w:bCs/>
            <w:color w:val="0000FF"/>
            <w:sz w:val="28"/>
            <w:szCs w:val="28"/>
            <w:u w:val="single"/>
            <w:rtl/>
          </w:rPr>
          <w:t>חוק</w:t>
        </w:r>
        <w:r w:rsidR="00B21D17" w:rsidRPr="00B21D17">
          <w:rPr>
            <w:rFonts w:ascii="Calibri" w:hAnsi="Calibri" w:cs="FrankRuehl"/>
            <w:b/>
            <w:bCs/>
            <w:color w:val="0000FF"/>
            <w:sz w:val="28"/>
            <w:szCs w:val="28"/>
            <w:u w:val="single"/>
            <w:rtl/>
          </w:rPr>
          <w:t xml:space="preserve"> </w:t>
        </w:r>
        <w:r w:rsidR="00B21D17" w:rsidRPr="00B21D17">
          <w:rPr>
            <w:rFonts w:ascii="Calibri" w:hAnsi="Calibri" w:cs="FrankRuehl" w:hint="eastAsia"/>
            <w:b/>
            <w:bCs/>
            <w:color w:val="0000FF"/>
            <w:sz w:val="28"/>
            <w:szCs w:val="28"/>
            <w:u w:val="single"/>
            <w:rtl/>
          </w:rPr>
          <w:t>העונשין</w:t>
        </w:r>
      </w:hyperlink>
      <w:r w:rsidRPr="00B45E6D">
        <w:rPr>
          <w:rFonts w:ascii="Calibri" w:hAnsi="Calibri" w:cs="FrankRuehl" w:hint="cs"/>
          <w:b/>
          <w:bCs/>
          <w:sz w:val="28"/>
          <w:szCs w:val="28"/>
          <w:rtl/>
        </w:rPr>
        <w:t xml:space="preserve"> – </w:t>
      </w:r>
      <w:r w:rsidRPr="00B45E6D">
        <w:rPr>
          <w:rFonts w:ascii="Calibri" w:hAnsi="Calibri" w:cs="FrankRuehl" w:hint="cs"/>
          <w:sz w:val="28"/>
          <w:szCs w:val="28"/>
          <w:rtl/>
        </w:rPr>
        <w:t xml:space="preserve">בין הנסיבות הקשורות בביצוע העבירה </w:t>
      </w:r>
      <w:r w:rsidRPr="00B45E6D">
        <w:rPr>
          <w:rFonts w:ascii="Calibri" w:hAnsi="Calibri" w:cs="FrankRuehl" w:hint="cs"/>
          <w:b/>
          <w:bCs/>
          <w:sz w:val="28"/>
          <w:szCs w:val="28"/>
          <w:rtl/>
        </w:rPr>
        <w:t>בתיק הראשון,</w:t>
      </w:r>
      <w:r w:rsidRPr="00B45E6D">
        <w:rPr>
          <w:rFonts w:ascii="Calibri" w:hAnsi="Calibri" w:cs="FrankRuehl" w:hint="cs"/>
          <w:sz w:val="28"/>
          <w:szCs w:val="28"/>
          <w:rtl/>
        </w:rPr>
        <w:t xml:space="preserve"> יש לשקול את אלה, לעניין קביעת המתחם:</w:t>
      </w:r>
    </w:p>
    <w:p w14:paraId="5991C699" w14:textId="77777777" w:rsidR="00B45E6D" w:rsidRPr="00B45E6D" w:rsidRDefault="00B45E6D" w:rsidP="00B45E6D">
      <w:pPr>
        <w:spacing w:after="160" w:line="360" w:lineRule="auto"/>
        <w:contextualSpacing/>
        <w:jc w:val="both"/>
        <w:rPr>
          <w:rFonts w:ascii="Calibri" w:hAnsi="Calibri" w:cs="FrankRuehl"/>
          <w:sz w:val="28"/>
          <w:szCs w:val="28"/>
          <w:rtl/>
        </w:rPr>
      </w:pPr>
      <w:r w:rsidRPr="00B45E6D">
        <w:rPr>
          <w:rFonts w:ascii="Calibri" w:hAnsi="Calibri" w:cs="FrankRuehl" w:hint="cs"/>
          <w:sz w:val="28"/>
          <w:szCs w:val="28"/>
          <w:rtl/>
        </w:rPr>
        <w:t xml:space="preserve">על-פי נסיבות כתב האישום מדובר בעבירה מתכוננת, כאשר הסוכן אף הופנה לסמים ע"י הנאשם בעת ביצוע העסקאות; הנאשם בגיר ואחראי באופן מלא למעשיו. הנאשם טען כי יש לו היכרות מוקדמת עם הסוכן, ויש בכך ממד מפחית מהחומרה [ר' בהקשר זה: </w:t>
      </w:r>
      <w:hyperlink r:id="rId35" w:history="1">
        <w:r w:rsidR="00B21D17" w:rsidRPr="00B21D17">
          <w:rPr>
            <w:rFonts w:ascii="Calibri" w:hAnsi="Calibri" w:cs="FrankRuehl" w:hint="eastAsia"/>
            <w:color w:val="0000FF"/>
            <w:sz w:val="28"/>
            <w:szCs w:val="28"/>
            <w:u w:val="single"/>
            <w:rtl/>
          </w:rPr>
          <w:t>עפ</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ג</w:t>
        </w:r>
        <w:r w:rsidR="00B21D17" w:rsidRPr="00B21D17">
          <w:rPr>
            <w:rFonts w:ascii="Calibri" w:hAnsi="Calibri" w:cs="FrankRuehl"/>
            <w:color w:val="0000FF"/>
            <w:sz w:val="28"/>
            <w:szCs w:val="28"/>
            <w:u w:val="single"/>
            <w:rtl/>
          </w:rPr>
          <w:t xml:space="preserve"> (</w:t>
        </w:r>
        <w:r w:rsidR="00B21D17" w:rsidRPr="00B21D17">
          <w:rPr>
            <w:rFonts w:ascii="Calibri" w:hAnsi="Calibri" w:cs="FrankRuehl" w:hint="eastAsia"/>
            <w:color w:val="0000FF"/>
            <w:sz w:val="28"/>
            <w:szCs w:val="28"/>
            <w:u w:val="single"/>
            <w:rtl/>
          </w:rPr>
          <w:t>י</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ם</w:t>
        </w:r>
        <w:r w:rsidR="00B21D17" w:rsidRPr="00B21D17">
          <w:rPr>
            <w:rFonts w:ascii="Calibri" w:hAnsi="Calibri" w:cs="FrankRuehl"/>
            <w:color w:val="0000FF"/>
            <w:sz w:val="28"/>
            <w:szCs w:val="28"/>
            <w:u w:val="single"/>
            <w:rtl/>
          </w:rPr>
          <w:t>) 65233-03-17</w:t>
        </w:r>
      </w:hyperlink>
      <w:r w:rsidRPr="00B45E6D">
        <w:rPr>
          <w:rFonts w:ascii="Calibri" w:hAnsi="Calibri" w:cs="FrankRuehl" w:hint="cs"/>
          <w:sz w:val="28"/>
          <w:szCs w:val="28"/>
          <w:rtl/>
        </w:rPr>
        <w:t xml:space="preserve"> </w:t>
      </w:r>
      <w:r w:rsidRPr="00B45E6D">
        <w:rPr>
          <w:rFonts w:ascii="Calibri" w:hAnsi="Calibri" w:cs="FrankRuehl" w:hint="cs"/>
          <w:b/>
          <w:bCs/>
          <w:sz w:val="28"/>
          <w:szCs w:val="28"/>
          <w:u w:val="single"/>
          <w:rtl/>
        </w:rPr>
        <w:t>רוזנברג</w:t>
      </w:r>
      <w:r w:rsidRPr="00B45E6D">
        <w:rPr>
          <w:rFonts w:ascii="Calibri" w:hAnsi="Calibri" w:cs="FrankRuehl" w:hint="cs"/>
          <w:sz w:val="28"/>
          <w:szCs w:val="28"/>
          <w:rtl/>
        </w:rPr>
        <w:t xml:space="preserve"> נ' </w:t>
      </w:r>
      <w:r w:rsidRPr="00B45E6D">
        <w:rPr>
          <w:rFonts w:ascii="Calibri" w:hAnsi="Calibri" w:cs="FrankRuehl" w:hint="cs"/>
          <w:b/>
          <w:bCs/>
          <w:sz w:val="28"/>
          <w:szCs w:val="28"/>
          <w:u w:val="single"/>
          <w:rtl/>
        </w:rPr>
        <w:t>מ"י</w:t>
      </w:r>
      <w:r w:rsidRPr="00B45E6D">
        <w:rPr>
          <w:rFonts w:ascii="Calibri" w:hAnsi="Calibri" w:cs="FrankRuehl" w:hint="cs"/>
          <w:sz w:val="28"/>
          <w:szCs w:val="28"/>
          <w:rtl/>
        </w:rPr>
        <w:t xml:space="preserve"> (מיום 26.6.2017)], גם לעניין המניע הכלכלי שבבסיס ביצוע העבירה; הואיל ומדובר בסוכן משטרתי, הנזק שנגרם בפועל אינו גדול, אם כי קוקאין הוא סם קשה שנזקיו קשים, כך שפוטנציאל הנזק  במקרה זה הוא משמעותי.</w:t>
      </w:r>
    </w:p>
    <w:p w14:paraId="487CCF59" w14:textId="77777777" w:rsidR="00B45E6D" w:rsidRPr="00B45E6D" w:rsidRDefault="00B45E6D" w:rsidP="00B45E6D">
      <w:pPr>
        <w:spacing w:after="160" w:line="360" w:lineRule="auto"/>
        <w:contextualSpacing/>
        <w:jc w:val="both"/>
        <w:rPr>
          <w:rFonts w:ascii="Calibri" w:hAnsi="Calibri" w:cs="FrankRuehl"/>
          <w:sz w:val="28"/>
          <w:szCs w:val="28"/>
          <w:rtl/>
        </w:rPr>
      </w:pPr>
    </w:p>
    <w:p w14:paraId="772B5528" w14:textId="77777777" w:rsidR="00B45E6D" w:rsidRPr="00B45E6D" w:rsidRDefault="00B45E6D" w:rsidP="00B45E6D">
      <w:pPr>
        <w:spacing w:after="160" w:line="360" w:lineRule="auto"/>
        <w:contextualSpacing/>
        <w:jc w:val="both"/>
        <w:rPr>
          <w:rFonts w:ascii="Calibri" w:hAnsi="Calibri" w:cs="FrankRuehl"/>
          <w:sz w:val="28"/>
          <w:szCs w:val="28"/>
          <w:rtl/>
        </w:rPr>
      </w:pPr>
      <w:r w:rsidRPr="00B45E6D">
        <w:rPr>
          <w:rFonts w:ascii="Calibri" w:hAnsi="Calibri" w:cs="FrankRuehl" w:hint="cs"/>
          <w:sz w:val="28"/>
          <w:szCs w:val="28"/>
          <w:rtl/>
        </w:rPr>
        <w:t>אשר לנסיבות ביצוע העבירה ב</w:t>
      </w:r>
      <w:r w:rsidRPr="00B45E6D">
        <w:rPr>
          <w:rFonts w:ascii="Calibri" w:hAnsi="Calibri" w:cs="FrankRuehl" w:hint="cs"/>
          <w:b/>
          <w:bCs/>
          <w:sz w:val="28"/>
          <w:szCs w:val="28"/>
          <w:rtl/>
        </w:rPr>
        <w:t>תיקים השני</w:t>
      </w:r>
      <w:r w:rsidRPr="00B45E6D">
        <w:rPr>
          <w:rFonts w:ascii="Calibri" w:hAnsi="Calibri" w:cs="FrankRuehl" w:hint="cs"/>
          <w:sz w:val="28"/>
          <w:szCs w:val="28"/>
          <w:rtl/>
        </w:rPr>
        <w:t xml:space="preserve"> </w:t>
      </w:r>
      <w:r w:rsidRPr="00B45E6D">
        <w:rPr>
          <w:rFonts w:ascii="Calibri" w:hAnsi="Calibri" w:cs="FrankRuehl" w:hint="cs"/>
          <w:b/>
          <w:bCs/>
          <w:sz w:val="28"/>
          <w:szCs w:val="28"/>
          <w:rtl/>
        </w:rPr>
        <w:t>והרביעי</w:t>
      </w:r>
      <w:r w:rsidRPr="00B45E6D">
        <w:rPr>
          <w:rFonts w:ascii="Calibri" w:hAnsi="Calibri" w:cs="FrankRuehl" w:hint="cs"/>
          <w:sz w:val="28"/>
          <w:szCs w:val="28"/>
          <w:rtl/>
        </w:rPr>
        <w:t xml:space="preserve"> (נהיגה בשכרות), נדמה כי אין מדובר בעבירה מתוכננת אלא בחוסר שיקול דעת של מי שבוחר לנהוג שעה שהוא משתמש בסמים; הנאשם בגיר ואחראי למעשיו וצריך היה להימנע מהם; בפועל לא נגרם נזק מהתנהגות הנאשם משום שהוא נתפס ע"י המשטרה; הנזק הפוטנציאלי הוא משמעותי ביותר, ויכול היה להסתיים בפגיעה בנפש של מי ממשתמשי הדרך; הנאשם מתמודד עם בעיית התמכרות לסמים.</w:t>
      </w:r>
    </w:p>
    <w:p w14:paraId="546ED8D7" w14:textId="77777777" w:rsidR="00B45E6D" w:rsidRPr="00B45E6D" w:rsidRDefault="00B45E6D" w:rsidP="00B45E6D">
      <w:pPr>
        <w:spacing w:after="160" w:line="360" w:lineRule="auto"/>
        <w:contextualSpacing/>
        <w:jc w:val="both"/>
        <w:rPr>
          <w:rFonts w:ascii="Calibri" w:hAnsi="Calibri" w:cs="FrankRuehl"/>
          <w:sz w:val="28"/>
          <w:szCs w:val="28"/>
          <w:rtl/>
        </w:rPr>
      </w:pPr>
    </w:p>
    <w:p w14:paraId="3B818CF1" w14:textId="77777777" w:rsidR="00B45E6D" w:rsidRPr="00B45E6D" w:rsidRDefault="00B45E6D" w:rsidP="00B45E6D">
      <w:pPr>
        <w:spacing w:after="160" w:line="360" w:lineRule="auto"/>
        <w:contextualSpacing/>
        <w:jc w:val="both"/>
        <w:rPr>
          <w:rFonts w:ascii="Calibri" w:hAnsi="Calibri" w:cs="FrankRuehl"/>
          <w:sz w:val="28"/>
          <w:szCs w:val="28"/>
        </w:rPr>
      </w:pPr>
      <w:r w:rsidRPr="00B45E6D">
        <w:rPr>
          <w:rFonts w:ascii="Calibri" w:hAnsi="Calibri" w:cs="FrankRuehl" w:hint="cs"/>
          <w:sz w:val="28"/>
          <w:szCs w:val="28"/>
          <w:rtl/>
        </w:rPr>
        <w:t>אשר לנסיבות ביצוע העבירה ב</w:t>
      </w:r>
      <w:r w:rsidRPr="00B45E6D">
        <w:rPr>
          <w:rFonts w:ascii="Calibri" w:hAnsi="Calibri" w:cs="FrankRuehl" w:hint="cs"/>
          <w:b/>
          <w:bCs/>
          <w:sz w:val="28"/>
          <w:szCs w:val="28"/>
          <w:rtl/>
        </w:rPr>
        <w:t>תיק השלישי</w:t>
      </w:r>
      <w:r w:rsidRPr="00B45E6D">
        <w:rPr>
          <w:rFonts w:ascii="Calibri" w:hAnsi="Calibri" w:cs="FrankRuehl" w:hint="cs"/>
          <w:sz w:val="28"/>
          <w:szCs w:val="28"/>
          <w:rtl/>
        </w:rPr>
        <w:t xml:space="preserve"> (הפרת הוראה חוקית), נדמה שגם כאן מדובר בעיקר בחוסר שיקול דעת של הנאשם, ובהפרת התנאים ברף נמוך, שכן לא נלוותה למעשה עבירה נוספת; גם כאן הנאשם אחראי באופן מלא למעשיו כאדם בגיר וחזקה עליו שצריך היה להימנע מביצוע עבירה זו; בפועל לא נגרם נזק מביצוע העבירה.</w:t>
      </w:r>
    </w:p>
    <w:p w14:paraId="7408D569" w14:textId="77777777" w:rsidR="00B45E6D" w:rsidRPr="00B45E6D" w:rsidRDefault="00B45E6D" w:rsidP="00B45E6D">
      <w:pPr>
        <w:spacing w:after="160" w:line="360" w:lineRule="auto"/>
        <w:jc w:val="both"/>
        <w:rPr>
          <w:rFonts w:ascii="Calibri" w:hAnsi="Calibri" w:cs="FrankRuehl"/>
          <w:b/>
          <w:bCs/>
          <w:sz w:val="28"/>
          <w:szCs w:val="28"/>
          <w:u w:val="single"/>
          <w:rtl/>
        </w:rPr>
      </w:pPr>
    </w:p>
    <w:p w14:paraId="11F01183"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b/>
          <w:bCs/>
          <w:sz w:val="28"/>
          <w:szCs w:val="28"/>
          <w:u w:val="single"/>
          <w:rtl/>
        </w:rPr>
        <w:t>מדיניות הענישה הנוהגת</w:t>
      </w:r>
      <w:r w:rsidRPr="00B45E6D">
        <w:rPr>
          <w:rFonts w:ascii="Calibri" w:hAnsi="Calibri" w:cs="FrankRuehl" w:hint="cs"/>
          <w:b/>
          <w:bCs/>
          <w:sz w:val="28"/>
          <w:szCs w:val="28"/>
          <w:rtl/>
        </w:rPr>
        <w:t xml:space="preserve"> – אשר לתיק הראשון</w:t>
      </w:r>
      <w:r w:rsidRPr="00B45E6D">
        <w:rPr>
          <w:rFonts w:ascii="Calibri" w:hAnsi="Calibri" w:cs="FrankRuehl" w:hint="cs"/>
          <w:sz w:val="28"/>
          <w:szCs w:val="28"/>
          <w:rtl/>
        </w:rPr>
        <w:t xml:space="preserve"> (עבירות הסמים) </w:t>
      </w:r>
      <w:r w:rsidRPr="00B45E6D">
        <w:rPr>
          <w:rFonts w:ascii="Calibri" w:hAnsi="Calibri" w:cs="FrankRuehl"/>
          <w:sz w:val="28"/>
          <w:szCs w:val="28"/>
          <w:rtl/>
        </w:rPr>
        <w:t>–</w:t>
      </w:r>
      <w:r w:rsidRPr="00B45E6D">
        <w:rPr>
          <w:rFonts w:ascii="Calibri" w:hAnsi="Calibri" w:cs="FrankRuehl" w:hint="cs"/>
          <w:sz w:val="28"/>
          <w:szCs w:val="28"/>
          <w:rtl/>
        </w:rPr>
        <w:t xml:space="preserve"> ב</w:t>
      </w:r>
      <w:hyperlink r:id="rId36" w:history="1">
        <w:r w:rsidR="00B21D17" w:rsidRPr="00B21D17">
          <w:rPr>
            <w:rFonts w:ascii="Calibri" w:hAnsi="Calibri" w:cs="FrankRuehl" w:hint="eastAsia"/>
            <w:color w:val="0000FF"/>
            <w:sz w:val="28"/>
            <w:szCs w:val="28"/>
            <w:u w:val="single"/>
            <w:rtl/>
          </w:rPr>
          <w:t>רע</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פ</w:t>
        </w:r>
        <w:r w:rsidR="00B21D17" w:rsidRPr="00B21D17">
          <w:rPr>
            <w:rFonts w:ascii="Calibri" w:hAnsi="Calibri" w:cs="FrankRuehl"/>
            <w:color w:val="0000FF"/>
            <w:sz w:val="28"/>
            <w:szCs w:val="28"/>
            <w:u w:val="single"/>
            <w:rtl/>
          </w:rPr>
          <w:t xml:space="preserve"> 5353/17</w:t>
        </w:r>
      </w:hyperlink>
      <w:r w:rsidRPr="00B45E6D">
        <w:rPr>
          <w:rFonts w:ascii="Calibri" w:hAnsi="Calibri" w:cs="FrankRuehl" w:hint="cs"/>
          <w:sz w:val="28"/>
          <w:szCs w:val="28"/>
          <w:rtl/>
        </w:rPr>
        <w:t xml:space="preserve"> </w:t>
      </w:r>
      <w:r w:rsidRPr="00B45E6D">
        <w:rPr>
          <w:rFonts w:ascii="Calibri" w:hAnsi="Calibri" w:cs="FrankRuehl" w:hint="cs"/>
          <w:b/>
          <w:bCs/>
          <w:sz w:val="28"/>
          <w:szCs w:val="28"/>
          <w:u w:val="single"/>
          <w:rtl/>
        </w:rPr>
        <w:t>טפרה</w:t>
      </w:r>
      <w:r w:rsidRPr="00B45E6D">
        <w:rPr>
          <w:rFonts w:ascii="Calibri" w:hAnsi="Calibri" w:cs="FrankRuehl" w:hint="cs"/>
          <w:sz w:val="28"/>
          <w:szCs w:val="28"/>
          <w:rtl/>
        </w:rPr>
        <w:t xml:space="preserve"> נ' </w:t>
      </w:r>
      <w:r w:rsidRPr="00B45E6D">
        <w:rPr>
          <w:rFonts w:ascii="Calibri" w:hAnsi="Calibri" w:cs="FrankRuehl" w:hint="cs"/>
          <w:b/>
          <w:bCs/>
          <w:sz w:val="28"/>
          <w:szCs w:val="28"/>
          <w:u w:val="single"/>
          <w:rtl/>
        </w:rPr>
        <w:t>מ"י</w:t>
      </w:r>
      <w:r w:rsidRPr="00B45E6D">
        <w:rPr>
          <w:rFonts w:ascii="Calibri" w:hAnsi="Calibri" w:cs="FrankRuehl" w:hint="cs"/>
          <w:sz w:val="28"/>
          <w:szCs w:val="28"/>
          <w:rtl/>
        </w:rPr>
        <w:t xml:space="preserve"> (מיום 18.9.2017) אושר מתחם ענישה שבין 4 ל-12 ח' מאסר בגין עבירת סחר ב-2 גרם קוקאין, ואושר מאסר של 7 חודשים לאדם ללא עבר שהוגש בעניינו תסקיר חיובי; ב</w:t>
      </w:r>
      <w:hyperlink r:id="rId37" w:history="1">
        <w:r w:rsidR="00B21D17" w:rsidRPr="00B21D17">
          <w:rPr>
            <w:rFonts w:ascii="Calibri" w:hAnsi="Calibri" w:cs="FrankRuehl" w:hint="eastAsia"/>
            <w:color w:val="0000FF"/>
            <w:sz w:val="28"/>
            <w:szCs w:val="28"/>
            <w:u w:val="single"/>
            <w:rtl/>
          </w:rPr>
          <w:t>עפ</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ג</w:t>
        </w:r>
        <w:r w:rsidR="00B21D17" w:rsidRPr="00B21D17">
          <w:rPr>
            <w:rFonts w:ascii="Calibri" w:hAnsi="Calibri" w:cs="FrankRuehl"/>
            <w:color w:val="0000FF"/>
            <w:sz w:val="28"/>
            <w:szCs w:val="28"/>
            <w:u w:val="single"/>
            <w:rtl/>
          </w:rPr>
          <w:t xml:space="preserve"> (</w:t>
        </w:r>
        <w:r w:rsidR="00B21D17" w:rsidRPr="00B21D17">
          <w:rPr>
            <w:rFonts w:ascii="Calibri" w:hAnsi="Calibri" w:cs="FrankRuehl" w:hint="eastAsia"/>
            <w:color w:val="0000FF"/>
            <w:sz w:val="28"/>
            <w:szCs w:val="28"/>
            <w:u w:val="single"/>
            <w:rtl/>
          </w:rPr>
          <w:t>חיפה</w:t>
        </w:r>
        <w:r w:rsidR="00B21D17" w:rsidRPr="00B21D17">
          <w:rPr>
            <w:rFonts w:ascii="Calibri" w:hAnsi="Calibri" w:cs="FrankRuehl"/>
            <w:color w:val="0000FF"/>
            <w:sz w:val="28"/>
            <w:szCs w:val="28"/>
            <w:u w:val="single"/>
            <w:rtl/>
          </w:rPr>
          <w:t xml:space="preserve"> )</w:t>
        </w:r>
        <w:r w:rsidR="00B21D17" w:rsidRPr="00B21D17">
          <w:rPr>
            <w:rFonts w:ascii="Calibri" w:hAnsi="Calibri" w:cs="FrankRuehl"/>
            <w:color w:val="0000FF"/>
            <w:sz w:val="28"/>
            <w:szCs w:val="28"/>
            <w:u w:val="single"/>
            <w:rtl/>
          </w:rPr>
          <w:br/>
          <w:t xml:space="preserve"> 53142-12-16</w:t>
        </w:r>
      </w:hyperlink>
      <w:r w:rsidRPr="00B45E6D">
        <w:rPr>
          <w:rFonts w:ascii="Calibri" w:hAnsi="Calibri" w:cs="FrankRuehl" w:hint="cs"/>
          <w:sz w:val="28"/>
          <w:szCs w:val="28"/>
          <w:rtl/>
        </w:rPr>
        <w:t xml:space="preserve"> </w:t>
      </w:r>
      <w:r w:rsidRPr="00B45E6D">
        <w:rPr>
          <w:rFonts w:ascii="Calibri" w:hAnsi="Calibri" w:cs="FrankRuehl" w:hint="cs"/>
          <w:b/>
          <w:bCs/>
          <w:sz w:val="28"/>
          <w:szCs w:val="28"/>
          <w:u w:val="single"/>
          <w:rtl/>
        </w:rPr>
        <w:t>רחמימוב</w:t>
      </w:r>
      <w:r w:rsidRPr="00B45E6D">
        <w:rPr>
          <w:rFonts w:ascii="Calibri" w:hAnsi="Calibri" w:cs="FrankRuehl" w:hint="cs"/>
          <w:sz w:val="28"/>
          <w:szCs w:val="28"/>
          <w:rtl/>
        </w:rPr>
        <w:t xml:space="preserve"> נ' </w:t>
      </w:r>
      <w:r w:rsidRPr="00B45E6D">
        <w:rPr>
          <w:rFonts w:ascii="Calibri" w:hAnsi="Calibri" w:cs="FrankRuehl" w:hint="cs"/>
          <w:b/>
          <w:bCs/>
          <w:sz w:val="28"/>
          <w:szCs w:val="28"/>
          <w:u w:val="single"/>
          <w:rtl/>
        </w:rPr>
        <w:t>מ"י</w:t>
      </w:r>
      <w:r w:rsidRPr="00B45E6D">
        <w:rPr>
          <w:rFonts w:ascii="Calibri" w:hAnsi="Calibri" w:cs="FrankRuehl" w:hint="cs"/>
          <w:sz w:val="28"/>
          <w:szCs w:val="28"/>
          <w:rtl/>
        </w:rPr>
        <w:t xml:space="preserve"> (מיום 17.5.2017) נקבע מתחם ענישה שבין 13 ל-30 חודשי מאסר בגין סחר ב-15 גרם קוקאין, והתיק הסתיים ב-6 חודשי מאסר בעבודות שירות בשל סטיה ממתחם הענישה משיקולי שיקום; ב</w:t>
      </w:r>
      <w:hyperlink r:id="rId38" w:history="1">
        <w:r w:rsidR="00B21D17" w:rsidRPr="00B21D17">
          <w:rPr>
            <w:rFonts w:ascii="Calibri" w:hAnsi="Calibri" w:cs="FrankRuehl" w:hint="eastAsia"/>
            <w:color w:val="0000FF"/>
            <w:sz w:val="28"/>
            <w:szCs w:val="28"/>
            <w:u w:val="single"/>
            <w:rtl/>
          </w:rPr>
          <w:t>עפ</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ג</w:t>
        </w:r>
        <w:r w:rsidR="00B21D17" w:rsidRPr="00B21D17">
          <w:rPr>
            <w:rFonts w:ascii="Calibri" w:hAnsi="Calibri" w:cs="FrankRuehl"/>
            <w:color w:val="0000FF"/>
            <w:sz w:val="28"/>
            <w:szCs w:val="28"/>
            <w:u w:val="single"/>
            <w:rtl/>
          </w:rPr>
          <w:t xml:space="preserve"> (</w:t>
        </w:r>
        <w:r w:rsidR="00B21D17" w:rsidRPr="00B21D17">
          <w:rPr>
            <w:rFonts w:ascii="Calibri" w:hAnsi="Calibri" w:cs="FrankRuehl" w:hint="eastAsia"/>
            <w:color w:val="0000FF"/>
            <w:sz w:val="28"/>
            <w:szCs w:val="28"/>
            <w:u w:val="single"/>
            <w:rtl/>
          </w:rPr>
          <w:t>י</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ם</w:t>
        </w:r>
        <w:r w:rsidR="00B21D17" w:rsidRPr="00B21D17">
          <w:rPr>
            <w:rFonts w:ascii="Calibri" w:hAnsi="Calibri" w:cs="FrankRuehl"/>
            <w:color w:val="0000FF"/>
            <w:sz w:val="28"/>
            <w:szCs w:val="28"/>
            <w:u w:val="single"/>
            <w:rtl/>
          </w:rPr>
          <w:t>) 1434-12-18</w:t>
        </w:r>
      </w:hyperlink>
      <w:r w:rsidRPr="00B45E6D">
        <w:rPr>
          <w:rFonts w:ascii="Calibri" w:hAnsi="Calibri" w:cs="FrankRuehl" w:hint="cs"/>
          <w:sz w:val="28"/>
          <w:szCs w:val="28"/>
          <w:rtl/>
        </w:rPr>
        <w:t xml:space="preserve"> </w:t>
      </w:r>
      <w:r w:rsidRPr="00B45E6D">
        <w:rPr>
          <w:rFonts w:ascii="Calibri" w:hAnsi="Calibri" w:cs="FrankRuehl" w:hint="cs"/>
          <w:b/>
          <w:bCs/>
          <w:sz w:val="28"/>
          <w:szCs w:val="28"/>
          <w:u w:val="single"/>
          <w:rtl/>
        </w:rPr>
        <w:t>מ"י</w:t>
      </w:r>
      <w:r w:rsidRPr="00B45E6D">
        <w:rPr>
          <w:rFonts w:ascii="Calibri" w:hAnsi="Calibri" w:cs="FrankRuehl" w:hint="cs"/>
          <w:sz w:val="28"/>
          <w:szCs w:val="28"/>
          <w:rtl/>
        </w:rPr>
        <w:t xml:space="preserve"> נ' </w:t>
      </w:r>
      <w:r w:rsidRPr="00B45E6D">
        <w:rPr>
          <w:rFonts w:ascii="Calibri" w:hAnsi="Calibri" w:cs="FrankRuehl" w:hint="cs"/>
          <w:b/>
          <w:bCs/>
          <w:sz w:val="28"/>
          <w:szCs w:val="28"/>
          <w:u w:val="single"/>
          <w:rtl/>
        </w:rPr>
        <w:t>נסים</w:t>
      </w:r>
      <w:r w:rsidRPr="00B45E6D">
        <w:rPr>
          <w:rFonts w:ascii="Calibri" w:hAnsi="Calibri" w:cs="FrankRuehl" w:hint="cs"/>
          <w:sz w:val="28"/>
          <w:szCs w:val="28"/>
          <w:rtl/>
        </w:rPr>
        <w:t xml:space="preserve"> (מיום 13.3.2019), קבע בית המשפט המחוזי מתחם שבין 8 ח' מאסר לרבות בעבודות שירות, ועד 24 חודשי מאסר לכל עבירת סחר ב-2.5 קוקאין, והחמיר עונש שהטלתי </w:t>
      </w:r>
      <w:r w:rsidRPr="00B45E6D">
        <w:rPr>
          <w:rFonts w:ascii="Calibri" w:hAnsi="Calibri" w:cs="FrankRuehl"/>
          <w:sz w:val="28"/>
          <w:szCs w:val="28"/>
          <w:rtl/>
        </w:rPr>
        <w:t>–</w:t>
      </w:r>
      <w:r w:rsidRPr="00B45E6D">
        <w:rPr>
          <w:rFonts w:ascii="Calibri" w:hAnsi="Calibri" w:cs="FrankRuehl" w:hint="cs"/>
          <w:sz w:val="28"/>
          <w:szCs w:val="28"/>
          <w:rtl/>
        </w:rPr>
        <w:t xml:space="preserve"> מעבודות שירות, ל-8 חודשי מאסר בפועל. </w:t>
      </w:r>
    </w:p>
    <w:p w14:paraId="41DC8583"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b/>
          <w:bCs/>
          <w:sz w:val="28"/>
          <w:szCs w:val="28"/>
          <w:rtl/>
        </w:rPr>
        <w:t>אשר לתיקים השני</w:t>
      </w:r>
      <w:r w:rsidRPr="00B45E6D">
        <w:rPr>
          <w:rFonts w:ascii="Calibri" w:hAnsi="Calibri" w:cs="FrankRuehl" w:hint="cs"/>
          <w:sz w:val="28"/>
          <w:szCs w:val="28"/>
          <w:rtl/>
        </w:rPr>
        <w:t xml:space="preserve"> </w:t>
      </w:r>
      <w:r w:rsidRPr="00B45E6D">
        <w:rPr>
          <w:rFonts w:ascii="Calibri" w:hAnsi="Calibri" w:cs="FrankRuehl" w:hint="cs"/>
          <w:b/>
          <w:bCs/>
          <w:sz w:val="28"/>
          <w:szCs w:val="28"/>
          <w:rtl/>
        </w:rPr>
        <w:t>והרביעי</w:t>
      </w:r>
      <w:r w:rsidRPr="00B45E6D">
        <w:rPr>
          <w:rFonts w:ascii="Calibri" w:hAnsi="Calibri" w:cs="FrankRuehl" w:hint="cs"/>
          <w:sz w:val="28"/>
          <w:szCs w:val="28"/>
          <w:rtl/>
        </w:rPr>
        <w:t xml:space="preserve"> (תיקי התעבורה) </w:t>
      </w:r>
      <w:r w:rsidRPr="00B45E6D">
        <w:rPr>
          <w:rFonts w:ascii="Calibri" w:hAnsi="Calibri" w:cs="FrankRuehl"/>
          <w:sz w:val="28"/>
          <w:szCs w:val="28"/>
          <w:rtl/>
        </w:rPr>
        <w:t>–</w:t>
      </w:r>
      <w:r w:rsidRPr="00B45E6D">
        <w:rPr>
          <w:rFonts w:ascii="Calibri" w:hAnsi="Calibri" w:cs="FrankRuehl" w:hint="cs"/>
          <w:sz w:val="28"/>
          <w:szCs w:val="28"/>
          <w:rtl/>
        </w:rPr>
        <w:t xml:space="preserve"> ב</w:t>
      </w:r>
      <w:hyperlink r:id="rId39" w:history="1">
        <w:r w:rsidR="00B21D17" w:rsidRPr="00B21D17">
          <w:rPr>
            <w:rFonts w:ascii="Calibri" w:hAnsi="Calibri" w:cs="FrankRuehl" w:hint="eastAsia"/>
            <w:color w:val="0000FF"/>
            <w:sz w:val="28"/>
            <w:szCs w:val="28"/>
            <w:u w:val="single"/>
            <w:rtl/>
          </w:rPr>
          <w:t>רע</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פ</w:t>
        </w:r>
        <w:r w:rsidR="00B21D17" w:rsidRPr="00B21D17">
          <w:rPr>
            <w:rFonts w:ascii="Calibri" w:hAnsi="Calibri" w:cs="FrankRuehl"/>
            <w:color w:val="0000FF"/>
            <w:sz w:val="28"/>
            <w:szCs w:val="28"/>
            <w:u w:val="single"/>
            <w:rtl/>
          </w:rPr>
          <w:t xml:space="preserve"> 864/17</w:t>
        </w:r>
      </w:hyperlink>
      <w:r w:rsidRPr="00B45E6D">
        <w:rPr>
          <w:rFonts w:ascii="Calibri" w:hAnsi="Calibri" w:cs="FrankRuehl" w:hint="cs"/>
          <w:sz w:val="28"/>
          <w:szCs w:val="28"/>
          <w:rtl/>
        </w:rPr>
        <w:t xml:space="preserve"> </w:t>
      </w:r>
      <w:r w:rsidRPr="00B45E6D">
        <w:rPr>
          <w:rFonts w:ascii="Calibri" w:hAnsi="Calibri" w:cs="FrankRuehl" w:hint="cs"/>
          <w:b/>
          <w:bCs/>
          <w:sz w:val="28"/>
          <w:szCs w:val="28"/>
          <w:u w:val="single"/>
          <w:rtl/>
        </w:rPr>
        <w:t>אלקין</w:t>
      </w:r>
      <w:r w:rsidRPr="00B45E6D">
        <w:rPr>
          <w:rFonts w:ascii="Calibri" w:hAnsi="Calibri" w:cs="FrankRuehl" w:hint="cs"/>
          <w:sz w:val="28"/>
          <w:szCs w:val="28"/>
          <w:rtl/>
        </w:rPr>
        <w:t xml:space="preserve"> נ' </w:t>
      </w:r>
      <w:r w:rsidRPr="00B45E6D">
        <w:rPr>
          <w:rFonts w:ascii="Calibri" w:hAnsi="Calibri" w:cs="FrankRuehl" w:hint="cs"/>
          <w:b/>
          <w:bCs/>
          <w:sz w:val="28"/>
          <w:szCs w:val="28"/>
          <w:u w:val="single"/>
          <w:rtl/>
        </w:rPr>
        <w:t>מ"י</w:t>
      </w:r>
      <w:r w:rsidRPr="00B45E6D">
        <w:rPr>
          <w:rFonts w:ascii="Calibri" w:hAnsi="Calibri" w:cs="FrankRuehl" w:hint="cs"/>
          <w:sz w:val="28"/>
          <w:szCs w:val="28"/>
          <w:rtl/>
        </w:rPr>
        <w:t xml:space="preserve"> (מיום 1.4.2018) אושר מתחם ענישה שבין 24 חודשי פסילה (עונש המינימום) עד 48 חודשי פסילה, וטווח שבין היעדר מאסר ל-12 חודשי מאסר בגין עבירה של נהיגה בשכרות. שם אושר עונש של 3 חודשי מאסר על תנאי ופסילה של 24 חודשים.</w:t>
      </w:r>
    </w:p>
    <w:p w14:paraId="43FAD1E6"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b/>
          <w:bCs/>
          <w:sz w:val="28"/>
          <w:szCs w:val="28"/>
          <w:rtl/>
        </w:rPr>
        <w:t>אשר לתיק השלישי</w:t>
      </w:r>
      <w:r w:rsidRPr="00B45E6D">
        <w:rPr>
          <w:rFonts w:ascii="Calibri" w:hAnsi="Calibri" w:cs="FrankRuehl" w:hint="cs"/>
          <w:sz w:val="28"/>
          <w:szCs w:val="28"/>
          <w:rtl/>
        </w:rPr>
        <w:t xml:space="preserve"> (הפרת הוראה חוקית) </w:t>
      </w:r>
      <w:r w:rsidRPr="00B45E6D">
        <w:rPr>
          <w:rFonts w:ascii="Calibri" w:hAnsi="Calibri" w:cs="FrankRuehl"/>
          <w:sz w:val="28"/>
          <w:szCs w:val="28"/>
          <w:rtl/>
        </w:rPr>
        <w:t>–</w:t>
      </w:r>
      <w:r w:rsidRPr="00B45E6D">
        <w:rPr>
          <w:rFonts w:ascii="Calibri" w:hAnsi="Calibri" w:cs="FrankRuehl" w:hint="cs"/>
          <w:sz w:val="28"/>
          <w:szCs w:val="28"/>
          <w:rtl/>
        </w:rPr>
        <w:t xml:space="preserve"> ב</w:t>
      </w:r>
      <w:hyperlink r:id="rId40" w:history="1">
        <w:r w:rsidR="00B21D17" w:rsidRPr="00B21D17">
          <w:rPr>
            <w:rFonts w:ascii="Calibri" w:hAnsi="Calibri" w:cs="FrankRuehl" w:hint="eastAsia"/>
            <w:color w:val="0000FF"/>
            <w:sz w:val="28"/>
            <w:szCs w:val="28"/>
            <w:u w:val="single"/>
            <w:rtl/>
          </w:rPr>
          <w:t>רע</w:t>
        </w:r>
        <w:r w:rsidR="00B21D17" w:rsidRPr="00B21D17">
          <w:rPr>
            <w:rFonts w:ascii="Calibri" w:hAnsi="Calibri" w:cs="FrankRuehl"/>
            <w:color w:val="0000FF"/>
            <w:sz w:val="28"/>
            <w:szCs w:val="28"/>
            <w:u w:val="single"/>
            <w:rtl/>
          </w:rPr>
          <w:t>"</w:t>
        </w:r>
        <w:r w:rsidR="00B21D17" w:rsidRPr="00B21D17">
          <w:rPr>
            <w:rFonts w:ascii="Calibri" w:hAnsi="Calibri" w:cs="FrankRuehl" w:hint="eastAsia"/>
            <w:color w:val="0000FF"/>
            <w:sz w:val="28"/>
            <w:szCs w:val="28"/>
            <w:u w:val="single"/>
            <w:rtl/>
          </w:rPr>
          <w:t>פ</w:t>
        </w:r>
        <w:r w:rsidR="00B21D17" w:rsidRPr="00B21D17">
          <w:rPr>
            <w:rFonts w:ascii="Calibri" w:hAnsi="Calibri" w:cs="FrankRuehl"/>
            <w:color w:val="0000FF"/>
            <w:sz w:val="28"/>
            <w:szCs w:val="28"/>
            <w:u w:val="single"/>
            <w:rtl/>
          </w:rPr>
          <w:t xml:space="preserve"> 1940/16</w:t>
        </w:r>
      </w:hyperlink>
      <w:r w:rsidRPr="00B45E6D">
        <w:rPr>
          <w:rFonts w:ascii="Calibri" w:hAnsi="Calibri" w:cs="FrankRuehl" w:hint="cs"/>
          <w:sz w:val="28"/>
          <w:szCs w:val="28"/>
          <w:rtl/>
        </w:rPr>
        <w:t xml:space="preserve"> </w:t>
      </w:r>
      <w:r w:rsidRPr="00B45E6D">
        <w:rPr>
          <w:rFonts w:ascii="Calibri" w:hAnsi="Calibri" w:cs="FrankRuehl" w:hint="cs"/>
          <w:b/>
          <w:bCs/>
          <w:sz w:val="28"/>
          <w:szCs w:val="28"/>
          <w:u w:val="single"/>
          <w:rtl/>
        </w:rPr>
        <w:t>פולק</w:t>
      </w:r>
      <w:r w:rsidRPr="00B45E6D">
        <w:rPr>
          <w:rFonts w:ascii="Calibri" w:hAnsi="Calibri" w:cs="FrankRuehl" w:hint="cs"/>
          <w:sz w:val="28"/>
          <w:szCs w:val="28"/>
          <w:rtl/>
        </w:rPr>
        <w:t xml:space="preserve"> נ' </w:t>
      </w:r>
      <w:r w:rsidRPr="00B45E6D">
        <w:rPr>
          <w:rFonts w:ascii="Calibri" w:hAnsi="Calibri" w:cs="FrankRuehl" w:hint="cs"/>
          <w:b/>
          <w:bCs/>
          <w:sz w:val="28"/>
          <w:szCs w:val="28"/>
          <w:u w:val="single"/>
          <w:rtl/>
        </w:rPr>
        <w:t>מ"י</w:t>
      </w:r>
      <w:r w:rsidRPr="00B45E6D">
        <w:rPr>
          <w:rFonts w:ascii="Calibri" w:hAnsi="Calibri" w:cs="FrankRuehl" w:hint="cs"/>
          <w:sz w:val="28"/>
          <w:szCs w:val="28"/>
          <w:rtl/>
        </w:rPr>
        <w:t xml:space="preserve"> (מיום 14.3.2016) נדון עניינו של אדם שהורשע בעבירות שונות של הטרדה ופגיעה בפרטיות תוך הפרת הוראה חוקית. שם אושר לגבי הפרת הוראה חוקית מתחם שבין מאסר על-תנאי ועד 4 חודשי מאסר. </w:t>
      </w:r>
    </w:p>
    <w:p w14:paraId="08534032"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b/>
          <w:bCs/>
          <w:sz w:val="28"/>
          <w:szCs w:val="28"/>
          <w:u w:val="single"/>
          <w:rtl/>
        </w:rPr>
        <w:t>מתחמי הענישה</w:t>
      </w:r>
      <w:r w:rsidRPr="00B45E6D">
        <w:rPr>
          <w:rFonts w:ascii="Calibri" w:hAnsi="Calibri" w:cs="FrankRuehl" w:hint="cs"/>
          <w:sz w:val="28"/>
          <w:szCs w:val="28"/>
          <w:rtl/>
        </w:rPr>
        <w:t xml:space="preserve"> – לפיכך, מתחם הענישה </w:t>
      </w:r>
      <w:r w:rsidRPr="00B45E6D">
        <w:rPr>
          <w:rFonts w:ascii="Calibri" w:hAnsi="Calibri" w:cs="FrankRuehl" w:hint="cs"/>
          <w:b/>
          <w:bCs/>
          <w:sz w:val="28"/>
          <w:szCs w:val="28"/>
          <w:rtl/>
        </w:rPr>
        <w:t>בתיק הראשון</w:t>
      </w:r>
      <w:r w:rsidRPr="00B45E6D">
        <w:rPr>
          <w:rFonts w:ascii="Calibri" w:hAnsi="Calibri" w:cs="FrankRuehl" w:hint="cs"/>
          <w:sz w:val="28"/>
          <w:szCs w:val="28"/>
          <w:rtl/>
        </w:rPr>
        <w:t xml:space="preserve"> צריך לעמוד על 6 חודשי מאסר, לרבות בעבודות שירות עד  15 חודשי מאסר; </w:t>
      </w:r>
      <w:r w:rsidRPr="00B45E6D">
        <w:rPr>
          <w:rFonts w:ascii="Calibri" w:hAnsi="Calibri" w:cs="FrankRuehl" w:hint="cs"/>
          <w:b/>
          <w:bCs/>
          <w:sz w:val="28"/>
          <w:szCs w:val="28"/>
          <w:rtl/>
        </w:rPr>
        <w:t>בתיקים השני והרביעי</w:t>
      </w:r>
      <w:r w:rsidRPr="00B45E6D">
        <w:rPr>
          <w:rFonts w:ascii="Calibri" w:hAnsi="Calibri" w:cs="FrankRuehl" w:hint="cs"/>
          <w:sz w:val="28"/>
          <w:szCs w:val="28"/>
          <w:rtl/>
        </w:rPr>
        <w:t xml:space="preserve">, המתחם צריך לעמוד על פסילה של 24 חודשים ועד 36 חודשים ומאסר בפועל עד שלושה חודשים לכל אירוע (בסה"כ 3 אירועים נבדלים זה מזה בזמן); </w:t>
      </w:r>
      <w:r w:rsidRPr="00B45E6D">
        <w:rPr>
          <w:rFonts w:ascii="Calibri" w:hAnsi="Calibri" w:cs="FrankRuehl" w:hint="cs"/>
          <w:b/>
          <w:bCs/>
          <w:sz w:val="28"/>
          <w:szCs w:val="28"/>
          <w:rtl/>
        </w:rPr>
        <w:t>בתיק השלישי</w:t>
      </w:r>
      <w:r w:rsidRPr="00B45E6D">
        <w:rPr>
          <w:rFonts w:ascii="Calibri" w:hAnsi="Calibri" w:cs="FrankRuehl" w:hint="cs"/>
          <w:sz w:val="28"/>
          <w:szCs w:val="28"/>
          <w:rtl/>
        </w:rPr>
        <w:t xml:space="preserve"> המתחם צריך לעמוד על מאסר מותנה ועד 4 חודשי מאסר. </w:t>
      </w:r>
    </w:p>
    <w:p w14:paraId="7CD27742" w14:textId="77777777" w:rsidR="00B45E6D" w:rsidRPr="00B45E6D" w:rsidRDefault="00B45E6D" w:rsidP="00B45E6D">
      <w:pPr>
        <w:spacing w:after="160" w:line="360" w:lineRule="auto"/>
        <w:jc w:val="both"/>
        <w:rPr>
          <w:rFonts w:ascii="Calibri" w:hAnsi="Calibri" w:cs="FrankRuehl"/>
          <w:sz w:val="28"/>
          <w:szCs w:val="28"/>
          <w:rtl/>
        </w:rPr>
      </w:pPr>
    </w:p>
    <w:p w14:paraId="3136088D"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b/>
          <w:bCs/>
          <w:sz w:val="28"/>
          <w:szCs w:val="28"/>
          <w:u w:val="single"/>
          <w:rtl/>
        </w:rPr>
        <w:t xml:space="preserve">נסיבות שאינן קשורות בביצוע העבירה לפי </w:t>
      </w:r>
      <w:hyperlink r:id="rId41" w:history="1">
        <w:r w:rsidR="00CB7C2A" w:rsidRPr="00CB7C2A">
          <w:rPr>
            <w:rFonts w:ascii="Calibri" w:hAnsi="Calibri" w:cs="FrankRuehl" w:hint="eastAsia"/>
            <w:b/>
            <w:bCs/>
            <w:color w:val="0000FF"/>
            <w:sz w:val="28"/>
            <w:szCs w:val="28"/>
            <w:u w:val="single"/>
            <w:rtl/>
          </w:rPr>
          <w:t>סעיף</w:t>
        </w:r>
        <w:r w:rsidR="00CB7C2A" w:rsidRPr="00CB7C2A">
          <w:rPr>
            <w:rFonts w:ascii="Calibri" w:hAnsi="Calibri" w:cs="FrankRuehl"/>
            <w:b/>
            <w:bCs/>
            <w:color w:val="0000FF"/>
            <w:sz w:val="28"/>
            <w:szCs w:val="28"/>
            <w:u w:val="single"/>
            <w:rtl/>
          </w:rPr>
          <w:t xml:space="preserve"> 40</w:t>
        </w:r>
        <w:r w:rsidR="00CB7C2A" w:rsidRPr="00CB7C2A">
          <w:rPr>
            <w:rFonts w:ascii="Calibri" w:hAnsi="Calibri" w:cs="FrankRuehl" w:hint="eastAsia"/>
            <w:b/>
            <w:bCs/>
            <w:color w:val="0000FF"/>
            <w:sz w:val="28"/>
            <w:szCs w:val="28"/>
            <w:u w:val="single"/>
            <w:rtl/>
          </w:rPr>
          <w:t>י</w:t>
        </w:r>
        <w:r w:rsidR="00CB7C2A" w:rsidRPr="00CB7C2A">
          <w:rPr>
            <w:rFonts w:ascii="Calibri" w:hAnsi="Calibri" w:cs="FrankRuehl"/>
            <w:b/>
            <w:bCs/>
            <w:color w:val="0000FF"/>
            <w:sz w:val="28"/>
            <w:szCs w:val="28"/>
            <w:u w:val="single"/>
            <w:rtl/>
          </w:rPr>
          <w:t>"</w:t>
        </w:r>
        <w:r w:rsidR="00CB7C2A" w:rsidRPr="00CB7C2A">
          <w:rPr>
            <w:rFonts w:ascii="Calibri" w:hAnsi="Calibri" w:cs="FrankRuehl" w:hint="eastAsia"/>
            <w:b/>
            <w:bCs/>
            <w:color w:val="0000FF"/>
            <w:sz w:val="28"/>
            <w:szCs w:val="28"/>
            <w:u w:val="single"/>
            <w:rtl/>
          </w:rPr>
          <w:t>א</w:t>
        </w:r>
      </w:hyperlink>
      <w:r w:rsidRPr="00B45E6D">
        <w:rPr>
          <w:rFonts w:ascii="Calibri" w:hAnsi="Calibri" w:cs="FrankRuehl" w:hint="cs"/>
          <w:b/>
          <w:bCs/>
          <w:sz w:val="28"/>
          <w:szCs w:val="28"/>
          <w:u w:val="single"/>
          <w:rtl/>
        </w:rPr>
        <w:t xml:space="preserve"> ל</w:t>
      </w:r>
      <w:hyperlink r:id="rId42" w:history="1">
        <w:r w:rsidR="00B21D17" w:rsidRPr="00B21D17">
          <w:rPr>
            <w:rFonts w:ascii="Calibri" w:hAnsi="Calibri" w:cs="FrankRuehl" w:hint="eastAsia"/>
            <w:b/>
            <w:bCs/>
            <w:color w:val="0000FF"/>
            <w:sz w:val="28"/>
            <w:szCs w:val="28"/>
            <w:u w:val="single"/>
            <w:rtl/>
          </w:rPr>
          <w:t>חוק</w:t>
        </w:r>
        <w:r w:rsidR="00B21D17" w:rsidRPr="00B21D17">
          <w:rPr>
            <w:rFonts w:ascii="Calibri" w:hAnsi="Calibri" w:cs="FrankRuehl"/>
            <w:b/>
            <w:bCs/>
            <w:color w:val="0000FF"/>
            <w:sz w:val="28"/>
            <w:szCs w:val="28"/>
            <w:u w:val="single"/>
            <w:rtl/>
          </w:rPr>
          <w:t xml:space="preserve"> </w:t>
        </w:r>
        <w:r w:rsidR="00B21D17" w:rsidRPr="00B21D17">
          <w:rPr>
            <w:rFonts w:ascii="Calibri" w:hAnsi="Calibri" w:cs="FrankRuehl" w:hint="eastAsia"/>
            <w:b/>
            <w:bCs/>
            <w:color w:val="0000FF"/>
            <w:sz w:val="28"/>
            <w:szCs w:val="28"/>
            <w:u w:val="single"/>
            <w:rtl/>
          </w:rPr>
          <w:t>העונשין</w:t>
        </w:r>
      </w:hyperlink>
      <w:r w:rsidRPr="00B45E6D">
        <w:rPr>
          <w:rFonts w:ascii="Calibri" w:hAnsi="Calibri" w:cs="FrankRuehl" w:hint="cs"/>
          <w:b/>
          <w:bCs/>
          <w:sz w:val="28"/>
          <w:szCs w:val="28"/>
          <w:rtl/>
        </w:rPr>
        <w:t xml:space="preserve"> – </w:t>
      </w:r>
      <w:r w:rsidRPr="00B45E6D">
        <w:rPr>
          <w:rFonts w:ascii="Calibri" w:hAnsi="Calibri" w:cs="FrankRuehl" w:hint="cs"/>
          <w:sz w:val="28"/>
          <w:szCs w:val="28"/>
          <w:rtl/>
        </w:rPr>
        <w:t xml:space="preserve">ניתן  לתת משקל לנסיבות הבאות שאינן קשורות בביצוע העבירה, במסגרת גזירת העונש בתוך המתחם: הנאשם מעולם לא ריצה עונש מאסר, מדובר באדם צעיר עם קשיים לא פשוטים, לרבות בתחום הנפשי, שחותר לנהל אורח חיים נורמטיבי ואף התגייס לצבא, גם אם לא סיים שירות צבאי מלא; הוא עובד בעבודה סדירה ואף קיבל בה קביעות וזאת לאחר מאמצים לא מבוטלים. אני נותן גם משקל למכתבו של המעסיק המודע לנסיבותיו של הנאשם; הנאשם שהה במעצר ממש בין ה-17.7.2017 ועד ליום 7.8.2017 ולאחר מכן שהה תקופה לא מבוטלת בתנאים מגבילים שהוקלו בסופו של דבר </w:t>
      </w:r>
      <w:r w:rsidRPr="00B45E6D">
        <w:rPr>
          <w:rFonts w:ascii="Calibri" w:hAnsi="Calibri" w:cs="FrankRuehl"/>
          <w:sz w:val="28"/>
          <w:szCs w:val="28"/>
          <w:rtl/>
        </w:rPr>
        <w:t>–</w:t>
      </w:r>
      <w:r w:rsidRPr="00B45E6D">
        <w:rPr>
          <w:rFonts w:ascii="Calibri" w:hAnsi="Calibri" w:cs="FrankRuehl" w:hint="cs"/>
          <w:sz w:val="28"/>
          <w:szCs w:val="28"/>
          <w:rtl/>
        </w:rPr>
        <w:t xml:space="preserve"> זאת לקולא; לחומרא </w:t>
      </w:r>
      <w:r w:rsidRPr="00B45E6D">
        <w:rPr>
          <w:rFonts w:ascii="Calibri" w:hAnsi="Calibri" w:cs="FrankRuehl"/>
          <w:sz w:val="28"/>
          <w:szCs w:val="28"/>
          <w:rtl/>
        </w:rPr>
        <w:t>–</w:t>
      </w:r>
      <w:r w:rsidRPr="00B45E6D">
        <w:rPr>
          <w:rFonts w:ascii="Calibri" w:hAnsi="Calibri" w:cs="FrankRuehl" w:hint="cs"/>
          <w:sz w:val="28"/>
          <w:szCs w:val="28"/>
          <w:rtl/>
        </w:rPr>
        <w:t xml:space="preserve"> נטילת האחריות של הנאשם חלקית, והעובדה שביצע צירוף תיקים אינה מלמדת על נטילת אחריות מלאה</w:t>
      </w:r>
      <w:r w:rsidRPr="00B45E6D">
        <w:rPr>
          <w:rFonts w:ascii="Calibri" w:hAnsi="Calibri" w:cs="FrankRuehl"/>
          <w:sz w:val="28"/>
          <w:szCs w:val="28"/>
          <w:rtl/>
        </w:rPr>
        <w:t>–</w:t>
      </w:r>
      <w:r w:rsidRPr="00B45E6D">
        <w:rPr>
          <w:rFonts w:ascii="Calibri" w:hAnsi="Calibri" w:cs="FrankRuehl" w:hint="cs"/>
          <w:sz w:val="28"/>
          <w:szCs w:val="28"/>
          <w:rtl/>
        </w:rPr>
        <w:t xml:space="preserve"> לא מבחינת דבריו בהקשר זה לשירות המבחן, ולא מבחינת התנהלותו אל מול השירות לאורך תקופה ארוכה; נוסף לכך שירות המבחן סבר כי ההליך המשפטי הפלילי אינו מרתיע אותו וקיימת רמת סיכון גבוהה להישנות העבירות, כשחלה נסיגה במצבו (כפי שעולה מהתסקירים האחרונים); עברו הפלילי של הנאשם אינו רלבנטי לאישומים בהם הורשע לפניי (עבירות אלימות) וכך גם עברו התעבורתי. </w:t>
      </w:r>
    </w:p>
    <w:p w14:paraId="00F2E085"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 xml:space="preserve">אם סברתי שאין לסיים את ההליכים בעונש מאסר ממש, הדבר נובע בעיקר מהכרותי את הנאשם מעבר לאמור בתסקירים. לכל אורך התקופה הארוכה בה אני מכיר את הנאשם, אני מודע למאמצים הגדולים שהוא עשה ועושה, וכן עמדתי על מופנמותו. אמנם, התמונה העולה מהתסקירים מעלה יותר צללים מאורות, ואולם אני סבור כי הנאשם שמר על יציבות רבה למרות כל האתגרים שעמדו בפניו, והצליח לעמוד במבחנים החוזרים ונשנים בהם עמד, ובהם בדיקות השתן האחרונות שמסר שנמצאו נקיות. </w:t>
      </w:r>
    </w:p>
    <w:p w14:paraId="009BF2E3" w14:textId="77777777" w:rsidR="00B45E6D" w:rsidRPr="00B45E6D" w:rsidRDefault="00B45E6D" w:rsidP="00B45E6D">
      <w:pPr>
        <w:spacing w:after="160" w:line="360" w:lineRule="auto"/>
        <w:jc w:val="both"/>
        <w:rPr>
          <w:rFonts w:ascii="Calibri" w:hAnsi="Calibri" w:cs="FrankRuehl"/>
          <w:b/>
          <w:bCs/>
          <w:sz w:val="28"/>
          <w:szCs w:val="28"/>
          <w:u w:val="single"/>
          <w:rtl/>
        </w:rPr>
      </w:pPr>
    </w:p>
    <w:p w14:paraId="79C19427"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b/>
          <w:bCs/>
          <w:sz w:val="28"/>
          <w:szCs w:val="28"/>
          <w:u w:val="single"/>
          <w:rtl/>
        </w:rPr>
        <w:t>המיקום במתחם</w:t>
      </w:r>
      <w:r w:rsidRPr="00B45E6D">
        <w:rPr>
          <w:rFonts w:ascii="Calibri" w:hAnsi="Calibri" w:cs="FrankRuehl" w:hint="cs"/>
          <w:sz w:val="28"/>
          <w:szCs w:val="28"/>
          <w:rtl/>
        </w:rPr>
        <w:t xml:space="preserve"> </w:t>
      </w:r>
      <w:r w:rsidRPr="00B45E6D">
        <w:rPr>
          <w:rFonts w:ascii="Calibri" w:hAnsi="Calibri" w:cs="FrankRuehl"/>
          <w:sz w:val="28"/>
          <w:szCs w:val="28"/>
          <w:rtl/>
        </w:rPr>
        <w:t>–</w:t>
      </w:r>
      <w:r w:rsidRPr="00B45E6D">
        <w:rPr>
          <w:rFonts w:ascii="Calibri" w:hAnsi="Calibri" w:cs="FrankRuehl" w:hint="cs"/>
          <w:sz w:val="28"/>
          <w:szCs w:val="28"/>
          <w:rtl/>
        </w:rPr>
        <w:t xml:space="preserve"> לנוכח מכלול הנסיבות, יש מקום להעמיד הנאשם את בחלק התחתון של המתחם המחמיר, באופן שיתאפשר לנאשם לרצות מאסר בדרך של עבודות שירות. אני סבור כי עונש זה הולם את הנסיבות, את מאמציו של הנאשם ע"פ דרכו להשתקם ואת מוקדי היציבות בחייו כיום. אין מדובר בעונש קל אך מדובר בעונש שיאפשר להביא לידי ביטוי את התהליך שעבר הנאשם, גם אם אינו מושלם.</w:t>
      </w:r>
    </w:p>
    <w:p w14:paraId="125D8F85" w14:textId="77777777" w:rsidR="00B45E6D" w:rsidRPr="00B45E6D" w:rsidRDefault="00B45E6D" w:rsidP="00B45E6D">
      <w:pPr>
        <w:spacing w:after="160" w:line="360" w:lineRule="auto"/>
        <w:jc w:val="both"/>
        <w:rPr>
          <w:rFonts w:ascii="Calibri" w:hAnsi="Calibri" w:cs="FrankRuehl"/>
          <w:b/>
          <w:bCs/>
          <w:sz w:val="28"/>
          <w:szCs w:val="28"/>
          <w:u w:val="single"/>
          <w:rtl/>
        </w:rPr>
      </w:pPr>
    </w:p>
    <w:p w14:paraId="2A57A979" w14:textId="77777777" w:rsidR="00B45E6D" w:rsidRPr="00B45E6D" w:rsidRDefault="00B45E6D" w:rsidP="00B45E6D">
      <w:pPr>
        <w:spacing w:after="160" w:line="360" w:lineRule="auto"/>
        <w:jc w:val="both"/>
        <w:rPr>
          <w:rFonts w:ascii="Calibri" w:hAnsi="Calibri" w:cs="FrankRuehl"/>
          <w:b/>
          <w:bCs/>
          <w:sz w:val="28"/>
          <w:szCs w:val="28"/>
          <w:u w:val="single"/>
          <w:rtl/>
        </w:rPr>
      </w:pPr>
      <w:r w:rsidRPr="00B45E6D">
        <w:rPr>
          <w:rFonts w:ascii="Calibri" w:hAnsi="Calibri" w:cs="FrankRuehl" w:hint="cs"/>
          <w:b/>
          <w:bCs/>
          <w:sz w:val="28"/>
          <w:szCs w:val="28"/>
          <w:u w:val="single"/>
          <w:rtl/>
        </w:rPr>
        <w:t>גזירת הדין</w:t>
      </w:r>
    </w:p>
    <w:p w14:paraId="000D5DBA" w14:textId="77777777" w:rsidR="00B45E6D" w:rsidRPr="00B45E6D" w:rsidRDefault="00B45E6D" w:rsidP="00B45E6D">
      <w:pPr>
        <w:spacing w:after="160" w:line="360" w:lineRule="auto"/>
        <w:jc w:val="both"/>
        <w:rPr>
          <w:rFonts w:ascii="Calibri" w:hAnsi="Calibri" w:cs="FrankRuehl"/>
          <w:sz w:val="28"/>
          <w:szCs w:val="28"/>
          <w:rtl/>
        </w:rPr>
      </w:pPr>
      <w:r w:rsidRPr="00B45E6D">
        <w:rPr>
          <w:rFonts w:ascii="Calibri" w:hAnsi="Calibri" w:cs="FrankRuehl" w:hint="cs"/>
          <w:sz w:val="28"/>
          <w:szCs w:val="28"/>
          <w:rtl/>
        </w:rPr>
        <w:t>לפיכך, אני מחליט לגזור על הנאשם את העונשים הבאים:</w:t>
      </w:r>
    </w:p>
    <w:p w14:paraId="1BD16916" w14:textId="77777777" w:rsidR="00B45E6D" w:rsidRPr="00B45E6D" w:rsidRDefault="00B45E6D" w:rsidP="00B45E6D">
      <w:pPr>
        <w:numPr>
          <w:ilvl w:val="0"/>
          <w:numId w:val="1"/>
        </w:numPr>
        <w:spacing w:after="160" w:line="360" w:lineRule="auto"/>
        <w:contextualSpacing/>
        <w:jc w:val="both"/>
        <w:rPr>
          <w:rFonts w:ascii="Calibri" w:hAnsi="Calibri" w:cs="FrankRuehl"/>
          <w:sz w:val="28"/>
          <w:szCs w:val="28"/>
        </w:rPr>
      </w:pPr>
      <w:r w:rsidRPr="00B45E6D">
        <w:rPr>
          <w:rFonts w:ascii="Calibri" w:hAnsi="Calibri" w:cs="FrankRuehl" w:hint="cs"/>
          <w:sz w:val="28"/>
          <w:szCs w:val="28"/>
          <w:rtl/>
        </w:rPr>
        <w:t xml:space="preserve">7 חודשי מאסר לריצוי בעבודות שירות. עבודות השירות לא יחלו לפני 16.2.2020 ב"חברה קדישא" או בכל מקום השמה אחר שיקבע הממונה; הנאשם הוזהר מאי קיום הוראות הממונה ומאפשרות הפקעת עבודות השירות בהחלטה מינהלית; </w:t>
      </w:r>
    </w:p>
    <w:p w14:paraId="4BB93388" w14:textId="77777777" w:rsidR="00B45E6D" w:rsidRPr="00B45E6D" w:rsidRDefault="00B45E6D" w:rsidP="00B45E6D">
      <w:pPr>
        <w:numPr>
          <w:ilvl w:val="0"/>
          <w:numId w:val="1"/>
        </w:numPr>
        <w:spacing w:after="160" w:line="360" w:lineRule="auto"/>
        <w:contextualSpacing/>
        <w:jc w:val="both"/>
        <w:rPr>
          <w:rFonts w:ascii="Calibri" w:hAnsi="Calibri" w:cs="FrankRuehl"/>
          <w:sz w:val="28"/>
          <w:szCs w:val="28"/>
        </w:rPr>
      </w:pPr>
      <w:r w:rsidRPr="00B45E6D">
        <w:rPr>
          <w:rFonts w:ascii="Calibri" w:hAnsi="Calibri" w:cs="FrankRuehl" w:hint="cs"/>
          <w:sz w:val="28"/>
          <w:szCs w:val="28"/>
          <w:rtl/>
        </w:rPr>
        <w:t>6 חודשי מאסר, שלא ירוצו אלא אם יעבור הנאשם כל עבירה לפי פקודת הסמים, למעט שימוש עצמי והחזקת כלים לשימוש עצמי, בתוך שלוש שנים מהיום;</w:t>
      </w:r>
    </w:p>
    <w:p w14:paraId="1AFAB4E9" w14:textId="77777777" w:rsidR="00B45E6D" w:rsidRPr="00B45E6D" w:rsidRDefault="00B45E6D" w:rsidP="00B45E6D">
      <w:pPr>
        <w:numPr>
          <w:ilvl w:val="0"/>
          <w:numId w:val="1"/>
        </w:numPr>
        <w:spacing w:after="160" w:line="360" w:lineRule="auto"/>
        <w:contextualSpacing/>
        <w:jc w:val="both"/>
        <w:rPr>
          <w:rFonts w:ascii="Calibri" w:hAnsi="Calibri" w:cs="FrankRuehl"/>
          <w:sz w:val="28"/>
          <w:szCs w:val="28"/>
        </w:rPr>
      </w:pPr>
      <w:r w:rsidRPr="00B45E6D">
        <w:rPr>
          <w:rFonts w:ascii="Calibri" w:hAnsi="Calibri" w:cs="FrankRuehl" w:hint="cs"/>
          <w:sz w:val="28"/>
          <w:szCs w:val="28"/>
          <w:rtl/>
        </w:rPr>
        <w:t>3 חודשי מאסר שלא ירוצו, אלא אם יעבור הנאשם עבירה של נהיגה תחת השפעת סמים או אלכוהול, עבירות של החזקה/צריכת סמים לשימוש עצמי לרבות החזקת כלים לשימוש עצמי וכן עבירה של הפרת הוראה חוקית, וזאת בתוך שלוש מהיום;</w:t>
      </w:r>
    </w:p>
    <w:p w14:paraId="1EFB1395" w14:textId="77777777" w:rsidR="00B45E6D" w:rsidRPr="00B45E6D" w:rsidRDefault="00B45E6D" w:rsidP="00B45E6D">
      <w:pPr>
        <w:numPr>
          <w:ilvl w:val="0"/>
          <w:numId w:val="1"/>
        </w:numPr>
        <w:spacing w:after="160" w:line="360" w:lineRule="auto"/>
        <w:contextualSpacing/>
        <w:jc w:val="both"/>
        <w:rPr>
          <w:rFonts w:ascii="Calibri" w:hAnsi="Calibri" w:cs="FrankRuehl"/>
          <w:sz w:val="28"/>
          <w:szCs w:val="28"/>
        </w:rPr>
      </w:pPr>
      <w:r w:rsidRPr="00B45E6D">
        <w:rPr>
          <w:rFonts w:ascii="Calibri" w:hAnsi="Calibri" w:cs="FrankRuehl" w:hint="cs"/>
          <w:sz w:val="28"/>
          <w:szCs w:val="28"/>
          <w:rtl/>
        </w:rPr>
        <w:t xml:space="preserve">24 חודשי שלילת רישיון בפועל, החל מיום 1.1.2020, כאשר הפקדת הרישיון תבוצע עד ליום זה במזכירות בית המשפט. הנאשם מוזהר כי אי-הפקדת הרישיון תביא לעיכוב בתחילת מניין תקופת הפסילה. אני מנכה מהתקופה האמורה את תקופות הניכוי המינהלי והפסילה שנקבעה ע"י כב' השופט מהנא. </w:t>
      </w:r>
    </w:p>
    <w:p w14:paraId="212AF2CE" w14:textId="77777777" w:rsidR="00B45E6D" w:rsidRPr="00B45E6D" w:rsidRDefault="00B45E6D" w:rsidP="00B45E6D">
      <w:pPr>
        <w:numPr>
          <w:ilvl w:val="0"/>
          <w:numId w:val="1"/>
        </w:numPr>
        <w:spacing w:after="160" w:line="360" w:lineRule="auto"/>
        <w:contextualSpacing/>
        <w:jc w:val="both"/>
        <w:rPr>
          <w:rFonts w:ascii="Calibri" w:hAnsi="Calibri" w:cs="FrankRuehl"/>
          <w:sz w:val="28"/>
          <w:szCs w:val="28"/>
          <w:rtl/>
        </w:rPr>
      </w:pPr>
      <w:r w:rsidRPr="00B45E6D">
        <w:rPr>
          <w:rFonts w:ascii="Calibri" w:hAnsi="Calibri" w:cs="FrankRuehl" w:hint="cs"/>
          <w:sz w:val="28"/>
          <w:szCs w:val="28"/>
          <w:rtl/>
        </w:rPr>
        <w:t>12 חודשי שלילת רישיון נהיגה או זכאות מלקבל או מלהחזיק ברישיון, וזאת על-תנאי למשך שנתיים מהיום. התנאי הוא שהנאשם לא יעבור את העבירות בהן הורשע בתוך שנתיים מהיום.</w:t>
      </w:r>
    </w:p>
    <w:p w14:paraId="07B17ABE" w14:textId="77777777" w:rsidR="00B45E6D" w:rsidRPr="00B45E6D" w:rsidRDefault="00B45E6D" w:rsidP="00B45E6D">
      <w:pPr>
        <w:numPr>
          <w:ilvl w:val="0"/>
          <w:numId w:val="1"/>
        </w:numPr>
        <w:spacing w:after="160" w:line="360" w:lineRule="auto"/>
        <w:contextualSpacing/>
        <w:jc w:val="both"/>
        <w:rPr>
          <w:rFonts w:ascii="Calibri" w:hAnsi="Calibri" w:cs="FrankRuehl"/>
          <w:sz w:val="28"/>
          <w:szCs w:val="28"/>
          <w:rtl/>
        </w:rPr>
      </w:pPr>
      <w:r w:rsidRPr="00B45E6D">
        <w:rPr>
          <w:rFonts w:ascii="Calibri" w:hAnsi="Calibri" w:cs="FrankRuehl" w:hint="cs"/>
          <w:sz w:val="28"/>
          <w:szCs w:val="28"/>
          <w:rtl/>
        </w:rPr>
        <w:t>קנס בסך 3,000  ₪, אשר ישולם החל מיום 1.2.2020, או  10 ימי מאסר תמורתו. הקנס ישולם ב-10 תשלומים שווים ורצופים בכל 1 לחודש עוקב ורציף. אין לקזז מההפקדה. את ההפקדה יש להחזיר לאביו של הנאשם. לא ישולם תשלום במועד או לא ישולם כלל, יעמוד הקנס לפירעון מיידי.</w:t>
      </w:r>
    </w:p>
    <w:p w14:paraId="3EBE7D73" w14:textId="77777777" w:rsidR="00B45E6D" w:rsidRPr="00F01362" w:rsidRDefault="00B45E6D" w:rsidP="00B45E6D">
      <w:pPr>
        <w:rPr>
          <w:rFonts w:ascii="FrankRuehl" w:hAnsi="FrankRuehl" w:cs="FrankRuehl"/>
          <w:sz w:val="28"/>
          <w:szCs w:val="28"/>
          <w:rtl/>
        </w:rPr>
      </w:pPr>
    </w:p>
    <w:p w14:paraId="2CDF87FC" w14:textId="77777777" w:rsidR="00B45E6D" w:rsidRPr="00F01362" w:rsidRDefault="00B45E6D" w:rsidP="00B45E6D">
      <w:pPr>
        <w:rPr>
          <w:rFonts w:ascii="FrankRuehl" w:hAnsi="FrankRuehl" w:cs="FrankRuehl"/>
          <w:b/>
          <w:bCs/>
          <w:sz w:val="28"/>
          <w:szCs w:val="28"/>
          <w:rtl/>
        </w:rPr>
      </w:pPr>
      <w:r>
        <w:rPr>
          <w:rFonts w:ascii="FrankRuehl" w:hAnsi="FrankRuehl" w:cs="FrankRuehl" w:hint="cs"/>
          <w:b/>
          <w:bCs/>
          <w:sz w:val="28"/>
          <w:szCs w:val="28"/>
          <w:rtl/>
        </w:rPr>
        <w:t>מכריז על הנאשם "סוחר סמים" ו</w:t>
      </w:r>
      <w:r w:rsidRPr="00F01362">
        <w:rPr>
          <w:rFonts w:ascii="FrankRuehl" w:hAnsi="FrankRuehl" w:cs="FrankRuehl" w:hint="cs"/>
          <w:b/>
          <w:bCs/>
          <w:sz w:val="28"/>
          <w:szCs w:val="28"/>
          <w:rtl/>
        </w:rPr>
        <w:t>מורה על השמדת הסמים.</w:t>
      </w:r>
    </w:p>
    <w:p w14:paraId="167094E8" w14:textId="77777777" w:rsidR="00B45E6D" w:rsidRPr="00F01362" w:rsidRDefault="00B45E6D" w:rsidP="00B45E6D">
      <w:pPr>
        <w:rPr>
          <w:rFonts w:ascii="FrankRuehl" w:hAnsi="FrankRuehl" w:cs="FrankRuehl"/>
          <w:sz w:val="28"/>
          <w:szCs w:val="28"/>
          <w:rtl/>
        </w:rPr>
      </w:pPr>
    </w:p>
    <w:p w14:paraId="780D5142" w14:textId="77777777" w:rsidR="00B45E6D" w:rsidRPr="00F01362" w:rsidRDefault="00B45E6D" w:rsidP="00B45E6D">
      <w:pPr>
        <w:rPr>
          <w:rFonts w:ascii="FrankRuehl" w:hAnsi="FrankRuehl" w:cs="FrankRuehl"/>
          <w:sz w:val="28"/>
          <w:szCs w:val="28"/>
          <w:rtl/>
        </w:rPr>
      </w:pPr>
      <w:r w:rsidRPr="00F01362">
        <w:rPr>
          <w:rFonts w:ascii="FrankRuehl" w:hAnsi="FrankRuehl" w:cs="FrankRuehl" w:hint="cs"/>
          <w:sz w:val="28"/>
          <w:szCs w:val="28"/>
          <w:rtl/>
        </w:rPr>
        <w:t>יש לשלוח לשירות המבחן ולממונה על עבודות השירות.</w:t>
      </w:r>
    </w:p>
    <w:p w14:paraId="31F34E08" w14:textId="77777777" w:rsidR="00B45E6D" w:rsidRPr="00F01362" w:rsidRDefault="00B45E6D" w:rsidP="00B45E6D">
      <w:pPr>
        <w:rPr>
          <w:rFonts w:ascii="FrankRuehl" w:hAnsi="FrankRuehl" w:cs="FrankRuehl"/>
          <w:sz w:val="28"/>
          <w:szCs w:val="28"/>
          <w:rtl/>
        </w:rPr>
      </w:pPr>
    </w:p>
    <w:p w14:paraId="5E0568E3" w14:textId="77777777" w:rsidR="00B45E6D" w:rsidRPr="00F01362" w:rsidRDefault="00B45E6D" w:rsidP="00B45E6D">
      <w:pPr>
        <w:rPr>
          <w:rFonts w:ascii="FrankRuehl" w:hAnsi="FrankRuehl" w:cs="FrankRuehl"/>
          <w:sz w:val="28"/>
          <w:szCs w:val="28"/>
          <w:rtl/>
        </w:rPr>
      </w:pPr>
      <w:r w:rsidRPr="00F01362">
        <w:rPr>
          <w:rFonts w:ascii="FrankRuehl" w:hAnsi="FrankRuehl" w:cs="FrankRuehl"/>
          <w:sz w:val="28"/>
          <w:szCs w:val="28"/>
          <w:rtl/>
        </w:rPr>
        <w:t>זכות ערעור בתוך 45 ימים מהיום.</w:t>
      </w:r>
    </w:p>
    <w:p w14:paraId="1095C075" w14:textId="77777777" w:rsidR="00B45E6D" w:rsidRPr="00B21D17" w:rsidRDefault="00B21D17" w:rsidP="00B45E6D">
      <w:pPr>
        <w:rPr>
          <w:rFonts w:ascii="FrankRuehl" w:hAnsi="FrankRuehl" w:cs="FrankRuehl"/>
          <w:color w:val="FFFFFF"/>
          <w:sz w:val="2"/>
          <w:szCs w:val="2"/>
          <w:rtl/>
        </w:rPr>
      </w:pPr>
      <w:r w:rsidRPr="00B21D17">
        <w:rPr>
          <w:rFonts w:ascii="FrankRuehl" w:hAnsi="FrankRuehl" w:cs="FrankRuehl"/>
          <w:color w:val="FFFFFF"/>
          <w:sz w:val="2"/>
          <w:szCs w:val="2"/>
          <w:rtl/>
        </w:rPr>
        <w:t>5129371</w:t>
      </w:r>
    </w:p>
    <w:p w14:paraId="5C0502DF" w14:textId="77777777" w:rsidR="00B45E6D" w:rsidRPr="00197666" w:rsidRDefault="00B21D17" w:rsidP="00B45E6D">
      <w:pPr>
        <w:rPr>
          <w:rFonts w:ascii="FrankRuehl" w:hAnsi="FrankRuehl" w:cs="FrankRuehl"/>
          <w:sz w:val="26"/>
          <w:szCs w:val="26"/>
          <w:rtl/>
        </w:rPr>
      </w:pPr>
      <w:bookmarkStart w:id="8" w:name="Nitan"/>
      <w:r w:rsidRPr="00B21D17">
        <w:rPr>
          <w:rFonts w:ascii="FrankRuehl" w:hAnsi="FrankRuehl" w:cs="FrankRuehl"/>
          <w:color w:val="FFFFFF"/>
          <w:sz w:val="2"/>
          <w:szCs w:val="2"/>
          <w:rtl/>
        </w:rPr>
        <w:t>54678313</w:t>
      </w:r>
      <w:r>
        <w:rPr>
          <w:rFonts w:ascii="FrankRuehl" w:hAnsi="FrankRuehl" w:cs="FrankRuehl"/>
          <w:sz w:val="28"/>
          <w:szCs w:val="28"/>
          <w:rtl/>
        </w:rPr>
        <w:t xml:space="preserve">ניתן היום,  כ"ד כסלו תש"פ , 22 בדצמבר 2019 במעמד הנוכחים. </w:t>
      </w:r>
      <w:bookmarkEnd w:id="8"/>
    </w:p>
    <w:p w14:paraId="474C11F5" w14:textId="77777777" w:rsidR="00B45E6D" w:rsidRPr="00197666" w:rsidRDefault="00B45E6D" w:rsidP="00B21D17">
      <w:pPr>
        <w:jc w:val="center"/>
      </w:pPr>
      <w:r w:rsidRPr="00197666">
        <w:rPr>
          <w:rFonts w:ascii="FrankRuehl" w:hAnsi="FrankRuehl" w:cs="FrankRuehl"/>
          <w:sz w:val="26"/>
          <w:szCs w:val="26"/>
          <w:rtl/>
        </w:rPr>
        <w:t xml:space="preserve">   </w:t>
      </w:r>
      <w:r w:rsidRPr="00197666">
        <w:rPr>
          <w:rFonts w:ascii="FrankRuehl" w:hAnsi="FrankRuehl" w:cs="FrankRuehl"/>
          <w:sz w:val="26"/>
          <w:szCs w:val="26"/>
          <w:rtl/>
        </w:rPr>
        <w:tab/>
      </w:r>
      <w:r w:rsidRPr="00197666">
        <w:rPr>
          <w:rFonts w:ascii="FrankRuehl" w:hAnsi="FrankRuehl" w:cs="FrankRuehl"/>
          <w:sz w:val="26"/>
          <w:szCs w:val="26"/>
          <w:rtl/>
        </w:rPr>
        <w:tab/>
      </w:r>
      <w:r w:rsidRPr="00197666">
        <w:rPr>
          <w:rFonts w:ascii="FrankRuehl" w:hAnsi="FrankRuehl" w:cs="FrankRuehl"/>
          <w:sz w:val="26"/>
          <w:szCs w:val="26"/>
          <w:rtl/>
        </w:rPr>
        <w:tab/>
      </w:r>
      <w:r w:rsidRPr="00197666">
        <w:rPr>
          <w:rFonts w:ascii="FrankRuehl" w:hAnsi="FrankRuehl" w:cs="FrankRuehl"/>
          <w:sz w:val="26"/>
          <w:szCs w:val="26"/>
          <w:rtl/>
        </w:rPr>
        <w:tab/>
      </w:r>
      <w:r w:rsidRPr="00197666">
        <w:rPr>
          <w:rFonts w:ascii="FrankRuehl" w:hAnsi="FrankRuehl" w:cs="FrankRuehl"/>
          <w:sz w:val="26"/>
          <w:szCs w:val="26"/>
          <w:rtl/>
        </w:rPr>
        <w:tab/>
      </w:r>
    </w:p>
    <w:p w14:paraId="4C59C1E3" w14:textId="77777777" w:rsidR="00B45E6D" w:rsidRPr="00197666" w:rsidRDefault="00B45E6D" w:rsidP="00B45E6D">
      <w:pPr>
        <w:jc w:val="center"/>
        <w:rPr>
          <w:rFonts w:ascii="FrankRuehl" w:hAnsi="FrankRuehl" w:cs="FrankRuehl"/>
          <w:sz w:val="26"/>
          <w:szCs w:val="26"/>
          <w:rtl/>
        </w:rPr>
      </w:pPr>
    </w:p>
    <w:p w14:paraId="2A701229" w14:textId="77777777" w:rsidR="00B21D17" w:rsidRDefault="00B21D17" w:rsidP="00B21D17">
      <w:pPr>
        <w:rPr>
          <w:rtl/>
        </w:rPr>
      </w:pPr>
    </w:p>
    <w:p w14:paraId="28756991" w14:textId="77777777" w:rsidR="00B21D17" w:rsidRDefault="00B21D17" w:rsidP="00B21D17">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3B5F9BC5" w14:textId="77777777" w:rsidR="00CB7C2A" w:rsidRPr="00CB7C2A" w:rsidRDefault="00CB7C2A" w:rsidP="00CB7C2A">
      <w:pPr>
        <w:keepNext/>
        <w:rPr>
          <w:rFonts w:ascii="David" w:hAnsi="David"/>
          <w:color w:val="000000"/>
          <w:sz w:val="22"/>
          <w:szCs w:val="22"/>
          <w:rtl/>
        </w:rPr>
      </w:pPr>
    </w:p>
    <w:p w14:paraId="5DE7A1F7" w14:textId="77777777" w:rsidR="00CB7C2A" w:rsidRPr="00CB7C2A" w:rsidRDefault="00CB7C2A" w:rsidP="00CB7C2A">
      <w:pPr>
        <w:keepNext/>
        <w:rPr>
          <w:rFonts w:ascii="David" w:hAnsi="David"/>
          <w:color w:val="000000"/>
          <w:sz w:val="22"/>
          <w:szCs w:val="22"/>
          <w:rtl/>
        </w:rPr>
      </w:pPr>
      <w:r w:rsidRPr="00CB7C2A">
        <w:rPr>
          <w:rFonts w:ascii="David" w:hAnsi="David"/>
          <w:color w:val="000000"/>
          <w:sz w:val="22"/>
          <w:szCs w:val="22"/>
          <w:rtl/>
        </w:rPr>
        <w:t>דוד שאול גבאי ריכטר 54678313-/</w:t>
      </w:r>
    </w:p>
    <w:p w14:paraId="1A3D72EC" w14:textId="77777777" w:rsidR="00B21D17" w:rsidRPr="00B21D17" w:rsidRDefault="00CB7C2A" w:rsidP="00CB7C2A">
      <w:pPr>
        <w:rPr>
          <w:color w:val="0000FF"/>
          <w:u w:val="single"/>
        </w:rPr>
      </w:pPr>
      <w:r w:rsidRPr="00CB7C2A">
        <w:rPr>
          <w:color w:val="000000"/>
          <w:u w:val="single"/>
          <w:rtl/>
        </w:rPr>
        <w:t>נוסח מסמך זה כפוף לשינויי ניסוח ועריכה</w:t>
      </w:r>
    </w:p>
    <w:sectPr w:rsidR="00B21D17" w:rsidRPr="00B21D17" w:rsidSect="00CB7C2A">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972C7" w14:textId="77777777" w:rsidR="00CF5E09" w:rsidRDefault="00CF5E09" w:rsidP="002F01F7">
      <w:r>
        <w:separator/>
      </w:r>
    </w:p>
  </w:endnote>
  <w:endnote w:type="continuationSeparator" w:id="0">
    <w:p w14:paraId="3A04106E" w14:textId="77777777" w:rsidR="00CF5E09" w:rsidRDefault="00CF5E09" w:rsidP="002F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49431" w14:textId="77777777" w:rsidR="00CB7C2A" w:rsidRDefault="00CB7C2A" w:rsidP="00CB7C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F606F2" w14:textId="77777777" w:rsidR="00E248F5" w:rsidRPr="00CB7C2A" w:rsidRDefault="00CB7C2A" w:rsidP="00CB7C2A">
    <w:pPr>
      <w:pStyle w:val="a5"/>
      <w:pBdr>
        <w:top w:val="single" w:sz="4" w:space="1" w:color="auto"/>
        <w:between w:val="single" w:sz="4" w:space="0" w:color="auto"/>
      </w:pBdr>
      <w:spacing w:after="60"/>
      <w:jc w:val="center"/>
      <w:rPr>
        <w:rFonts w:ascii="FrankRuehl" w:hAnsi="FrankRuehl" w:cs="FrankRuehl"/>
        <w:color w:val="000000"/>
      </w:rPr>
    </w:pPr>
    <w:r w:rsidRPr="00CB7C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20B61" w14:textId="77777777" w:rsidR="00CB7C2A" w:rsidRDefault="00CB7C2A" w:rsidP="00CB7C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0B1D">
      <w:rPr>
        <w:rFonts w:ascii="FrankRuehl" w:hAnsi="FrankRuehl" w:cs="FrankRuehl"/>
        <w:noProof/>
        <w:rtl/>
      </w:rPr>
      <w:t>1</w:t>
    </w:r>
    <w:r>
      <w:rPr>
        <w:rFonts w:ascii="FrankRuehl" w:hAnsi="FrankRuehl" w:cs="FrankRuehl"/>
        <w:rtl/>
      </w:rPr>
      <w:fldChar w:fldCharType="end"/>
    </w:r>
  </w:p>
  <w:p w14:paraId="11EB86A5" w14:textId="77777777" w:rsidR="00E248F5" w:rsidRPr="00CB7C2A" w:rsidRDefault="00CB7C2A" w:rsidP="00CB7C2A">
    <w:pPr>
      <w:pStyle w:val="a5"/>
      <w:pBdr>
        <w:top w:val="single" w:sz="4" w:space="1" w:color="auto"/>
        <w:between w:val="single" w:sz="4" w:space="0" w:color="auto"/>
      </w:pBdr>
      <w:spacing w:after="60"/>
      <w:jc w:val="center"/>
      <w:rPr>
        <w:rFonts w:ascii="FrankRuehl" w:hAnsi="FrankRuehl" w:cs="FrankRuehl"/>
        <w:color w:val="000000"/>
      </w:rPr>
    </w:pPr>
    <w:r w:rsidRPr="00CB7C2A">
      <w:rPr>
        <w:rFonts w:ascii="FrankRuehl" w:hAnsi="FrankRuehl" w:cs="FrankRuehl"/>
        <w:color w:val="000000"/>
      </w:rPr>
      <w:pict w14:anchorId="245AA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0E1F9" w14:textId="77777777" w:rsidR="00CF5E09" w:rsidRDefault="00CF5E09" w:rsidP="002F01F7">
      <w:r>
        <w:separator/>
      </w:r>
    </w:p>
  </w:footnote>
  <w:footnote w:type="continuationSeparator" w:id="0">
    <w:p w14:paraId="714D68D0" w14:textId="77777777" w:rsidR="00CF5E09" w:rsidRDefault="00CF5E09" w:rsidP="002F0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6DD15" w14:textId="77777777" w:rsidR="00B21D17" w:rsidRPr="00CB7C2A" w:rsidRDefault="00CB7C2A" w:rsidP="00CB7C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59203-07-17</w:t>
    </w:r>
    <w:r>
      <w:rPr>
        <w:rFonts w:ascii="David" w:hAnsi="David"/>
        <w:color w:val="000000"/>
        <w:sz w:val="22"/>
        <w:szCs w:val="22"/>
        <w:rtl/>
      </w:rPr>
      <w:tab/>
      <w:t xml:space="preserve"> מדינת ישראל נ' יצחק עדן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76D8F" w14:textId="77777777" w:rsidR="00B21D17" w:rsidRPr="00CB7C2A" w:rsidRDefault="00CB7C2A" w:rsidP="00CB7C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59203-07-17</w:t>
    </w:r>
    <w:r>
      <w:rPr>
        <w:rFonts w:ascii="David" w:hAnsi="David"/>
        <w:color w:val="000000"/>
        <w:sz w:val="22"/>
        <w:szCs w:val="22"/>
        <w:rtl/>
      </w:rPr>
      <w:tab/>
      <w:t xml:space="preserve"> מדינת ישראל נ' יצחק עדן עזרא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288695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5E6D"/>
    <w:rsid w:val="002F01F7"/>
    <w:rsid w:val="00437E47"/>
    <w:rsid w:val="00667810"/>
    <w:rsid w:val="008F548E"/>
    <w:rsid w:val="00B21D17"/>
    <w:rsid w:val="00B45E6D"/>
    <w:rsid w:val="00CB63BD"/>
    <w:rsid w:val="00CB7C2A"/>
    <w:rsid w:val="00CF5E09"/>
    <w:rsid w:val="00D20B1D"/>
    <w:rsid w:val="00E248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D3FBDE"/>
  <w15:chartTrackingRefBased/>
  <w15:docId w15:val="{83B05DF3-B7E3-4607-BCBB-28B1AB98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5E6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5E6D"/>
    <w:pPr>
      <w:tabs>
        <w:tab w:val="center" w:pos="4153"/>
        <w:tab w:val="right" w:pos="8306"/>
      </w:tabs>
    </w:pPr>
  </w:style>
  <w:style w:type="character" w:customStyle="1" w:styleId="a4">
    <w:name w:val="כותרת עליונה תו"/>
    <w:link w:val="a3"/>
    <w:rsid w:val="00B45E6D"/>
    <w:rPr>
      <w:rFonts w:ascii="Times New Roman" w:eastAsia="Times New Roman" w:hAnsi="Times New Roman" w:cs="David"/>
      <w:sz w:val="24"/>
      <w:szCs w:val="24"/>
    </w:rPr>
  </w:style>
  <w:style w:type="paragraph" w:styleId="a5">
    <w:name w:val="footer"/>
    <w:basedOn w:val="a"/>
    <w:link w:val="a6"/>
    <w:rsid w:val="00B45E6D"/>
    <w:pPr>
      <w:tabs>
        <w:tab w:val="center" w:pos="4153"/>
        <w:tab w:val="right" w:pos="8306"/>
      </w:tabs>
    </w:pPr>
  </w:style>
  <w:style w:type="character" w:customStyle="1" w:styleId="a6">
    <w:name w:val="כותרת תחתונה תו"/>
    <w:link w:val="a5"/>
    <w:rsid w:val="00B45E6D"/>
    <w:rPr>
      <w:rFonts w:ascii="Times New Roman" w:eastAsia="Times New Roman" w:hAnsi="Times New Roman" w:cs="David"/>
      <w:sz w:val="24"/>
      <w:szCs w:val="24"/>
    </w:rPr>
  </w:style>
  <w:style w:type="table" w:styleId="a7">
    <w:name w:val="Table Grid"/>
    <w:basedOn w:val="a1"/>
    <w:rsid w:val="00B45E6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5E6D"/>
  </w:style>
  <w:style w:type="character" w:styleId="Hyperlink">
    <w:name w:val="Hyperlink"/>
    <w:rsid w:val="00B21D1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5105497" TargetMode="External"/><Relationship Id="rId39" Type="http://schemas.openxmlformats.org/officeDocument/2006/relationships/hyperlink" Target="http://www.nevo.co.il/case/22198726" TargetMode="External"/><Relationship Id="rId21" Type="http://schemas.openxmlformats.org/officeDocument/2006/relationships/hyperlink" Target="http://www.nevo.co.il/law/5227/62.3"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2860507" TargetMode="External"/><Relationship Id="rId29" Type="http://schemas.openxmlformats.org/officeDocument/2006/relationships/hyperlink" Target="http://www.nevo.co.il/law/5227/62.3" TargetMode="External"/><Relationship Id="rId11" Type="http://schemas.openxmlformats.org/officeDocument/2006/relationships/hyperlink" Target="http://www.nevo.co.il/law/5227/62.3" TargetMode="External"/><Relationship Id="rId24" Type="http://schemas.openxmlformats.org/officeDocument/2006/relationships/hyperlink" Target="http://www.nevo.co.il/law/70301/287.a" TargetMode="External"/><Relationship Id="rId32" Type="http://schemas.openxmlformats.org/officeDocument/2006/relationships/hyperlink" Target="http://www.nevo.co.il/case/18793360" TargetMode="External"/><Relationship Id="rId37" Type="http://schemas.openxmlformats.org/officeDocument/2006/relationships/hyperlink" Target="http://www.nevo.co.il/case/21827077" TargetMode="External"/><Relationship Id="rId40" Type="http://schemas.openxmlformats.org/officeDocument/2006/relationships/hyperlink" Target="http://www.nevo.co.il/case/21029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4897128" TargetMode="External"/><Relationship Id="rId28" Type="http://schemas.openxmlformats.org/officeDocument/2006/relationships/hyperlink" Target="http://www.nevo.co.il/law/5227" TargetMode="External"/><Relationship Id="rId36" Type="http://schemas.openxmlformats.org/officeDocument/2006/relationships/hyperlink" Target="http://www.nevo.co.il/case/22797714" TargetMode="External"/><Relationship Id="rId49" Type="http://schemas.openxmlformats.org/officeDocument/2006/relationships/theme" Target="theme/theme1.xml"/><Relationship Id="rId10" Type="http://schemas.openxmlformats.org/officeDocument/2006/relationships/hyperlink" Target="http://www.nevo.co.il/law/5227"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078790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5227" TargetMode="External"/><Relationship Id="rId27" Type="http://schemas.openxmlformats.org/officeDocument/2006/relationships/hyperlink" Target="http://www.nevo.co.il/law/5227/62.3" TargetMode="External"/><Relationship Id="rId30" Type="http://schemas.openxmlformats.org/officeDocument/2006/relationships/hyperlink" Target="http://www.nevo.co.il/law/5227" TargetMode="External"/><Relationship Id="rId35" Type="http://schemas.openxmlformats.org/officeDocument/2006/relationships/hyperlink" Target="http://www.nevo.co.il/case/22368098"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i" TargetMode="External"/><Relationship Id="rId38" Type="http://schemas.openxmlformats.org/officeDocument/2006/relationships/hyperlink" Target="http://www.nevo.co.il/case/25193405" TargetMode="External"/><Relationship Id="rId46" Type="http://schemas.openxmlformats.org/officeDocument/2006/relationships/footer" Target="footer1.xml"/><Relationship Id="rId20" Type="http://schemas.openxmlformats.org/officeDocument/2006/relationships/hyperlink" Target="http://www.nevo.co.il/case/22885934" TargetMode="External"/><Relationship Id="rId41"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2477</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14834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3801205</vt:i4>
      </vt:variant>
      <vt:variant>
        <vt:i4>99</vt:i4>
      </vt:variant>
      <vt:variant>
        <vt:i4>0</vt:i4>
      </vt:variant>
      <vt:variant>
        <vt:i4>5</vt:i4>
      </vt:variant>
      <vt:variant>
        <vt:lpwstr>http://www.nevo.co.il/case/21029216</vt:lpwstr>
      </vt:variant>
      <vt:variant>
        <vt:lpwstr/>
      </vt:variant>
      <vt:variant>
        <vt:i4>3735672</vt:i4>
      </vt:variant>
      <vt:variant>
        <vt:i4>96</vt:i4>
      </vt:variant>
      <vt:variant>
        <vt:i4>0</vt:i4>
      </vt:variant>
      <vt:variant>
        <vt:i4>5</vt:i4>
      </vt:variant>
      <vt:variant>
        <vt:lpwstr>http://www.nevo.co.il/case/22198726</vt:lpwstr>
      </vt:variant>
      <vt:variant>
        <vt:lpwstr/>
      </vt:variant>
      <vt:variant>
        <vt:i4>3145852</vt:i4>
      </vt:variant>
      <vt:variant>
        <vt:i4>93</vt:i4>
      </vt:variant>
      <vt:variant>
        <vt:i4>0</vt:i4>
      </vt:variant>
      <vt:variant>
        <vt:i4>5</vt:i4>
      </vt:variant>
      <vt:variant>
        <vt:lpwstr>http://www.nevo.co.il/case/25193405</vt:lpwstr>
      </vt:variant>
      <vt:variant>
        <vt:lpwstr/>
      </vt:variant>
      <vt:variant>
        <vt:i4>3801207</vt:i4>
      </vt:variant>
      <vt:variant>
        <vt:i4>90</vt:i4>
      </vt:variant>
      <vt:variant>
        <vt:i4>0</vt:i4>
      </vt:variant>
      <vt:variant>
        <vt:i4>5</vt:i4>
      </vt:variant>
      <vt:variant>
        <vt:lpwstr>http://www.nevo.co.il/case/21827077</vt:lpwstr>
      </vt:variant>
      <vt:variant>
        <vt:lpwstr/>
      </vt:variant>
      <vt:variant>
        <vt:i4>3342456</vt:i4>
      </vt:variant>
      <vt:variant>
        <vt:i4>87</vt:i4>
      </vt:variant>
      <vt:variant>
        <vt:i4>0</vt:i4>
      </vt:variant>
      <vt:variant>
        <vt:i4>5</vt:i4>
      </vt:variant>
      <vt:variant>
        <vt:lpwstr>http://www.nevo.co.il/case/22797714</vt:lpwstr>
      </vt:variant>
      <vt:variant>
        <vt:lpwstr/>
      </vt:variant>
      <vt:variant>
        <vt:i4>3145840</vt:i4>
      </vt:variant>
      <vt:variant>
        <vt:i4>84</vt:i4>
      </vt:variant>
      <vt:variant>
        <vt:i4>0</vt:i4>
      </vt:variant>
      <vt:variant>
        <vt:i4>5</vt:i4>
      </vt:variant>
      <vt:variant>
        <vt:lpwstr>http://www.nevo.co.il/case/22368098</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3342454</vt:i4>
      </vt:variant>
      <vt:variant>
        <vt:i4>75</vt:i4>
      </vt:variant>
      <vt:variant>
        <vt:i4>0</vt:i4>
      </vt:variant>
      <vt:variant>
        <vt:i4>5</vt:i4>
      </vt:variant>
      <vt:variant>
        <vt:lpwstr>http://www.nevo.co.il/case/18793360</vt:lpwstr>
      </vt:variant>
      <vt:variant>
        <vt:lpwstr/>
      </vt:variant>
      <vt:variant>
        <vt:i4>3276917</vt:i4>
      </vt:variant>
      <vt:variant>
        <vt:i4>72</vt:i4>
      </vt:variant>
      <vt:variant>
        <vt:i4>0</vt:i4>
      </vt:variant>
      <vt:variant>
        <vt:i4>5</vt:i4>
      </vt:variant>
      <vt:variant>
        <vt:lpwstr>http://www.nevo.co.il/case/20787902</vt:lpwstr>
      </vt:variant>
      <vt:variant>
        <vt:lpwstr/>
      </vt:variant>
      <vt:variant>
        <vt:i4>8323175</vt:i4>
      </vt:variant>
      <vt:variant>
        <vt:i4>69</vt:i4>
      </vt:variant>
      <vt:variant>
        <vt:i4>0</vt:i4>
      </vt:variant>
      <vt:variant>
        <vt:i4>5</vt:i4>
      </vt:variant>
      <vt:variant>
        <vt:lpwstr>http://www.nevo.co.il/law/5227</vt:lpwstr>
      </vt:variant>
      <vt:variant>
        <vt:lpwstr/>
      </vt:variant>
      <vt:variant>
        <vt:i4>6750330</vt:i4>
      </vt:variant>
      <vt:variant>
        <vt:i4>66</vt:i4>
      </vt:variant>
      <vt:variant>
        <vt:i4>0</vt:i4>
      </vt:variant>
      <vt:variant>
        <vt:i4>5</vt:i4>
      </vt:variant>
      <vt:variant>
        <vt:lpwstr>http://www.nevo.co.il/law/5227/62.3</vt:lpwstr>
      </vt:variant>
      <vt:variant>
        <vt:lpwstr/>
      </vt:variant>
      <vt:variant>
        <vt:i4>8323175</vt:i4>
      </vt:variant>
      <vt:variant>
        <vt:i4>63</vt:i4>
      </vt:variant>
      <vt:variant>
        <vt:i4>0</vt:i4>
      </vt:variant>
      <vt:variant>
        <vt:i4>5</vt:i4>
      </vt:variant>
      <vt:variant>
        <vt:lpwstr>http://www.nevo.co.il/law/5227</vt:lpwstr>
      </vt:variant>
      <vt:variant>
        <vt:lpwstr/>
      </vt:variant>
      <vt:variant>
        <vt:i4>6750330</vt:i4>
      </vt:variant>
      <vt:variant>
        <vt:i4>60</vt:i4>
      </vt:variant>
      <vt:variant>
        <vt:i4>0</vt:i4>
      </vt:variant>
      <vt:variant>
        <vt:i4>5</vt:i4>
      </vt:variant>
      <vt:variant>
        <vt:lpwstr>http://www.nevo.co.il/law/5227/62.3</vt:lpwstr>
      </vt:variant>
      <vt:variant>
        <vt:lpwstr/>
      </vt:variant>
      <vt:variant>
        <vt:i4>4128885</vt:i4>
      </vt:variant>
      <vt:variant>
        <vt:i4>57</vt:i4>
      </vt:variant>
      <vt:variant>
        <vt:i4>0</vt:i4>
      </vt:variant>
      <vt:variant>
        <vt:i4>5</vt:i4>
      </vt:variant>
      <vt:variant>
        <vt:lpwstr>http://www.nevo.co.il/case/25105497</vt:lpwstr>
      </vt:variant>
      <vt:variant>
        <vt:lpwstr/>
      </vt:variant>
      <vt:variant>
        <vt:i4>7995492</vt:i4>
      </vt:variant>
      <vt:variant>
        <vt:i4>54</vt:i4>
      </vt:variant>
      <vt:variant>
        <vt:i4>0</vt:i4>
      </vt:variant>
      <vt:variant>
        <vt:i4>5</vt:i4>
      </vt:variant>
      <vt:variant>
        <vt:lpwstr>http://www.nevo.co.il/law/70301</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4128888</vt:i4>
      </vt:variant>
      <vt:variant>
        <vt:i4>48</vt:i4>
      </vt:variant>
      <vt:variant>
        <vt:i4>0</vt:i4>
      </vt:variant>
      <vt:variant>
        <vt:i4>5</vt:i4>
      </vt:variant>
      <vt:variant>
        <vt:lpwstr>http://www.nevo.co.il/case/24897128</vt:lpwstr>
      </vt:variant>
      <vt:variant>
        <vt:lpwstr/>
      </vt:variant>
      <vt:variant>
        <vt:i4>8323175</vt:i4>
      </vt:variant>
      <vt:variant>
        <vt:i4>45</vt:i4>
      </vt:variant>
      <vt:variant>
        <vt:i4>0</vt:i4>
      </vt:variant>
      <vt:variant>
        <vt:i4>5</vt:i4>
      </vt:variant>
      <vt:variant>
        <vt:lpwstr>http://www.nevo.co.il/law/5227</vt:lpwstr>
      </vt:variant>
      <vt:variant>
        <vt:lpwstr/>
      </vt:variant>
      <vt:variant>
        <vt:i4>6750330</vt:i4>
      </vt:variant>
      <vt:variant>
        <vt:i4>42</vt:i4>
      </vt:variant>
      <vt:variant>
        <vt:i4>0</vt:i4>
      </vt:variant>
      <vt:variant>
        <vt:i4>5</vt:i4>
      </vt:variant>
      <vt:variant>
        <vt:lpwstr>http://www.nevo.co.il/law/5227/62.3</vt:lpwstr>
      </vt:variant>
      <vt:variant>
        <vt:lpwstr/>
      </vt:variant>
      <vt:variant>
        <vt:i4>3932279</vt:i4>
      </vt:variant>
      <vt:variant>
        <vt:i4>39</vt:i4>
      </vt:variant>
      <vt:variant>
        <vt:i4>0</vt:i4>
      </vt:variant>
      <vt:variant>
        <vt:i4>5</vt:i4>
      </vt:variant>
      <vt:variant>
        <vt:lpwstr>http://www.nevo.co.il/case/22885934</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3801205</vt:i4>
      </vt:variant>
      <vt:variant>
        <vt:i4>27</vt:i4>
      </vt:variant>
      <vt:variant>
        <vt:i4>0</vt:i4>
      </vt:variant>
      <vt:variant>
        <vt:i4>5</vt:i4>
      </vt:variant>
      <vt:variant>
        <vt:lpwstr>http://www.nevo.co.il/case/22860507</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6750330</vt:i4>
      </vt:variant>
      <vt:variant>
        <vt:i4>12</vt:i4>
      </vt:variant>
      <vt:variant>
        <vt:i4>0</vt:i4>
      </vt:variant>
      <vt:variant>
        <vt:i4>5</vt:i4>
      </vt:variant>
      <vt:variant>
        <vt:lpwstr>http://www.nevo.co.il/law/5227/62.3</vt:lpwstr>
      </vt:variant>
      <vt:variant>
        <vt:lpwstr/>
      </vt:variant>
      <vt:variant>
        <vt:i4>8323175</vt:i4>
      </vt:variant>
      <vt:variant>
        <vt:i4>9</vt:i4>
      </vt:variant>
      <vt:variant>
        <vt:i4>0</vt:i4>
      </vt:variant>
      <vt:variant>
        <vt:i4>5</vt:i4>
      </vt:variant>
      <vt:variant>
        <vt:lpwstr>http://www.nevo.co.il/law/5227</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2025-04-22T23:30:00Z</dcterms:created>
  <dcterms:modified xsi:type="dcterms:W3CDTF">2025-04-22T23:30:00Z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תפ;תפ;פל;פל</vt:lpwstr>
  </property>
  <property fmtid="{D5CDD505-2E9C-101B-9397-08002B2CF9AE}" pid="5" name="NEWPARTA">
    <vt:lpwstr>59203;11119;1927;66</vt:lpwstr>
  </property>
  <property fmtid="{D5CDD505-2E9C-101B-9397-08002B2CF9AE}" pid="6" name="NEWPARTB">
    <vt:lpwstr>07;08;08;11</vt:lpwstr>
  </property>
  <property fmtid="{D5CDD505-2E9C-101B-9397-08002B2CF9AE}" pid="7" name="NEWPARTC">
    <vt:lpwstr>17;18;17;18</vt:lpwstr>
  </property>
  <property fmtid="{D5CDD505-2E9C-101B-9397-08002B2CF9AE}" pid="8" name="APPELLANT">
    <vt:lpwstr>מדינת ישראל</vt:lpwstr>
  </property>
  <property fmtid="{D5CDD505-2E9C-101B-9397-08002B2CF9AE}" pid="9" name="APPELLEE">
    <vt:lpwstr>יצחק עדן עזרא</vt:lpwstr>
  </property>
  <property fmtid="{D5CDD505-2E9C-101B-9397-08002B2CF9AE}" pid="10" name="LAWYER">
    <vt:lpwstr>מיכאל עירוני; מעיין נופר עמון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20191222</vt:lpwstr>
  </property>
  <property fmtid="{D5CDD505-2E9C-101B-9397-08002B2CF9AE}" pid="14" name="TYPE_N_DATE">
    <vt:lpwstr>38020191222</vt:lpwstr>
  </property>
  <property fmtid="{D5CDD505-2E9C-101B-9397-08002B2CF9AE}" pid="15" name="CASESLISTTMP1">
    <vt:lpwstr>22860507;22885934;24897128;25105497;20787902;18793360;22368098;22797714;21827077;25193405;22198726;21029216</vt:lpwstr>
  </property>
  <property fmtid="{D5CDD505-2E9C-101B-9397-08002B2CF9AE}" pid="16" name="WORDNUMPAGES">
    <vt:lpwstr>8</vt:lpwstr>
  </property>
  <property fmtid="{D5CDD505-2E9C-101B-9397-08002B2CF9AE}" pid="17" name="TYPE_ABS_DATE">
    <vt:lpwstr>380020191222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vt:lpwstr>
  </property>
  <property fmtid="{D5CDD505-2E9C-101B-9397-08002B2CF9AE}" pid="37" name="LAWLISTTMP2">
    <vt:lpwstr>5227/062.3:3</vt:lpwstr>
  </property>
  <property fmtid="{D5CDD505-2E9C-101B-9397-08002B2CF9AE}" pid="38" name="LAWLISTTMP3">
    <vt:lpwstr>70301/287.a;040i;40ja</vt:lpwstr>
  </property>
</Properties>
</file>