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C47B2" w:rsidRPr="003B7197" w14:paraId="7DE0ECFB" w14:textId="77777777" w:rsidTr="00403EEE">
        <w:trPr>
          <w:trHeight w:hRule="exact" w:val="418"/>
          <w:jc w:val="center"/>
        </w:trPr>
        <w:tc>
          <w:tcPr>
            <w:tcW w:w="8721" w:type="dxa"/>
            <w:gridSpan w:val="2"/>
          </w:tcPr>
          <w:p w14:paraId="35685064" w14:textId="77777777" w:rsidR="009C47B2" w:rsidRPr="003B7197" w:rsidRDefault="009C47B2" w:rsidP="00C661BF">
            <w:pPr>
              <w:pStyle w:val="a3"/>
              <w:jc w:val="center"/>
              <w:rPr>
                <w:rFonts w:ascii="Tahoma" w:hAnsi="Tahoma" w:cs="Tahoma"/>
                <w:color w:val="000080"/>
                <w:rtl/>
              </w:rPr>
            </w:pPr>
            <w:bookmarkStart w:id="0" w:name="FirstLawyer"/>
            <w:bookmarkStart w:id="1" w:name="LastJudge"/>
            <w:r w:rsidRPr="003B7197">
              <w:rPr>
                <w:rFonts w:ascii="Tahoma" w:hAnsi="Tahoma" w:cs="Tahoma"/>
                <w:b/>
                <w:bCs/>
                <w:color w:val="000080"/>
                <w:rtl/>
              </w:rPr>
              <w:t>בית משפט השלום בכפר סבא</w:t>
            </w:r>
          </w:p>
        </w:tc>
      </w:tr>
      <w:tr w:rsidR="009C47B2" w:rsidRPr="00CC6190" w14:paraId="0DDE7D47" w14:textId="77777777" w:rsidTr="00403EEE">
        <w:trPr>
          <w:trHeight w:val="337"/>
          <w:jc w:val="center"/>
        </w:trPr>
        <w:tc>
          <w:tcPr>
            <w:tcW w:w="5048" w:type="dxa"/>
          </w:tcPr>
          <w:p w14:paraId="38F06586" w14:textId="77777777" w:rsidR="009C47B2" w:rsidRPr="00CC6190" w:rsidRDefault="009C47B2" w:rsidP="00C661BF">
            <w:pPr>
              <w:rPr>
                <w:rFonts w:ascii="David" w:hAnsi="David"/>
                <w:b/>
                <w:bCs/>
                <w:sz w:val="26"/>
                <w:szCs w:val="26"/>
                <w:rtl/>
              </w:rPr>
            </w:pPr>
            <w:r w:rsidRPr="00CC6190">
              <w:rPr>
                <w:rFonts w:ascii="David" w:hAnsi="David"/>
                <w:b/>
                <w:bCs/>
                <w:sz w:val="26"/>
                <w:szCs w:val="26"/>
                <w:rtl/>
              </w:rPr>
              <w:t>ת"פ 69011-07-17 מדינת ישראל נ' סנדס</w:t>
            </w:r>
          </w:p>
          <w:p w14:paraId="7973A7C2" w14:textId="77777777" w:rsidR="009C47B2" w:rsidRPr="00CC6190" w:rsidRDefault="009C47B2" w:rsidP="00C661BF">
            <w:pPr>
              <w:pStyle w:val="a3"/>
              <w:rPr>
                <w:rFonts w:ascii="David" w:hAnsi="David"/>
                <w:b/>
                <w:bCs/>
                <w:sz w:val="26"/>
                <w:szCs w:val="26"/>
                <w:rtl/>
              </w:rPr>
            </w:pPr>
          </w:p>
        </w:tc>
        <w:tc>
          <w:tcPr>
            <w:tcW w:w="3673" w:type="dxa"/>
          </w:tcPr>
          <w:p w14:paraId="64F7B4C3" w14:textId="77777777" w:rsidR="009C47B2" w:rsidRPr="00CC6190" w:rsidRDefault="009C47B2" w:rsidP="00C661BF">
            <w:pPr>
              <w:pStyle w:val="a3"/>
              <w:jc w:val="right"/>
              <w:rPr>
                <w:rFonts w:ascii="David" w:hAnsi="David"/>
                <w:b/>
                <w:bCs/>
                <w:sz w:val="26"/>
                <w:szCs w:val="26"/>
                <w:rtl/>
              </w:rPr>
            </w:pPr>
            <w:r w:rsidRPr="00CC6190">
              <w:rPr>
                <w:rFonts w:ascii="David" w:hAnsi="David"/>
                <w:b/>
                <w:bCs/>
                <w:sz w:val="26"/>
                <w:szCs w:val="26"/>
                <w:rtl/>
              </w:rPr>
              <w:t>24 דצמבר 2019</w:t>
            </w:r>
          </w:p>
        </w:tc>
      </w:tr>
    </w:tbl>
    <w:p w14:paraId="2B78B781" w14:textId="77777777" w:rsidR="009C47B2" w:rsidRPr="00CC6190" w:rsidRDefault="009C47B2" w:rsidP="009C47B2">
      <w:pPr>
        <w:rPr>
          <w:rFonts w:ascii="David" w:hAnsi="David"/>
          <w:b/>
          <w:bCs/>
          <w:sz w:val="26"/>
          <w:szCs w:val="26"/>
          <w:rtl/>
        </w:rPr>
      </w:pPr>
      <w:r w:rsidRPr="00CC6190">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368"/>
        <w:gridCol w:w="5529"/>
      </w:tblGrid>
      <w:tr w:rsidR="009C47B2" w:rsidRPr="00CC6190" w14:paraId="4EE29BDB" w14:textId="77777777" w:rsidTr="009C47B2">
        <w:trPr>
          <w:trHeight w:val="295"/>
          <w:jc w:val="center"/>
        </w:trPr>
        <w:tc>
          <w:tcPr>
            <w:tcW w:w="923" w:type="dxa"/>
            <w:tcBorders>
              <w:top w:val="nil"/>
              <w:left w:val="nil"/>
              <w:bottom w:val="nil"/>
              <w:right w:val="nil"/>
            </w:tcBorders>
            <w:shd w:val="clear" w:color="auto" w:fill="auto"/>
          </w:tcPr>
          <w:p w14:paraId="512497DE" w14:textId="77777777" w:rsidR="009C47B2" w:rsidRPr="00CC6190" w:rsidRDefault="009C47B2" w:rsidP="009C47B2">
            <w:pPr>
              <w:jc w:val="both"/>
              <w:rPr>
                <w:rFonts w:ascii="David" w:hAnsi="David"/>
                <w:b/>
                <w:bCs/>
                <w:sz w:val="26"/>
                <w:szCs w:val="26"/>
              </w:rPr>
            </w:pPr>
            <w:r w:rsidRPr="00CC6190">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03E30ED9" w14:textId="77777777" w:rsidR="009C47B2" w:rsidRPr="00CC6190" w:rsidRDefault="009C47B2" w:rsidP="00C661BF">
            <w:pPr>
              <w:rPr>
                <w:rFonts w:ascii="David" w:hAnsi="David"/>
                <w:b/>
                <w:bCs/>
                <w:sz w:val="26"/>
                <w:szCs w:val="26"/>
                <w:rtl/>
              </w:rPr>
            </w:pPr>
            <w:r w:rsidRPr="00CC6190">
              <w:rPr>
                <w:rFonts w:ascii="David" w:hAnsi="David"/>
                <w:b/>
                <w:bCs/>
                <w:sz w:val="26"/>
                <w:szCs w:val="26"/>
                <w:rtl/>
              </w:rPr>
              <w:t>כב' השופט  מיכאל קרשן</w:t>
            </w:r>
          </w:p>
          <w:p w14:paraId="38BD3D3A" w14:textId="77777777" w:rsidR="009C47B2" w:rsidRPr="00CC6190" w:rsidRDefault="009C47B2" w:rsidP="009C47B2">
            <w:pPr>
              <w:jc w:val="both"/>
              <w:rPr>
                <w:rFonts w:ascii="David" w:hAnsi="David"/>
                <w:b/>
                <w:bCs/>
                <w:sz w:val="26"/>
                <w:szCs w:val="26"/>
              </w:rPr>
            </w:pPr>
          </w:p>
        </w:tc>
      </w:tr>
      <w:tr w:rsidR="00CC6190" w:rsidRPr="00CC6190" w14:paraId="6EE60233" w14:textId="77777777" w:rsidTr="00A44C75">
        <w:trPr>
          <w:trHeight w:val="355"/>
          <w:jc w:val="center"/>
        </w:trPr>
        <w:tc>
          <w:tcPr>
            <w:tcW w:w="3291" w:type="dxa"/>
            <w:gridSpan w:val="2"/>
            <w:tcBorders>
              <w:top w:val="nil"/>
              <w:left w:val="nil"/>
              <w:bottom w:val="nil"/>
              <w:right w:val="nil"/>
            </w:tcBorders>
            <w:shd w:val="clear" w:color="auto" w:fill="auto"/>
          </w:tcPr>
          <w:p w14:paraId="66820CD4" w14:textId="77777777" w:rsidR="00CC6190" w:rsidRPr="00CC6190" w:rsidRDefault="00CC6190" w:rsidP="009C47B2">
            <w:pPr>
              <w:jc w:val="both"/>
              <w:rPr>
                <w:rFonts w:ascii="David" w:hAnsi="David"/>
                <w:b/>
                <w:bCs/>
                <w:sz w:val="26"/>
                <w:szCs w:val="26"/>
                <w:rtl/>
              </w:rPr>
            </w:pPr>
            <w:bookmarkStart w:id="2" w:name="FirstAppellant"/>
          </w:p>
          <w:p w14:paraId="26330CEA" w14:textId="77777777" w:rsidR="00CC6190" w:rsidRPr="00CC6190" w:rsidRDefault="00CC6190" w:rsidP="009C47B2">
            <w:pPr>
              <w:jc w:val="both"/>
              <w:rPr>
                <w:rFonts w:ascii="David" w:hAnsi="David"/>
                <w:b/>
                <w:bCs/>
                <w:sz w:val="26"/>
                <w:szCs w:val="26"/>
              </w:rPr>
            </w:pPr>
            <w:r w:rsidRPr="00CC6190">
              <w:rPr>
                <w:rFonts w:ascii="David" w:hAnsi="David"/>
                <w:b/>
                <w:bCs/>
                <w:sz w:val="26"/>
                <w:szCs w:val="26"/>
                <w:rtl/>
              </w:rPr>
              <w:t>בעניין:</w:t>
            </w:r>
          </w:p>
          <w:p w14:paraId="0F833611" w14:textId="77777777" w:rsidR="00CC6190" w:rsidRPr="00CC6190" w:rsidRDefault="00CC6190" w:rsidP="009C47B2">
            <w:pPr>
              <w:jc w:val="both"/>
              <w:rPr>
                <w:rFonts w:ascii="David" w:hAnsi="David"/>
                <w:b/>
                <w:bCs/>
                <w:sz w:val="26"/>
                <w:szCs w:val="26"/>
                <w:rtl/>
              </w:rPr>
            </w:pPr>
          </w:p>
          <w:p w14:paraId="37BDE179" w14:textId="77777777" w:rsidR="00CC6190" w:rsidRPr="00CC6190" w:rsidRDefault="00CC6190" w:rsidP="00C661BF">
            <w:pPr>
              <w:rPr>
                <w:rFonts w:ascii="David" w:hAnsi="David"/>
                <w:b/>
                <w:bCs/>
                <w:sz w:val="26"/>
                <w:szCs w:val="26"/>
              </w:rPr>
            </w:pPr>
            <w:r w:rsidRPr="00CC6190">
              <w:rPr>
                <w:rFonts w:ascii="David" w:hAnsi="David"/>
                <w:b/>
                <w:bCs/>
                <w:sz w:val="26"/>
                <w:szCs w:val="26"/>
                <w:rtl/>
              </w:rPr>
              <w:t>המאשימה</w:t>
            </w:r>
          </w:p>
        </w:tc>
        <w:tc>
          <w:tcPr>
            <w:tcW w:w="5529" w:type="dxa"/>
            <w:tcBorders>
              <w:top w:val="nil"/>
              <w:left w:val="nil"/>
              <w:bottom w:val="nil"/>
              <w:right w:val="nil"/>
            </w:tcBorders>
            <w:shd w:val="clear" w:color="auto" w:fill="auto"/>
          </w:tcPr>
          <w:p w14:paraId="0A7FBABF" w14:textId="77777777" w:rsidR="00CC6190" w:rsidRPr="00CC6190" w:rsidRDefault="00CC6190" w:rsidP="00C661BF">
            <w:pPr>
              <w:rPr>
                <w:rFonts w:ascii="David" w:hAnsi="David"/>
                <w:b/>
                <w:bCs/>
                <w:sz w:val="26"/>
                <w:szCs w:val="26"/>
                <w:rtl/>
              </w:rPr>
            </w:pPr>
          </w:p>
          <w:p w14:paraId="612BF86B" w14:textId="77777777" w:rsidR="00CC6190" w:rsidRPr="00CC6190" w:rsidRDefault="00CC6190" w:rsidP="00CC6190">
            <w:pPr>
              <w:rPr>
                <w:rFonts w:ascii="David" w:hAnsi="David" w:hint="cs"/>
                <w:b/>
                <w:bCs/>
                <w:sz w:val="26"/>
                <w:szCs w:val="26"/>
              </w:rPr>
            </w:pPr>
            <w:r w:rsidRPr="00CC6190">
              <w:rPr>
                <w:rFonts w:ascii="David" w:hAnsi="David"/>
                <w:b/>
                <w:bCs/>
                <w:sz w:val="26"/>
                <w:szCs w:val="26"/>
                <w:rtl/>
              </w:rPr>
              <w:t>מדינת ישראל</w:t>
            </w:r>
            <w:r w:rsidRPr="00CC6190">
              <w:rPr>
                <w:rFonts w:ascii="David" w:hAnsi="David"/>
                <w:b/>
                <w:bCs/>
                <w:sz w:val="26"/>
                <w:szCs w:val="26"/>
                <w:rtl/>
              </w:rPr>
              <w:br/>
            </w:r>
            <w:r w:rsidRPr="00CC6190">
              <w:rPr>
                <w:rFonts w:ascii="David" w:hAnsi="David"/>
                <w:b/>
                <w:bCs/>
                <w:sz w:val="26"/>
                <w:szCs w:val="26"/>
                <w:rtl/>
              </w:rPr>
              <w:br/>
              <w:t>ע"י משטרת ישראל</w:t>
            </w:r>
            <w:r w:rsidRPr="00CC6190">
              <w:rPr>
                <w:rFonts w:ascii="David" w:hAnsi="David"/>
                <w:b/>
                <w:bCs/>
                <w:sz w:val="26"/>
                <w:szCs w:val="26"/>
                <w:rtl/>
              </w:rPr>
              <w:br/>
              <w:t>שלוחת תביעות כפר סבא</w:t>
            </w:r>
            <w:r w:rsidRPr="00CC6190">
              <w:rPr>
                <w:rFonts w:ascii="David" w:hAnsi="David"/>
                <w:b/>
                <w:bCs/>
                <w:sz w:val="26"/>
                <w:szCs w:val="26"/>
                <w:rtl/>
              </w:rPr>
              <w:br/>
              <w:t>באמצעות עו"ד דנית שושן</w:t>
            </w:r>
          </w:p>
        </w:tc>
      </w:tr>
      <w:bookmarkEnd w:id="2"/>
      <w:tr w:rsidR="00CC6190" w:rsidRPr="00CC6190" w14:paraId="61CA20FD" w14:textId="77777777" w:rsidTr="00A44C75">
        <w:trPr>
          <w:trHeight w:val="355"/>
          <w:jc w:val="center"/>
        </w:trPr>
        <w:tc>
          <w:tcPr>
            <w:tcW w:w="8820" w:type="dxa"/>
            <w:gridSpan w:val="3"/>
            <w:tcBorders>
              <w:top w:val="nil"/>
              <w:left w:val="nil"/>
              <w:bottom w:val="nil"/>
              <w:right w:val="nil"/>
            </w:tcBorders>
            <w:shd w:val="clear" w:color="auto" w:fill="auto"/>
          </w:tcPr>
          <w:p w14:paraId="08EF5CDC" w14:textId="77777777" w:rsidR="00CC6190" w:rsidRPr="00CC6190" w:rsidRDefault="00CC6190" w:rsidP="00CC6190">
            <w:pPr>
              <w:spacing w:before="240" w:after="240"/>
              <w:jc w:val="center"/>
              <w:rPr>
                <w:rFonts w:ascii="David" w:hAnsi="David"/>
                <w:b/>
                <w:bCs/>
                <w:sz w:val="26"/>
                <w:szCs w:val="26"/>
              </w:rPr>
            </w:pPr>
            <w:r w:rsidRPr="00CC6190">
              <w:rPr>
                <w:rFonts w:ascii="David" w:hAnsi="David"/>
                <w:b/>
                <w:bCs/>
                <w:sz w:val="26"/>
                <w:szCs w:val="26"/>
                <w:rtl/>
              </w:rPr>
              <w:t>נגד</w:t>
            </w:r>
          </w:p>
        </w:tc>
      </w:tr>
      <w:tr w:rsidR="00CC6190" w:rsidRPr="00CC6190" w14:paraId="58A17A8C" w14:textId="77777777" w:rsidTr="00A44C75">
        <w:trPr>
          <w:trHeight w:val="355"/>
          <w:jc w:val="center"/>
        </w:trPr>
        <w:tc>
          <w:tcPr>
            <w:tcW w:w="3291" w:type="dxa"/>
            <w:gridSpan w:val="2"/>
            <w:tcBorders>
              <w:top w:val="nil"/>
              <w:left w:val="nil"/>
              <w:bottom w:val="nil"/>
              <w:right w:val="nil"/>
            </w:tcBorders>
            <w:shd w:val="clear" w:color="auto" w:fill="auto"/>
          </w:tcPr>
          <w:p w14:paraId="2260652D" w14:textId="77777777" w:rsidR="00CC6190" w:rsidRPr="00CC6190" w:rsidRDefault="00CC6190" w:rsidP="009C47B2">
            <w:pPr>
              <w:jc w:val="both"/>
              <w:rPr>
                <w:rFonts w:ascii="David" w:hAnsi="David"/>
                <w:b/>
                <w:bCs/>
                <w:sz w:val="26"/>
                <w:szCs w:val="26"/>
                <w:rtl/>
              </w:rPr>
            </w:pPr>
            <w:r w:rsidRPr="00CC6190">
              <w:rPr>
                <w:rFonts w:ascii="David" w:hAnsi="David"/>
                <w:b/>
                <w:bCs/>
                <w:sz w:val="26"/>
                <w:szCs w:val="26"/>
                <w:rtl/>
              </w:rPr>
              <w:t>הנאשם</w:t>
            </w:r>
          </w:p>
        </w:tc>
        <w:tc>
          <w:tcPr>
            <w:tcW w:w="5529" w:type="dxa"/>
            <w:tcBorders>
              <w:top w:val="nil"/>
              <w:left w:val="nil"/>
              <w:bottom w:val="nil"/>
              <w:right w:val="nil"/>
            </w:tcBorders>
            <w:shd w:val="clear" w:color="auto" w:fill="auto"/>
          </w:tcPr>
          <w:p w14:paraId="67162BF6" w14:textId="77777777" w:rsidR="00CC6190" w:rsidRPr="00CC6190" w:rsidRDefault="00CC6190" w:rsidP="00CC6190">
            <w:pPr>
              <w:rPr>
                <w:rFonts w:ascii="David" w:hAnsi="David" w:hint="cs"/>
                <w:b/>
                <w:bCs/>
                <w:sz w:val="26"/>
                <w:szCs w:val="26"/>
              </w:rPr>
            </w:pPr>
            <w:r w:rsidRPr="00CC6190">
              <w:rPr>
                <w:rFonts w:ascii="David" w:hAnsi="David"/>
                <w:b/>
                <w:bCs/>
                <w:sz w:val="26"/>
                <w:szCs w:val="26"/>
                <w:rtl/>
              </w:rPr>
              <w:t>טויאן סנדס</w:t>
            </w:r>
            <w:r w:rsidRPr="00CC6190">
              <w:rPr>
                <w:rFonts w:ascii="David" w:hAnsi="David"/>
                <w:b/>
                <w:bCs/>
                <w:sz w:val="26"/>
                <w:szCs w:val="26"/>
                <w:rtl/>
              </w:rPr>
              <w:br/>
            </w:r>
            <w:r w:rsidRPr="00CC6190">
              <w:rPr>
                <w:rFonts w:ascii="David" w:hAnsi="David"/>
                <w:b/>
                <w:bCs/>
                <w:sz w:val="26"/>
                <w:szCs w:val="26"/>
                <w:rtl/>
              </w:rPr>
              <w:br/>
              <w:t>ע"י ב"כ עו"ד אברהם לנדשטיין</w:t>
            </w:r>
          </w:p>
        </w:tc>
      </w:tr>
    </w:tbl>
    <w:p w14:paraId="45E72234" w14:textId="77777777" w:rsidR="009C47B2" w:rsidRPr="003B7197" w:rsidRDefault="009C47B2" w:rsidP="009C47B2">
      <w:pPr>
        <w:rPr>
          <w:rtl/>
        </w:rPr>
      </w:pPr>
      <w:r w:rsidRPr="003B7197">
        <w:rPr>
          <w:rFonts w:hint="cs"/>
          <w:b/>
          <w:bCs/>
          <w:rtl/>
        </w:rPr>
        <w:t>נוכחים:</w:t>
      </w:r>
      <w:r w:rsidRPr="003B7197">
        <w:rPr>
          <w:rFonts w:hint="cs"/>
          <w:rtl/>
        </w:rPr>
        <w:t xml:space="preserve"> </w:t>
      </w:r>
    </w:p>
    <w:p w14:paraId="4F17FA75" w14:textId="77777777" w:rsidR="009C47B2" w:rsidRPr="003B7197" w:rsidRDefault="009C47B2" w:rsidP="009C47B2">
      <w:pPr>
        <w:rPr>
          <w:b/>
          <w:bCs/>
          <w:rtl/>
        </w:rPr>
      </w:pPr>
      <w:r w:rsidRPr="003B7197">
        <w:rPr>
          <w:rFonts w:hint="cs"/>
          <w:b/>
          <w:bCs/>
          <w:rtl/>
        </w:rPr>
        <w:t>ב"כ המאשימה עו"ד רחל אוליבה תמם</w:t>
      </w:r>
    </w:p>
    <w:p w14:paraId="65F044FA" w14:textId="77777777" w:rsidR="009C47B2" w:rsidRPr="003B7197" w:rsidRDefault="009C47B2" w:rsidP="009C47B2">
      <w:pPr>
        <w:rPr>
          <w:b/>
          <w:bCs/>
          <w:rtl/>
        </w:rPr>
      </w:pPr>
      <w:r w:rsidRPr="003B7197">
        <w:rPr>
          <w:rFonts w:hint="cs"/>
          <w:b/>
          <w:bCs/>
          <w:rtl/>
        </w:rPr>
        <w:t>ב"כ הנאשם עו"ד אברהם לנדשטיין</w:t>
      </w:r>
    </w:p>
    <w:p w14:paraId="4D9308EE" w14:textId="77777777" w:rsidR="009C47B2" w:rsidRPr="003B7197" w:rsidRDefault="009C47B2" w:rsidP="009C47B2">
      <w:pPr>
        <w:rPr>
          <w:b/>
          <w:bCs/>
          <w:rtl/>
        </w:rPr>
      </w:pPr>
      <w:r w:rsidRPr="003B7197">
        <w:rPr>
          <w:rFonts w:hint="cs"/>
          <w:b/>
          <w:bCs/>
          <w:rtl/>
        </w:rPr>
        <w:t>הנאשם בעצמו</w:t>
      </w:r>
    </w:p>
    <w:p w14:paraId="1CCA71B3" w14:textId="77777777" w:rsidR="009C47B2" w:rsidRPr="003B7197" w:rsidRDefault="009C47B2" w:rsidP="009C47B2">
      <w:pPr>
        <w:rPr>
          <w:b/>
          <w:bCs/>
        </w:rPr>
      </w:pPr>
    </w:p>
    <w:p w14:paraId="1D788E56" w14:textId="77777777" w:rsidR="00A44815" w:rsidRPr="00A44815" w:rsidRDefault="00A44815" w:rsidP="00A44815">
      <w:pPr>
        <w:spacing w:before="120" w:after="120" w:line="240" w:lineRule="exact"/>
        <w:ind w:left="283" w:hanging="283"/>
        <w:jc w:val="both"/>
        <w:rPr>
          <w:rFonts w:ascii="FrankRuehl" w:hAnsi="FrankRuehl" w:cs="FrankRuehl"/>
        </w:rPr>
      </w:pPr>
      <w:bookmarkStart w:id="3" w:name="LawTable"/>
      <w:bookmarkEnd w:id="3"/>
      <w:r w:rsidRPr="00A44815">
        <w:rPr>
          <w:rFonts w:ascii="FrankRuehl" w:hAnsi="FrankRuehl" w:cs="FrankRuehl"/>
          <w:rtl/>
        </w:rPr>
        <w:t xml:space="preserve">חקיקה שאוזכרה: </w:t>
      </w:r>
    </w:p>
    <w:p w14:paraId="34F93676" w14:textId="77777777" w:rsidR="00A44815" w:rsidRPr="00A44815" w:rsidRDefault="00A44815" w:rsidP="00A44815">
      <w:pPr>
        <w:spacing w:before="120" w:after="120" w:line="240" w:lineRule="exact"/>
        <w:ind w:left="283" w:hanging="283"/>
        <w:jc w:val="both"/>
        <w:rPr>
          <w:rFonts w:ascii="FrankRuehl" w:hAnsi="FrankRuehl" w:cs="FrankRuehl"/>
        </w:rPr>
      </w:pPr>
      <w:hyperlink r:id="rId7" w:history="1">
        <w:r w:rsidRPr="00A44815">
          <w:rPr>
            <w:rFonts w:ascii="FrankRuehl" w:hAnsi="FrankRuehl" w:cs="FrankRuehl"/>
            <w:color w:val="0000FF"/>
            <w:u w:val="single"/>
            <w:rtl/>
          </w:rPr>
          <w:t>פקודת הסמים המסוכנים [נוסח חדש], תשל"ג-1973</w:t>
        </w:r>
      </w:hyperlink>
      <w:r w:rsidRPr="00A44815">
        <w:rPr>
          <w:rFonts w:ascii="FrankRuehl" w:hAnsi="FrankRuehl" w:cs="FrankRuehl"/>
        </w:rPr>
        <w:t xml:space="preserve">: </w:t>
      </w:r>
      <w:r w:rsidRPr="00A44815">
        <w:rPr>
          <w:rFonts w:ascii="FrankRuehl" w:hAnsi="FrankRuehl" w:cs="FrankRuehl"/>
          <w:rtl/>
        </w:rPr>
        <w:t>סע</w:t>
      </w:r>
      <w:r w:rsidRPr="00A44815">
        <w:rPr>
          <w:rFonts w:ascii="FrankRuehl" w:hAnsi="FrankRuehl" w:cs="FrankRuehl"/>
        </w:rPr>
        <w:t xml:space="preserve">'  </w:t>
      </w:r>
      <w:hyperlink r:id="rId8" w:history="1">
        <w:r w:rsidRPr="00A44815">
          <w:rPr>
            <w:rFonts w:ascii="FrankRuehl" w:hAnsi="FrankRuehl" w:cs="FrankRuehl"/>
            <w:color w:val="0000FF"/>
            <w:u w:val="single"/>
          </w:rPr>
          <w:t>6</w:t>
        </w:r>
      </w:hyperlink>
    </w:p>
    <w:p w14:paraId="57AB0FB4" w14:textId="77777777" w:rsidR="009C47B2" w:rsidRDefault="009C47B2" w:rsidP="00A44815">
      <w:pPr>
        <w:rPr>
          <w:rFonts w:hint="cs"/>
          <w:rtl/>
        </w:rPr>
      </w:pPr>
      <w:bookmarkStart w:id="4" w:name="LawTable_End"/>
      <w:bookmarkEnd w:id="4"/>
    </w:p>
    <w:p w14:paraId="58864721"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CC6190">
        <w:rPr>
          <w:rFonts w:cs="FrankRuehl" w:hint="cs"/>
          <w:szCs w:val="26"/>
          <w:rtl/>
        </w:rPr>
        <w:t>מיני-רציו:</w:t>
      </w:r>
    </w:p>
    <w:p w14:paraId="3263958E" w14:textId="77777777" w:rsidR="00CC6190" w:rsidRPr="00CC6190" w:rsidRDefault="00CC6190" w:rsidP="00CC6190">
      <w:pPr>
        <w:pBdr>
          <w:top w:val="single" w:sz="4" w:space="1" w:color="auto"/>
          <w:bottom w:val="single" w:sz="4" w:space="1" w:color="auto"/>
        </w:pBdr>
        <w:spacing w:after="120" w:line="320" w:lineRule="exact"/>
        <w:jc w:val="both"/>
        <w:rPr>
          <w:rFonts w:cs="FrankRuehl"/>
          <w:szCs w:val="26"/>
        </w:rPr>
      </w:pPr>
      <w:r w:rsidRPr="00CC6190">
        <w:rPr>
          <w:rFonts w:cs="FrankRuehl" w:hint="cs"/>
          <w:szCs w:val="26"/>
          <w:rtl/>
        </w:rPr>
        <w:t>* הוטלו על הנאשם 6 חודשי מאסר שירוצו בדרך של עבודות שירות, לצד ענישה נלווית. לא נמצא כי יש חובה מיוחדת לגזור על הנאשם עונש מאסר שירוצה מאחורי סורג ובריח.</w:t>
      </w:r>
    </w:p>
    <w:p w14:paraId="316D36E3"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r w:rsidRPr="00CC6190">
        <w:rPr>
          <w:rFonts w:cs="FrankRuehl" w:hint="cs"/>
          <w:szCs w:val="26"/>
          <w:rtl/>
        </w:rPr>
        <w:t xml:space="preserve">* </w:t>
      </w:r>
      <w:r w:rsidRPr="00CC6190">
        <w:rPr>
          <w:rFonts w:cs="FrankRuehl"/>
          <w:szCs w:val="26"/>
          <w:rtl/>
        </w:rPr>
        <w:t>עונשין – ענישה – מדיניות ענישה: עבירות סמים</w:t>
      </w:r>
    </w:p>
    <w:p w14:paraId="45DF7530"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r w:rsidRPr="00CC6190">
        <w:rPr>
          <w:rFonts w:cs="FrankRuehl" w:hint="cs"/>
          <w:szCs w:val="26"/>
          <w:rtl/>
        </w:rPr>
        <w:t xml:space="preserve">* </w:t>
      </w:r>
      <w:r w:rsidRPr="00CC6190">
        <w:rPr>
          <w:rFonts w:cs="FrankRuehl"/>
          <w:szCs w:val="26"/>
          <w:rtl/>
        </w:rPr>
        <w:t>עונשין – ענישה – דרכי ענישה: עבודות שירות</w:t>
      </w:r>
    </w:p>
    <w:p w14:paraId="289F7A4C"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237082" w14:textId="77777777" w:rsidR="00CC6190" w:rsidRPr="00CC6190" w:rsidRDefault="00CC6190" w:rsidP="00CC6190">
      <w:pPr>
        <w:pBdr>
          <w:top w:val="single" w:sz="4" w:space="1" w:color="auto"/>
          <w:bottom w:val="single" w:sz="4" w:space="1" w:color="auto"/>
        </w:pBdr>
        <w:spacing w:after="120" w:line="320" w:lineRule="exact"/>
        <w:jc w:val="both"/>
        <w:rPr>
          <w:rFonts w:cs="FrankRuehl"/>
          <w:szCs w:val="26"/>
        </w:rPr>
      </w:pPr>
      <w:r w:rsidRPr="00CC6190">
        <w:rPr>
          <w:rFonts w:cs="FrankRuehl" w:hint="cs"/>
          <w:szCs w:val="26"/>
          <w:rtl/>
        </w:rPr>
        <w:t xml:space="preserve">הנאשם הורשע על יסוד הודאתו בעובדות כתב אישום מתוקן, במסגרת הסדר דיוני שלא כלל הסכמה לעניין העונש, בביצוע עבירה של גידול סם מסוכן, בהתאם </w:t>
      </w:r>
      <w:hyperlink r:id="rId9" w:history="1">
        <w:r w:rsidRPr="00CC6190">
          <w:rPr>
            <w:rFonts w:cs="FrankRuehl"/>
            <w:szCs w:val="26"/>
            <w:rtl/>
          </w:rPr>
          <w:t>לסעיף 6</w:t>
        </w:r>
      </w:hyperlink>
      <w:r w:rsidRPr="00CC6190">
        <w:rPr>
          <w:rFonts w:cs="FrankRuehl" w:hint="cs"/>
          <w:szCs w:val="26"/>
          <w:rtl/>
        </w:rPr>
        <w:t xml:space="preserve"> ל</w:t>
      </w:r>
      <w:hyperlink r:id="rId10" w:history="1">
        <w:r w:rsidRPr="00CC6190">
          <w:rPr>
            <w:rFonts w:cs="FrankRuehl"/>
            <w:szCs w:val="26"/>
            <w:rtl/>
          </w:rPr>
          <w:t>פקודת הסמים המסוכנים</w:t>
        </w:r>
      </w:hyperlink>
      <w:r w:rsidRPr="00CC6190">
        <w:rPr>
          <w:rFonts w:cs="FrankRuehl" w:hint="cs"/>
          <w:szCs w:val="26"/>
          <w:rtl/>
        </w:rPr>
        <w:t xml:space="preserve"> [נוסח חדש], התשל"ג-1973. </w:t>
      </w:r>
    </w:p>
    <w:p w14:paraId="2F9FD5DD"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1DC4053"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r w:rsidRPr="00CC6190">
        <w:rPr>
          <w:rFonts w:cs="FrankRuehl" w:hint="cs"/>
          <w:szCs w:val="26"/>
          <w:rtl/>
        </w:rPr>
        <w:t>בית המשפט גזר את דינו של הנאשם, ופסק כלהלן:</w:t>
      </w:r>
    </w:p>
    <w:p w14:paraId="199C7D1B" w14:textId="77777777" w:rsidR="00CC6190" w:rsidRPr="00CC6190" w:rsidRDefault="00CC6190" w:rsidP="00CC6190">
      <w:pPr>
        <w:pBdr>
          <w:top w:val="single" w:sz="4" w:space="1" w:color="auto"/>
          <w:bottom w:val="single" w:sz="4" w:space="1" w:color="auto"/>
        </w:pBdr>
        <w:spacing w:after="120" w:line="320" w:lineRule="exact"/>
        <w:jc w:val="both"/>
        <w:rPr>
          <w:rFonts w:cs="FrankRuehl"/>
          <w:szCs w:val="26"/>
        </w:rPr>
      </w:pPr>
      <w:r w:rsidRPr="00CC6190">
        <w:rPr>
          <w:rFonts w:cs="FrankRuehl" w:hint="cs"/>
          <w:szCs w:val="26"/>
          <w:rtl/>
        </w:rPr>
        <w:t>במקרה הנדון, בו הנאשם גידל 22 שתילי קנאבוס במשקל של כ</w:t>
      </w:r>
      <w:r>
        <w:rPr>
          <w:rFonts w:cs="FrankRuehl" w:hint="cs"/>
          <w:szCs w:val="26"/>
          <w:rtl/>
        </w:rPr>
        <w:t>-</w:t>
      </w:r>
      <w:r w:rsidRPr="00CC6190">
        <w:rPr>
          <w:rFonts w:cs="FrankRuehl" w:hint="cs"/>
          <w:szCs w:val="26"/>
          <w:rtl/>
        </w:rPr>
        <w:t>2 ק"ג, ובהתחשב בנסיבות של המקרה, מתחם העונש ההולם את מעשיו של הנאשם נע בין מספר חודשי מאסר בפועל ל</w:t>
      </w:r>
      <w:r>
        <w:rPr>
          <w:rFonts w:cs="FrankRuehl" w:hint="cs"/>
          <w:szCs w:val="26"/>
          <w:rtl/>
        </w:rPr>
        <w:t>-</w:t>
      </w:r>
      <w:r w:rsidRPr="00CC6190">
        <w:rPr>
          <w:rFonts w:cs="FrankRuehl" w:hint="cs"/>
          <w:szCs w:val="26"/>
          <w:rtl/>
        </w:rPr>
        <w:t xml:space="preserve">16 חודשי מאסר בפועל. </w:t>
      </w:r>
    </w:p>
    <w:p w14:paraId="23783D31" w14:textId="77777777" w:rsidR="00CC6190" w:rsidRPr="00CC6190" w:rsidRDefault="00CC6190" w:rsidP="00CC6190">
      <w:pPr>
        <w:pBdr>
          <w:top w:val="single" w:sz="4" w:space="1" w:color="auto"/>
          <w:bottom w:val="single" w:sz="4" w:space="1" w:color="auto"/>
        </w:pBdr>
        <w:spacing w:after="120" w:line="320" w:lineRule="exact"/>
        <w:jc w:val="both"/>
        <w:rPr>
          <w:rFonts w:cs="FrankRuehl"/>
          <w:szCs w:val="26"/>
        </w:rPr>
      </w:pPr>
      <w:r w:rsidRPr="00CC6190">
        <w:rPr>
          <w:rFonts w:cs="FrankRuehl" w:hint="cs"/>
          <w:szCs w:val="26"/>
          <w:rtl/>
        </w:rPr>
        <w:lastRenderedPageBreak/>
        <w:t>לאחר שקילת הטענות לקולה ולחומרה, יש לקבל את עתירתה של המאשימה ולגזור על הנאשם עונש בשליש התחתון של המתחם, אלא שבניגוד לטענת המאשימה לא נמצא כי יש חובה מיוחדת לגזור על הנאשם עונש מאסר שירוצה מאחורי סורג ובריח. ניתן למנות גזרי דין שונים עם נסיבות דומות למקרה דנן בהם נגזרו עונשים של מאסר בדרך של עבודות שירות, ואף עונשים קלים יותר על נאשמים שלא נתנה המלצה טיפולית בעניינם. לא נמצא הכרח לקבוע כי הנאשם ירצה את עונש המאסר בפועל לו הוא ראוי בדרך כזו ולא אחרת.</w:t>
      </w:r>
    </w:p>
    <w:p w14:paraId="56D0461C" w14:textId="77777777" w:rsidR="00CC6190" w:rsidRPr="00CC6190" w:rsidRDefault="00CC6190" w:rsidP="00CC6190">
      <w:pPr>
        <w:pBdr>
          <w:top w:val="single" w:sz="4" w:space="1" w:color="auto"/>
          <w:bottom w:val="single" w:sz="4" w:space="1" w:color="auto"/>
        </w:pBdr>
        <w:spacing w:after="120" w:line="320" w:lineRule="exact"/>
        <w:jc w:val="both"/>
        <w:rPr>
          <w:rFonts w:cs="FrankRuehl" w:hint="cs"/>
          <w:szCs w:val="26"/>
          <w:rtl/>
        </w:rPr>
      </w:pPr>
      <w:r w:rsidRPr="00CC6190">
        <w:rPr>
          <w:rFonts w:cs="FrankRuehl" w:hint="cs"/>
          <w:szCs w:val="26"/>
          <w:rtl/>
        </w:rPr>
        <w:t>הצדקה נוספת למסקנה זו ניתן למצוא במסקנותיה של הועדה לבחינת מדיניות הענישה והטיפול בעבריינים מנובמבר 2015 (דוח דורנר), אשר אושרו על ידי הממשלה, לפיהן עונשי מאסר קצרים אינם משיגים, במרבית המקרים, את מטרות הענישה הקלאסיות, כגון הרתעה, אלא רק מעודדים את הנטייה לעבריינות.</w:t>
      </w:r>
    </w:p>
    <w:p w14:paraId="0F1E7AB0" w14:textId="77777777" w:rsidR="00CC6190" w:rsidRDefault="00CC6190" w:rsidP="00A44815">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47B2" w14:paraId="433FC77C" w14:textId="77777777" w:rsidTr="009C47B2">
        <w:trPr>
          <w:trHeight w:val="355"/>
          <w:jc w:val="center"/>
        </w:trPr>
        <w:tc>
          <w:tcPr>
            <w:tcW w:w="8820" w:type="dxa"/>
            <w:tcBorders>
              <w:top w:val="nil"/>
              <w:left w:val="nil"/>
              <w:bottom w:val="nil"/>
              <w:right w:val="nil"/>
            </w:tcBorders>
            <w:shd w:val="clear" w:color="auto" w:fill="auto"/>
          </w:tcPr>
          <w:p w14:paraId="1F55759A" w14:textId="77777777" w:rsidR="003B7197" w:rsidRPr="003B7197" w:rsidRDefault="003B7197" w:rsidP="003B7197">
            <w:pPr>
              <w:jc w:val="center"/>
              <w:rPr>
                <w:rFonts w:ascii="Arial" w:hAnsi="Arial"/>
                <w:b/>
                <w:bCs/>
                <w:sz w:val="32"/>
                <w:szCs w:val="32"/>
                <w:u w:val="single"/>
                <w:rtl/>
              </w:rPr>
            </w:pPr>
            <w:bookmarkStart w:id="7" w:name="PsakDin" w:colFirst="0" w:colLast="0"/>
            <w:bookmarkEnd w:id="0"/>
            <w:bookmarkEnd w:id="1"/>
            <w:r w:rsidRPr="003B7197">
              <w:rPr>
                <w:rFonts w:ascii="Arial" w:hAnsi="Arial"/>
                <w:b/>
                <w:bCs/>
                <w:sz w:val="32"/>
                <w:szCs w:val="32"/>
                <w:u w:val="single"/>
                <w:rtl/>
              </w:rPr>
              <w:t>גזר דין</w:t>
            </w:r>
          </w:p>
          <w:p w14:paraId="2C8D493F" w14:textId="77777777" w:rsidR="009C47B2" w:rsidRPr="003B7197" w:rsidRDefault="009C47B2" w:rsidP="003B7197">
            <w:pPr>
              <w:jc w:val="center"/>
              <w:rPr>
                <w:rFonts w:ascii="Arial" w:hAnsi="Arial"/>
                <w:bCs/>
                <w:sz w:val="32"/>
                <w:szCs w:val="32"/>
                <w:u w:val="single"/>
                <w:rtl/>
              </w:rPr>
            </w:pPr>
          </w:p>
        </w:tc>
      </w:tr>
      <w:bookmarkEnd w:id="7"/>
    </w:tbl>
    <w:p w14:paraId="00D4B279" w14:textId="77777777" w:rsidR="009C47B2" w:rsidRDefault="009C47B2" w:rsidP="009C47B2">
      <w:pPr>
        <w:spacing w:line="360" w:lineRule="auto"/>
        <w:jc w:val="both"/>
        <w:rPr>
          <w:rFonts w:ascii="Arial" w:hAnsi="Arial"/>
          <w:rtl/>
        </w:rPr>
      </w:pPr>
    </w:p>
    <w:p w14:paraId="7ACF77F0" w14:textId="77777777" w:rsidR="009C47B2" w:rsidRPr="007110E3" w:rsidRDefault="009C47B2" w:rsidP="009C47B2">
      <w:pPr>
        <w:spacing w:line="360" w:lineRule="auto"/>
        <w:jc w:val="both"/>
        <w:rPr>
          <w:rFonts w:ascii="Arial" w:hAnsi="Arial"/>
          <w:u w:val="single"/>
          <w:rtl/>
        </w:rPr>
      </w:pPr>
      <w:r w:rsidRPr="007110E3">
        <w:rPr>
          <w:rFonts w:ascii="Arial" w:hAnsi="Arial" w:hint="cs"/>
          <w:u w:val="single"/>
          <w:rtl/>
        </w:rPr>
        <w:t xml:space="preserve">העובדות </w:t>
      </w:r>
    </w:p>
    <w:p w14:paraId="043923EF" w14:textId="77777777" w:rsidR="009C47B2" w:rsidRDefault="009C47B2" w:rsidP="009C47B2">
      <w:pPr>
        <w:pStyle w:val="ListParagraph"/>
        <w:numPr>
          <w:ilvl w:val="0"/>
          <w:numId w:val="1"/>
        </w:numPr>
        <w:spacing w:line="360" w:lineRule="auto"/>
        <w:ind w:left="0" w:firstLine="0"/>
        <w:jc w:val="both"/>
      </w:pPr>
      <w:r>
        <w:rPr>
          <w:rFonts w:hint="cs"/>
          <w:rtl/>
        </w:rPr>
        <w:t xml:space="preserve">הנאשם, טיואן סנדס יליד 1985, הורשע על יסוד הודאתו בעובדות כתב אישום מתוקן, במסגרת הסדר דיוני שלא כלל הסכמה לעניין העונש, בביצוע עבירה של </w:t>
      </w:r>
      <w:r>
        <w:rPr>
          <w:rFonts w:hint="cs"/>
          <w:b/>
          <w:bCs/>
          <w:rtl/>
        </w:rPr>
        <w:t>גידול סם מסוכן</w:t>
      </w:r>
      <w:r>
        <w:rPr>
          <w:rFonts w:hint="cs"/>
          <w:rtl/>
        </w:rPr>
        <w:t xml:space="preserve">, בהתאם </w:t>
      </w:r>
      <w:hyperlink r:id="rId11" w:history="1">
        <w:r w:rsidR="00A44815" w:rsidRPr="00A44815">
          <w:rPr>
            <w:color w:val="0000FF"/>
            <w:u w:val="single"/>
            <w:rtl/>
          </w:rPr>
          <w:t>לסעיף 6</w:t>
        </w:r>
      </w:hyperlink>
      <w:r>
        <w:rPr>
          <w:rFonts w:hint="cs"/>
          <w:rtl/>
        </w:rPr>
        <w:t xml:space="preserve"> ל</w:t>
      </w:r>
      <w:hyperlink r:id="rId12" w:history="1">
        <w:r w:rsidR="003B7197" w:rsidRPr="003B7197">
          <w:rPr>
            <w:color w:val="0000FF"/>
            <w:u w:val="single"/>
            <w:rtl/>
          </w:rPr>
          <w:t>פקודת הסמים המסוכנים</w:t>
        </w:r>
      </w:hyperlink>
      <w:r>
        <w:rPr>
          <w:rFonts w:hint="cs"/>
          <w:rtl/>
        </w:rPr>
        <w:t xml:space="preserve"> [נוסח חדש], התשל"ג-1973. </w:t>
      </w:r>
    </w:p>
    <w:p w14:paraId="1F243C80" w14:textId="77777777" w:rsidR="009C47B2" w:rsidRDefault="009C47B2" w:rsidP="009C47B2">
      <w:pPr>
        <w:pStyle w:val="ListParagraph"/>
        <w:spacing w:line="360" w:lineRule="auto"/>
        <w:ind w:left="0"/>
        <w:jc w:val="both"/>
      </w:pPr>
    </w:p>
    <w:p w14:paraId="4C31C893" w14:textId="77777777" w:rsidR="009C47B2" w:rsidRDefault="009C47B2" w:rsidP="009C47B2">
      <w:pPr>
        <w:pStyle w:val="ListParagraph"/>
        <w:numPr>
          <w:ilvl w:val="0"/>
          <w:numId w:val="1"/>
        </w:numPr>
        <w:spacing w:line="360" w:lineRule="auto"/>
        <w:ind w:left="0" w:firstLine="0"/>
        <w:jc w:val="both"/>
      </w:pPr>
      <w:r>
        <w:rPr>
          <w:rFonts w:hint="cs"/>
          <w:rtl/>
        </w:rPr>
        <w:t xml:space="preserve">לפי עובדות כתב האישום המתוקן ביום 1.1.2017 בוצע צו חיפוש כדין בביתו של הנאשם בכפר סבא (להלן </w:t>
      </w:r>
      <w:r>
        <w:rPr>
          <w:rtl/>
        </w:rPr>
        <w:t>–</w:t>
      </w:r>
      <w:r>
        <w:rPr>
          <w:rFonts w:hint="cs"/>
          <w:rtl/>
        </w:rPr>
        <w:t xml:space="preserve"> "</w:t>
      </w:r>
      <w:r w:rsidRPr="00D25246">
        <w:rPr>
          <w:rFonts w:hint="cs"/>
          <w:b/>
          <w:bCs/>
          <w:rtl/>
        </w:rPr>
        <w:t>הדירה</w:t>
      </w:r>
      <w:r>
        <w:rPr>
          <w:rFonts w:hint="cs"/>
          <w:rtl/>
        </w:rPr>
        <w:t>"). במסגרת החיפוש נמצא כי הנאשם גידל בממ"ד שבדירה 22 שתילי סם מסוכן מסוג קנבוס במשקל של 2.079 ק"ג. בנוסף בחדר סמוך היו תלויים לייבוש מספר שתילי סם מסוג קנבוס במשקל כולל של 16.37 גרם נטו. לטובת הגידול צייד הנאשם את הממ"ד בכלים שונים כמופרט בכתב האישום (הגם שעבירה זו נמחקה מכתב האישום).</w:t>
      </w:r>
    </w:p>
    <w:p w14:paraId="2CE89395" w14:textId="77777777" w:rsidR="009C47B2" w:rsidRDefault="009C47B2" w:rsidP="009C47B2">
      <w:pPr>
        <w:pStyle w:val="ListParagraph"/>
        <w:rPr>
          <w:rtl/>
        </w:rPr>
      </w:pPr>
    </w:p>
    <w:p w14:paraId="71728F58" w14:textId="77777777" w:rsidR="009C47B2" w:rsidRDefault="009C47B2" w:rsidP="009C47B2">
      <w:pPr>
        <w:pStyle w:val="ListParagraph"/>
        <w:numPr>
          <w:ilvl w:val="0"/>
          <w:numId w:val="1"/>
        </w:numPr>
        <w:spacing w:line="360" w:lineRule="auto"/>
        <w:ind w:left="0" w:firstLine="0"/>
        <w:jc w:val="both"/>
      </w:pPr>
      <w:r>
        <w:rPr>
          <w:rFonts w:hint="cs"/>
          <w:rtl/>
        </w:rPr>
        <w:t>יצוין כבר עתה כי במעמד ההודאה ציין ב"כ הנאשם כי לטענת הנאשם הפיק את הסם על מנת לייצר ממנו שמן לצרכיו הרפואיים.</w:t>
      </w:r>
    </w:p>
    <w:p w14:paraId="52F22977" w14:textId="77777777" w:rsidR="009C47B2" w:rsidRDefault="009C47B2" w:rsidP="009C47B2">
      <w:pPr>
        <w:rPr>
          <w:rtl/>
        </w:rPr>
      </w:pPr>
    </w:p>
    <w:p w14:paraId="2F2D95DE" w14:textId="77777777" w:rsidR="009C47B2" w:rsidRPr="00DA634B" w:rsidRDefault="009C47B2" w:rsidP="009C47B2">
      <w:pPr>
        <w:rPr>
          <w:rtl/>
        </w:rPr>
      </w:pPr>
      <w:r w:rsidRPr="007D4C6E">
        <w:rPr>
          <w:rFonts w:hint="cs"/>
          <w:u w:val="single"/>
          <w:rtl/>
        </w:rPr>
        <w:t>ראיות לעונש</w:t>
      </w:r>
    </w:p>
    <w:p w14:paraId="02DB451C" w14:textId="77777777" w:rsidR="009C47B2" w:rsidRDefault="009C47B2" w:rsidP="009C47B2">
      <w:pPr>
        <w:pStyle w:val="ListParagraph"/>
        <w:numPr>
          <w:ilvl w:val="0"/>
          <w:numId w:val="1"/>
        </w:numPr>
        <w:spacing w:line="360" w:lineRule="auto"/>
        <w:ind w:left="0" w:firstLine="0"/>
        <w:jc w:val="both"/>
      </w:pPr>
      <w:r>
        <w:rPr>
          <w:rFonts w:hint="cs"/>
          <w:rtl/>
        </w:rPr>
        <w:t xml:space="preserve">לחובת הנאשם שתי הרשעות קודמות, האחת בגין עבירה של תקיפה הגורמת חבלה של ממש כלפי בת זוג והשניה בגין עבירות של שימוש בכוח או באיומים למנוע מעצר והפרעה לשוטר.   </w:t>
      </w:r>
    </w:p>
    <w:p w14:paraId="30F70662" w14:textId="77777777" w:rsidR="009C47B2" w:rsidRDefault="009C47B2" w:rsidP="009C47B2">
      <w:pPr>
        <w:pStyle w:val="ListParagraph"/>
        <w:spacing w:line="360" w:lineRule="auto"/>
        <w:ind w:left="0"/>
        <w:jc w:val="both"/>
        <w:rPr>
          <w:rtl/>
        </w:rPr>
      </w:pPr>
      <w:r>
        <w:rPr>
          <w:rFonts w:hint="cs"/>
          <w:rtl/>
        </w:rPr>
        <w:t xml:space="preserve">  </w:t>
      </w:r>
    </w:p>
    <w:p w14:paraId="0FBCB4D3" w14:textId="77777777" w:rsidR="009C47B2" w:rsidRDefault="009C47B2" w:rsidP="009C47B2">
      <w:pPr>
        <w:pStyle w:val="ListParagraph"/>
        <w:numPr>
          <w:ilvl w:val="0"/>
          <w:numId w:val="1"/>
        </w:numPr>
        <w:spacing w:line="360" w:lineRule="auto"/>
        <w:ind w:left="0" w:firstLine="0"/>
        <w:jc w:val="both"/>
      </w:pPr>
      <w:r>
        <w:rPr>
          <w:rFonts w:hint="cs"/>
          <w:rtl/>
        </w:rPr>
        <w:t xml:space="preserve">במסגרת ההסדר הדיוני נתבקש שירות המבחן להגיש תסקיר אודות הנאשם. בסופו של דבר הוגשו בעניינו של הנאשם שני תסקירים. </w:t>
      </w:r>
    </w:p>
    <w:p w14:paraId="5571B740" w14:textId="77777777" w:rsidR="009C47B2" w:rsidRDefault="009C47B2" w:rsidP="009C47B2">
      <w:pPr>
        <w:pStyle w:val="ListParagraph"/>
        <w:spacing w:line="360" w:lineRule="auto"/>
        <w:ind w:left="0"/>
        <w:jc w:val="both"/>
      </w:pPr>
    </w:p>
    <w:p w14:paraId="068FFFB9" w14:textId="77777777" w:rsidR="009C47B2" w:rsidRDefault="009C47B2" w:rsidP="009C47B2">
      <w:pPr>
        <w:pStyle w:val="ListParagraph"/>
        <w:numPr>
          <w:ilvl w:val="0"/>
          <w:numId w:val="1"/>
        </w:numPr>
        <w:spacing w:line="360" w:lineRule="auto"/>
        <w:ind w:left="0" w:firstLine="0"/>
        <w:jc w:val="both"/>
      </w:pPr>
      <w:r w:rsidRPr="003F0679">
        <w:rPr>
          <w:rFonts w:hint="cs"/>
          <w:rtl/>
        </w:rPr>
        <w:lastRenderedPageBreak/>
        <w:t>מהתסקירים שהוגשו אודות הנאשם עולה כי</w:t>
      </w:r>
      <w:r>
        <w:rPr>
          <w:rFonts w:hint="cs"/>
          <w:rtl/>
        </w:rPr>
        <w:t xml:space="preserve"> הנאשם בן 33, יליד ארצות הברית, עלה עם אמו ארצה כשהיה בן 4. אביו נשאר בארצות הברית ועמו אין לנאשם קשר. הנאשם גרוש ואב לשני ילדים המתגוררים עם אמם, איתם הוא אינו מקיים קשר סדיר. במהלך שנות ילדותו ובגרותו התמודד הנאשם עם קשיים רגשיים ואובחן כסובל מלקויות למידה בגינן התקשה לתפקד באופן יציב מבחינה רגשית ותעסוקתית. הנאשם מסר כי כיום הוא סובל מחרדה, דכאון, הפרעות קשב וריכוז ואף כי בעברו ביצע ניסיון אובדני.</w:t>
      </w:r>
    </w:p>
    <w:p w14:paraId="5D521E24" w14:textId="77777777" w:rsidR="009C47B2" w:rsidRPr="00694205" w:rsidRDefault="009C47B2" w:rsidP="009C47B2">
      <w:pPr>
        <w:pStyle w:val="ListParagraph"/>
        <w:spacing w:line="360" w:lineRule="auto"/>
        <w:ind w:left="0"/>
        <w:jc w:val="both"/>
        <w:rPr>
          <w:rtl/>
        </w:rPr>
      </w:pPr>
    </w:p>
    <w:p w14:paraId="325B454A" w14:textId="77777777" w:rsidR="009C47B2" w:rsidRDefault="009C47B2" w:rsidP="009C47B2">
      <w:pPr>
        <w:pStyle w:val="ListParagraph"/>
        <w:spacing w:line="360" w:lineRule="auto"/>
        <w:ind w:left="0" w:firstLine="720"/>
        <w:jc w:val="both"/>
        <w:rPr>
          <w:rtl/>
        </w:rPr>
      </w:pPr>
      <w:r>
        <w:rPr>
          <w:rFonts w:hint="cs"/>
          <w:rtl/>
        </w:rPr>
        <w:t xml:space="preserve">הנאשם החל לצרוך סמים בגיל 17, תחילה על ידי שימוש מזדמן בנסיבות חברתיות ובהמשך באופן אינטנסיבי ויומיומי. לדבריו הסמים אותם גידל במסגרת כתב האישום המתוקן נועדו לשימושו העצמי בלבד, ללא מטרת רווח כשמטרתו בגידולם באופן עצמאי הייתה להימנע ממגע עם גורמים שוליים לצורך השגתם. לדברי הנאשם שימוש בחומרים פסיכו-אקטיביים מקל על מצוקתו וקשייו הרגשיים הנובעים מלקויות הלמידה מהן הוא סובל ומאפשר לו איכות חיים טובה יותר. עוד ציין הנאשם כי מאז מעורבותו בהליך הנוכחי נמנע משימוש בחומרים ממכרים. שלוש בדיקות שתן שמסר הנאשם לשירות המבחן נמצאו נקיות מסם (לבדיקה אחת לא התייצב הנאשם). </w:t>
      </w:r>
    </w:p>
    <w:p w14:paraId="727DE52C" w14:textId="77777777" w:rsidR="009C47B2" w:rsidRDefault="009C47B2" w:rsidP="009C47B2">
      <w:pPr>
        <w:pStyle w:val="ListParagraph"/>
        <w:spacing w:line="360" w:lineRule="auto"/>
        <w:ind w:left="0" w:firstLine="720"/>
        <w:jc w:val="both"/>
        <w:rPr>
          <w:rtl/>
        </w:rPr>
      </w:pPr>
    </w:p>
    <w:p w14:paraId="62CDB926" w14:textId="77777777" w:rsidR="009C47B2" w:rsidRDefault="009C47B2" w:rsidP="009C47B2">
      <w:pPr>
        <w:pStyle w:val="ListParagraph"/>
        <w:spacing w:line="360" w:lineRule="auto"/>
        <w:ind w:left="0" w:firstLine="720"/>
        <w:jc w:val="both"/>
        <w:rPr>
          <w:rtl/>
        </w:rPr>
      </w:pPr>
      <w:r>
        <w:rPr>
          <w:rFonts w:hint="cs"/>
          <w:rtl/>
        </w:rPr>
        <w:t xml:space="preserve">שירות המבחן התרשם כי הנאשם מגלה תובנה חלקית ביחס לחומרת התנהגותו ומתקשה לבחון דרכי פעולה אחרות מותאמות ומקדמות בהן יכול היה לפעול, ואינו רואה במצבו כל צורך או נזקקות טיפולית. בהקשר זה יצוין כי גם לאחר שניתנה לנאשם הזדמנות נוספת להיעזר בכלים ששירות המבחן יכול להציע </w:t>
      </w:r>
      <w:r>
        <w:rPr>
          <w:rtl/>
        </w:rPr>
        <w:t>–</w:t>
      </w:r>
      <w:r>
        <w:rPr>
          <w:rFonts w:hint="cs"/>
          <w:rtl/>
        </w:rPr>
        <w:t xml:space="preserve"> נמנע הוא מכך. לפיכך ולמרות ששירות המבחן סבר כי יש לשלב את הנאשם במסגרת טיפול שייתן מענה לכלל בעיותיו נמנע הוא מהמלצה טיפולית בעניינו של הנאשם </w:t>
      </w:r>
      <w:r w:rsidRPr="00A91140">
        <w:rPr>
          <w:rFonts w:hint="cs"/>
          <w:rtl/>
        </w:rPr>
        <w:t>והעריך כי קיים סיכון במצבו.</w:t>
      </w:r>
    </w:p>
    <w:p w14:paraId="0944E3DD" w14:textId="77777777" w:rsidR="009C47B2" w:rsidRDefault="009C47B2" w:rsidP="009C47B2">
      <w:pPr>
        <w:pStyle w:val="ListParagraph"/>
        <w:spacing w:line="360" w:lineRule="auto"/>
        <w:ind w:left="0" w:firstLine="720"/>
        <w:jc w:val="both"/>
        <w:rPr>
          <w:rtl/>
        </w:rPr>
      </w:pPr>
    </w:p>
    <w:p w14:paraId="32E64ED5" w14:textId="77777777" w:rsidR="009C47B2" w:rsidRDefault="009C47B2" w:rsidP="009C47B2">
      <w:pPr>
        <w:pStyle w:val="ListParagraph"/>
        <w:numPr>
          <w:ilvl w:val="0"/>
          <w:numId w:val="1"/>
        </w:numPr>
        <w:spacing w:line="360" w:lineRule="auto"/>
        <w:ind w:left="0" w:firstLine="0"/>
        <w:jc w:val="both"/>
        <w:rPr>
          <w:rtl/>
        </w:rPr>
      </w:pPr>
      <w:r>
        <w:rPr>
          <w:rFonts w:hint="cs"/>
          <w:rtl/>
        </w:rPr>
        <w:t xml:space="preserve">הממונה על עבודות השירות מצא את הנאשם מתאים לבצע עבודת שירות במגבלות וקבע את תנאיה. </w:t>
      </w:r>
    </w:p>
    <w:p w14:paraId="486B0809" w14:textId="77777777" w:rsidR="009C47B2" w:rsidRPr="007D4C6E" w:rsidRDefault="009C47B2" w:rsidP="009C47B2">
      <w:pPr>
        <w:pStyle w:val="ListParagraph"/>
        <w:spacing w:line="360" w:lineRule="auto"/>
        <w:ind w:left="0"/>
        <w:jc w:val="both"/>
        <w:rPr>
          <w:u w:val="single"/>
        </w:rPr>
      </w:pPr>
    </w:p>
    <w:p w14:paraId="4D20261F" w14:textId="77777777" w:rsidR="009C47B2" w:rsidRDefault="009C47B2" w:rsidP="009C47B2">
      <w:pPr>
        <w:pStyle w:val="ListParagraph"/>
        <w:numPr>
          <w:ilvl w:val="0"/>
          <w:numId w:val="1"/>
        </w:numPr>
        <w:spacing w:line="360" w:lineRule="auto"/>
        <w:ind w:left="0" w:firstLine="0"/>
        <w:jc w:val="both"/>
      </w:pPr>
      <w:r>
        <w:rPr>
          <w:rFonts w:hint="cs"/>
          <w:rtl/>
        </w:rPr>
        <w:t>במסגרת הטיעונים לעונש העידו הנאשם ואמו.</w:t>
      </w:r>
    </w:p>
    <w:p w14:paraId="65635FD5" w14:textId="77777777" w:rsidR="009C47B2" w:rsidRDefault="009C47B2" w:rsidP="009C47B2">
      <w:pPr>
        <w:pStyle w:val="ListParagraph"/>
        <w:spacing w:line="360" w:lineRule="auto"/>
        <w:ind w:left="0"/>
        <w:jc w:val="both"/>
        <w:rPr>
          <w:rtl/>
        </w:rPr>
      </w:pPr>
    </w:p>
    <w:p w14:paraId="30604FC9" w14:textId="77777777" w:rsidR="009C47B2" w:rsidRDefault="009C47B2" w:rsidP="009C47B2">
      <w:pPr>
        <w:pStyle w:val="ListParagraph"/>
        <w:spacing w:line="360" w:lineRule="auto"/>
        <w:ind w:left="0" w:firstLine="720"/>
        <w:jc w:val="both"/>
        <w:rPr>
          <w:rtl/>
        </w:rPr>
      </w:pPr>
      <w:r w:rsidRPr="006C5825">
        <w:rPr>
          <w:rFonts w:hint="cs"/>
          <w:u w:val="single"/>
          <w:rtl/>
        </w:rPr>
        <w:t>מעדותו של הנאשם</w:t>
      </w:r>
      <w:r>
        <w:rPr>
          <w:rFonts w:hint="cs"/>
          <w:rtl/>
        </w:rPr>
        <w:t xml:space="preserve"> עלתה גרסתו לפיה גידל את הסמים מושא כתב האישום לצורך הפקת שמן </w:t>
      </w:r>
      <w:r>
        <w:rPr>
          <w:rFonts w:hint="cs"/>
        </w:rPr>
        <w:t>CBD</w:t>
      </w:r>
      <w:r>
        <w:rPr>
          <w:rFonts w:hint="cs"/>
          <w:rtl/>
        </w:rPr>
        <w:t xml:space="preserve"> לשימושו העצמי וכדי להתמודד עם בעיות הקשב והריכוז מהן הוא סובל. כמו כן הוגשו הודעות הנאשם במשטרה וסומנו נע/1 ונע/2. </w:t>
      </w:r>
    </w:p>
    <w:p w14:paraId="79E1B0F3" w14:textId="77777777" w:rsidR="009C47B2" w:rsidRDefault="009C47B2" w:rsidP="009C47B2">
      <w:pPr>
        <w:pStyle w:val="ListParagraph"/>
        <w:spacing w:line="360" w:lineRule="auto"/>
        <w:ind w:left="0" w:firstLine="720"/>
        <w:jc w:val="both"/>
        <w:rPr>
          <w:rtl/>
        </w:rPr>
      </w:pPr>
    </w:p>
    <w:p w14:paraId="624E5FCC" w14:textId="77777777" w:rsidR="009C47B2" w:rsidRDefault="009C47B2" w:rsidP="009C47B2">
      <w:pPr>
        <w:pStyle w:val="ListParagraph"/>
        <w:spacing w:line="360" w:lineRule="auto"/>
        <w:ind w:left="0" w:firstLine="720"/>
        <w:jc w:val="both"/>
        <w:rPr>
          <w:rtl/>
        </w:rPr>
      </w:pPr>
      <w:r>
        <w:rPr>
          <w:rFonts w:hint="cs"/>
          <w:rtl/>
        </w:rPr>
        <w:t xml:space="preserve">כפועל יוצא מעדותו ביקשה המאשימה לחקור את </w:t>
      </w:r>
      <w:r w:rsidRPr="005C0B83">
        <w:rPr>
          <w:rFonts w:hint="cs"/>
          <w:rtl/>
        </w:rPr>
        <w:t>הנאשם בחקירה נגדית, ממנה עלה כי</w:t>
      </w:r>
      <w:r>
        <w:rPr>
          <w:rFonts w:hint="cs"/>
          <w:rtl/>
        </w:rPr>
        <w:t xml:space="preserve"> הנאשם אינו יציב מבחינה תעסוקתית וכי את המעבדה מימן לדבריו בין היתר על ידי מחזור בקבוקים, והקמתה התפרשה על תקופה ממושכת בה רכש לאיטו את הציוד הנדרש. כשנשאל על כך הדגיש הנאשם כי ברגע שהיו ברשותו הכלים הנדרשים לא הושקע מאמץ רב בהקמת המעבדה עצמה.</w:t>
      </w:r>
    </w:p>
    <w:p w14:paraId="73BE0952" w14:textId="77777777" w:rsidR="009C47B2" w:rsidRDefault="009C47B2" w:rsidP="009C47B2">
      <w:pPr>
        <w:pStyle w:val="ListParagraph"/>
        <w:spacing w:line="360" w:lineRule="auto"/>
        <w:ind w:left="0" w:firstLine="720"/>
        <w:jc w:val="both"/>
        <w:rPr>
          <w:rtl/>
        </w:rPr>
      </w:pPr>
    </w:p>
    <w:p w14:paraId="5C78846D" w14:textId="77777777" w:rsidR="009C47B2" w:rsidRDefault="009C47B2" w:rsidP="009C47B2">
      <w:pPr>
        <w:pStyle w:val="ListParagraph"/>
        <w:spacing w:line="360" w:lineRule="auto"/>
        <w:ind w:left="0" w:firstLine="720"/>
        <w:jc w:val="both"/>
        <w:rPr>
          <w:rtl/>
        </w:rPr>
      </w:pPr>
      <w:r w:rsidRPr="00867026">
        <w:rPr>
          <w:rFonts w:hint="cs"/>
          <w:u w:val="single"/>
          <w:rtl/>
        </w:rPr>
        <w:t>מעדות אמו של הנאשם</w:t>
      </w:r>
      <w:r w:rsidRPr="005C0B83">
        <w:rPr>
          <w:rFonts w:hint="cs"/>
          <w:rtl/>
        </w:rPr>
        <w:t xml:space="preserve"> עלה כי</w:t>
      </w:r>
      <w:r>
        <w:rPr>
          <w:rFonts w:hint="cs"/>
          <w:rtl/>
        </w:rPr>
        <w:t xml:space="preserve"> לאורך השנים סבל הנאשם מקשיי למידה, בעיות קשב וריכוז ובעיות רגשיות רבות. האם סיפרה על נסיבות החיים הקשות אליהן נקלע הנאשם ועל האופן בו השפיעו על ההחלטות שקיבל במהלך חייו ועל התנהלותו הכללית.</w:t>
      </w:r>
    </w:p>
    <w:p w14:paraId="167D2A55" w14:textId="77777777" w:rsidR="009C47B2" w:rsidRDefault="009C47B2" w:rsidP="009C47B2">
      <w:pPr>
        <w:pStyle w:val="ListParagraph"/>
        <w:spacing w:line="360" w:lineRule="auto"/>
        <w:ind w:left="0" w:firstLine="720"/>
        <w:jc w:val="both"/>
        <w:rPr>
          <w:rtl/>
        </w:rPr>
      </w:pPr>
    </w:p>
    <w:p w14:paraId="5ACDC576" w14:textId="77777777" w:rsidR="009C47B2" w:rsidRPr="00867026" w:rsidRDefault="009C47B2" w:rsidP="009C47B2">
      <w:pPr>
        <w:pStyle w:val="ListParagraph"/>
        <w:spacing w:line="360" w:lineRule="auto"/>
        <w:ind w:left="0"/>
        <w:jc w:val="both"/>
        <w:rPr>
          <w:u w:val="single"/>
        </w:rPr>
      </w:pPr>
      <w:r w:rsidRPr="00867026">
        <w:rPr>
          <w:rFonts w:hint="cs"/>
          <w:u w:val="single"/>
          <w:rtl/>
        </w:rPr>
        <w:t xml:space="preserve">תמצית טיעוני הצדדים </w:t>
      </w:r>
    </w:p>
    <w:p w14:paraId="231D1DC1" w14:textId="77777777" w:rsidR="009C47B2" w:rsidRDefault="009C47B2" w:rsidP="009C47B2">
      <w:pPr>
        <w:pStyle w:val="ListParagraph"/>
        <w:numPr>
          <w:ilvl w:val="0"/>
          <w:numId w:val="1"/>
        </w:numPr>
        <w:spacing w:line="360" w:lineRule="auto"/>
        <w:ind w:left="0" w:firstLine="0"/>
        <w:jc w:val="both"/>
      </w:pPr>
      <w:r>
        <w:rPr>
          <w:rFonts w:hint="cs"/>
          <w:rtl/>
        </w:rPr>
        <w:t xml:space="preserve"> ב"כ המאשימה, עו"ד דנית שושן, עמדה בטיעוניה על השקעת הזמן והתכנון שהקדיש הנאשם בהקמת מעבדת הסמים והמשאבים שהקצה לכך. עוד ציינה כי כמות הסמים שנתפסה ומצבו הכלכלי הרעוע של הנאשם מעידים על כך שגידול הסמים לא נעשה לשימושו העצמי של הנאשם כפי שטען. ב"כ המאשימה הוסיפה וציינה את הערכת שירות המבחן לקיומו של סיכון להישנות עבירות בעתיד, את הצורך של הנאשם בטיפול ואת סירובו של הנאשם להיעזר בגורמי הטיפול.</w:t>
      </w:r>
    </w:p>
    <w:p w14:paraId="2F0B3F72" w14:textId="77777777" w:rsidR="009C47B2" w:rsidRDefault="009C47B2" w:rsidP="009C47B2">
      <w:pPr>
        <w:pStyle w:val="ListParagraph"/>
        <w:spacing w:line="360" w:lineRule="auto"/>
        <w:ind w:left="0"/>
        <w:jc w:val="both"/>
        <w:rPr>
          <w:rtl/>
        </w:rPr>
      </w:pPr>
    </w:p>
    <w:p w14:paraId="5D8DB315" w14:textId="77777777" w:rsidR="009C47B2" w:rsidRDefault="009C47B2" w:rsidP="009C47B2">
      <w:pPr>
        <w:pStyle w:val="ListParagraph"/>
        <w:spacing w:line="360" w:lineRule="auto"/>
        <w:ind w:left="0" w:firstLine="720"/>
        <w:jc w:val="both"/>
        <w:rPr>
          <w:rtl/>
        </w:rPr>
      </w:pPr>
      <w:r>
        <w:rPr>
          <w:rFonts w:hint="cs"/>
          <w:rtl/>
        </w:rPr>
        <w:t xml:space="preserve">המאשימה הגישה פסיקה, עתרה למתחם </w:t>
      </w:r>
      <w:r w:rsidRPr="005C0B83">
        <w:rPr>
          <w:rFonts w:hint="cs"/>
          <w:rtl/>
        </w:rPr>
        <w:t>עונש הולם שינוע בין 8 ל- 18 חודשי מאסר בפועל</w:t>
      </w:r>
      <w:r w:rsidRPr="00276B1A">
        <w:rPr>
          <w:rFonts w:hint="cs"/>
          <w:u w:val="single"/>
          <w:rtl/>
        </w:rPr>
        <w:t xml:space="preserve"> </w:t>
      </w:r>
      <w:r>
        <w:rPr>
          <w:rFonts w:hint="cs"/>
          <w:rtl/>
        </w:rPr>
        <w:t xml:space="preserve">וביקשה לגזור על הנאשם עונש בשליש התחתון של המתחם, תוך שהדגישה את החשיבות בשליחתו של הנאשם למאסר ממש. בנוסף ביקשה המאשימה לגזור על הנאשם מאסר על תנאי, פסילה בפועל, פסילה מותנית וקנס.  </w:t>
      </w:r>
    </w:p>
    <w:p w14:paraId="201C0F16" w14:textId="77777777" w:rsidR="009C47B2" w:rsidRDefault="009C47B2" w:rsidP="009C47B2">
      <w:pPr>
        <w:pStyle w:val="ListParagraph"/>
        <w:spacing w:line="360" w:lineRule="auto"/>
        <w:ind w:left="0" w:firstLine="720"/>
        <w:jc w:val="both"/>
        <w:rPr>
          <w:rtl/>
        </w:rPr>
      </w:pPr>
    </w:p>
    <w:p w14:paraId="6F7B8C64" w14:textId="77777777" w:rsidR="009C47B2" w:rsidRDefault="009C47B2" w:rsidP="009C47B2">
      <w:pPr>
        <w:pStyle w:val="ListParagraph"/>
        <w:spacing w:line="360" w:lineRule="auto"/>
        <w:ind w:left="0" w:firstLine="720"/>
        <w:jc w:val="both"/>
        <w:rPr>
          <w:rtl/>
        </w:rPr>
      </w:pPr>
      <w:r>
        <w:rPr>
          <w:rFonts w:hint="cs"/>
          <w:rtl/>
        </w:rPr>
        <w:t xml:space="preserve">במסגרת טיעוניה הגישה המאשימה תמונות מדירת הנאשם אשר סומנו תע/1. </w:t>
      </w:r>
    </w:p>
    <w:p w14:paraId="71C5CA84" w14:textId="77777777" w:rsidR="009C47B2" w:rsidRDefault="009C47B2" w:rsidP="009C47B2">
      <w:pPr>
        <w:pStyle w:val="ListParagraph"/>
        <w:spacing w:line="360" w:lineRule="auto"/>
        <w:ind w:left="0" w:firstLine="720"/>
        <w:jc w:val="both"/>
      </w:pPr>
    </w:p>
    <w:p w14:paraId="4BF72343" w14:textId="77777777" w:rsidR="009C47B2" w:rsidRDefault="009C47B2" w:rsidP="009C47B2">
      <w:pPr>
        <w:pStyle w:val="ListParagraph"/>
        <w:numPr>
          <w:ilvl w:val="0"/>
          <w:numId w:val="1"/>
        </w:numPr>
        <w:spacing w:line="360" w:lineRule="auto"/>
        <w:ind w:left="0" w:firstLine="0"/>
        <w:jc w:val="both"/>
      </w:pPr>
      <w:r>
        <w:rPr>
          <w:rFonts w:hint="cs"/>
          <w:rtl/>
        </w:rPr>
        <w:t xml:space="preserve">ב"כ הנאשם, עו"ד אברהם לנדשטיין, הדגיש בטיעוניו את טענתו החוזרת של הנאשם לפיה גידל את הסמים לצורך הפקת שמן </w:t>
      </w:r>
      <w:r>
        <w:rPr>
          <w:rFonts w:hint="cs"/>
        </w:rPr>
        <w:t>CBD</w:t>
      </w:r>
      <w:r>
        <w:rPr>
          <w:rFonts w:hint="cs"/>
          <w:rtl/>
        </w:rPr>
        <w:t xml:space="preserve"> במטרה להקל על בעיותיו הנפשיות וציין כי בכתב האישום לא אבחנו מהו החומר הפעיל בסם שנתפס. עוד ציין הסנגור את חלוף הזמן מיום ביצוע העבירה </w:t>
      </w:r>
      <w:r>
        <w:rPr>
          <w:rtl/>
        </w:rPr>
        <w:t>–</w:t>
      </w:r>
      <w:r>
        <w:rPr>
          <w:rFonts w:hint="cs"/>
          <w:rtl/>
        </w:rPr>
        <w:t xml:space="preserve"> כמעט ארבע שנים בהן הנאשם לא הסתבך בעבירות סמים, דבר המעיד לטענתו על כך שהנאשם אינו זקוק לטיפול בתחום זה. הסנגור עמד על נסיבות חייו של הנאשם כפי שתוארו בתסקיר שירות המבחן ובעדותה של אמו ועל מצבו הכלכלי הרעוע, הציג פסיקה לעונש וביקש לגזור על הנאשם עונש מאסר קצר ככל הניתן שירוצה בעבודות שירות. </w:t>
      </w:r>
    </w:p>
    <w:p w14:paraId="63109E2D" w14:textId="77777777" w:rsidR="009C47B2" w:rsidRDefault="009C47B2" w:rsidP="009C47B2">
      <w:pPr>
        <w:pStyle w:val="ListParagraph"/>
        <w:spacing w:line="360" w:lineRule="auto"/>
        <w:ind w:left="0"/>
        <w:jc w:val="both"/>
        <w:rPr>
          <w:rtl/>
        </w:rPr>
      </w:pPr>
    </w:p>
    <w:p w14:paraId="0F910037" w14:textId="77777777" w:rsidR="009C47B2" w:rsidRPr="00604CA5" w:rsidRDefault="009C47B2" w:rsidP="009C47B2">
      <w:pPr>
        <w:pStyle w:val="ListParagraph"/>
        <w:spacing w:line="360" w:lineRule="auto"/>
        <w:ind w:left="0"/>
        <w:jc w:val="both"/>
        <w:rPr>
          <w:b/>
          <w:bCs/>
          <w:u w:val="single"/>
        </w:rPr>
      </w:pPr>
      <w:r w:rsidRPr="00604CA5">
        <w:rPr>
          <w:rFonts w:hint="cs"/>
          <w:b/>
          <w:bCs/>
          <w:u w:val="single"/>
          <w:rtl/>
        </w:rPr>
        <w:t xml:space="preserve">דיון </w:t>
      </w:r>
    </w:p>
    <w:p w14:paraId="48C1E59E" w14:textId="77777777" w:rsidR="009C47B2" w:rsidRDefault="009C47B2" w:rsidP="009C47B2">
      <w:pPr>
        <w:pStyle w:val="ListParagraph"/>
        <w:numPr>
          <w:ilvl w:val="0"/>
          <w:numId w:val="1"/>
        </w:numPr>
        <w:spacing w:line="360" w:lineRule="auto"/>
        <w:ind w:left="0" w:firstLine="0"/>
        <w:jc w:val="both"/>
      </w:pPr>
      <w:r>
        <w:rPr>
          <w:rFonts w:hint="cs"/>
          <w:rtl/>
        </w:rPr>
        <w:t xml:space="preserve">הנאשם גידל בחדר בדירתו 22 שתילי סם מסוג קנבוס במשקל כולל של כ- 2 ק"ג נטו ועוד מספר צמחים שנתלו לייבוש בחדר נוסף במשקל של כ-16 גרם נטו. כמות זו של סם אינה מתיישבת עם טענת הנאשם (שלא מצאה ביטוי בעובדות כתב האישום המתוקן בהן הודה הנאשם) לפיה גידל את הסם לצריכתו העצמית </w:t>
      </w:r>
      <w:r w:rsidRPr="007A2067">
        <w:rPr>
          <w:rFonts w:hint="cs"/>
          <w:b/>
          <w:bCs/>
          <w:rtl/>
        </w:rPr>
        <w:t>בלבד</w:t>
      </w:r>
      <w:r>
        <w:rPr>
          <w:rFonts w:hint="cs"/>
          <w:rtl/>
        </w:rPr>
        <w:t>. יתר על כן, הנאשם מצא לא לנהל הליך הוכחות בו יכול היה לנסות ולהתמודד עם החזקה הקבועה בפקודת הסמים.</w:t>
      </w:r>
    </w:p>
    <w:p w14:paraId="5192BB9C" w14:textId="77777777" w:rsidR="009C47B2" w:rsidRPr="007A2067" w:rsidRDefault="009C47B2" w:rsidP="009C47B2">
      <w:pPr>
        <w:pStyle w:val="ListParagraph"/>
        <w:spacing w:line="360" w:lineRule="auto"/>
        <w:ind w:left="0"/>
        <w:jc w:val="both"/>
        <w:rPr>
          <w:rtl/>
        </w:rPr>
      </w:pPr>
    </w:p>
    <w:p w14:paraId="05342804" w14:textId="77777777" w:rsidR="009C47B2" w:rsidRPr="005D79D1" w:rsidRDefault="009C47B2" w:rsidP="009C47B2">
      <w:pPr>
        <w:spacing w:line="360" w:lineRule="auto"/>
        <w:jc w:val="both"/>
        <w:rPr>
          <w:u w:val="single"/>
        </w:rPr>
      </w:pPr>
      <w:r w:rsidRPr="005D79D1">
        <w:rPr>
          <w:rFonts w:hint="cs"/>
          <w:u w:val="single"/>
          <w:rtl/>
        </w:rPr>
        <w:t>מתחם העונש</w:t>
      </w:r>
      <w:r>
        <w:rPr>
          <w:rFonts w:hint="cs"/>
          <w:u w:val="single"/>
          <w:rtl/>
        </w:rPr>
        <w:t xml:space="preserve"> ההולם</w:t>
      </w:r>
    </w:p>
    <w:p w14:paraId="3CEFDAD9" w14:textId="77777777" w:rsidR="009C47B2" w:rsidRDefault="009C47B2" w:rsidP="009C47B2">
      <w:pPr>
        <w:pStyle w:val="ListParagraph"/>
        <w:numPr>
          <w:ilvl w:val="0"/>
          <w:numId w:val="1"/>
        </w:numPr>
        <w:spacing w:line="360" w:lineRule="auto"/>
        <w:ind w:left="0" w:firstLine="0"/>
        <w:jc w:val="both"/>
      </w:pPr>
      <w:r>
        <w:rPr>
          <w:rFonts w:hint="cs"/>
          <w:rtl/>
        </w:rPr>
        <w:t xml:space="preserve">רבות נכתב על תופעת הסמים ועל חובתו של בית המשפט לתרום בעזרת כליו למלחמה במיגור התופעה, כך בין היתר על ידי ענישה הולמת לאלו שחטאו בעבירות הסמים. מנעד הענישה בעבירות מהסוג האמור רחב ומשתנה בהתאם לנסיבותיו של כל מקרה ומקרה. </w:t>
      </w:r>
    </w:p>
    <w:p w14:paraId="58AB95EA" w14:textId="77777777" w:rsidR="009C47B2" w:rsidRDefault="009C47B2" w:rsidP="009C47B2">
      <w:pPr>
        <w:pStyle w:val="ListParagraph"/>
        <w:spacing w:line="360" w:lineRule="auto"/>
        <w:ind w:left="0"/>
        <w:jc w:val="both"/>
      </w:pPr>
    </w:p>
    <w:p w14:paraId="49A31F1A" w14:textId="77777777" w:rsidR="009C47B2" w:rsidRDefault="009C47B2" w:rsidP="009C47B2">
      <w:pPr>
        <w:pStyle w:val="ListParagraph"/>
        <w:numPr>
          <w:ilvl w:val="0"/>
          <w:numId w:val="1"/>
        </w:numPr>
        <w:spacing w:line="360" w:lineRule="auto"/>
        <w:ind w:left="0" w:firstLine="0"/>
        <w:jc w:val="both"/>
      </w:pPr>
      <w:r>
        <w:rPr>
          <w:rFonts w:hint="cs"/>
          <w:rtl/>
        </w:rPr>
        <w:t xml:space="preserve">בבואי לקבוע את מתחם העונש ההולם את המקרה שלפניי אתן דעתי לעקרון היסוד לפיו על העונש להלום את חומרת המעשה, לערך החברתי המוגן הנפגע מביצוע העבירה והוא שלום הציבור מפני פגיעתו הרעה של הסם, לרמת הענישה הנוהגת ולנסיבות הקשורות בביצוע העבירה (כמות הסם שנתפסה, כמות השתילים שלא הייתה רבה, אופי המעבדה ומידת התחכום הנדרש להקמתה). </w:t>
      </w:r>
    </w:p>
    <w:p w14:paraId="11ED1445" w14:textId="77777777" w:rsidR="009C47B2" w:rsidRDefault="009C47B2" w:rsidP="009C47B2">
      <w:pPr>
        <w:pStyle w:val="ListParagraph"/>
        <w:spacing w:line="360" w:lineRule="auto"/>
        <w:ind w:left="0"/>
        <w:jc w:val="both"/>
      </w:pPr>
      <w:r>
        <w:rPr>
          <w:rFonts w:hint="cs"/>
          <w:rtl/>
        </w:rPr>
        <w:t xml:space="preserve">     </w:t>
      </w:r>
    </w:p>
    <w:p w14:paraId="4F2F5D27" w14:textId="77777777" w:rsidR="009C47B2" w:rsidRDefault="009C47B2" w:rsidP="009C47B2">
      <w:pPr>
        <w:pStyle w:val="ListParagraph"/>
        <w:numPr>
          <w:ilvl w:val="0"/>
          <w:numId w:val="1"/>
        </w:numPr>
        <w:spacing w:line="360" w:lineRule="auto"/>
        <w:ind w:left="0" w:firstLine="0"/>
        <w:jc w:val="both"/>
      </w:pPr>
      <w:r>
        <w:rPr>
          <w:rFonts w:hint="cs"/>
          <w:rtl/>
        </w:rPr>
        <w:t xml:space="preserve">לא מצאתי לקבל את מתחם העונש שהציעה המאשימה. פסקי הדין שהציגה שונים מענייננו, חלקם בשל העבירות הנלוות הקיימות בהם (לאחר התיקון של כתב האישום במקרה שלפני נותרה העבירה של גידול סם בלבד) וחלקם בשל נסיבותיהם. </w:t>
      </w:r>
    </w:p>
    <w:p w14:paraId="671582F3" w14:textId="77777777" w:rsidR="009C47B2" w:rsidRPr="00DA634B" w:rsidRDefault="009C47B2" w:rsidP="009C47B2">
      <w:pPr>
        <w:pStyle w:val="ListParagraph"/>
        <w:spacing w:line="360" w:lineRule="auto"/>
        <w:rPr>
          <w:rtl/>
        </w:rPr>
      </w:pPr>
    </w:p>
    <w:p w14:paraId="3F4D7FB1" w14:textId="77777777" w:rsidR="009C47B2" w:rsidRPr="002B1B6E" w:rsidRDefault="009C47B2" w:rsidP="009C47B2">
      <w:pPr>
        <w:pStyle w:val="ListParagraph"/>
        <w:spacing w:line="360" w:lineRule="auto"/>
        <w:ind w:left="0" w:firstLine="720"/>
        <w:jc w:val="both"/>
      </w:pPr>
      <w:r w:rsidRPr="002B1B6E">
        <w:rPr>
          <w:rFonts w:hint="cs"/>
          <w:u w:val="single"/>
          <w:rtl/>
        </w:rPr>
        <w:t>ניתן למנות שורה של פסקי דין מהם ניתן להשליך על המקרה שלפני אשר קבעו מתחמי עונש שתחילתם במספר חודשי מאסר, לריצוי בעבודות שירות ולא בהכרח מאחורי סורג ובריח</w:t>
      </w:r>
      <w:r>
        <w:rPr>
          <w:rFonts w:hint="cs"/>
          <w:rtl/>
        </w:rPr>
        <w:t>. כך למשל ב</w:t>
      </w:r>
      <w:hyperlink r:id="rId13" w:history="1">
        <w:r w:rsidR="003B7197" w:rsidRPr="003B7197">
          <w:rPr>
            <w:color w:val="0000FF"/>
            <w:u w:val="single"/>
            <w:rtl/>
          </w:rPr>
          <w:t>עפ"ג (מרכז-לוד) 40734-05-13</w:t>
        </w:r>
      </w:hyperlink>
      <w:r>
        <w:rPr>
          <w:rFonts w:hint="cs"/>
          <w:rtl/>
        </w:rPr>
        <w:t xml:space="preserve"> </w:t>
      </w:r>
      <w:r>
        <w:rPr>
          <w:rFonts w:hint="cs"/>
          <w:b/>
          <w:bCs/>
          <w:rtl/>
        </w:rPr>
        <w:t xml:space="preserve">אברמוב נ' מדינת ישראל </w:t>
      </w:r>
      <w:r w:rsidR="00CC6190" w:rsidRPr="00CC6190">
        <w:rPr>
          <w:sz w:val="22"/>
          <w:rtl/>
        </w:rPr>
        <w:t xml:space="preserve">[פורסם בנבו] </w:t>
      </w:r>
      <w:r>
        <w:rPr>
          <w:rFonts w:hint="cs"/>
          <w:rtl/>
        </w:rPr>
        <w:t>(3.9.2013) אושר מתחם עונש הולם שנע בין מספר חודשי עבודות שירות לשנתיים מאסר בפועל לנאשם שניהל מעבדת סם  מסוכן מסוג קנאבוס בהיקף של 32 שתילים שמשקלם 10 ק"ג. וכך, ב</w:t>
      </w:r>
      <w:hyperlink r:id="rId14" w:history="1">
        <w:r w:rsidR="003B7197" w:rsidRPr="003B7197">
          <w:rPr>
            <w:color w:val="0000FF"/>
            <w:u w:val="single"/>
            <w:rtl/>
          </w:rPr>
          <w:t>עפ"ג (מרכז) 60818-06-18</w:t>
        </w:r>
      </w:hyperlink>
      <w:r>
        <w:rPr>
          <w:rFonts w:hint="cs"/>
          <w:rtl/>
        </w:rPr>
        <w:t xml:space="preserve"> </w:t>
      </w:r>
      <w:r>
        <w:rPr>
          <w:rFonts w:hint="cs"/>
          <w:b/>
          <w:bCs/>
          <w:rtl/>
        </w:rPr>
        <w:t>מדינת ישראל נ' חסון</w:t>
      </w:r>
      <w:r>
        <w:rPr>
          <w:rFonts w:hint="cs"/>
          <w:rtl/>
        </w:rPr>
        <w:t xml:space="preserve"> </w:t>
      </w:r>
      <w:r w:rsidR="00CC6190" w:rsidRPr="00CC6190">
        <w:rPr>
          <w:sz w:val="22"/>
          <w:rtl/>
        </w:rPr>
        <w:t xml:space="preserve">[פורסם בנבו] </w:t>
      </w:r>
      <w:r>
        <w:rPr>
          <w:rFonts w:hint="cs"/>
          <w:rtl/>
        </w:rPr>
        <w:t>(14.5.2019) אושר מתחם עונש הולם שהרף התחתון שלו הוא 6 חודשי מאסר בנוגע למעבדת סם מסוכן מסוג קנאבוס בהיקף של 9 שתילים שמשקלם 2.74 ק"ג.</w:t>
      </w:r>
    </w:p>
    <w:p w14:paraId="1B2873DB" w14:textId="77777777" w:rsidR="009C47B2" w:rsidRDefault="009C47B2" w:rsidP="009C47B2">
      <w:pPr>
        <w:spacing w:line="360" w:lineRule="auto"/>
        <w:jc w:val="both"/>
      </w:pPr>
      <w:r>
        <w:rPr>
          <w:rFonts w:hint="cs"/>
          <w:rtl/>
        </w:rPr>
        <w:t xml:space="preserve"> </w:t>
      </w:r>
    </w:p>
    <w:p w14:paraId="79F16821" w14:textId="77777777" w:rsidR="009C47B2" w:rsidRDefault="009C47B2" w:rsidP="009C47B2">
      <w:pPr>
        <w:pStyle w:val="ListParagraph"/>
        <w:numPr>
          <w:ilvl w:val="0"/>
          <w:numId w:val="1"/>
        </w:numPr>
        <w:spacing w:line="360" w:lineRule="auto"/>
        <w:ind w:left="0" w:firstLine="0"/>
        <w:jc w:val="both"/>
      </w:pPr>
      <w:r>
        <w:rPr>
          <w:rFonts w:hint="cs"/>
          <w:rtl/>
        </w:rPr>
        <w:t>במקרה שלפני, בו הנאשם גידל 22 שתילי קנאבוס במשקל של כ- 2 ק"ג, ובהתחשב בנסיבות של המקרה דעתי היא כי מתחם העונש ההולם את מעשיו של הנאשם נע בין</w:t>
      </w:r>
      <w:r>
        <w:rPr>
          <w:rFonts w:hint="cs"/>
          <w:b/>
          <w:bCs/>
          <w:rtl/>
        </w:rPr>
        <w:t xml:space="preserve"> מספר חודשי מאסר בפועל</w:t>
      </w:r>
      <w:r w:rsidRPr="00276B1A">
        <w:rPr>
          <w:rFonts w:hint="cs"/>
          <w:b/>
          <w:bCs/>
          <w:rtl/>
        </w:rPr>
        <w:t xml:space="preserve"> ל-</w:t>
      </w:r>
      <w:r>
        <w:rPr>
          <w:rFonts w:hint="cs"/>
          <w:b/>
          <w:bCs/>
          <w:rtl/>
        </w:rPr>
        <w:t>16</w:t>
      </w:r>
      <w:r w:rsidRPr="00276B1A">
        <w:rPr>
          <w:rFonts w:hint="cs"/>
          <w:b/>
          <w:bCs/>
          <w:rtl/>
        </w:rPr>
        <w:t xml:space="preserve"> חודשי מאסר בפועל</w:t>
      </w:r>
      <w:r>
        <w:rPr>
          <w:rFonts w:hint="cs"/>
          <w:rtl/>
        </w:rPr>
        <w:t xml:space="preserve">. </w:t>
      </w:r>
    </w:p>
    <w:p w14:paraId="3D34B672" w14:textId="77777777" w:rsidR="009C47B2" w:rsidRDefault="009C47B2" w:rsidP="009C47B2">
      <w:pPr>
        <w:pStyle w:val="ListParagraph"/>
        <w:spacing w:line="360" w:lineRule="auto"/>
        <w:ind w:left="0"/>
        <w:jc w:val="both"/>
      </w:pPr>
    </w:p>
    <w:p w14:paraId="2A480204" w14:textId="77777777" w:rsidR="009C47B2" w:rsidRDefault="009C47B2" w:rsidP="009C47B2">
      <w:pPr>
        <w:pStyle w:val="ListParagraph"/>
        <w:numPr>
          <w:ilvl w:val="0"/>
          <w:numId w:val="1"/>
        </w:numPr>
        <w:spacing w:line="360" w:lineRule="auto"/>
        <w:ind w:left="0" w:firstLine="0"/>
        <w:jc w:val="both"/>
      </w:pPr>
      <w:r>
        <w:rPr>
          <w:rFonts w:hint="cs"/>
          <w:rtl/>
        </w:rPr>
        <w:t xml:space="preserve">מתחם הקנס ההולם את העבירה בנסיבותיה ינוע בין 2,000 ₪ ל- 8,000 ₪. בקביעת מתחם הקנס הבאתי בחשבון את מצבו הכלכלי של הנאשם.  </w:t>
      </w:r>
    </w:p>
    <w:p w14:paraId="27821BB0" w14:textId="77777777" w:rsidR="009C47B2" w:rsidRPr="009C3636" w:rsidRDefault="009C47B2" w:rsidP="009C47B2">
      <w:pPr>
        <w:spacing w:line="360" w:lineRule="auto"/>
        <w:jc w:val="both"/>
      </w:pPr>
    </w:p>
    <w:p w14:paraId="456CE64F" w14:textId="77777777" w:rsidR="009C47B2" w:rsidRDefault="009C47B2" w:rsidP="009C47B2">
      <w:pPr>
        <w:pStyle w:val="ListParagraph"/>
        <w:numPr>
          <w:ilvl w:val="0"/>
          <w:numId w:val="1"/>
        </w:numPr>
        <w:spacing w:line="360" w:lineRule="auto"/>
        <w:ind w:left="0" w:firstLine="0"/>
        <w:jc w:val="both"/>
      </w:pPr>
      <w:r>
        <w:rPr>
          <w:rFonts w:hint="cs"/>
          <w:rtl/>
        </w:rPr>
        <w:t xml:space="preserve">לא מצאתי כי במקרה זה יש לסטות מן המתחם לצורכי שיקום. אמנם הנאשם ככל הנראה אינו צורך עוד חומרים ממכרים, אולם על אף ההזדמנות שניתנה לנאשם התסקירים שהוגשו בעניינו לא הצביעו על רצונו להיעזר בגורמי הטיפול כפי שהוצע לו. </w:t>
      </w:r>
    </w:p>
    <w:p w14:paraId="7DCC4774" w14:textId="77777777" w:rsidR="009C47B2" w:rsidRDefault="009C47B2" w:rsidP="009C47B2">
      <w:pPr>
        <w:pStyle w:val="ListParagraph"/>
        <w:spacing w:line="360" w:lineRule="auto"/>
        <w:ind w:left="0"/>
        <w:jc w:val="both"/>
        <w:rPr>
          <w:rtl/>
        </w:rPr>
      </w:pPr>
    </w:p>
    <w:p w14:paraId="20DE166B" w14:textId="77777777" w:rsidR="009C47B2" w:rsidRPr="00F6607F" w:rsidRDefault="009C47B2" w:rsidP="009C47B2">
      <w:pPr>
        <w:pStyle w:val="ListParagraph"/>
        <w:spacing w:line="360" w:lineRule="auto"/>
        <w:ind w:left="0"/>
        <w:jc w:val="both"/>
        <w:rPr>
          <w:u w:val="single"/>
        </w:rPr>
      </w:pPr>
      <w:r w:rsidRPr="00F6607F">
        <w:rPr>
          <w:rFonts w:hint="cs"/>
          <w:u w:val="single"/>
          <w:rtl/>
        </w:rPr>
        <w:t>גזירת העונש</w:t>
      </w:r>
    </w:p>
    <w:p w14:paraId="030EC24B" w14:textId="77777777" w:rsidR="009C47B2" w:rsidRDefault="009C47B2" w:rsidP="009C47B2">
      <w:pPr>
        <w:pStyle w:val="ListParagraph"/>
        <w:numPr>
          <w:ilvl w:val="0"/>
          <w:numId w:val="1"/>
        </w:numPr>
        <w:spacing w:line="360" w:lineRule="auto"/>
        <w:ind w:left="0" w:firstLine="0"/>
        <w:jc w:val="both"/>
      </w:pPr>
      <w:r>
        <w:rPr>
          <w:rFonts w:hint="cs"/>
          <w:rtl/>
        </w:rPr>
        <w:t xml:space="preserve">כעת נותר לגזור את דינו של הנאשם בתוך מתחם העונש שקבעתי בעניינו. </w:t>
      </w:r>
    </w:p>
    <w:p w14:paraId="68406C4B" w14:textId="77777777" w:rsidR="009C47B2" w:rsidRDefault="009C47B2" w:rsidP="009C47B2">
      <w:pPr>
        <w:pStyle w:val="ListParagraph"/>
        <w:spacing w:line="360" w:lineRule="auto"/>
        <w:ind w:left="0"/>
        <w:jc w:val="both"/>
        <w:rPr>
          <w:rtl/>
        </w:rPr>
      </w:pPr>
    </w:p>
    <w:p w14:paraId="0A876A2B" w14:textId="77777777" w:rsidR="009C47B2" w:rsidRDefault="009C47B2" w:rsidP="009C47B2">
      <w:pPr>
        <w:pStyle w:val="ListParagraph"/>
        <w:spacing w:line="360" w:lineRule="auto"/>
        <w:ind w:left="0" w:firstLine="720"/>
        <w:jc w:val="both"/>
      </w:pPr>
      <w:r>
        <w:rPr>
          <w:rFonts w:hint="cs"/>
          <w:rtl/>
        </w:rPr>
        <w:t>לחומרה יש לתת את הדעת לצורך בהרתעת הציבור מפני ביצוע עבירות הסמים ובהרתעת היחיד (במיוחד נוכח הערכתו של שירות המבחן כי עודנו קיים סיכון במצבו של הנאשם).</w:t>
      </w:r>
    </w:p>
    <w:p w14:paraId="0800B3D7" w14:textId="77777777" w:rsidR="009C47B2" w:rsidRDefault="009C47B2" w:rsidP="009C47B2">
      <w:pPr>
        <w:pStyle w:val="ListParagraph"/>
        <w:spacing w:line="360" w:lineRule="auto"/>
        <w:ind w:left="0"/>
        <w:jc w:val="both"/>
        <w:rPr>
          <w:rtl/>
        </w:rPr>
      </w:pPr>
    </w:p>
    <w:p w14:paraId="1DFFE5C5" w14:textId="77777777" w:rsidR="009C47B2" w:rsidRDefault="009C47B2" w:rsidP="009C47B2">
      <w:pPr>
        <w:pStyle w:val="ListParagraph"/>
        <w:spacing w:line="360" w:lineRule="auto"/>
        <w:ind w:left="0" w:firstLine="720"/>
        <w:jc w:val="both"/>
        <w:rPr>
          <w:rtl/>
        </w:rPr>
      </w:pPr>
      <w:r>
        <w:rPr>
          <w:rFonts w:hint="cs"/>
          <w:rtl/>
        </w:rPr>
        <w:t>לקולה הבאתי בחשבון את הודאתו של הנאשם בהזדמנות הראשונה, את נסיבות חייו, את חלוף הזמן מביצוע העבירה, את העובדה כי לנאשם אין עבר פלילי בעבירות סמים ואת הפגיעה של העונש הצפוי בנאשם ובמשפחתו.</w:t>
      </w:r>
    </w:p>
    <w:p w14:paraId="7D1E85E9" w14:textId="77777777" w:rsidR="009C47B2" w:rsidRDefault="009C47B2" w:rsidP="009C47B2">
      <w:pPr>
        <w:pStyle w:val="ListParagraph"/>
        <w:spacing w:line="360" w:lineRule="auto"/>
        <w:ind w:left="0" w:firstLine="720"/>
        <w:jc w:val="both"/>
      </w:pPr>
      <w:r>
        <w:rPr>
          <w:rFonts w:hint="cs"/>
          <w:rtl/>
        </w:rPr>
        <w:t xml:space="preserve"> </w:t>
      </w:r>
    </w:p>
    <w:p w14:paraId="17044990" w14:textId="77777777" w:rsidR="009C47B2" w:rsidRDefault="009C47B2" w:rsidP="009C47B2">
      <w:pPr>
        <w:pStyle w:val="ListParagraph"/>
        <w:numPr>
          <w:ilvl w:val="0"/>
          <w:numId w:val="1"/>
        </w:numPr>
        <w:spacing w:line="360" w:lineRule="auto"/>
        <w:ind w:left="0" w:firstLine="0"/>
        <w:jc w:val="both"/>
      </w:pPr>
      <w:r>
        <w:rPr>
          <w:rFonts w:hint="cs"/>
          <w:rtl/>
        </w:rPr>
        <w:t xml:space="preserve">לאחר ששקלתי את כל הטענות לקולה ולחומרה החלטתי לקבל את עתירתה של המאשימה ולגזור על הנאשם עונש בשליש התחתון של המתחם, אלא שבניגוד לטענת המאשימה לא מצאתי כי יש חובה מיוחדת לגזור על הנאשם עונש מאסר שירוצה מאחורי סורג ובריח. ניתן למנות גזרי דין שונים עם נסיבות דומות למקרה שלפניי בהם נגזרו עונשים של מאסר בדרך של עבודות שירות, ואף עונשים קלים יותר על נאשמים שלא נתנה המלצה טיפולית בעניינם [ראו והשוו </w:t>
      </w:r>
      <w:hyperlink r:id="rId15" w:history="1">
        <w:r w:rsidR="003B7197" w:rsidRPr="003B7197">
          <w:rPr>
            <w:color w:val="0000FF"/>
            <w:u w:val="single"/>
            <w:rtl/>
          </w:rPr>
          <w:t>עפ"ג (י-ם) 7138-04-17</w:t>
        </w:r>
      </w:hyperlink>
      <w:r>
        <w:rPr>
          <w:rFonts w:hint="cs"/>
          <w:rtl/>
        </w:rPr>
        <w:t xml:space="preserve"> </w:t>
      </w:r>
      <w:r>
        <w:rPr>
          <w:rFonts w:hint="cs"/>
          <w:b/>
          <w:bCs/>
          <w:rtl/>
        </w:rPr>
        <w:t>יזרעאלי נ' מדינת ישראל</w:t>
      </w:r>
      <w:r>
        <w:rPr>
          <w:rFonts w:hint="cs"/>
          <w:rtl/>
        </w:rPr>
        <w:t xml:space="preserve"> </w:t>
      </w:r>
      <w:r w:rsidR="00CC6190" w:rsidRPr="00CC6190">
        <w:rPr>
          <w:sz w:val="22"/>
          <w:rtl/>
        </w:rPr>
        <w:t xml:space="preserve">[פורסם בנבו] </w:t>
      </w:r>
      <w:r>
        <w:rPr>
          <w:rFonts w:hint="cs"/>
          <w:rtl/>
        </w:rPr>
        <w:t xml:space="preserve">(8.11.2017); </w:t>
      </w:r>
      <w:hyperlink r:id="rId16" w:history="1">
        <w:r w:rsidR="003B7197" w:rsidRPr="003B7197">
          <w:rPr>
            <w:color w:val="0000FF"/>
            <w:u w:val="single"/>
            <w:rtl/>
          </w:rPr>
          <w:t>עפ"ג (חי') 50966-05-15</w:t>
        </w:r>
      </w:hyperlink>
      <w:r>
        <w:rPr>
          <w:rFonts w:hint="cs"/>
          <w:rtl/>
        </w:rPr>
        <w:t xml:space="preserve"> </w:t>
      </w:r>
      <w:r>
        <w:rPr>
          <w:rFonts w:hint="cs"/>
          <w:b/>
          <w:bCs/>
          <w:rtl/>
        </w:rPr>
        <w:t>מדינת ישראל נ' נתנוב</w:t>
      </w:r>
      <w:r>
        <w:rPr>
          <w:rFonts w:hint="cs"/>
          <w:rtl/>
        </w:rPr>
        <w:t xml:space="preserve"> </w:t>
      </w:r>
      <w:r w:rsidR="00CC6190" w:rsidRPr="00CC6190">
        <w:rPr>
          <w:sz w:val="22"/>
          <w:rtl/>
        </w:rPr>
        <w:t xml:space="preserve">[פורסם בנבו] </w:t>
      </w:r>
      <w:r>
        <w:rPr>
          <w:rFonts w:hint="cs"/>
          <w:rtl/>
        </w:rPr>
        <w:t>(8.10.2015)]. במקרה דנן, על נסיבותיו המתוארות לעיל, לא ראיתי מדוע קיים הכרח לקבוע כי הנאשם ירצה את עונש המאסר בפועל לו הוא ראוי בדרך כזו ולא אחרת.</w:t>
      </w:r>
    </w:p>
    <w:p w14:paraId="1A86CDFD" w14:textId="77777777" w:rsidR="009C47B2" w:rsidRDefault="009C47B2" w:rsidP="009C47B2">
      <w:pPr>
        <w:pStyle w:val="ListParagraph"/>
        <w:spacing w:line="360" w:lineRule="auto"/>
        <w:ind w:left="0"/>
        <w:jc w:val="both"/>
      </w:pPr>
    </w:p>
    <w:p w14:paraId="409930FC" w14:textId="77777777" w:rsidR="009C47B2" w:rsidRDefault="009C47B2" w:rsidP="009C47B2">
      <w:pPr>
        <w:pStyle w:val="ListParagraph"/>
        <w:spacing w:line="360" w:lineRule="auto"/>
        <w:ind w:left="0" w:firstLine="720"/>
        <w:jc w:val="both"/>
        <w:rPr>
          <w:rtl/>
        </w:rPr>
      </w:pPr>
      <w:r>
        <w:rPr>
          <w:rFonts w:hint="cs"/>
          <w:rtl/>
        </w:rPr>
        <w:t xml:space="preserve">הצדקה נוספת למסקנה זו ניתן למצוא במסקנותיה של הועדה לבחינת מדיניות הענישה והטיפול בעבריינים מנובמבר 2015 (דוח דורנר), אשר אושרו על ידי הממשלה, לפיהן עונשי מאסר קצרים אינם משיגים, במרבית המקרים, את מטרות הענישה הקלאסיות, כגון הרתעה, אלא רק מעודדים את הנטייה לעבריינות.  </w:t>
      </w:r>
    </w:p>
    <w:p w14:paraId="4FF917BA" w14:textId="77777777" w:rsidR="009C47B2" w:rsidRDefault="009C47B2" w:rsidP="009C47B2">
      <w:pPr>
        <w:pStyle w:val="ListParagraph"/>
        <w:spacing w:line="360" w:lineRule="auto"/>
        <w:ind w:left="0" w:firstLine="720"/>
        <w:jc w:val="both"/>
      </w:pPr>
    </w:p>
    <w:p w14:paraId="22100ECB" w14:textId="77777777" w:rsidR="009C47B2" w:rsidRDefault="009C47B2" w:rsidP="009C47B2">
      <w:pPr>
        <w:pStyle w:val="ListParagraph"/>
        <w:numPr>
          <w:ilvl w:val="0"/>
          <w:numId w:val="1"/>
        </w:numPr>
        <w:spacing w:line="360" w:lineRule="auto"/>
        <w:ind w:left="0" w:firstLine="0"/>
        <w:jc w:val="both"/>
      </w:pPr>
      <w:r>
        <w:rPr>
          <w:rFonts w:hint="cs"/>
          <w:rtl/>
        </w:rPr>
        <w:t xml:space="preserve">  נוכח כל האמור החלטתי לגזור על הנאשם את העונשים הבאים:</w:t>
      </w:r>
    </w:p>
    <w:p w14:paraId="5D143B84" w14:textId="77777777" w:rsidR="009C47B2" w:rsidRDefault="009C47B2" w:rsidP="009C47B2">
      <w:pPr>
        <w:pStyle w:val="ListParagraph"/>
        <w:spacing w:line="360" w:lineRule="auto"/>
        <w:ind w:left="0"/>
        <w:jc w:val="both"/>
      </w:pPr>
    </w:p>
    <w:p w14:paraId="6C3C1283" w14:textId="77777777" w:rsidR="009C47B2" w:rsidRDefault="009C47B2" w:rsidP="009C47B2">
      <w:pPr>
        <w:pStyle w:val="ListParagraph"/>
        <w:numPr>
          <w:ilvl w:val="0"/>
          <w:numId w:val="2"/>
        </w:numPr>
        <w:spacing w:line="360" w:lineRule="auto"/>
        <w:jc w:val="both"/>
      </w:pPr>
      <w:r>
        <w:rPr>
          <w:rFonts w:hint="cs"/>
          <w:rtl/>
        </w:rPr>
        <w:t xml:space="preserve">מאסר בפועל בן 6 חודשים שירוצה בעבודות שירות במרכז יום לקשיש </w:t>
      </w:r>
      <w:r>
        <w:rPr>
          <w:rtl/>
        </w:rPr>
        <w:t>–</w:t>
      </w:r>
      <w:r>
        <w:rPr>
          <w:rFonts w:hint="cs"/>
          <w:rtl/>
        </w:rPr>
        <w:t xml:space="preserve"> ג'פרי לידר החל ביום 9.2.2020. על הנאשם להתייצב לריצוי עונשו באותו מועד בשעה 8:00 במפקדת מחוז מרכז שב"ס רמלה. </w:t>
      </w:r>
    </w:p>
    <w:p w14:paraId="579F2A71" w14:textId="77777777" w:rsidR="009C47B2" w:rsidRDefault="009C47B2" w:rsidP="009C47B2">
      <w:pPr>
        <w:pStyle w:val="ListParagraph"/>
        <w:spacing w:line="360" w:lineRule="auto"/>
        <w:ind w:left="780"/>
        <w:jc w:val="both"/>
      </w:pPr>
    </w:p>
    <w:p w14:paraId="102C1ED3" w14:textId="77777777" w:rsidR="009C47B2" w:rsidRDefault="009C47B2" w:rsidP="009C47B2">
      <w:pPr>
        <w:pStyle w:val="ListParagraph"/>
        <w:numPr>
          <w:ilvl w:val="0"/>
          <w:numId w:val="2"/>
        </w:numPr>
        <w:spacing w:line="360" w:lineRule="auto"/>
        <w:jc w:val="both"/>
      </w:pPr>
      <w:r>
        <w:rPr>
          <w:rFonts w:hint="cs"/>
          <w:rtl/>
        </w:rPr>
        <w:t>מאסר על תנאי בן 6 חודשים והתנאי הוא כי בתקופה בת שלוש שנים לא יעבור הנאשם עבירת סמים מסוג פשע.</w:t>
      </w:r>
    </w:p>
    <w:p w14:paraId="07A73C1A" w14:textId="77777777" w:rsidR="009C47B2" w:rsidRDefault="009C47B2" w:rsidP="009C47B2">
      <w:pPr>
        <w:pStyle w:val="ListParagraph"/>
        <w:spacing w:line="360" w:lineRule="auto"/>
        <w:ind w:left="780"/>
        <w:jc w:val="both"/>
      </w:pPr>
      <w:r>
        <w:rPr>
          <w:rFonts w:hint="cs"/>
          <w:rtl/>
        </w:rPr>
        <w:t xml:space="preserve"> </w:t>
      </w:r>
    </w:p>
    <w:p w14:paraId="35B974CF" w14:textId="77777777" w:rsidR="009C47B2" w:rsidRDefault="009C47B2" w:rsidP="009C47B2">
      <w:pPr>
        <w:pStyle w:val="ListParagraph"/>
        <w:numPr>
          <w:ilvl w:val="0"/>
          <w:numId w:val="2"/>
        </w:numPr>
        <w:spacing w:line="360" w:lineRule="auto"/>
        <w:jc w:val="both"/>
      </w:pPr>
      <w:r>
        <w:rPr>
          <w:rFonts w:hint="cs"/>
          <w:rtl/>
        </w:rPr>
        <w:t xml:space="preserve">מאסר על תנאי בן חודש, והתנאי הוא כי בתקופה בת שלוש שנים לא יעבור הנאשם עבירת סמים מסוג עוון. </w:t>
      </w:r>
    </w:p>
    <w:p w14:paraId="26C2E7FE" w14:textId="77777777" w:rsidR="009C47B2" w:rsidRDefault="009C47B2" w:rsidP="009C47B2">
      <w:pPr>
        <w:pStyle w:val="ListParagraph"/>
        <w:spacing w:line="360" w:lineRule="auto"/>
        <w:ind w:left="780"/>
        <w:jc w:val="both"/>
      </w:pPr>
      <w:r>
        <w:rPr>
          <w:rFonts w:hint="cs"/>
          <w:rtl/>
        </w:rPr>
        <w:t xml:space="preserve"> </w:t>
      </w:r>
    </w:p>
    <w:p w14:paraId="1E4AB6FE" w14:textId="77777777" w:rsidR="009C47B2" w:rsidRDefault="009C47B2" w:rsidP="009C47B2">
      <w:pPr>
        <w:pStyle w:val="ListParagraph"/>
        <w:numPr>
          <w:ilvl w:val="0"/>
          <w:numId w:val="2"/>
        </w:numPr>
        <w:spacing w:line="360" w:lineRule="auto"/>
        <w:jc w:val="both"/>
      </w:pPr>
      <w:r>
        <w:rPr>
          <w:rFonts w:hint="cs"/>
          <w:rtl/>
        </w:rPr>
        <w:t>קנס בסך 3,000 ₪ או 30 יום מאסר תמורתו. הקנס ישתלם ב-5 תשלומים חודשיים שוים ורצופים החל מיום 1.3.2020.</w:t>
      </w:r>
    </w:p>
    <w:p w14:paraId="335AFF32" w14:textId="77777777" w:rsidR="009C47B2" w:rsidRDefault="009C47B2" w:rsidP="009C47B2">
      <w:pPr>
        <w:pStyle w:val="ListParagraph"/>
        <w:spacing w:line="360" w:lineRule="auto"/>
        <w:ind w:left="780"/>
        <w:jc w:val="both"/>
      </w:pPr>
      <w:r>
        <w:rPr>
          <w:rFonts w:hint="cs"/>
          <w:rtl/>
        </w:rPr>
        <w:t xml:space="preserve"> </w:t>
      </w:r>
    </w:p>
    <w:p w14:paraId="44FD0199" w14:textId="77777777" w:rsidR="009C47B2" w:rsidRPr="00A21D80" w:rsidRDefault="009C47B2" w:rsidP="009C47B2">
      <w:pPr>
        <w:pStyle w:val="ListParagraph"/>
        <w:numPr>
          <w:ilvl w:val="0"/>
          <w:numId w:val="2"/>
        </w:numPr>
        <w:spacing w:line="360" w:lineRule="auto"/>
        <w:jc w:val="both"/>
        <w:rPr>
          <w:rtl/>
        </w:rPr>
      </w:pPr>
      <w:r>
        <w:rPr>
          <w:rFonts w:hint="cs"/>
          <w:rtl/>
        </w:rPr>
        <w:t>פסילה על תנאי בת 6 חודשים למשך שנתיים.</w:t>
      </w:r>
    </w:p>
    <w:p w14:paraId="39331BA8" w14:textId="77777777" w:rsidR="009C47B2" w:rsidRPr="00A21D80" w:rsidRDefault="009C47B2" w:rsidP="009C47B2">
      <w:pPr>
        <w:spacing w:line="360" w:lineRule="auto"/>
        <w:jc w:val="both"/>
        <w:rPr>
          <w:rtl/>
        </w:rPr>
      </w:pPr>
    </w:p>
    <w:p w14:paraId="78B8C409" w14:textId="77777777" w:rsidR="009C47B2" w:rsidRDefault="009C47B2" w:rsidP="009C47B2">
      <w:pPr>
        <w:spacing w:line="360" w:lineRule="auto"/>
        <w:jc w:val="both"/>
      </w:pPr>
      <w:r>
        <w:rPr>
          <w:rFonts w:hint="cs"/>
          <w:rtl/>
        </w:rPr>
        <w:t xml:space="preserve">ניתן צו להשמדת הכלים והסמים. הצו ייכנס לתוקף בתום המועד החוקי להגשת ערעור, ואם יוגש ערעור </w:t>
      </w:r>
      <w:r>
        <w:rPr>
          <w:rtl/>
        </w:rPr>
        <w:t>–</w:t>
      </w:r>
      <w:r>
        <w:rPr>
          <w:rFonts w:hint="cs"/>
          <w:rtl/>
        </w:rPr>
        <w:t xml:space="preserve"> לאחר מתן פסק הדין בערעור.</w:t>
      </w:r>
    </w:p>
    <w:p w14:paraId="63457C76" w14:textId="77777777" w:rsidR="009C47B2" w:rsidRDefault="009C47B2" w:rsidP="009C47B2">
      <w:pPr>
        <w:spacing w:line="360" w:lineRule="auto"/>
        <w:jc w:val="both"/>
        <w:rPr>
          <w:rtl/>
        </w:rPr>
      </w:pPr>
    </w:p>
    <w:p w14:paraId="7BC4A9FC" w14:textId="77777777" w:rsidR="009C47B2" w:rsidRPr="00A21D80" w:rsidRDefault="009C47B2" w:rsidP="009C47B2">
      <w:pPr>
        <w:spacing w:line="360" w:lineRule="auto"/>
        <w:jc w:val="both"/>
        <w:rPr>
          <w:rtl/>
        </w:rPr>
      </w:pPr>
      <w:r w:rsidRPr="00811744">
        <w:rPr>
          <w:rFonts w:hint="cs"/>
          <w:b/>
          <w:bCs/>
          <w:rtl/>
        </w:rPr>
        <w:t>זכות ערעור לבית המשפט המחוזי תוך 45 יום</w:t>
      </w:r>
      <w:r>
        <w:rPr>
          <w:rFonts w:hint="cs"/>
          <w:rtl/>
        </w:rPr>
        <w:t xml:space="preserve">. </w:t>
      </w:r>
    </w:p>
    <w:p w14:paraId="42BA10B3" w14:textId="77777777" w:rsidR="009C47B2" w:rsidRPr="00A21D80" w:rsidRDefault="009C47B2" w:rsidP="009C47B2">
      <w:pPr>
        <w:spacing w:line="360" w:lineRule="auto"/>
        <w:jc w:val="both"/>
        <w:rPr>
          <w:rtl/>
        </w:rPr>
      </w:pPr>
    </w:p>
    <w:p w14:paraId="771F6915" w14:textId="77777777" w:rsidR="009C47B2" w:rsidRPr="00CC6190" w:rsidRDefault="003B7197" w:rsidP="009C47B2">
      <w:pPr>
        <w:rPr>
          <w:b/>
          <w:bCs/>
          <w:sz w:val="28"/>
          <w:szCs w:val="28"/>
          <w:rtl/>
        </w:rPr>
      </w:pPr>
      <w:bookmarkStart w:id="8" w:name="Nitan"/>
      <w:r w:rsidRPr="00CC6190">
        <w:rPr>
          <w:rFonts w:ascii="Arial" w:hAnsi="Arial"/>
          <w:b/>
          <w:bCs/>
          <w:color w:val="FFFFFF"/>
          <w:sz w:val="2"/>
          <w:szCs w:val="2"/>
          <w:rtl/>
        </w:rPr>
        <w:t>5129371</w:t>
      </w:r>
      <w:r w:rsidRPr="00CC6190">
        <w:rPr>
          <w:rFonts w:ascii="Arial" w:hAnsi="Arial"/>
          <w:b/>
          <w:bCs/>
          <w:sz w:val="26"/>
          <w:szCs w:val="26"/>
          <w:rtl/>
        </w:rPr>
        <w:t xml:space="preserve">ניתן היום,  כ"ו כסלו תש"פ, 24 דצמבר 2019, במעמד הנוכחים. </w:t>
      </w:r>
      <w:bookmarkEnd w:id="8"/>
    </w:p>
    <w:p w14:paraId="0B0F4477" w14:textId="77777777" w:rsidR="009C47B2" w:rsidRPr="003B7197" w:rsidRDefault="003B7197" w:rsidP="003B7197">
      <w:pPr>
        <w:jc w:val="center"/>
        <w:rPr>
          <w:color w:val="FFFFFF"/>
          <w:sz w:val="2"/>
          <w:szCs w:val="2"/>
        </w:rPr>
      </w:pPr>
      <w:r w:rsidRPr="003B7197">
        <w:rPr>
          <w:rFonts w:ascii="Arial" w:hAnsi="Arial"/>
          <w:color w:val="FFFFFF"/>
          <w:sz w:val="2"/>
          <w:szCs w:val="2"/>
          <w:rtl/>
        </w:rPr>
        <w:t>54678313</w:t>
      </w:r>
      <w:r w:rsidR="009C47B2" w:rsidRPr="003B7197">
        <w:rPr>
          <w:rFonts w:ascii="Arial" w:hAnsi="Arial" w:hint="cs"/>
          <w:color w:val="FFFFFF"/>
          <w:sz w:val="2"/>
          <w:szCs w:val="2"/>
          <w:rtl/>
        </w:rPr>
        <w:t xml:space="preserve">                                                                         </w:t>
      </w:r>
    </w:p>
    <w:p w14:paraId="63C24A31" w14:textId="77777777" w:rsidR="009C47B2" w:rsidRPr="00D16BE6" w:rsidRDefault="009C47B2" w:rsidP="009C47B2">
      <w:pPr>
        <w:jc w:val="center"/>
        <w:rPr>
          <w:rFonts w:ascii="Arial" w:hAnsi="Arial"/>
          <w:sz w:val="28"/>
          <w:szCs w:val="28"/>
          <w:rtl/>
        </w:rPr>
      </w:pPr>
    </w:p>
    <w:p w14:paraId="2FA52626" w14:textId="77777777" w:rsidR="009C47B2" w:rsidRPr="00D16BE6" w:rsidRDefault="009C47B2" w:rsidP="009C47B2">
      <w:pPr>
        <w:rPr>
          <w:sz w:val="28"/>
          <w:szCs w:val="28"/>
          <w:rtl/>
        </w:rPr>
      </w:pPr>
    </w:p>
    <w:p w14:paraId="6DB54C4E" w14:textId="77777777" w:rsidR="009C47B2" w:rsidRPr="00D16BE6" w:rsidRDefault="009C47B2" w:rsidP="009C47B2">
      <w:pPr>
        <w:pStyle w:val="a3"/>
        <w:jc w:val="center"/>
        <w:rPr>
          <w:rtl/>
        </w:rPr>
      </w:pPr>
    </w:p>
    <w:p w14:paraId="5F3D37A2" w14:textId="77777777" w:rsidR="009C47B2" w:rsidRPr="00403EEE" w:rsidRDefault="00403EEE" w:rsidP="009C47B2">
      <w:pPr>
        <w:rPr>
          <w:rFonts w:ascii="Arial" w:hAnsi="Arial" w:cs="FrankRuehl"/>
          <w:color w:val="FFFFFF"/>
          <w:sz w:val="2"/>
          <w:szCs w:val="2"/>
        </w:rPr>
      </w:pPr>
      <w:r w:rsidRPr="00403EEE">
        <w:rPr>
          <w:rFonts w:ascii="Arial" w:hAnsi="Arial" w:cs="FrankRuehl"/>
          <w:color w:val="FFFFFF"/>
          <w:sz w:val="2"/>
          <w:szCs w:val="2"/>
          <w:rtl/>
        </w:rPr>
        <w:t>5129371</w:t>
      </w:r>
    </w:p>
    <w:p w14:paraId="4A8C1FE3" w14:textId="77777777" w:rsidR="00C355D7" w:rsidRPr="00403EEE" w:rsidRDefault="00403EEE" w:rsidP="003B7197">
      <w:pPr>
        <w:keepNext/>
        <w:rPr>
          <w:rFonts w:ascii="David" w:hAnsi="David"/>
          <w:color w:val="FFFFFF"/>
          <w:sz w:val="2"/>
          <w:szCs w:val="2"/>
          <w:rtl/>
        </w:rPr>
      </w:pPr>
      <w:r w:rsidRPr="00403EEE">
        <w:rPr>
          <w:rFonts w:ascii="David" w:hAnsi="David"/>
          <w:color w:val="FFFFFF"/>
          <w:sz w:val="2"/>
          <w:szCs w:val="2"/>
          <w:rtl/>
        </w:rPr>
        <w:t>54678313</w:t>
      </w:r>
    </w:p>
    <w:p w14:paraId="7CB01FBA" w14:textId="77777777" w:rsidR="003B7197" w:rsidRPr="003B7197" w:rsidRDefault="003B7197" w:rsidP="003B7197">
      <w:pPr>
        <w:keepNext/>
        <w:rPr>
          <w:rFonts w:ascii="David" w:hAnsi="David"/>
          <w:color w:val="000000"/>
          <w:sz w:val="22"/>
          <w:szCs w:val="22"/>
          <w:rtl/>
        </w:rPr>
      </w:pPr>
      <w:r w:rsidRPr="003B7197">
        <w:rPr>
          <w:rFonts w:ascii="David" w:hAnsi="David"/>
          <w:color w:val="000000"/>
          <w:sz w:val="22"/>
          <w:szCs w:val="22"/>
          <w:rtl/>
        </w:rPr>
        <w:t>מיכאל קרשן 54678313</w:t>
      </w:r>
    </w:p>
    <w:p w14:paraId="0BBE21BA" w14:textId="77777777" w:rsidR="003B7197" w:rsidRDefault="003B7197" w:rsidP="003B7197">
      <w:r w:rsidRPr="003B7197">
        <w:rPr>
          <w:color w:val="000000"/>
          <w:rtl/>
        </w:rPr>
        <w:t>נוסח מסמך זה כפוף לשינויי ניסוח ועריכה</w:t>
      </w:r>
    </w:p>
    <w:p w14:paraId="1820997D" w14:textId="77777777" w:rsidR="003B7197" w:rsidRDefault="003B7197" w:rsidP="003B7197">
      <w:pPr>
        <w:rPr>
          <w:rtl/>
        </w:rPr>
      </w:pPr>
    </w:p>
    <w:p w14:paraId="35AD1DBD" w14:textId="77777777" w:rsidR="003B7197" w:rsidRDefault="003B7197" w:rsidP="003B7197">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D5AA085" w14:textId="77777777" w:rsidR="00403EEE" w:rsidRPr="00403EEE" w:rsidRDefault="00403EEE" w:rsidP="00403EEE">
      <w:pPr>
        <w:keepNext/>
        <w:rPr>
          <w:rFonts w:ascii="David" w:hAnsi="David"/>
          <w:color w:val="000000"/>
          <w:sz w:val="22"/>
          <w:szCs w:val="22"/>
          <w:rtl/>
        </w:rPr>
      </w:pPr>
    </w:p>
    <w:p w14:paraId="28CCE563" w14:textId="77777777" w:rsidR="003B7197" w:rsidRPr="003B7197" w:rsidRDefault="003B7197" w:rsidP="00403EEE">
      <w:pPr>
        <w:rPr>
          <w:color w:val="0000FF"/>
          <w:u w:val="single"/>
        </w:rPr>
      </w:pPr>
    </w:p>
    <w:sectPr w:rsidR="003B7197" w:rsidRPr="003B7197" w:rsidSect="00403EEE">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42E2D" w14:textId="77777777" w:rsidR="00A44C75" w:rsidRDefault="00A44C75" w:rsidP="006C51FB">
      <w:r>
        <w:separator/>
      </w:r>
    </w:p>
  </w:endnote>
  <w:endnote w:type="continuationSeparator" w:id="0">
    <w:p w14:paraId="09DDEF78" w14:textId="77777777" w:rsidR="00A44C75" w:rsidRDefault="00A44C75" w:rsidP="006C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527A" w14:textId="77777777" w:rsidR="00403EEE" w:rsidRDefault="00403EEE" w:rsidP="00403E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35CBB6" w14:textId="77777777" w:rsidR="00C661BF" w:rsidRPr="00403EEE" w:rsidRDefault="00403EEE" w:rsidP="00403EEE">
    <w:pPr>
      <w:pStyle w:val="a5"/>
      <w:pBdr>
        <w:top w:val="single" w:sz="4" w:space="1" w:color="auto"/>
        <w:between w:val="single" w:sz="4" w:space="0" w:color="auto"/>
      </w:pBdr>
      <w:spacing w:after="60"/>
      <w:jc w:val="center"/>
      <w:rPr>
        <w:rFonts w:ascii="FrankRuehl" w:hAnsi="FrankRuehl" w:cs="FrankRuehl"/>
        <w:color w:val="000000"/>
      </w:rPr>
    </w:pPr>
    <w:r w:rsidRPr="00403E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237C" w14:textId="77777777" w:rsidR="00403EEE" w:rsidRDefault="00403EEE" w:rsidP="00403E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5C6E">
      <w:rPr>
        <w:rFonts w:ascii="FrankRuehl" w:hAnsi="FrankRuehl" w:cs="FrankRuehl"/>
        <w:noProof/>
        <w:rtl/>
      </w:rPr>
      <w:t>1</w:t>
    </w:r>
    <w:r>
      <w:rPr>
        <w:rFonts w:ascii="FrankRuehl" w:hAnsi="FrankRuehl" w:cs="FrankRuehl"/>
        <w:rtl/>
      </w:rPr>
      <w:fldChar w:fldCharType="end"/>
    </w:r>
  </w:p>
  <w:p w14:paraId="2575187A" w14:textId="77777777" w:rsidR="00C661BF" w:rsidRPr="00403EEE" w:rsidRDefault="00403EEE" w:rsidP="00403EEE">
    <w:pPr>
      <w:pStyle w:val="a5"/>
      <w:pBdr>
        <w:top w:val="single" w:sz="4" w:space="1" w:color="auto"/>
        <w:between w:val="single" w:sz="4" w:space="0" w:color="auto"/>
      </w:pBdr>
      <w:spacing w:after="60"/>
      <w:jc w:val="center"/>
      <w:rPr>
        <w:rFonts w:ascii="FrankRuehl" w:hAnsi="FrankRuehl" w:cs="FrankRuehl"/>
        <w:color w:val="000000"/>
      </w:rPr>
    </w:pPr>
    <w:r w:rsidRPr="00403EEE">
      <w:rPr>
        <w:rFonts w:ascii="FrankRuehl" w:hAnsi="FrankRuehl" w:cs="FrankRuehl"/>
        <w:color w:val="000000"/>
      </w:rPr>
      <w:pict w14:anchorId="26CD3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70E54" w14:textId="77777777" w:rsidR="00A44C75" w:rsidRDefault="00A44C75" w:rsidP="006C51FB">
      <w:r>
        <w:separator/>
      </w:r>
    </w:p>
  </w:footnote>
  <w:footnote w:type="continuationSeparator" w:id="0">
    <w:p w14:paraId="44C6CEB4" w14:textId="77777777" w:rsidR="00A44C75" w:rsidRDefault="00A44C75" w:rsidP="006C5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D23D3" w14:textId="77777777" w:rsidR="003B7197" w:rsidRPr="00403EEE" w:rsidRDefault="00403EEE" w:rsidP="00403E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69011-07-17</w:t>
    </w:r>
    <w:r>
      <w:rPr>
        <w:rFonts w:ascii="David" w:hAnsi="David"/>
        <w:color w:val="000000"/>
        <w:sz w:val="22"/>
        <w:szCs w:val="22"/>
        <w:rtl/>
      </w:rPr>
      <w:tab/>
      <w:t xml:space="preserve"> מדינת ישראל נ' טויאן סנדס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BBF64" w14:textId="77777777" w:rsidR="003B7197" w:rsidRPr="00403EEE" w:rsidRDefault="00403EEE" w:rsidP="00403E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69011-07-17</w:t>
    </w:r>
    <w:r>
      <w:rPr>
        <w:rFonts w:ascii="David" w:hAnsi="David"/>
        <w:color w:val="000000"/>
        <w:sz w:val="22"/>
        <w:szCs w:val="22"/>
        <w:rtl/>
      </w:rPr>
      <w:tab/>
      <w:t xml:space="preserve"> מדינת ישראל נ' טויאן סנדס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C0F94"/>
    <w:multiLevelType w:val="hybridMultilevel"/>
    <w:tmpl w:val="FA76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4103F"/>
    <w:multiLevelType w:val="hybridMultilevel"/>
    <w:tmpl w:val="C21E7C54"/>
    <w:lvl w:ilvl="0" w:tplc="04090013">
      <w:start w:val="1"/>
      <w:numFmt w:val="hebrew1"/>
      <w:lvlText w:val="%1."/>
      <w:lvlJc w:val="center"/>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339046270">
    <w:abstractNumId w:val="0"/>
  </w:num>
  <w:num w:numId="2" w16cid:durableId="22321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47B2"/>
    <w:rsid w:val="00094C26"/>
    <w:rsid w:val="001B0323"/>
    <w:rsid w:val="003B7197"/>
    <w:rsid w:val="00403EEE"/>
    <w:rsid w:val="00570A1D"/>
    <w:rsid w:val="00631719"/>
    <w:rsid w:val="006C51FB"/>
    <w:rsid w:val="009C47B2"/>
    <w:rsid w:val="00A44815"/>
    <w:rsid w:val="00A44C75"/>
    <w:rsid w:val="00B65C6E"/>
    <w:rsid w:val="00C355D7"/>
    <w:rsid w:val="00C661BF"/>
    <w:rsid w:val="00CB63BD"/>
    <w:rsid w:val="00CC61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6BF3E7"/>
  <w15:chartTrackingRefBased/>
  <w15:docId w15:val="{B99F0EFB-CA6B-465E-A758-B1C8FDA1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7B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47B2"/>
    <w:pPr>
      <w:tabs>
        <w:tab w:val="center" w:pos="4153"/>
        <w:tab w:val="right" w:pos="8306"/>
      </w:tabs>
    </w:pPr>
  </w:style>
  <w:style w:type="character" w:customStyle="1" w:styleId="a4">
    <w:name w:val="כותרת עליונה תו"/>
    <w:link w:val="a3"/>
    <w:rsid w:val="009C47B2"/>
    <w:rPr>
      <w:rFonts w:ascii="Times New Roman" w:eastAsia="Times New Roman" w:hAnsi="Times New Roman" w:cs="David"/>
      <w:sz w:val="24"/>
      <w:szCs w:val="24"/>
    </w:rPr>
  </w:style>
  <w:style w:type="paragraph" w:styleId="a5">
    <w:name w:val="footer"/>
    <w:basedOn w:val="a"/>
    <w:link w:val="a6"/>
    <w:rsid w:val="009C47B2"/>
    <w:pPr>
      <w:tabs>
        <w:tab w:val="center" w:pos="4153"/>
        <w:tab w:val="right" w:pos="8306"/>
      </w:tabs>
    </w:pPr>
  </w:style>
  <w:style w:type="character" w:customStyle="1" w:styleId="a6">
    <w:name w:val="כותרת תחתונה תו"/>
    <w:link w:val="a5"/>
    <w:rsid w:val="009C47B2"/>
    <w:rPr>
      <w:rFonts w:ascii="Times New Roman" w:eastAsia="Times New Roman" w:hAnsi="Times New Roman" w:cs="David"/>
      <w:sz w:val="24"/>
      <w:szCs w:val="24"/>
    </w:rPr>
  </w:style>
  <w:style w:type="table" w:styleId="a7">
    <w:name w:val="Table Grid"/>
    <w:basedOn w:val="a1"/>
    <w:rsid w:val="009C47B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C47B2"/>
  </w:style>
  <w:style w:type="paragraph" w:customStyle="1" w:styleId="ListParagraph">
    <w:name w:val="List Paragraph"/>
    <w:basedOn w:val="a"/>
    <w:qFormat/>
    <w:rsid w:val="009C47B2"/>
    <w:pPr>
      <w:ind w:left="720"/>
      <w:contextualSpacing/>
    </w:pPr>
  </w:style>
  <w:style w:type="character" w:styleId="Hyperlink">
    <w:name w:val="Hyperlink"/>
    <w:rsid w:val="003B719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785184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031399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5" Type="http://schemas.openxmlformats.org/officeDocument/2006/relationships/footnotes" Target="footnotes.xml"/><Relationship Id="rId15" Type="http://schemas.openxmlformats.org/officeDocument/2006/relationships/hyperlink" Target="http://www.nevo.co.il/case/22514126" TargetMode="External"/><Relationship Id="rId23"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433578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1942</Words>
  <Characters>9711</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11630</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3866748</vt:i4>
      </vt:variant>
      <vt:variant>
        <vt:i4>27</vt:i4>
      </vt:variant>
      <vt:variant>
        <vt:i4>0</vt:i4>
      </vt:variant>
      <vt:variant>
        <vt:i4>5</vt:i4>
      </vt:variant>
      <vt:variant>
        <vt:lpwstr>http://www.nevo.co.il/case/20313996</vt:lpwstr>
      </vt:variant>
      <vt:variant>
        <vt:lpwstr/>
      </vt:variant>
      <vt:variant>
        <vt:i4>3211382</vt:i4>
      </vt:variant>
      <vt:variant>
        <vt:i4>24</vt:i4>
      </vt:variant>
      <vt:variant>
        <vt:i4>0</vt:i4>
      </vt:variant>
      <vt:variant>
        <vt:i4>5</vt:i4>
      </vt:variant>
      <vt:variant>
        <vt:lpwstr>http://www.nevo.co.il/case/22514126</vt:lpwstr>
      </vt:variant>
      <vt:variant>
        <vt:lpwstr/>
      </vt:variant>
      <vt:variant>
        <vt:i4>3932276</vt:i4>
      </vt:variant>
      <vt:variant>
        <vt:i4>21</vt:i4>
      </vt:variant>
      <vt:variant>
        <vt:i4>0</vt:i4>
      </vt:variant>
      <vt:variant>
        <vt:i4>5</vt:i4>
      </vt:variant>
      <vt:variant>
        <vt:lpwstr>http://www.nevo.co.il/case/24335788</vt:lpwstr>
      </vt:variant>
      <vt:variant>
        <vt:lpwstr/>
      </vt:variant>
      <vt:variant>
        <vt:i4>3670137</vt:i4>
      </vt:variant>
      <vt:variant>
        <vt:i4>18</vt:i4>
      </vt:variant>
      <vt:variant>
        <vt:i4>0</vt:i4>
      </vt:variant>
      <vt:variant>
        <vt:i4>5</vt:i4>
      </vt:variant>
      <vt:variant>
        <vt:lpwstr>http://www.nevo.co.il/case/7851842</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2025-04-22T23:30:00Z</dcterms:created>
  <dcterms:modified xsi:type="dcterms:W3CDTF">2025-04-22T23:30:00Z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69011</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טויאן סנדס</vt:lpwstr>
  </property>
  <property fmtid="{D5CDD505-2E9C-101B-9397-08002B2CF9AE}" pid="10" name="LAWYER">
    <vt:lpwstr>דנית שושן;אברהם לנדשטיין;רחל אוליבה תמם</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20191224</vt:lpwstr>
  </property>
  <property fmtid="{D5CDD505-2E9C-101B-9397-08002B2CF9AE}" pid="14" name="TYPE_N_DATE">
    <vt:lpwstr>38020191224</vt:lpwstr>
  </property>
  <property fmtid="{D5CDD505-2E9C-101B-9397-08002B2CF9AE}" pid="15" name="CASESLISTTMP1">
    <vt:lpwstr>7851842;24335788;22514126;20313996</vt:lpwstr>
  </property>
  <property fmtid="{D5CDD505-2E9C-101B-9397-08002B2CF9AE}" pid="16" name="WORDNUMPAGES">
    <vt:lpwstr>7</vt:lpwstr>
  </property>
  <property fmtid="{D5CDD505-2E9C-101B-9397-08002B2CF9AE}" pid="17" name="TYPE_ABS_DATE">
    <vt:lpwstr>380120191224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8991;8964</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דרכי ענישה: עבודות שירות</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20200212</vt:lpwstr>
  </property>
  <property fmtid="{D5CDD505-2E9C-101B-9397-08002B2CF9AE}" pid="71" name="METAKZER">
    <vt:lpwstr>שירי</vt:lpwstr>
  </property>
</Properties>
</file>