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527"/>
        <w:gridCol w:w="283"/>
        <w:gridCol w:w="2694"/>
      </w:tblGrid>
      <w:tr w:rsidR="005474E1" w:rsidRPr="00B538FB" w14:paraId="167A9A35" w14:textId="77777777">
        <w:trPr>
          <w:trHeight w:hRule="exact" w:val="418"/>
          <w:jc w:val="center"/>
        </w:trPr>
        <w:tc>
          <w:tcPr>
            <w:tcW w:w="8504" w:type="dxa"/>
            <w:gridSpan w:val="3"/>
          </w:tcPr>
          <w:p w14:paraId="17BF06F5" w14:textId="77777777" w:rsidR="005474E1" w:rsidRPr="00B538FB" w:rsidRDefault="005474E1" w:rsidP="00516041">
            <w:pPr>
              <w:pStyle w:val="a3"/>
              <w:tabs>
                <w:tab w:val="clear" w:pos="8306"/>
              </w:tabs>
              <w:jc w:val="center"/>
              <w:rPr>
                <w:rFonts w:ascii="Tahoma" w:hAnsi="Tahoma" w:cs="Tahoma"/>
                <w:b/>
                <w:bCs/>
                <w:color w:val="000080"/>
                <w:sz w:val="20"/>
                <w:szCs w:val="20"/>
                <w:rtl/>
              </w:rPr>
            </w:pPr>
            <w:r w:rsidRPr="00B538FB">
              <w:rPr>
                <w:rFonts w:ascii="Tahoma" w:hAnsi="Tahoma" w:cs="Tahoma"/>
                <w:b/>
                <w:bCs/>
                <w:color w:val="000080"/>
                <w:sz w:val="20"/>
                <w:szCs w:val="20"/>
                <w:rtl/>
              </w:rPr>
              <w:t>בית משפט השלום באילת</w:t>
            </w:r>
          </w:p>
        </w:tc>
      </w:tr>
      <w:tr w:rsidR="005474E1" w:rsidRPr="00B538FB" w14:paraId="3B17A19A" w14:textId="77777777">
        <w:trPr>
          <w:trHeight w:val="337"/>
          <w:jc w:val="center"/>
        </w:trPr>
        <w:tc>
          <w:tcPr>
            <w:tcW w:w="5527" w:type="dxa"/>
          </w:tcPr>
          <w:p w14:paraId="787A9561" w14:textId="77777777" w:rsidR="005474E1" w:rsidRPr="00B538FB" w:rsidRDefault="005474E1" w:rsidP="00516041">
            <w:pPr>
              <w:rPr>
                <w:b/>
                <w:bCs/>
                <w:sz w:val="26"/>
                <w:szCs w:val="26"/>
                <w:rtl/>
              </w:rPr>
            </w:pPr>
            <w:r w:rsidRPr="00B538FB">
              <w:rPr>
                <w:b/>
                <w:bCs/>
                <w:sz w:val="26"/>
                <w:szCs w:val="26"/>
                <w:rtl/>
              </w:rPr>
              <w:t>ת"פ</w:t>
            </w:r>
            <w:r w:rsidRPr="00B538FB">
              <w:rPr>
                <w:rFonts w:hint="cs"/>
                <w:b/>
                <w:bCs/>
                <w:sz w:val="26"/>
                <w:szCs w:val="26"/>
                <w:rtl/>
              </w:rPr>
              <w:t xml:space="preserve"> </w:t>
            </w:r>
            <w:r w:rsidRPr="00B538FB">
              <w:rPr>
                <w:b/>
                <w:bCs/>
                <w:sz w:val="26"/>
                <w:szCs w:val="26"/>
                <w:rtl/>
              </w:rPr>
              <w:t>25513-08-17</w:t>
            </w:r>
            <w:r w:rsidRPr="00B538FB">
              <w:rPr>
                <w:rFonts w:hint="cs"/>
                <w:b/>
                <w:bCs/>
                <w:sz w:val="26"/>
                <w:szCs w:val="26"/>
                <w:rtl/>
              </w:rPr>
              <w:t xml:space="preserve"> </w:t>
            </w:r>
            <w:r w:rsidRPr="00B538FB">
              <w:rPr>
                <w:b/>
                <w:bCs/>
                <w:sz w:val="26"/>
                <w:szCs w:val="26"/>
                <w:rtl/>
              </w:rPr>
              <w:t>מדינת ישראל נ' קונסטנטין(עציר)</w:t>
            </w:r>
          </w:p>
        </w:tc>
        <w:tc>
          <w:tcPr>
            <w:tcW w:w="283" w:type="dxa"/>
          </w:tcPr>
          <w:p w14:paraId="11C197F0" w14:textId="77777777" w:rsidR="005474E1" w:rsidRPr="00B538FB" w:rsidRDefault="005474E1" w:rsidP="00516041">
            <w:pPr>
              <w:pStyle w:val="a3"/>
              <w:jc w:val="right"/>
              <w:rPr>
                <w:b/>
                <w:bCs/>
                <w:sz w:val="26"/>
                <w:szCs w:val="26"/>
                <w:rtl/>
              </w:rPr>
            </w:pPr>
          </w:p>
        </w:tc>
        <w:tc>
          <w:tcPr>
            <w:tcW w:w="2694" w:type="dxa"/>
          </w:tcPr>
          <w:p w14:paraId="4AEE82AA" w14:textId="77777777" w:rsidR="005474E1" w:rsidRPr="00B538FB" w:rsidRDefault="005474E1" w:rsidP="00516041">
            <w:pPr>
              <w:pStyle w:val="a3"/>
              <w:tabs>
                <w:tab w:val="clear" w:pos="4153"/>
              </w:tabs>
              <w:jc w:val="right"/>
              <w:rPr>
                <w:b/>
                <w:bCs/>
                <w:sz w:val="26"/>
                <w:szCs w:val="26"/>
                <w:rtl/>
              </w:rPr>
            </w:pPr>
            <w:r w:rsidRPr="00B538FB">
              <w:rPr>
                <w:b/>
                <w:bCs/>
                <w:sz w:val="26"/>
                <w:szCs w:val="26"/>
                <w:rtl/>
              </w:rPr>
              <w:t>02 ינואר 2018</w:t>
            </w:r>
          </w:p>
        </w:tc>
      </w:tr>
    </w:tbl>
    <w:p w14:paraId="149F75BA" w14:textId="77777777" w:rsidR="005474E1" w:rsidRPr="00B538FB" w:rsidRDefault="005474E1" w:rsidP="005474E1">
      <w:pPr>
        <w:pStyle w:val="a3"/>
        <w:jc w:val="center"/>
        <w:rPr>
          <w:rFonts w:ascii="Tahoma" w:hAnsi="Tahoma" w:cs="Tahoma"/>
          <w:b/>
          <w:bCs/>
          <w:color w:val="000080"/>
          <w:sz w:val="20"/>
          <w:szCs w:val="20"/>
          <w:rtl/>
        </w:rPr>
      </w:pPr>
    </w:p>
    <w:p w14:paraId="44741FCF" w14:textId="77777777" w:rsidR="005474E1" w:rsidRPr="00B538FB" w:rsidRDefault="005474E1" w:rsidP="005474E1">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5474E1" w:rsidRPr="00B538FB" w14:paraId="19E81722" w14:textId="77777777">
        <w:trPr>
          <w:gridAfter w:val="1"/>
          <w:wAfter w:w="56" w:type="dxa"/>
        </w:trPr>
        <w:tc>
          <w:tcPr>
            <w:tcW w:w="8718" w:type="dxa"/>
            <w:gridSpan w:val="2"/>
            <w:shd w:val="clear" w:color="auto" w:fill="auto"/>
          </w:tcPr>
          <w:p w14:paraId="35F52DBA" w14:textId="77777777" w:rsidR="005474E1" w:rsidRPr="00B538FB" w:rsidRDefault="005474E1" w:rsidP="005474E1">
            <w:pPr>
              <w:spacing w:line="360" w:lineRule="auto"/>
              <w:jc w:val="both"/>
              <w:rPr>
                <w:b/>
                <w:bCs/>
                <w:sz w:val="26"/>
                <w:szCs w:val="26"/>
                <w:rtl/>
              </w:rPr>
            </w:pPr>
            <w:r w:rsidRPr="00B538FB">
              <w:rPr>
                <w:rFonts w:hint="cs"/>
                <w:b/>
                <w:bCs/>
                <w:sz w:val="26"/>
                <w:szCs w:val="26"/>
                <w:rtl/>
              </w:rPr>
              <w:t>לפני כב' סגן הנשיאה, השופט מרדכי (מוטי) לוי</w:t>
            </w:r>
          </w:p>
        </w:tc>
      </w:tr>
      <w:tr w:rsidR="005474E1" w:rsidRPr="00B538FB" w14:paraId="44457330" w14:textId="77777777">
        <w:trPr>
          <w:cantSplit/>
          <w:trHeight w:val="724"/>
        </w:trPr>
        <w:tc>
          <w:tcPr>
            <w:tcW w:w="2880" w:type="dxa"/>
            <w:shd w:val="clear" w:color="auto" w:fill="auto"/>
          </w:tcPr>
          <w:p w14:paraId="77CC2FAA" w14:textId="77777777" w:rsidR="005474E1" w:rsidRPr="00B538FB" w:rsidRDefault="005474E1" w:rsidP="00516041">
            <w:pPr>
              <w:rPr>
                <w:b/>
                <w:bCs/>
                <w:sz w:val="26"/>
                <w:szCs w:val="26"/>
                <w:rtl/>
              </w:rPr>
            </w:pPr>
            <w:bookmarkStart w:id="0" w:name="FirstAppellant"/>
            <w:bookmarkStart w:id="1" w:name="LastJudge"/>
            <w:bookmarkEnd w:id="1"/>
          </w:p>
          <w:p w14:paraId="6F4D956D" w14:textId="77777777" w:rsidR="005474E1" w:rsidRPr="00B538FB" w:rsidRDefault="005474E1" w:rsidP="005474E1">
            <w:pPr>
              <w:ind w:left="26"/>
              <w:rPr>
                <w:b/>
                <w:bCs/>
                <w:sz w:val="26"/>
                <w:szCs w:val="26"/>
                <w:rtl/>
              </w:rPr>
            </w:pPr>
            <w:r w:rsidRPr="00B538FB">
              <w:rPr>
                <w:rFonts w:hint="cs"/>
                <w:b/>
                <w:bCs/>
                <w:sz w:val="26"/>
                <w:szCs w:val="26"/>
                <w:rtl/>
              </w:rPr>
              <w:t>המאשימה:</w:t>
            </w:r>
          </w:p>
        </w:tc>
        <w:tc>
          <w:tcPr>
            <w:tcW w:w="5922" w:type="dxa"/>
            <w:gridSpan w:val="2"/>
            <w:shd w:val="clear" w:color="auto" w:fill="auto"/>
          </w:tcPr>
          <w:p w14:paraId="0E6A5C6E" w14:textId="77777777" w:rsidR="005474E1" w:rsidRPr="00B538FB" w:rsidRDefault="005474E1" w:rsidP="00516041">
            <w:pPr>
              <w:rPr>
                <w:rtl/>
              </w:rPr>
            </w:pPr>
          </w:p>
          <w:p w14:paraId="216895BF" w14:textId="77777777" w:rsidR="005474E1" w:rsidRPr="00B538FB" w:rsidRDefault="005474E1" w:rsidP="00516041">
            <w:pPr>
              <w:rPr>
                <w:b/>
                <w:bCs/>
                <w:sz w:val="26"/>
                <w:szCs w:val="26"/>
                <w:rtl/>
              </w:rPr>
            </w:pPr>
            <w:r w:rsidRPr="00B538FB">
              <w:rPr>
                <w:rFonts w:hint="cs"/>
                <w:b/>
                <w:bCs/>
                <w:sz w:val="26"/>
                <w:szCs w:val="26"/>
                <w:rtl/>
              </w:rPr>
              <w:t>מדינת ישראל</w:t>
            </w:r>
          </w:p>
        </w:tc>
      </w:tr>
      <w:bookmarkEnd w:id="0"/>
      <w:tr w:rsidR="005474E1" w:rsidRPr="00B538FB" w14:paraId="351E3ECE" w14:textId="77777777">
        <w:tc>
          <w:tcPr>
            <w:tcW w:w="8802" w:type="dxa"/>
            <w:gridSpan w:val="3"/>
            <w:shd w:val="clear" w:color="auto" w:fill="auto"/>
            <w:vAlign w:val="center"/>
          </w:tcPr>
          <w:p w14:paraId="3760D81F" w14:textId="77777777" w:rsidR="005474E1" w:rsidRPr="00B538FB" w:rsidRDefault="005474E1" w:rsidP="005474E1">
            <w:pPr>
              <w:jc w:val="center"/>
              <w:rPr>
                <w:rFonts w:ascii="Arial" w:hAnsi="Arial"/>
                <w:b/>
                <w:bCs/>
                <w:sz w:val="26"/>
                <w:szCs w:val="26"/>
                <w:rtl/>
              </w:rPr>
            </w:pPr>
          </w:p>
          <w:p w14:paraId="194FF561" w14:textId="77777777" w:rsidR="005474E1" w:rsidRPr="00B538FB" w:rsidRDefault="005474E1" w:rsidP="005474E1">
            <w:pPr>
              <w:jc w:val="center"/>
              <w:rPr>
                <w:rFonts w:ascii="Arial" w:hAnsi="Arial"/>
                <w:b/>
                <w:bCs/>
                <w:sz w:val="26"/>
                <w:szCs w:val="26"/>
                <w:rtl/>
              </w:rPr>
            </w:pPr>
            <w:r w:rsidRPr="00B538FB">
              <w:rPr>
                <w:rFonts w:ascii="Arial" w:hAnsi="Arial"/>
                <w:b/>
                <w:bCs/>
                <w:sz w:val="26"/>
                <w:szCs w:val="26"/>
                <w:rtl/>
              </w:rPr>
              <w:t>נגד</w:t>
            </w:r>
          </w:p>
          <w:p w14:paraId="2B855518" w14:textId="77777777" w:rsidR="005474E1" w:rsidRPr="00B538FB" w:rsidRDefault="005474E1" w:rsidP="00516041">
            <w:pPr>
              <w:rPr>
                <w:rFonts w:ascii="Arial" w:hAnsi="Arial"/>
                <w:b/>
                <w:bCs/>
                <w:sz w:val="26"/>
                <w:szCs w:val="26"/>
              </w:rPr>
            </w:pPr>
          </w:p>
        </w:tc>
      </w:tr>
      <w:tr w:rsidR="005474E1" w:rsidRPr="00B538FB" w14:paraId="1256CD3B" w14:textId="77777777">
        <w:tc>
          <w:tcPr>
            <w:tcW w:w="2880" w:type="dxa"/>
            <w:shd w:val="clear" w:color="auto" w:fill="auto"/>
          </w:tcPr>
          <w:p w14:paraId="645C2A71" w14:textId="77777777" w:rsidR="005474E1" w:rsidRPr="00B538FB" w:rsidRDefault="005474E1" w:rsidP="005474E1">
            <w:pPr>
              <w:ind w:left="26"/>
              <w:rPr>
                <w:b/>
                <w:bCs/>
                <w:sz w:val="26"/>
                <w:szCs w:val="26"/>
                <w:rtl/>
              </w:rPr>
            </w:pPr>
            <w:r w:rsidRPr="00B538FB">
              <w:rPr>
                <w:rFonts w:hint="cs"/>
                <w:b/>
                <w:bCs/>
                <w:sz w:val="26"/>
                <w:szCs w:val="26"/>
                <w:rtl/>
              </w:rPr>
              <w:t>הנאשם:</w:t>
            </w:r>
          </w:p>
        </w:tc>
        <w:tc>
          <w:tcPr>
            <w:tcW w:w="5922" w:type="dxa"/>
            <w:gridSpan w:val="2"/>
            <w:shd w:val="clear" w:color="auto" w:fill="auto"/>
          </w:tcPr>
          <w:p w14:paraId="3ED52770" w14:textId="77777777" w:rsidR="005474E1" w:rsidRPr="00B538FB" w:rsidRDefault="005474E1" w:rsidP="00D1618B">
            <w:pPr>
              <w:rPr>
                <w:rFonts w:hint="cs"/>
                <w:b/>
                <w:bCs/>
                <w:sz w:val="26"/>
                <w:szCs w:val="26"/>
                <w:rtl/>
              </w:rPr>
            </w:pPr>
            <w:r w:rsidRPr="00B538FB">
              <w:rPr>
                <w:rFonts w:hint="cs"/>
                <w:rtl/>
              </w:rPr>
              <w:t xml:space="preserve"> </w:t>
            </w:r>
            <w:r w:rsidRPr="00B538FB">
              <w:rPr>
                <w:b/>
                <w:bCs/>
                <w:sz w:val="26"/>
                <w:szCs w:val="26"/>
                <w:rtl/>
              </w:rPr>
              <w:t>גלדין קונסטנטין (עציר)</w:t>
            </w:r>
            <w:r w:rsidRPr="00B538FB">
              <w:rPr>
                <w:rFonts w:hint="cs"/>
                <w:b/>
                <w:bCs/>
                <w:sz w:val="26"/>
                <w:szCs w:val="26"/>
                <w:rtl/>
              </w:rPr>
              <w:t>,</w:t>
            </w:r>
          </w:p>
        </w:tc>
      </w:tr>
    </w:tbl>
    <w:p w14:paraId="270C063C" w14:textId="77777777" w:rsidR="005474E1" w:rsidRPr="00B538FB" w:rsidRDefault="005474E1" w:rsidP="005474E1">
      <w:pPr>
        <w:spacing w:line="360" w:lineRule="auto"/>
        <w:jc w:val="both"/>
        <w:rPr>
          <w:sz w:val="6"/>
          <w:szCs w:val="6"/>
          <w:rtl/>
        </w:rPr>
      </w:pPr>
      <w:r w:rsidRPr="00B538FB">
        <w:rPr>
          <w:sz w:val="6"/>
          <w:szCs w:val="6"/>
          <w:rtl/>
        </w:rPr>
        <w:t>&lt;#2#&gt;</w:t>
      </w:r>
    </w:p>
    <w:p w14:paraId="1357EF4F" w14:textId="77777777" w:rsidR="005474E1" w:rsidRPr="00B538FB" w:rsidRDefault="005474E1" w:rsidP="005474E1">
      <w:pPr>
        <w:pStyle w:val="12"/>
        <w:rPr>
          <w:u w:val="none"/>
          <w:rtl/>
        </w:rPr>
      </w:pPr>
      <w:r w:rsidRPr="00B538FB">
        <w:rPr>
          <w:rFonts w:hint="cs"/>
          <w:u w:val="none"/>
          <w:rtl/>
        </w:rPr>
        <w:t>נוכחים:</w:t>
      </w:r>
    </w:p>
    <w:p w14:paraId="2F84766D" w14:textId="77777777" w:rsidR="005474E1" w:rsidRPr="00B538FB" w:rsidRDefault="005474E1" w:rsidP="005474E1">
      <w:pPr>
        <w:pStyle w:val="12"/>
        <w:rPr>
          <w:b w:val="0"/>
          <w:bCs w:val="0"/>
          <w:u w:val="none"/>
          <w:rtl/>
        </w:rPr>
      </w:pPr>
      <w:bookmarkStart w:id="2" w:name="FirstLawyer"/>
      <w:r w:rsidRPr="00B538FB">
        <w:rPr>
          <w:rFonts w:hint="cs"/>
          <w:b w:val="0"/>
          <w:bCs w:val="0"/>
          <w:u w:val="none"/>
          <w:rtl/>
        </w:rPr>
        <w:t>ב"כ</w:t>
      </w:r>
      <w:bookmarkEnd w:id="2"/>
      <w:r w:rsidRPr="00B538FB">
        <w:rPr>
          <w:rFonts w:hint="cs"/>
          <w:b w:val="0"/>
          <w:bCs w:val="0"/>
          <w:u w:val="none"/>
          <w:rtl/>
        </w:rPr>
        <w:t xml:space="preserve"> המאשימה </w:t>
      </w:r>
      <w:r w:rsidRPr="00B538FB">
        <w:rPr>
          <w:b w:val="0"/>
          <w:bCs w:val="0"/>
          <w:u w:val="none"/>
          <w:rtl/>
        </w:rPr>
        <w:t>–</w:t>
      </w:r>
      <w:r w:rsidRPr="00B538FB">
        <w:rPr>
          <w:rFonts w:hint="cs"/>
          <w:b w:val="0"/>
          <w:bCs w:val="0"/>
          <w:u w:val="none"/>
          <w:rtl/>
        </w:rPr>
        <w:t xml:space="preserve"> עו"ד לוי </w:t>
      </w:r>
    </w:p>
    <w:p w14:paraId="07C00D71" w14:textId="77777777" w:rsidR="005474E1" w:rsidRPr="00B538FB" w:rsidRDefault="005474E1" w:rsidP="005474E1">
      <w:pPr>
        <w:pStyle w:val="12"/>
        <w:rPr>
          <w:b w:val="0"/>
          <w:bCs w:val="0"/>
          <w:u w:val="none"/>
          <w:rtl/>
        </w:rPr>
      </w:pPr>
      <w:r w:rsidRPr="00B538FB">
        <w:rPr>
          <w:rFonts w:hint="cs"/>
          <w:b w:val="0"/>
          <w:bCs w:val="0"/>
          <w:u w:val="none"/>
          <w:rtl/>
        </w:rPr>
        <w:t xml:space="preserve">הנאשם וב"כ </w:t>
      </w:r>
      <w:r w:rsidRPr="00B538FB">
        <w:rPr>
          <w:b w:val="0"/>
          <w:bCs w:val="0"/>
          <w:u w:val="none"/>
          <w:rtl/>
        </w:rPr>
        <w:t>–</w:t>
      </w:r>
      <w:r w:rsidRPr="00B538FB">
        <w:rPr>
          <w:rFonts w:hint="cs"/>
          <w:b w:val="0"/>
          <w:bCs w:val="0"/>
          <w:u w:val="none"/>
          <w:rtl/>
        </w:rPr>
        <w:t xml:space="preserve"> עו"ד דראבי </w:t>
      </w:r>
      <w:r w:rsidRPr="00B538FB">
        <w:rPr>
          <w:b w:val="0"/>
          <w:bCs w:val="0"/>
          <w:u w:val="none"/>
          <w:rtl/>
        </w:rPr>
        <w:t>–</w:t>
      </w:r>
      <w:r w:rsidRPr="00B538FB">
        <w:rPr>
          <w:rFonts w:hint="cs"/>
          <w:b w:val="0"/>
          <w:bCs w:val="0"/>
          <w:u w:val="none"/>
          <w:rtl/>
        </w:rPr>
        <w:t xml:space="preserve"> ס"צ </w:t>
      </w:r>
    </w:p>
    <w:p w14:paraId="6DD0535B" w14:textId="77777777" w:rsidR="00D1618B" w:rsidRDefault="005474E1" w:rsidP="005474E1">
      <w:pPr>
        <w:spacing w:line="360" w:lineRule="auto"/>
        <w:jc w:val="center"/>
        <w:rPr>
          <w:rFonts w:ascii="Arial" w:hAnsi="Arial"/>
          <w:sz w:val="28"/>
          <w:szCs w:val="28"/>
          <w:rtl/>
        </w:rPr>
      </w:pPr>
      <w:r w:rsidRPr="00B538FB">
        <w:rPr>
          <w:rFonts w:ascii="Arial" w:hAnsi="Arial"/>
          <w:b/>
          <w:color w:val="FF0000"/>
          <w:sz w:val="28"/>
          <w:rtl/>
        </w:rPr>
        <w:t>במסמך זה הושמטו פרוטוקולים</w:t>
      </w:r>
      <w:bookmarkStart w:id="3" w:name="LawTable"/>
      <w:bookmarkEnd w:id="3"/>
    </w:p>
    <w:p w14:paraId="6C1AC9CF" w14:textId="77777777" w:rsidR="00D1618B" w:rsidRPr="00D1618B" w:rsidRDefault="00D1618B" w:rsidP="00D1618B">
      <w:pPr>
        <w:spacing w:after="120" w:line="240" w:lineRule="exact"/>
        <w:ind w:left="283" w:hanging="283"/>
        <w:jc w:val="both"/>
        <w:rPr>
          <w:rFonts w:ascii="FrankRuehl" w:hAnsi="FrankRuehl" w:cs="FrankRuehl"/>
          <w:rtl/>
        </w:rPr>
      </w:pPr>
    </w:p>
    <w:p w14:paraId="5ABCFEDC" w14:textId="77777777" w:rsidR="00D1618B" w:rsidRPr="00D1618B" w:rsidRDefault="00D1618B" w:rsidP="00D1618B">
      <w:pPr>
        <w:spacing w:after="120" w:line="240" w:lineRule="exact"/>
        <w:ind w:left="283" w:hanging="283"/>
        <w:jc w:val="both"/>
        <w:rPr>
          <w:rFonts w:ascii="FrankRuehl" w:hAnsi="FrankRuehl" w:cs="FrankRuehl"/>
          <w:rtl/>
        </w:rPr>
      </w:pPr>
      <w:r w:rsidRPr="00D1618B">
        <w:rPr>
          <w:rFonts w:ascii="FrankRuehl" w:hAnsi="FrankRuehl" w:cs="FrankRuehl"/>
          <w:rtl/>
        </w:rPr>
        <w:t xml:space="preserve">חקיקה שאוזכרה: </w:t>
      </w:r>
    </w:p>
    <w:p w14:paraId="1F8A3715" w14:textId="77777777" w:rsidR="00D1618B" w:rsidRPr="00D1618B" w:rsidRDefault="00D1618B" w:rsidP="00D1618B">
      <w:pPr>
        <w:spacing w:after="120" w:line="240" w:lineRule="exact"/>
        <w:ind w:left="283" w:hanging="283"/>
        <w:jc w:val="both"/>
        <w:rPr>
          <w:rFonts w:ascii="FrankRuehl" w:hAnsi="FrankRuehl" w:cs="FrankRuehl"/>
          <w:rtl/>
        </w:rPr>
      </w:pPr>
      <w:hyperlink r:id="rId6" w:history="1">
        <w:r w:rsidRPr="00D1618B">
          <w:rPr>
            <w:rFonts w:ascii="FrankRuehl" w:hAnsi="FrankRuehl" w:cs="FrankRuehl"/>
            <w:color w:val="0000FF"/>
            <w:u w:val="single"/>
            <w:rtl/>
          </w:rPr>
          <w:t>פקודת הסמים המסוכנים [נוסח חדש], תשל"ג-1973</w:t>
        </w:r>
      </w:hyperlink>
      <w:r w:rsidRPr="00D1618B">
        <w:rPr>
          <w:rFonts w:ascii="FrankRuehl" w:hAnsi="FrankRuehl" w:cs="FrankRuehl"/>
          <w:rtl/>
        </w:rPr>
        <w:t xml:space="preserve">: סע'  </w:t>
      </w:r>
      <w:hyperlink r:id="rId7" w:history="1">
        <w:r w:rsidRPr="00D1618B">
          <w:rPr>
            <w:rFonts w:ascii="FrankRuehl" w:hAnsi="FrankRuehl" w:cs="FrankRuehl"/>
            <w:color w:val="0000FF"/>
            <w:u w:val="single"/>
            <w:rtl/>
          </w:rPr>
          <w:t>7.א.</w:t>
        </w:r>
      </w:hyperlink>
      <w:r w:rsidRPr="00D1618B">
        <w:rPr>
          <w:rFonts w:ascii="FrankRuehl" w:hAnsi="FrankRuehl" w:cs="FrankRuehl"/>
          <w:rtl/>
        </w:rPr>
        <w:t xml:space="preserve">, </w:t>
      </w:r>
      <w:hyperlink r:id="rId8" w:history="1">
        <w:r w:rsidRPr="00D1618B">
          <w:rPr>
            <w:rFonts w:ascii="FrankRuehl" w:hAnsi="FrankRuehl" w:cs="FrankRuehl"/>
            <w:color w:val="0000FF"/>
            <w:u w:val="single"/>
            <w:rtl/>
          </w:rPr>
          <w:t>7.ג</w:t>
        </w:r>
      </w:hyperlink>
      <w:r w:rsidRPr="00D1618B">
        <w:rPr>
          <w:rFonts w:ascii="FrankRuehl" w:hAnsi="FrankRuehl" w:cs="FrankRuehl"/>
          <w:rtl/>
        </w:rPr>
        <w:t xml:space="preserve">, </w:t>
      </w:r>
      <w:hyperlink r:id="rId9" w:history="1">
        <w:r w:rsidRPr="00D1618B">
          <w:rPr>
            <w:rFonts w:ascii="FrankRuehl" w:hAnsi="FrankRuehl" w:cs="FrankRuehl"/>
            <w:color w:val="0000FF"/>
            <w:u w:val="single"/>
            <w:rtl/>
          </w:rPr>
          <w:t>13.א</w:t>
        </w:r>
      </w:hyperlink>
      <w:r w:rsidRPr="00D1618B">
        <w:rPr>
          <w:rFonts w:ascii="FrankRuehl" w:hAnsi="FrankRuehl" w:cs="FrankRuehl"/>
          <w:rtl/>
        </w:rPr>
        <w:t xml:space="preserve">, </w:t>
      </w:r>
      <w:hyperlink r:id="rId10" w:history="1">
        <w:r w:rsidRPr="00D1618B">
          <w:rPr>
            <w:rFonts w:ascii="FrankRuehl" w:hAnsi="FrankRuehl" w:cs="FrankRuehl"/>
            <w:color w:val="0000FF"/>
            <w:u w:val="single"/>
            <w:rtl/>
          </w:rPr>
          <w:t>19</w:t>
        </w:r>
      </w:hyperlink>
    </w:p>
    <w:p w14:paraId="146FEF75" w14:textId="77777777" w:rsidR="00D1618B" w:rsidRPr="00D1618B" w:rsidRDefault="00D1618B" w:rsidP="00D1618B">
      <w:pPr>
        <w:spacing w:after="120" w:line="240" w:lineRule="exact"/>
        <w:ind w:left="283" w:hanging="283"/>
        <w:jc w:val="both"/>
        <w:rPr>
          <w:rFonts w:ascii="FrankRuehl" w:hAnsi="FrankRuehl" w:cs="FrankRuehl"/>
          <w:rtl/>
        </w:rPr>
      </w:pPr>
      <w:hyperlink r:id="rId11" w:history="1">
        <w:r w:rsidRPr="00D1618B">
          <w:rPr>
            <w:rFonts w:ascii="FrankRuehl" w:hAnsi="FrankRuehl" w:cs="FrankRuehl"/>
            <w:color w:val="0000FF"/>
            <w:u w:val="single"/>
            <w:rtl/>
          </w:rPr>
          <w:t>חוק העונשין, תשל"ז-1977</w:t>
        </w:r>
      </w:hyperlink>
      <w:r w:rsidRPr="00D1618B">
        <w:rPr>
          <w:rFonts w:ascii="FrankRuehl" w:hAnsi="FrankRuehl" w:cs="FrankRuehl"/>
          <w:rtl/>
        </w:rPr>
        <w:t xml:space="preserve">: סע'  </w:t>
      </w:r>
      <w:hyperlink r:id="rId12" w:history="1">
        <w:r w:rsidRPr="00D1618B">
          <w:rPr>
            <w:rFonts w:ascii="FrankRuehl" w:hAnsi="FrankRuehl" w:cs="FrankRuehl"/>
            <w:color w:val="0000FF"/>
            <w:u w:val="single"/>
            <w:rtl/>
          </w:rPr>
          <w:t>382(ג)</w:t>
        </w:r>
      </w:hyperlink>
    </w:p>
    <w:p w14:paraId="25421247" w14:textId="77777777" w:rsidR="00D1618B" w:rsidRPr="00D1618B" w:rsidRDefault="00D1618B" w:rsidP="00D1618B">
      <w:pPr>
        <w:spacing w:after="120" w:line="240" w:lineRule="exact"/>
        <w:ind w:left="283" w:hanging="283"/>
        <w:jc w:val="both"/>
        <w:rPr>
          <w:rFonts w:ascii="FrankRuehl" w:hAnsi="FrankRuehl" w:cs="FrankRuehl"/>
          <w:rtl/>
        </w:rPr>
      </w:pPr>
    </w:p>
    <w:p w14:paraId="72C3FF2A" w14:textId="77777777" w:rsidR="00B538FB" w:rsidRPr="00B538FB" w:rsidRDefault="00B538FB" w:rsidP="005474E1">
      <w:pPr>
        <w:spacing w:line="360" w:lineRule="auto"/>
        <w:jc w:val="center"/>
        <w:rPr>
          <w:rFonts w:ascii="Arial" w:hAnsi="Arial"/>
          <w:b/>
          <w:bCs/>
          <w:sz w:val="28"/>
          <w:szCs w:val="28"/>
          <w:rtl/>
        </w:rPr>
      </w:pPr>
      <w:bookmarkStart w:id="4" w:name="LawTable_End"/>
      <w:bookmarkEnd w:id="4"/>
    </w:p>
    <w:p w14:paraId="6420D223" w14:textId="77777777" w:rsidR="00B538FB" w:rsidRPr="00B538FB" w:rsidRDefault="00B538FB" w:rsidP="00B538FB">
      <w:pPr>
        <w:spacing w:line="360" w:lineRule="auto"/>
        <w:jc w:val="center"/>
        <w:rPr>
          <w:rFonts w:ascii="Arial" w:hAnsi="Arial"/>
          <w:b/>
          <w:bCs/>
          <w:sz w:val="28"/>
          <w:szCs w:val="28"/>
          <w:u w:val="single"/>
          <w:rtl/>
        </w:rPr>
      </w:pPr>
      <w:bookmarkStart w:id="5" w:name="PsakDin"/>
      <w:r w:rsidRPr="00B538FB">
        <w:rPr>
          <w:rFonts w:ascii="Arial" w:hAnsi="Arial"/>
          <w:b/>
          <w:bCs/>
          <w:sz w:val="28"/>
          <w:szCs w:val="28"/>
          <w:u w:val="single"/>
          <w:rtl/>
        </w:rPr>
        <w:t>גזר דין</w:t>
      </w:r>
    </w:p>
    <w:p w14:paraId="5A2A677F" w14:textId="77777777" w:rsidR="005474E1" w:rsidRDefault="005474E1" w:rsidP="005474E1">
      <w:pPr>
        <w:spacing w:line="360" w:lineRule="auto"/>
        <w:jc w:val="both"/>
        <w:rPr>
          <w:rFonts w:ascii="Arial" w:hAnsi="Arial"/>
          <w:rtl/>
        </w:rPr>
      </w:pPr>
      <w:bookmarkStart w:id="6" w:name="ABSTRACT_START"/>
      <w:bookmarkEnd w:id="5"/>
      <w:bookmarkEnd w:id="6"/>
    </w:p>
    <w:p w14:paraId="27D16AB9" w14:textId="77777777" w:rsidR="005474E1" w:rsidRDefault="005474E1" w:rsidP="005474E1">
      <w:pPr>
        <w:spacing w:line="360" w:lineRule="auto"/>
        <w:ind w:left="510" w:hanging="510"/>
        <w:jc w:val="both"/>
      </w:pPr>
      <w:bookmarkStart w:id="7" w:name="Decision1"/>
      <w:r>
        <w:rPr>
          <w:rFonts w:ascii="Arial" w:hAnsi="Arial" w:hint="cs"/>
          <w:rtl/>
        </w:rPr>
        <w:t>1</w:t>
      </w:r>
      <w:r>
        <w:rPr>
          <w:rFonts w:hint="cs"/>
          <w:rtl/>
        </w:rPr>
        <w:t>.</w:t>
      </w:r>
      <w:r>
        <w:rPr>
          <w:rFonts w:hint="cs"/>
          <w:rtl/>
        </w:rPr>
        <w:tab/>
        <w:t xml:space="preserve">הנאשם הורשע על פי הודאתו בכתב אישום מתוקן בעבירות של  יצוא, יבוא, מסחר, הספקת סמים מסכונים, עבירה לפי </w:t>
      </w:r>
      <w:hyperlink r:id="rId13" w:history="1">
        <w:r w:rsidR="00D1618B" w:rsidRPr="00D1618B">
          <w:rPr>
            <w:color w:val="0000FF"/>
            <w:u w:val="single"/>
            <w:rtl/>
          </w:rPr>
          <w:t>סעיף 13+19א</w:t>
        </w:r>
      </w:hyperlink>
      <w:r>
        <w:rPr>
          <w:rFonts w:hint="cs"/>
          <w:rtl/>
        </w:rPr>
        <w:t xml:space="preserve"> ל</w:t>
      </w:r>
      <w:hyperlink r:id="rId14" w:history="1">
        <w:r w:rsidR="00B538FB" w:rsidRPr="00B538FB">
          <w:rPr>
            <w:color w:val="0000FF"/>
            <w:u w:val="single"/>
            <w:rtl/>
          </w:rPr>
          <w:t>פקודת הסמים המסוכנים</w:t>
        </w:r>
      </w:hyperlink>
      <w:r>
        <w:rPr>
          <w:rFonts w:hint="cs"/>
          <w:rtl/>
        </w:rPr>
        <w:t xml:space="preserve"> (נוסח חדש) תשל"ג -   1973, והחזקה / שימוש בסמים שלא לצריכה עצמית, עבירה לפי </w:t>
      </w:r>
      <w:hyperlink r:id="rId15" w:history="1">
        <w:r w:rsidR="00D1618B" w:rsidRPr="00D1618B">
          <w:rPr>
            <w:color w:val="0000FF"/>
            <w:u w:val="single"/>
            <w:rtl/>
          </w:rPr>
          <w:t>סעיף 7(א)+7(ג)</w:t>
        </w:r>
      </w:hyperlink>
      <w:r>
        <w:rPr>
          <w:rFonts w:hint="cs"/>
          <w:rtl/>
        </w:rPr>
        <w:t xml:space="preserve"> רישא לפקודת הסמים המסוכנים, (נוסח חדש) תשל"ג </w:t>
      </w:r>
      <w:r>
        <w:rPr>
          <w:rtl/>
        </w:rPr>
        <w:t>–</w:t>
      </w:r>
      <w:r>
        <w:rPr>
          <w:rFonts w:hint="cs"/>
          <w:rtl/>
        </w:rPr>
        <w:t xml:space="preserve"> 1973 וכן צירף תיק נוסף, 31343-12-14, בו הואשם בשלוש עבירות על פי </w:t>
      </w:r>
      <w:hyperlink r:id="rId16" w:history="1">
        <w:r w:rsidR="00D1618B" w:rsidRPr="00D1618B">
          <w:rPr>
            <w:color w:val="0000FF"/>
            <w:u w:val="single"/>
            <w:rtl/>
          </w:rPr>
          <w:t>סעיף  382(ג)</w:t>
        </w:r>
      </w:hyperlink>
      <w:r>
        <w:rPr>
          <w:rFonts w:hint="cs"/>
          <w:rtl/>
        </w:rPr>
        <w:t xml:space="preserve"> ל</w:t>
      </w:r>
      <w:hyperlink r:id="rId17" w:history="1">
        <w:r w:rsidR="00B538FB" w:rsidRPr="00B538FB">
          <w:rPr>
            <w:color w:val="0000FF"/>
            <w:u w:val="single"/>
            <w:rtl/>
          </w:rPr>
          <w:t>חוק העונשין</w:t>
        </w:r>
      </w:hyperlink>
      <w:r>
        <w:rPr>
          <w:rFonts w:hint="cs"/>
          <w:rtl/>
        </w:rPr>
        <w:t xml:space="preserve">, תשל"ג - 1977. </w:t>
      </w:r>
    </w:p>
    <w:p w14:paraId="27F81127" w14:textId="77777777" w:rsidR="005474E1" w:rsidRDefault="005474E1" w:rsidP="005474E1">
      <w:pPr>
        <w:spacing w:line="360" w:lineRule="auto"/>
        <w:ind w:left="510" w:hanging="510"/>
        <w:jc w:val="both"/>
        <w:rPr>
          <w:rtl/>
        </w:rPr>
      </w:pPr>
    </w:p>
    <w:p w14:paraId="72B6C5C1" w14:textId="77777777" w:rsidR="005474E1" w:rsidRDefault="005474E1" w:rsidP="005474E1">
      <w:pPr>
        <w:spacing w:line="360" w:lineRule="auto"/>
        <w:ind w:left="510" w:hanging="510"/>
        <w:jc w:val="both"/>
        <w:rPr>
          <w:rtl/>
        </w:rPr>
      </w:pPr>
      <w:bookmarkStart w:id="8" w:name="ABSTRACT_END"/>
      <w:bookmarkEnd w:id="8"/>
      <w:r>
        <w:rPr>
          <w:rFonts w:hint="cs"/>
          <w:rtl/>
        </w:rPr>
        <w:t>2.</w:t>
      </w:r>
      <w:r>
        <w:rPr>
          <w:rFonts w:hint="cs"/>
          <w:rtl/>
        </w:rPr>
        <w:tab/>
        <w:t>הצדדים הגיעו להסדר טיעון, ובנסיבות הענין לא ראיתי לנכון לסטות ממנו.</w:t>
      </w:r>
    </w:p>
    <w:p w14:paraId="68CD6CFB" w14:textId="77777777" w:rsidR="005474E1" w:rsidRDefault="005474E1" w:rsidP="005474E1">
      <w:pPr>
        <w:spacing w:line="360" w:lineRule="auto"/>
        <w:ind w:left="510" w:hanging="510"/>
        <w:jc w:val="both"/>
        <w:rPr>
          <w:rtl/>
        </w:rPr>
      </w:pPr>
    </w:p>
    <w:p w14:paraId="2BDABA5E" w14:textId="77777777" w:rsidR="005474E1" w:rsidRDefault="005474E1" w:rsidP="005474E1">
      <w:pPr>
        <w:spacing w:line="360" w:lineRule="auto"/>
        <w:ind w:left="510" w:hanging="510"/>
        <w:jc w:val="both"/>
        <w:rPr>
          <w:rtl/>
        </w:rPr>
      </w:pPr>
      <w:r>
        <w:rPr>
          <w:rFonts w:hint="cs"/>
          <w:rtl/>
        </w:rPr>
        <w:t>3.</w:t>
      </w:r>
      <w:r>
        <w:rPr>
          <w:rFonts w:hint="cs"/>
          <w:rtl/>
        </w:rPr>
        <w:tab/>
        <w:t>לאחר ששקלתי את טיעון הצדדים, בחנתי את האיזונים בין אינטרס הציבור אל מול נסיבות המקרה, את הקשיים הראייתיים ואת החסכון בזמנו של בית המשפט, אינני רואה לסטות מהסדר הטיעון ואינני רואה בו חריגה בלתי סבירה מנורמת ענישה ראוייה.</w:t>
      </w:r>
    </w:p>
    <w:p w14:paraId="012C722F" w14:textId="77777777" w:rsidR="005474E1" w:rsidRDefault="005474E1" w:rsidP="005474E1">
      <w:pPr>
        <w:spacing w:line="360" w:lineRule="auto"/>
        <w:ind w:left="510" w:hanging="510"/>
        <w:jc w:val="both"/>
        <w:rPr>
          <w:rtl/>
        </w:rPr>
      </w:pPr>
    </w:p>
    <w:p w14:paraId="212513DF" w14:textId="77777777" w:rsidR="005474E1" w:rsidRDefault="005474E1" w:rsidP="005474E1">
      <w:pPr>
        <w:spacing w:line="360" w:lineRule="auto"/>
        <w:ind w:left="510" w:hanging="510"/>
        <w:jc w:val="both"/>
        <w:rPr>
          <w:rtl/>
        </w:rPr>
      </w:pPr>
      <w:r>
        <w:rPr>
          <w:rFonts w:hint="cs"/>
          <w:rtl/>
        </w:rPr>
        <w:t>4.</w:t>
      </w:r>
      <w:r>
        <w:rPr>
          <w:rFonts w:hint="cs"/>
          <w:rtl/>
        </w:rPr>
        <w:tab/>
        <w:t>לפיכך, אני מטיל  בזה על הנאשם עונש כדלהלן:</w:t>
      </w:r>
    </w:p>
    <w:p w14:paraId="26781E97" w14:textId="77777777" w:rsidR="005474E1" w:rsidRDefault="005474E1" w:rsidP="005474E1">
      <w:pPr>
        <w:spacing w:line="360" w:lineRule="auto"/>
        <w:ind w:left="510"/>
        <w:jc w:val="both"/>
        <w:rPr>
          <w:rtl/>
        </w:rPr>
      </w:pPr>
    </w:p>
    <w:p w14:paraId="693A5E42" w14:textId="77777777" w:rsidR="005474E1" w:rsidRDefault="005474E1" w:rsidP="005474E1">
      <w:pPr>
        <w:spacing w:line="360" w:lineRule="auto"/>
        <w:ind w:left="510"/>
        <w:jc w:val="both"/>
        <w:rPr>
          <w:rtl/>
        </w:rPr>
      </w:pPr>
      <w:r>
        <w:rPr>
          <w:rFonts w:hint="cs"/>
          <w:b/>
          <w:bCs/>
          <w:rtl/>
        </w:rPr>
        <w:t xml:space="preserve">מאסר - </w:t>
      </w:r>
      <w:r>
        <w:rPr>
          <w:rFonts w:hint="cs"/>
          <w:rtl/>
        </w:rPr>
        <w:t>מאסר בפועל לתקופה של  22 חודשים. תקופת מאסרו תחושב מיום מעצרו, 07.08.17.</w:t>
      </w:r>
    </w:p>
    <w:p w14:paraId="7F3EF289" w14:textId="77777777" w:rsidR="005474E1" w:rsidRDefault="005474E1" w:rsidP="005474E1">
      <w:pPr>
        <w:pStyle w:val="3"/>
        <w:rPr>
          <w:sz w:val="24"/>
          <w:rtl/>
        </w:rPr>
      </w:pPr>
    </w:p>
    <w:p w14:paraId="2CEB7126" w14:textId="77777777" w:rsidR="005474E1" w:rsidRDefault="005474E1" w:rsidP="005474E1">
      <w:pPr>
        <w:spacing w:line="360" w:lineRule="auto"/>
        <w:ind w:left="510"/>
        <w:jc w:val="both"/>
        <w:rPr>
          <w:rtl/>
        </w:rPr>
      </w:pPr>
      <w:r>
        <w:rPr>
          <w:rFonts w:hint="cs"/>
          <w:b/>
          <w:bCs/>
          <w:rtl/>
        </w:rPr>
        <w:t xml:space="preserve">מאסר על תנאי - </w:t>
      </w:r>
      <w:r>
        <w:rPr>
          <w:rFonts w:hint="cs"/>
          <w:rtl/>
        </w:rPr>
        <w:t xml:space="preserve">מאסר על תנאי לתקופה של 8 חודשים. הנאשם ישא בעונש זה אם בתקופה של שלוש שנים מיום שחרורו יעבור הנאשם עבירת סמים או אלימות מסוג פשע, למעט תגרה. </w:t>
      </w:r>
    </w:p>
    <w:p w14:paraId="5F60908D" w14:textId="77777777" w:rsidR="005474E1" w:rsidRDefault="005474E1" w:rsidP="005474E1">
      <w:pPr>
        <w:spacing w:line="360" w:lineRule="auto"/>
        <w:ind w:left="510"/>
        <w:jc w:val="both"/>
        <w:rPr>
          <w:b/>
          <w:bCs/>
          <w:rtl/>
        </w:rPr>
      </w:pPr>
    </w:p>
    <w:p w14:paraId="16965195" w14:textId="77777777" w:rsidR="005474E1" w:rsidRDefault="005474E1" w:rsidP="005474E1">
      <w:pPr>
        <w:spacing w:line="360" w:lineRule="auto"/>
        <w:ind w:left="510"/>
        <w:jc w:val="both"/>
        <w:rPr>
          <w:rtl/>
        </w:rPr>
      </w:pPr>
      <w:r>
        <w:rPr>
          <w:rFonts w:hint="cs"/>
          <w:b/>
          <w:bCs/>
          <w:rtl/>
        </w:rPr>
        <w:t xml:space="preserve">מאסר על תנאי - </w:t>
      </w:r>
      <w:r>
        <w:rPr>
          <w:rFonts w:hint="cs"/>
          <w:rtl/>
        </w:rPr>
        <w:t>מאסר על תנאי לתקופה של 4 חודשים. הנאשם ישא בעונש זה אם בתקופה של שלוש שנים מיום שחרורו יעבור הנאשם עבירת סמים או אלימות מסוג עוון, למעט תגרה.</w:t>
      </w:r>
    </w:p>
    <w:p w14:paraId="1FC48B3C" w14:textId="77777777" w:rsidR="005474E1" w:rsidRDefault="005474E1" w:rsidP="005474E1">
      <w:pPr>
        <w:spacing w:line="360" w:lineRule="auto"/>
        <w:ind w:left="510"/>
        <w:jc w:val="both"/>
        <w:rPr>
          <w:b/>
          <w:bCs/>
          <w:rtl/>
        </w:rPr>
      </w:pPr>
    </w:p>
    <w:p w14:paraId="521E48EC" w14:textId="77777777" w:rsidR="005474E1" w:rsidRPr="006B0FB5" w:rsidRDefault="005474E1" w:rsidP="005474E1">
      <w:pPr>
        <w:spacing w:line="360" w:lineRule="auto"/>
        <w:ind w:left="651"/>
        <w:jc w:val="both"/>
        <w:rPr>
          <w:rFonts w:ascii="Showcard Gothic" w:hAnsi="Showcard Gothic"/>
          <w:rtl/>
        </w:rPr>
      </w:pPr>
      <w:r w:rsidRPr="006B0FB5">
        <w:rPr>
          <w:b/>
          <w:bCs/>
          <w:rtl/>
        </w:rPr>
        <w:t xml:space="preserve">הפעלת התחייבות - </w:t>
      </w:r>
      <w:r w:rsidRPr="006B0FB5">
        <w:rPr>
          <w:rtl/>
        </w:rPr>
        <w:t xml:space="preserve">מפעיל בזאת התחייבות בסך </w:t>
      </w:r>
      <w:r>
        <w:rPr>
          <w:rFonts w:hint="cs"/>
          <w:rtl/>
        </w:rPr>
        <w:t>4,000</w:t>
      </w:r>
      <w:r w:rsidRPr="006B0FB5">
        <w:rPr>
          <w:rtl/>
        </w:rPr>
        <w:t xml:space="preserve"> ש"ח שהוטלה על הנאשם ביום </w:t>
      </w:r>
      <w:r>
        <w:rPr>
          <w:rFonts w:hint="cs"/>
          <w:rtl/>
        </w:rPr>
        <w:t>27.11.12</w:t>
      </w:r>
      <w:r w:rsidRPr="006B0FB5">
        <w:rPr>
          <w:rtl/>
        </w:rPr>
        <w:t xml:space="preserve"> בת.פ.- </w:t>
      </w:r>
      <w:r>
        <w:rPr>
          <w:rFonts w:hint="cs"/>
          <w:rtl/>
        </w:rPr>
        <w:t>58860-01-12</w:t>
      </w:r>
      <w:r w:rsidRPr="006B0FB5">
        <w:rPr>
          <w:rtl/>
        </w:rPr>
        <w:t xml:space="preserve"> של ביהמ"ש השלום </w:t>
      </w:r>
      <w:r>
        <w:rPr>
          <w:rFonts w:hint="cs"/>
          <w:rtl/>
        </w:rPr>
        <w:t>לנוער באילת</w:t>
      </w:r>
      <w:r w:rsidRPr="006B0FB5">
        <w:rPr>
          <w:rFonts w:ascii="Showcard Gothic" w:hAnsi="Showcard Gothic"/>
          <w:rtl/>
        </w:rPr>
        <w:t xml:space="preserve">, </w:t>
      </w:r>
      <w:r w:rsidRPr="006B0FB5">
        <w:rPr>
          <w:rFonts w:ascii="Showcard Gothic" w:hAnsi="Showcard Gothic" w:hint="eastAsia"/>
          <w:rtl/>
        </w:rPr>
        <w:t>שתשולם</w:t>
      </w:r>
      <w:r w:rsidRPr="006B0FB5">
        <w:rPr>
          <w:rFonts w:ascii="Showcard Gothic" w:hAnsi="Showcard Gothic"/>
          <w:rtl/>
        </w:rPr>
        <w:t xml:space="preserve"> </w:t>
      </w:r>
      <w:r w:rsidRPr="006B0FB5">
        <w:rPr>
          <w:rFonts w:ascii="Showcard Gothic" w:hAnsi="Showcard Gothic" w:hint="eastAsia"/>
          <w:rtl/>
        </w:rPr>
        <w:t>ב</w:t>
      </w:r>
      <w:r>
        <w:rPr>
          <w:rFonts w:ascii="Showcard Gothic" w:hAnsi="Showcard Gothic" w:hint="cs"/>
          <w:rtl/>
        </w:rPr>
        <w:t xml:space="preserve"> - 4</w:t>
      </w:r>
      <w:r w:rsidRPr="006B0FB5">
        <w:rPr>
          <w:rFonts w:ascii="Showcard Gothic" w:hAnsi="Showcard Gothic"/>
          <w:rtl/>
        </w:rPr>
        <w:t xml:space="preserve"> </w:t>
      </w:r>
      <w:r w:rsidRPr="006B0FB5">
        <w:rPr>
          <w:rFonts w:ascii="Showcard Gothic" w:hAnsi="Showcard Gothic" w:hint="eastAsia"/>
          <w:rtl/>
        </w:rPr>
        <w:t>תשלומים</w:t>
      </w:r>
      <w:r w:rsidRPr="006B0FB5">
        <w:rPr>
          <w:rFonts w:ascii="Showcard Gothic" w:hAnsi="Showcard Gothic"/>
          <w:rtl/>
        </w:rPr>
        <w:t xml:space="preserve"> </w:t>
      </w:r>
      <w:r w:rsidRPr="006B0FB5">
        <w:rPr>
          <w:rFonts w:ascii="Showcard Gothic" w:hAnsi="Showcard Gothic" w:hint="eastAsia"/>
          <w:rtl/>
        </w:rPr>
        <w:t>חודשיים</w:t>
      </w:r>
      <w:r w:rsidRPr="006B0FB5">
        <w:rPr>
          <w:rFonts w:ascii="Showcard Gothic" w:hAnsi="Showcard Gothic"/>
          <w:rtl/>
        </w:rPr>
        <w:t xml:space="preserve"> </w:t>
      </w:r>
      <w:r w:rsidRPr="006B0FB5">
        <w:rPr>
          <w:rFonts w:ascii="Showcard Gothic" w:hAnsi="Showcard Gothic" w:hint="eastAsia"/>
          <w:rtl/>
        </w:rPr>
        <w:t>שווים</w:t>
      </w:r>
      <w:r w:rsidRPr="006B0FB5">
        <w:rPr>
          <w:rFonts w:ascii="Showcard Gothic" w:hAnsi="Showcard Gothic"/>
          <w:rtl/>
        </w:rPr>
        <w:t xml:space="preserve"> </w:t>
      </w:r>
      <w:r w:rsidRPr="006B0FB5">
        <w:rPr>
          <w:rFonts w:ascii="Showcard Gothic" w:hAnsi="Showcard Gothic" w:hint="eastAsia"/>
          <w:rtl/>
        </w:rPr>
        <w:t>ורצופים</w:t>
      </w:r>
      <w:r w:rsidRPr="006B0FB5">
        <w:rPr>
          <w:rFonts w:ascii="Showcard Gothic" w:hAnsi="Showcard Gothic"/>
          <w:rtl/>
        </w:rPr>
        <w:t xml:space="preserve">. </w:t>
      </w:r>
      <w:r w:rsidRPr="006B0FB5">
        <w:rPr>
          <w:rFonts w:ascii="Showcard Gothic" w:hAnsi="Showcard Gothic" w:hint="eastAsia"/>
          <w:rtl/>
        </w:rPr>
        <w:t>התשלום</w:t>
      </w:r>
      <w:r w:rsidRPr="006B0FB5">
        <w:rPr>
          <w:rFonts w:ascii="Showcard Gothic" w:hAnsi="Showcard Gothic"/>
          <w:rtl/>
        </w:rPr>
        <w:t xml:space="preserve"> </w:t>
      </w:r>
      <w:r w:rsidRPr="006B0FB5">
        <w:rPr>
          <w:rFonts w:ascii="Showcard Gothic" w:hAnsi="Showcard Gothic" w:hint="eastAsia"/>
          <w:rtl/>
        </w:rPr>
        <w:t>הראשון</w:t>
      </w:r>
      <w:r w:rsidRPr="006B0FB5">
        <w:rPr>
          <w:rFonts w:ascii="Showcard Gothic" w:hAnsi="Showcard Gothic"/>
          <w:rtl/>
        </w:rPr>
        <w:t xml:space="preserve"> </w:t>
      </w:r>
      <w:r w:rsidRPr="006B0FB5">
        <w:rPr>
          <w:rFonts w:ascii="Showcard Gothic" w:hAnsi="Showcard Gothic" w:hint="eastAsia"/>
          <w:rtl/>
        </w:rPr>
        <w:t>ישולם</w:t>
      </w:r>
      <w:r w:rsidRPr="006B0FB5">
        <w:rPr>
          <w:rFonts w:ascii="Showcard Gothic" w:hAnsi="Showcard Gothic"/>
          <w:rtl/>
        </w:rPr>
        <w:t xml:space="preserve"> </w:t>
      </w:r>
      <w:r>
        <w:rPr>
          <w:rFonts w:ascii="Showcard Gothic" w:hAnsi="Showcard Gothic" w:hint="cs"/>
          <w:rtl/>
        </w:rPr>
        <w:t>ביום 01.01.20</w:t>
      </w:r>
      <w:r w:rsidRPr="006B0FB5">
        <w:rPr>
          <w:rFonts w:ascii="Showcard Gothic" w:hAnsi="Showcard Gothic"/>
          <w:rtl/>
        </w:rPr>
        <w:t xml:space="preserve"> </w:t>
      </w:r>
      <w:r w:rsidRPr="006B0FB5">
        <w:rPr>
          <w:rFonts w:ascii="Showcard Gothic" w:hAnsi="Showcard Gothic" w:hint="eastAsia"/>
          <w:rtl/>
        </w:rPr>
        <w:t>ויתר</w:t>
      </w:r>
      <w:r w:rsidRPr="006B0FB5">
        <w:rPr>
          <w:rFonts w:ascii="Showcard Gothic" w:hAnsi="Showcard Gothic"/>
          <w:rtl/>
        </w:rPr>
        <w:t xml:space="preserve"> </w:t>
      </w:r>
      <w:r w:rsidRPr="006B0FB5">
        <w:rPr>
          <w:rFonts w:ascii="Showcard Gothic" w:hAnsi="Showcard Gothic" w:hint="eastAsia"/>
          <w:rtl/>
        </w:rPr>
        <w:t>התשלומים</w:t>
      </w:r>
      <w:r w:rsidRPr="006B0FB5">
        <w:rPr>
          <w:rFonts w:ascii="Showcard Gothic" w:hAnsi="Showcard Gothic"/>
          <w:rtl/>
        </w:rPr>
        <w:t xml:space="preserve"> </w:t>
      </w:r>
      <w:r w:rsidRPr="006B0FB5">
        <w:rPr>
          <w:rFonts w:ascii="Showcard Gothic" w:hAnsi="Showcard Gothic" w:hint="eastAsia"/>
          <w:rtl/>
        </w:rPr>
        <w:t>מידי</w:t>
      </w:r>
      <w:r w:rsidRPr="006B0FB5">
        <w:rPr>
          <w:rFonts w:ascii="Showcard Gothic" w:hAnsi="Showcard Gothic"/>
          <w:rtl/>
        </w:rPr>
        <w:t xml:space="preserve"> 30 </w:t>
      </w:r>
      <w:r w:rsidRPr="006B0FB5">
        <w:rPr>
          <w:rFonts w:ascii="Showcard Gothic" w:hAnsi="Showcard Gothic" w:hint="eastAsia"/>
          <w:rtl/>
        </w:rPr>
        <w:t>יום</w:t>
      </w:r>
      <w:r w:rsidRPr="006B0FB5">
        <w:rPr>
          <w:rFonts w:ascii="Showcard Gothic" w:hAnsi="Showcard Gothic"/>
          <w:rtl/>
        </w:rPr>
        <w:t xml:space="preserve"> </w:t>
      </w:r>
      <w:r w:rsidRPr="006B0FB5">
        <w:rPr>
          <w:rFonts w:ascii="Showcard Gothic" w:hAnsi="Showcard Gothic" w:hint="eastAsia"/>
          <w:rtl/>
        </w:rPr>
        <w:t>לאחר</w:t>
      </w:r>
      <w:r w:rsidRPr="006B0FB5">
        <w:rPr>
          <w:rFonts w:ascii="Showcard Gothic" w:hAnsi="Showcard Gothic"/>
          <w:rtl/>
        </w:rPr>
        <w:t xml:space="preserve"> </w:t>
      </w:r>
      <w:r w:rsidRPr="006B0FB5">
        <w:rPr>
          <w:rFonts w:ascii="Showcard Gothic" w:hAnsi="Showcard Gothic" w:hint="eastAsia"/>
          <w:rtl/>
        </w:rPr>
        <w:t>מכן</w:t>
      </w:r>
      <w:r w:rsidRPr="006B0FB5">
        <w:rPr>
          <w:rFonts w:ascii="Showcard Gothic" w:hAnsi="Showcard Gothic"/>
          <w:rtl/>
        </w:rPr>
        <w:t xml:space="preserve">. </w:t>
      </w:r>
      <w:r w:rsidRPr="006B0FB5">
        <w:rPr>
          <w:rFonts w:ascii="Showcard Gothic" w:hAnsi="Showcard Gothic" w:hint="eastAsia"/>
          <w:rtl/>
        </w:rPr>
        <w:t>פיגור</w:t>
      </w:r>
      <w:r w:rsidRPr="006B0FB5">
        <w:rPr>
          <w:rFonts w:ascii="Showcard Gothic" w:hAnsi="Showcard Gothic"/>
          <w:rtl/>
        </w:rPr>
        <w:t xml:space="preserve"> </w:t>
      </w:r>
      <w:r w:rsidRPr="006B0FB5">
        <w:rPr>
          <w:rFonts w:ascii="Showcard Gothic" w:hAnsi="Showcard Gothic" w:hint="eastAsia"/>
          <w:rtl/>
        </w:rPr>
        <w:t>בתשלום</w:t>
      </w:r>
      <w:r w:rsidRPr="006B0FB5">
        <w:rPr>
          <w:rFonts w:ascii="Showcard Gothic" w:hAnsi="Showcard Gothic"/>
          <w:rtl/>
        </w:rPr>
        <w:t xml:space="preserve"> </w:t>
      </w:r>
      <w:r w:rsidRPr="006B0FB5">
        <w:rPr>
          <w:rFonts w:ascii="Showcard Gothic" w:hAnsi="Showcard Gothic" w:hint="eastAsia"/>
          <w:rtl/>
        </w:rPr>
        <w:t>אחד</w:t>
      </w:r>
      <w:r w:rsidRPr="006B0FB5">
        <w:rPr>
          <w:rFonts w:ascii="Showcard Gothic" w:hAnsi="Showcard Gothic"/>
          <w:rtl/>
        </w:rPr>
        <w:t xml:space="preserve"> </w:t>
      </w:r>
      <w:r w:rsidRPr="006B0FB5">
        <w:rPr>
          <w:rFonts w:ascii="Showcard Gothic" w:hAnsi="Showcard Gothic" w:hint="eastAsia"/>
          <w:rtl/>
        </w:rPr>
        <w:t>מן</w:t>
      </w:r>
      <w:r w:rsidRPr="006B0FB5">
        <w:rPr>
          <w:rFonts w:ascii="Showcard Gothic" w:hAnsi="Showcard Gothic"/>
          <w:rtl/>
        </w:rPr>
        <w:t xml:space="preserve"> </w:t>
      </w:r>
      <w:r w:rsidRPr="006B0FB5">
        <w:rPr>
          <w:rFonts w:ascii="Showcard Gothic" w:hAnsi="Showcard Gothic" w:hint="eastAsia"/>
          <w:rtl/>
        </w:rPr>
        <w:t>השיעורים</w:t>
      </w:r>
      <w:r w:rsidRPr="006B0FB5">
        <w:rPr>
          <w:rFonts w:ascii="Showcard Gothic" w:hAnsi="Showcard Gothic"/>
          <w:rtl/>
        </w:rPr>
        <w:t xml:space="preserve"> </w:t>
      </w:r>
      <w:r w:rsidRPr="006B0FB5">
        <w:rPr>
          <w:rFonts w:ascii="Showcard Gothic" w:hAnsi="Showcard Gothic" w:hint="eastAsia"/>
          <w:rtl/>
        </w:rPr>
        <w:t>שנקבעו</w:t>
      </w:r>
      <w:r w:rsidRPr="006B0FB5">
        <w:rPr>
          <w:rFonts w:ascii="Showcard Gothic" w:hAnsi="Showcard Gothic"/>
          <w:rtl/>
        </w:rPr>
        <w:t xml:space="preserve"> </w:t>
      </w:r>
      <w:r w:rsidRPr="006B0FB5">
        <w:rPr>
          <w:rFonts w:ascii="Showcard Gothic" w:hAnsi="Showcard Gothic" w:hint="eastAsia"/>
          <w:rtl/>
        </w:rPr>
        <w:t>לעיל</w:t>
      </w:r>
      <w:r w:rsidRPr="006B0FB5">
        <w:rPr>
          <w:rFonts w:ascii="Showcard Gothic" w:hAnsi="Showcard Gothic"/>
          <w:rtl/>
        </w:rPr>
        <w:t xml:space="preserve">, </w:t>
      </w:r>
      <w:r w:rsidRPr="006B0FB5">
        <w:rPr>
          <w:rFonts w:ascii="Showcard Gothic" w:hAnsi="Showcard Gothic" w:hint="eastAsia"/>
          <w:rtl/>
        </w:rPr>
        <w:t>יעמיד</w:t>
      </w:r>
      <w:r w:rsidRPr="006B0FB5">
        <w:rPr>
          <w:rFonts w:ascii="Showcard Gothic" w:hAnsi="Showcard Gothic"/>
          <w:rtl/>
        </w:rPr>
        <w:t xml:space="preserve"> </w:t>
      </w:r>
      <w:r w:rsidRPr="006B0FB5">
        <w:rPr>
          <w:rFonts w:ascii="Showcard Gothic" w:hAnsi="Showcard Gothic" w:hint="eastAsia"/>
          <w:rtl/>
        </w:rPr>
        <w:t>לפירעון</w:t>
      </w:r>
      <w:r w:rsidRPr="006B0FB5">
        <w:rPr>
          <w:rFonts w:ascii="Showcard Gothic" w:hAnsi="Showcard Gothic"/>
          <w:rtl/>
        </w:rPr>
        <w:t xml:space="preserve"> </w:t>
      </w:r>
      <w:r w:rsidRPr="006B0FB5">
        <w:rPr>
          <w:rFonts w:ascii="Showcard Gothic" w:hAnsi="Showcard Gothic" w:hint="eastAsia"/>
          <w:rtl/>
        </w:rPr>
        <w:t>מיידי</w:t>
      </w:r>
      <w:r w:rsidRPr="006B0FB5">
        <w:rPr>
          <w:rFonts w:ascii="Showcard Gothic" w:hAnsi="Showcard Gothic"/>
          <w:rtl/>
        </w:rPr>
        <w:t xml:space="preserve"> </w:t>
      </w:r>
      <w:r w:rsidRPr="006B0FB5">
        <w:rPr>
          <w:rFonts w:ascii="Showcard Gothic" w:hAnsi="Showcard Gothic" w:hint="eastAsia"/>
          <w:rtl/>
        </w:rPr>
        <w:t>את</w:t>
      </w:r>
      <w:r w:rsidRPr="006B0FB5">
        <w:rPr>
          <w:rFonts w:ascii="Showcard Gothic" w:hAnsi="Showcard Gothic"/>
          <w:rtl/>
        </w:rPr>
        <w:t xml:space="preserve"> </w:t>
      </w:r>
      <w:r w:rsidRPr="006B0FB5">
        <w:rPr>
          <w:rFonts w:ascii="Showcard Gothic" w:hAnsi="Showcard Gothic" w:hint="eastAsia"/>
          <w:rtl/>
        </w:rPr>
        <w:t>יתרת</w:t>
      </w:r>
      <w:r w:rsidRPr="006B0FB5">
        <w:rPr>
          <w:rFonts w:ascii="Showcard Gothic" w:hAnsi="Showcard Gothic"/>
          <w:rtl/>
        </w:rPr>
        <w:t xml:space="preserve"> </w:t>
      </w:r>
      <w:r w:rsidRPr="006B0FB5">
        <w:rPr>
          <w:rFonts w:ascii="Showcard Gothic" w:hAnsi="Showcard Gothic" w:hint="eastAsia"/>
          <w:rtl/>
        </w:rPr>
        <w:t>ההתחייבות</w:t>
      </w:r>
      <w:r w:rsidRPr="006B0FB5">
        <w:rPr>
          <w:rFonts w:ascii="Showcard Gothic" w:hAnsi="Showcard Gothic"/>
          <w:rtl/>
        </w:rPr>
        <w:t xml:space="preserve"> </w:t>
      </w:r>
      <w:r w:rsidRPr="006B0FB5">
        <w:rPr>
          <w:rFonts w:ascii="Showcard Gothic" w:hAnsi="Showcard Gothic" w:hint="eastAsia"/>
          <w:rtl/>
        </w:rPr>
        <w:t>שטרם</w:t>
      </w:r>
      <w:r w:rsidRPr="006B0FB5">
        <w:rPr>
          <w:rFonts w:ascii="Showcard Gothic" w:hAnsi="Showcard Gothic"/>
          <w:rtl/>
        </w:rPr>
        <w:t xml:space="preserve"> </w:t>
      </w:r>
      <w:r w:rsidRPr="006B0FB5">
        <w:rPr>
          <w:rFonts w:ascii="Showcard Gothic" w:hAnsi="Showcard Gothic" w:hint="eastAsia"/>
          <w:rtl/>
        </w:rPr>
        <w:t>שולמה</w:t>
      </w:r>
      <w:r w:rsidRPr="006B0FB5">
        <w:rPr>
          <w:rFonts w:ascii="Showcard Gothic" w:hAnsi="Showcard Gothic"/>
          <w:rtl/>
        </w:rPr>
        <w:t xml:space="preserve"> </w:t>
      </w:r>
      <w:r w:rsidRPr="006B0FB5">
        <w:rPr>
          <w:rFonts w:ascii="Showcard Gothic" w:hAnsi="Showcard Gothic" w:hint="eastAsia"/>
          <w:rtl/>
        </w:rPr>
        <w:t>ויחייב</w:t>
      </w:r>
      <w:r w:rsidRPr="006B0FB5">
        <w:rPr>
          <w:rFonts w:ascii="Showcard Gothic" w:hAnsi="Showcard Gothic"/>
          <w:rtl/>
        </w:rPr>
        <w:t xml:space="preserve"> </w:t>
      </w:r>
      <w:r w:rsidRPr="006B0FB5">
        <w:rPr>
          <w:rFonts w:ascii="Showcard Gothic" w:hAnsi="Showcard Gothic" w:hint="eastAsia"/>
          <w:rtl/>
        </w:rPr>
        <w:t>את</w:t>
      </w:r>
      <w:r w:rsidRPr="006B0FB5">
        <w:rPr>
          <w:rFonts w:ascii="Showcard Gothic" w:hAnsi="Showcard Gothic"/>
          <w:rtl/>
        </w:rPr>
        <w:t xml:space="preserve"> </w:t>
      </w:r>
      <w:r w:rsidRPr="006B0FB5">
        <w:rPr>
          <w:rFonts w:ascii="Showcard Gothic" w:hAnsi="Showcard Gothic" w:hint="eastAsia"/>
          <w:rtl/>
        </w:rPr>
        <w:t>הנאשם</w:t>
      </w:r>
      <w:r w:rsidRPr="006B0FB5">
        <w:rPr>
          <w:rFonts w:ascii="Showcard Gothic" w:hAnsi="Showcard Gothic"/>
          <w:rtl/>
        </w:rPr>
        <w:t xml:space="preserve"> </w:t>
      </w:r>
      <w:r w:rsidRPr="006B0FB5">
        <w:rPr>
          <w:rFonts w:ascii="Showcard Gothic" w:hAnsi="Showcard Gothic" w:hint="eastAsia"/>
          <w:rtl/>
        </w:rPr>
        <w:t>בתשלום</w:t>
      </w:r>
      <w:r w:rsidRPr="006B0FB5">
        <w:rPr>
          <w:rFonts w:ascii="Showcard Gothic" w:hAnsi="Showcard Gothic"/>
          <w:rtl/>
        </w:rPr>
        <w:t xml:space="preserve"> </w:t>
      </w:r>
      <w:r w:rsidRPr="006B0FB5">
        <w:rPr>
          <w:rFonts w:ascii="Showcard Gothic" w:hAnsi="Showcard Gothic" w:hint="eastAsia"/>
          <w:rtl/>
        </w:rPr>
        <w:t>תוספת</w:t>
      </w:r>
      <w:r w:rsidRPr="006B0FB5">
        <w:rPr>
          <w:rFonts w:ascii="Showcard Gothic" w:hAnsi="Showcard Gothic"/>
          <w:rtl/>
        </w:rPr>
        <w:t xml:space="preserve"> </w:t>
      </w:r>
      <w:r w:rsidRPr="006B0FB5">
        <w:rPr>
          <w:rFonts w:ascii="Showcard Gothic" w:hAnsi="Showcard Gothic" w:hint="eastAsia"/>
          <w:rtl/>
        </w:rPr>
        <w:t>פיגורים</w:t>
      </w:r>
      <w:r w:rsidRPr="006B0FB5">
        <w:rPr>
          <w:rFonts w:ascii="Showcard Gothic" w:hAnsi="Showcard Gothic"/>
          <w:rtl/>
        </w:rPr>
        <w:t xml:space="preserve"> </w:t>
      </w:r>
      <w:r w:rsidRPr="006B0FB5">
        <w:rPr>
          <w:rFonts w:ascii="Showcard Gothic" w:hAnsi="Showcard Gothic" w:hint="eastAsia"/>
          <w:rtl/>
        </w:rPr>
        <w:t>כחוק</w:t>
      </w:r>
      <w:r w:rsidRPr="006B0FB5">
        <w:rPr>
          <w:rFonts w:ascii="Showcard Gothic" w:hAnsi="Showcard Gothic"/>
          <w:rtl/>
        </w:rPr>
        <w:t xml:space="preserve">. </w:t>
      </w:r>
    </w:p>
    <w:p w14:paraId="6EE0748D" w14:textId="77777777" w:rsidR="005474E1" w:rsidRPr="006B0FB5" w:rsidRDefault="005474E1" w:rsidP="005474E1">
      <w:pPr>
        <w:rPr>
          <w:szCs w:val="20"/>
          <w:rtl/>
        </w:rPr>
      </w:pPr>
    </w:p>
    <w:p w14:paraId="33E437DD" w14:textId="77777777" w:rsidR="005474E1" w:rsidRDefault="005474E1" w:rsidP="005474E1">
      <w:pPr>
        <w:spacing w:line="360" w:lineRule="auto"/>
        <w:ind w:left="510"/>
        <w:jc w:val="both"/>
        <w:rPr>
          <w:rtl/>
        </w:rPr>
      </w:pPr>
      <w:r>
        <w:rPr>
          <w:rFonts w:hint="cs"/>
          <w:b/>
          <w:bCs/>
          <w:rtl/>
        </w:rPr>
        <w:t>התחייבות</w:t>
      </w:r>
      <w:r>
        <w:rPr>
          <w:rFonts w:hint="cs"/>
          <w:rtl/>
        </w:rPr>
        <w:t xml:space="preserve"> </w:t>
      </w:r>
      <w:r>
        <w:rPr>
          <w:rFonts w:hint="cs"/>
          <w:b/>
          <w:bCs/>
          <w:rtl/>
        </w:rPr>
        <w:t xml:space="preserve">- </w:t>
      </w:r>
      <w:r>
        <w:rPr>
          <w:rFonts w:hint="cs"/>
          <w:rtl/>
        </w:rPr>
        <w:t>הנאשם יחתום על התחייבות על סך 10,000 ש"ח, אשר יהיה עליו לשלם באם בתוך שנתיים מיום שחרורו יעבור על עבירות נוספות בהן הורשע. היה והנאשם לא יחתום על התחייבות כאמור בתוך 7 ימים מהיום - ייאסר בגין כך למשך 10 יום.</w:t>
      </w:r>
    </w:p>
    <w:p w14:paraId="553FEFD4" w14:textId="77777777" w:rsidR="005474E1" w:rsidRDefault="005474E1" w:rsidP="005474E1">
      <w:pPr>
        <w:spacing w:line="360" w:lineRule="auto"/>
        <w:jc w:val="both"/>
        <w:rPr>
          <w:b/>
          <w:bCs/>
          <w:rtl/>
        </w:rPr>
      </w:pPr>
    </w:p>
    <w:p w14:paraId="10E069FE" w14:textId="77777777" w:rsidR="005474E1" w:rsidRDefault="005474E1" w:rsidP="005474E1">
      <w:pPr>
        <w:spacing w:line="360" w:lineRule="auto"/>
        <w:ind w:left="510"/>
        <w:jc w:val="both"/>
        <w:rPr>
          <w:rtl/>
        </w:rPr>
      </w:pPr>
      <w:r>
        <w:rPr>
          <w:rFonts w:hint="cs"/>
          <w:b/>
          <w:bCs/>
          <w:rtl/>
        </w:rPr>
        <w:t>מוצגים –</w:t>
      </w:r>
      <w:r>
        <w:rPr>
          <w:rFonts w:hint="cs"/>
          <w:rtl/>
        </w:rPr>
        <w:t>בהיות הנאשם סוחר סמים, מורה על חילוט הסך של 900 ₪ אשר נתפסו בעת מעצרו. מאשר השבת הטלפון שנתפס ברשותו לידי אמו, הגב' אירנה פטרוב. שאר המוצגים יושמדו/יחולטו לשיקול דעת המאשימה.</w:t>
      </w:r>
    </w:p>
    <w:p w14:paraId="0C4EDDD0" w14:textId="77777777" w:rsidR="005474E1" w:rsidRDefault="005474E1" w:rsidP="005474E1">
      <w:pPr>
        <w:spacing w:line="360" w:lineRule="auto"/>
        <w:jc w:val="both"/>
        <w:rPr>
          <w:rtl/>
        </w:rPr>
      </w:pPr>
    </w:p>
    <w:p w14:paraId="48A0324E" w14:textId="77777777" w:rsidR="005474E1" w:rsidRDefault="005474E1" w:rsidP="005474E1">
      <w:pPr>
        <w:spacing w:line="360" w:lineRule="auto"/>
        <w:jc w:val="both"/>
        <w:rPr>
          <w:rtl/>
        </w:rPr>
      </w:pPr>
      <w:r>
        <w:rPr>
          <w:rFonts w:hint="cs"/>
          <w:rtl/>
        </w:rPr>
        <w:t xml:space="preserve">זכות ערעור תוך 45 יום מהיום. </w:t>
      </w:r>
    </w:p>
    <w:bookmarkEnd w:id="7"/>
    <w:p w14:paraId="44B6A796" w14:textId="77777777" w:rsidR="005474E1" w:rsidRDefault="005474E1" w:rsidP="005474E1">
      <w:pPr>
        <w:rPr>
          <w:sz w:val="6"/>
          <w:szCs w:val="6"/>
          <w:rtl/>
        </w:rPr>
      </w:pPr>
      <w:r>
        <w:rPr>
          <w:sz w:val="6"/>
          <w:szCs w:val="6"/>
          <w:rtl/>
        </w:rPr>
        <w:t>#4#&gt;</w:t>
      </w:r>
    </w:p>
    <w:p w14:paraId="2E4809BF" w14:textId="77777777" w:rsidR="005474E1" w:rsidRDefault="00B538FB" w:rsidP="005474E1">
      <w:pPr>
        <w:spacing w:line="360" w:lineRule="auto"/>
        <w:jc w:val="both"/>
        <w:rPr>
          <w:rtl/>
        </w:rPr>
      </w:pPr>
      <w:r w:rsidRPr="00B538FB">
        <w:rPr>
          <w:b/>
          <w:bCs/>
          <w:color w:val="FFFFFF"/>
          <w:sz w:val="2"/>
          <w:szCs w:val="2"/>
          <w:rtl/>
        </w:rPr>
        <w:t>5129371</w:t>
      </w:r>
      <w:r>
        <w:rPr>
          <w:b/>
          <w:bCs/>
          <w:rtl/>
        </w:rPr>
        <w:t xml:space="preserve">ניתנה והודעה היום ט"ו טבת תשע"ח, 02/01/2018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474E1" w14:paraId="5D84466A" w14:textId="77777777">
        <w:trPr>
          <w:trHeight w:val="316"/>
          <w:jc w:val="right"/>
        </w:trPr>
        <w:tc>
          <w:tcPr>
            <w:tcW w:w="3936" w:type="dxa"/>
            <w:shd w:val="clear" w:color="auto" w:fill="auto"/>
            <w:vAlign w:val="bottom"/>
          </w:tcPr>
          <w:p w14:paraId="1CAABF94" w14:textId="77777777" w:rsidR="005474E1" w:rsidRPr="00B538FB" w:rsidRDefault="00B538FB" w:rsidP="005474E1">
            <w:pPr>
              <w:jc w:val="center"/>
              <w:rPr>
                <w:color w:val="FFFFFF"/>
                <w:sz w:val="2"/>
                <w:szCs w:val="2"/>
                <w:rtl/>
              </w:rPr>
            </w:pPr>
            <w:r w:rsidRPr="00B538FB">
              <w:rPr>
                <w:color w:val="FFFFFF"/>
                <w:sz w:val="2"/>
                <w:szCs w:val="2"/>
                <w:rtl/>
              </w:rPr>
              <w:t>54678313</w:t>
            </w:r>
            <w:r w:rsidR="005474E1" w:rsidRPr="00B538FB">
              <w:rPr>
                <w:color w:val="FFFFFF"/>
                <w:sz w:val="2"/>
                <w:szCs w:val="2"/>
                <w:rtl/>
              </w:rPr>
              <w:t xml:space="preserve">     </w:t>
            </w:r>
          </w:p>
        </w:tc>
      </w:tr>
      <w:tr w:rsidR="005474E1" w14:paraId="05D216B2" w14:textId="77777777">
        <w:trPr>
          <w:trHeight w:val="361"/>
          <w:jc w:val="right"/>
        </w:trPr>
        <w:tc>
          <w:tcPr>
            <w:tcW w:w="3936" w:type="dxa"/>
            <w:shd w:val="clear" w:color="auto" w:fill="auto"/>
          </w:tcPr>
          <w:p w14:paraId="368E2C72" w14:textId="77777777" w:rsidR="005474E1" w:rsidRPr="005474E1" w:rsidRDefault="005474E1" w:rsidP="005474E1">
            <w:pPr>
              <w:jc w:val="center"/>
              <w:rPr>
                <w:b/>
                <w:bCs/>
                <w:rtl/>
              </w:rPr>
            </w:pPr>
            <w:r w:rsidRPr="005474E1">
              <w:rPr>
                <w:rFonts w:hint="cs"/>
                <w:b/>
                <w:bCs/>
                <w:rtl/>
              </w:rPr>
              <w:t>מרדכי (מוטי) לוי, שופט</w:t>
            </w:r>
          </w:p>
          <w:p w14:paraId="074BE663" w14:textId="77777777" w:rsidR="005474E1" w:rsidRPr="005474E1" w:rsidRDefault="005474E1" w:rsidP="005474E1">
            <w:pPr>
              <w:jc w:val="center"/>
              <w:rPr>
                <w:b/>
                <w:bCs/>
                <w:rtl/>
              </w:rPr>
            </w:pPr>
            <w:r w:rsidRPr="005474E1">
              <w:rPr>
                <w:rFonts w:hint="cs"/>
                <w:b/>
                <w:bCs/>
                <w:rtl/>
              </w:rPr>
              <w:t>סגן נשיאה</w:t>
            </w:r>
          </w:p>
        </w:tc>
      </w:tr>
    </w:tbl>
    <w:p w14:paraId="67BD5D04" w14:textId="77777777" w:rsidR="005474E1" w:rsidRDefault="005474E1" w:rsidP="005474E1">
      <w:r>
        <w:rPr>
          <w:rtl/>
        </w:rPr>
        <w:t xml:space="preserve"> </w:t>
      </w:r>
    </w:p>
    <w:p w14:paraId="66A63EB0" w14:textId="77777777" w:rsidR="007D753E" w:rsidRPr="00B538FB" w:rsidRDefault="007D753E" w:rsidP="00B538FB">
      <w:pPr>
        <w:keepNext/>
        <w:rPr>
          <w:color w:val="000000"/>
          <w:sz w:val="22"/>
          <w:szCs w:val="22"/>
          <w:rtl/>
        </w:rPr>
      </w:pPr>
    </w:p>
    <w:p w14:paraId="12BFD6C8" w14:textId="77777777" w:rsidR="00B538FB" w:rsidRPr="00B538FB" w:rsidRDefault="00B538FB" w:rsidP="00B538FB">
      <w:pPr>
        <w:keepNext/>
        <w:rPr>
          <w:color w:val="000000"/>
          <w:sz w:val="22"/>
          <w:szCs w:val="22"/>
          <w:rtl/>
        </w:rPr>
      </w:pPr>
      <w:r w:rsidRPr="00B538FB">
        <w:rPr>
          <w:color w:val="000000"/>
          <w:sz w:val="22"/>
          <w:szCs w:val="22"/>
          <w:rtl/>
        </w:rPr>
        <w:t>מרדכי (מוטי) לוי 54678313</w:t>
      </w:r>
    </w:p>
    <w:p w14:paraId="649F7F43" w14:textId="77777777" w:rsidR="00B538FB" w:rsidRDefault="00B538FB" w:rsidP="00B538FB">
      <w:r w:rsidRPr="00B538FB">
        <w:rPr>
          <w:color w:val="000000"/>
          <w:rtl/>
        </w:rPr>
        <w:t>נוסח מסמך זה כפוף לשינויי ניסוח ועריכה</w:t>
      </w:r>
    </w:p>
    <w:p w14:paraId="55E2078D" w14:textId="77777777" w:rsidR="00B538FB" w:rsidRDefault="00B538FB" w:rsidP="00B538FB">
      <w:pPr>
        <w:rPr>
          <w:rtl/>
        </w:rPr>
      </w:pPr>
    </w:p>
    <w:p w14:paraId="5B48A0BC" w14:textId="77777777" w:rsidR="00B538FB" w:rsidRDefault="00B538FB" w:rsidP="00B538FB">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0C4B3773" w14:textId="77777777" w:rsidR="00B538FB" w:rsidRPr="00B538FB" w:rsidRDefault="00B538FB" w:rsidP="00B538FB">
      <w:pPr>
        <w:jc w:val="center"/>
        <w:rPr>
          <w:color w:val="0000FF"/>
          <w:u w:val="single"/>
        </w:rPr>
      </w:pPr>
    </w:p>
    <w:sectPr w:rsidR="00B538FB" w:rsidRPr="00B538FB" w:rsidSect="00B538FB">
      <w:headerReference w:type="even" r:id="rId19"/>
      <w:headerReference w:type="default" r:id="rId20"/>
      <w:footerReference w:type="even" r:id="rId21"/>
      <w:footerReference w:type="default" r:id="rId22"/>
      <w:pgSz w:w="11906" w:h="16838" w:code="9"/>
      <w:pgMar w:top="1701" w:right="1701" w:bottom="1440" w:left="1701" w:header="56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E956B" w14:textId="77777777" w:rsidR="00AF5C5C" w:rsidRDefault="00AF5C5C" w:rsidP="00381A92">
      <w:r>
        <w:separator/>
      </w:r>
    </w:p>
  </w:endnote>
  <w:endnote w:type="continuationSeparator" w:id="0">
    <w:p w14:paraId="7AC00D9F" w14:textId="77777777" w:rsidR="00AF5C5C" w:rsidRDefault="00AF5C5C" w:rsidP="00381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Showcard Gothic">
    <w:panose1 w:val="04020904020102020604"/>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CD3EC" w14:textId="77777777" w:rsidR="00AF5C5C" w:rsidRDefault="00AF5C5C" w:rsidP="00B538F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151AC121" w14:textId="77777777" w:rsidR="00AF5C5C" w:rsidRPr="00B538FB" w:rsidRDefault="00AF5C5C" w:rsidP="00B538F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44642" w14:textId="77777777" w:rsidR="00AF5C5C" w:rsidRDefault="00AF5C5C" w:rsidP="00B538F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6A06">
      <w:rPr>
        <w:rFonts w:ascii="FrankRuehl" w:hAnsi="FrankRuehl" w:cs="FrankRuehl"/>
        <w:noProof/>
        <w:rtl/>
      </w:rPr>
      <w:t>1</w:t>
    </w:r>
    <w:r>
      <w:rPr>
        <w:rFonts w:ascii="FrankRuehl" w:hAnsi="FrankRuehl" w:cs="FrankRuehl"/>
        <w:rtl/>
      </w:rPr>
      <w:fldChar w:fldCharType="end"/>
    </w:r>
  </w:p>
  <w:p w14:paraId="04984CCA" w14:textId="77777777" w:rsidR="00AF5C5C" w:rsidRPr="00B538FB" w:rsidRDefault="00AF5C5C" w:rsidP="00B538F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3CE37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3E21A" w14:textId="77777777" w:rsidR="00AF5C5C" w:rsidRDefault="00AF5C5C" w:rsidP="00381A92">
      <w:r>
        <w:separator/>
      </w:r>
    </w:p>
  </w:footnote>
  <w:footnote w:type="continuationSeparator" w:id="0">
    <w:p w14:paraId="7F08DC82" w14:textId="77777777" w:rsidR="00AF5C5C" w:rsidRDefault="00AF5C5C" w:rsidP="00381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A2FED" w14:textId="77777777" w:rsidR="00AF5C5C" w:rsidRPr="00B538FB" w:rsidRDefault="00AF5C5C" w:rsidP="00B538F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(אי') 25513-08-17</w:t>
    </w:r>
    <w:r>
      <w:rPr>
        <w:color w:val="000000"/>
        <w:sz w:val="22"/>
        <w:szCs w:val="22"/>
        <w:rtl/>
      </w:rPr>
      <w:tab/>
      <w:t xml:space="preserve"> מדינת ישראל נ' גלדין קונסטנטין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320C0" w14:textId="77777777" w:rsidR="00AF5C5C" w:rsidRPr="00B538FB" w:rsidRDefault="00AF5C5C" w:rsidP="00B538F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(אי') 25513-08-17</w:t>
    </w:r>
    <w:r>
      <w:rPr>
        <w:color w:val="000000"/>
        <w:sz w:val="22"/>
        <w:szCs w:val="22"/>
        <w:rtl/>
      </w:rPr>
      <w:tab/>
      <w:t xml:space="preserve"> מדינת ישראל נ' גלדין קונסטנטין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474E1"/>
    <w:rsid w:val="00381A92"/>
    <w:rsid w:val="00516041"/>
    <w:rsid w:val="005474E1"/>
    <w:rsid w:val="007D753E"/>
    <w:rsid w:val="0090629B"/>
    <w:rsid w:val="00935CC3"/>
    <w:rsid w:val="00AF5C5C"/>
    <w:rsid w:val="00B538FB"/>
    <w:rsid w:val="00B6408B"/>
    <w:rsid w:val="00C86A06"/>
    <w:rsid w:val="00C87149"/>
    <w:rsid w:val="00D161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73B0054"/>
  <w15:chartTrackingRefBased/>
  <w15:docId w15:val="{95CED60F-932B-4642-A153-2C03D5AC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74E1"/>
    <w:pPr>
      <w:bidi/>
    </w:pPr>
    <w:rPr>
      <w:rFonts w:ascii="David" w:eastAsia="David" w:hAnsi="David" w:cs="David"/>
      <w:sz w:val="24"/>
      <w:szCs w:val="24"/>
    </w:rPr>
  </w:style>
  <w:style w:type="paragraph" w:styleId="3">
    <w:name w:val="heading 3"/>
    <w:basedOn w:val="a"/>
    <w:next w:val="a"/>
    <w:link w:val="30"/>
    <w:qFormat/>
    <w:rsid w:val="005474E1"/>
    <w:pPr>
      <w:keepNext/>
      <w:spacing w:before="240" w:after="60"/>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5474E1"/>
    <w:rPr>
      <w:rFonts w:ascii="David" w:eastAsia="David" w:hAnsi="David" w:cs="David"/>
      <w:b/>
      <w:bCs/>
      <w:sz w:val="26"/>
      <w:szCs w:val="26"/>
    </w:rPr>
  </w:style>
  <w:style w:type="paragraph" w:styleId="a3">
    <w:name w:val="header"/>
    <w:basedOn w:val="a"/>
    <w:link w:val="a4"/>
    <w:rsid w:val="005474E1"/>
    <w:pPr>
      <w:tabs>
        <w:tab w:val="center" w:pos="4153"/>
        <w:tab w:val="right" w:pos="8306"/>
      </w:tabs>
    </w:pPr>
  </w:style>
  <w:style w:type="character" w:customStyle="1" w:styleId="a4">
    <w:name w:val="כותרת עליונה תו"/>
    <w:link w:val="a3"/>
    <w:rsid w:val="005474E1"/>
    <w:rPr>
      <w:rFonts w:ascii="David" w:eastAsia="David" w:hAnsi="David" w:cs="David"/>
      <w:sz w:val="24"/>
      <w:szCs w:val="24"/>
    </w:rPr>
  </w:style>
  <w:style w:type="paragraph" w:styleId="a5">
    <w:name w:val="footer"/>
    <w:basedOn w:val="a"/>
    <w:link w:val="a6"/>
    <w:rsid w:val="005474E1"/>
    <w:pPr>
      <w:tabs>
        <w:tab w:val="center" w:pos="4153"/>
        <w:tab w:val="right" w:pos="8306"/>
      </w:tabs>
    </w:pPr>
  </w:style>
  <w:style w:type="character" w:customStyle="1" w:styleId="a6">
    <w:name w:val="כותרת תחתונה תו"/>
    <w:link w:val="a5"/>
    <w:rsid w:val="005474E1"/>
    <w:rPr>
      <w:rFonts w:ascii="David" w:eastAsia="David" w:hAnsi="David" w:cs="David"/>
      <w:sz w:val="24"/>
      <w:szCs w:val="24"/>
    </w:rPr>
  </w:style>
  <w:style w:type="table" w:styleId="a7">
    <w:name w:val="Table Grid"/>
    <w:basedOn w:val="a1"/>
    <w:rsid w:val="005474E1"/>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474E1"/>
  </w:style>
  <w:style w:type="paragraph" w:customStyle="1" w:styleId="12">
    <w:name w:val="רגיל + ‏12 נק'"/>
    <w:aliases w:val="מיושר לשני הצדדים,מרווח בין שורות:  שורה וחצי"/>
    <w:basedOn w:val="a"/>
    <w:rsid w:val="005474E1"/>
    <w:rPr>
      <w:rFonts w:ascii="Times New Roman" w:eastAsia="Times New Roman" w:hAnsi="Times New Roman"/>
      <w:b/>
      <w:bCs/>
      <w:u w:val="single"/>
    </w:rPr>
  </w:style>
  <w:style w:type="character" w:styleId="a9">
    <w:name w:val="line number"/>
    <w:rsid w:val="005474E1"/>
  </w:style>
  <w:style w:type="character" w:styleId="Hyperlink">
    <w:name w:val="Hyperlink"/>
    <w:rsid w:val="00B538F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19;13.a"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4216/7.a." TargetMode="External"/><Relationship Id="rId12" Type="http://schemas.openxmlformats.org/officeDocument/2006/relationships/hyperlink" Target="http://www.nevo.co.il/law/70301/382.c" TargetMode="External"/><Relationship Id="rId17"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70301/382.c"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7.a.;7.c" TargetMode="External"/><Relationship Id="rId23" Type="http://schemas.openxmlformats.org/officeDocument/2006/relationships/fontTable" Target="fontTable.xml"/><Relationship Id="rId10" Type="http://schemas.openxmlformats.org/officeDocument/2006/relationships/hyperlink" Target="http://www.nevo.co.il/law/4216/19"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4216/13.a" TargetMode="External"/><Relationship Id="rId14" Type="http://schemas.openxmlformats.org/officeDocument/2006/relationships/hyperlink" Target="http://www.nevo.co.il/law/4216"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3309</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7995492</vt:i4>
      </vt:variant>
      <vt:variant>
        <vt:i4>33</vt:i4>
      </vt:variant>
      <vt:variant>
        <vt:i4>0</vt:i4>
      </vt:variant>
      <vt:variant>
        <vt:i4>5</vt:i4>
      </vt:variant>
      <vt:variant>
        <vt:lpwstr>http://www.nevo.co.il/law/70301</vt:lpwstr>
      </vt:variant>
      <vt:variant>
        <vt:lpwstr/>
      </vt:variant>
      <vt:variant>
        <vt:i4>4390996</vt:i4>
      </vt:variant>
      <vt:variant>
        <vt:i4>30</vt:i4>
      </vt:variant>
      <vt:variant>
        <vt:i4>0</vt:i4>
      </vt:variant>
      <vt:variant>
        <vt:i4>5</vt:i4>
      </vt:variant>
      <vt:variant>
        <vt:lpwstr>http://www.nevo.co.il/law/70301/382.c</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2490476</vt:i4>
      </vt:variant>
      <vt:variant>
        <vt:i4>21</vt:i4>
      </vt:variant>
      <vt:variant>
        <vt:i4>0</vt:i4>
      </vt:variant>
      <vt:variant>
        <vt:i4>5</vt:i4>
      </vt:variant>
      <vt:variant>
        <vt:lpwstr>http://www.nevo.co.il/law/4216/19;13.a</vt:lpwstr>
      </vt:variant>
      <vt:variant>
        <vt:lpwstr/>
      </vt:variant>
      <vt:variant>
        <vt:i4>4390996</vt:i4>
      </vt:variant>
      <vt:variant>
        <vt:i4>18</vt:i4>
      </vt:variant>
      <vt:variant>
        <vt:i4>0</vt:i4>
      </vt:variant>
      <vt:variant>
        <vt:i4>5</vt:i4>
      </vt:variant>
      <vt:variant>
        <vt:lpwstr>http://www.nevo.co.il/law/70301/382.c</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6357113</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2025-04-22T23:30:00Z</dcterms:created>
  <dcterms:modified xsi:type="dcterms:W3CDTF">2025-04-22T23:30:00Z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25513</vt:lpwstr>
  </property>
  <property fmtid="{D5CDD505-2E9C-101B-9397-08002B2CF9AE}" pid="6" name="NEWPARTB">
    <vt:lpwstr>08</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גלדין קונסטנטין</vt:lpwstr>
  </property>
  <property fmtid="{D5CDD505-2E9C-101B-9397-08002B2CF9AE}" pid="10" name="LAWYER">
    <vt:lpwstr>לוי;דראבי </vt:lpwstr>
  </property>
  <property fmtid="{D5CDD505-2E9C-101B-9397-08002B2CF9AE}" pid="11" name="JUDGE">
    <vt:lpwstr>מרדכי (מוטי) לוי</vt:lpwstr>
  </property>
  <property fmtid="{D5CDD505-2E9C-101B-9397-08002B2CF9AE}" pid="12" name="CITY">
    <vt:lpwstr>אי'</vt:lpwstr>
  </property>
  <property fmtid="{D5CDD505-2E9C-101B-9397-08002B2CF9AE}" pid="13" name="DATE">
    <vt:lpwstr>20180102</vt:lpwstr>
  </property>
  <property fmtid="{D5CDD505-2E9C-101B-9397-08002B2CF9AE}" pid="14" name="TYPE_N_DATE">
    <vt:lpwstr>38020180102</vt:lpwstr>
  </property>
  <property fmtid="{D5CDD505-2E9C-101B-9397-08002B2CF9AE}" pid="15" name="WORDNUMPAGES">
    <vt:lpwstr>2</vt:lpwstr>
  </property>
  <property fmtid="{D5CDD505-2E9C-101B-9397-08002B2CF9AE}" pid="16" name="TYPE_ABS_DATE">
    <vt:lpwstr>380020180102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4216/019;013.a;007.a;007.c</vt:lpwstr>
  </property>
  <property fmtid="{D5CDD505-2E9C-101B-9397-08002B2CF9AE}" pid="36" name="LAWLISTTMP2">
    <vt:lpwstr>70301/382.c</vt:lpwstr>
  </property>
</Properties>
</file>