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1451A" w:rsidRPr="00EE6292" w14:paraId="26167E6D" w14:textId="77777777" w:rsidTr="00C73673">
        <w:trPr>
          <w:trHeight w:hRule="exact" w:val="418"/>
          <w:jc w:val="center"/>
        </w:trPr>
        <w:tc>
          <w:tcPr>
            <w:tcW w:w="8721" w:type="dxa"/>
            <w:gridSpan w:val="2"/>
          </w:tcPr>
          <w:p w14:paraId="0774C782" w14:textId="77777777" w:rsidR="0031451A" w:rsidRPr="00EE6292" w:rsidRDefault="0031451A" w:rsidP="003333E9">
            <w:pPr>
              <w:pStyle w:val="a3"/>
              <w:jc w:val="center"/>
              <w:rPr>
                <w:rFonts w:ascii="Tahoma" w:hAnsi="Tahoma"/>
                <w:color w:val="000080"/>
                <w:sz w:val="32"/>
                <w:szCs w:val="32"/>
                <w:rtl/>
              </w:rPr>
            </w:pPr>
            <w:bookmarkStart w:id="0" w:name="LastJudge"/>
            <w:r w:rsidRPr="00EE6292">
              <w:rPr>
                <w:rFonts w:ascii="Tahoma" w:hAnsi="Tahoma"/>
                <w:b/>
                <w:bCs/>
                <w:color w:val="000080"/>
                <w:sz w:val="32"/>
                <w:szCs w:val="32"/>
                <w:rtl/>
              </w:rPr>
              <w:t>בית משפט השלום בתל אביב - יפו</w:t>
            </w:r>
          </w:p>
        </w:tc>
      </w:tr>
      <w:tr w:rsidR="0031451A" w:rsidRPr="00EE6292" w14:paraId="32D5F8E4" w14:textId="77777777" w:rsidTr="00C73673">
        <w:trPr>
          <w:trHeight w:val="337"/>
          <w:jc w:val="center"/>
        </w:trPr>
        <w:tc>
          <w:tcPr>
            <w:tcW w:w="5054" w:type="dxa"/>
          </w:tcPr>
          <w:p w14:paraId="47FCD7EA" w14:textId="77777777" w:rsidR="0031451A" w:rsidRPr="00EE6292" w:rsidRDefault="0031451A" w:rsidP="003333E9">
            <w:pPr>
              <w:rPr>
                <w:sz w:val="26"/>
                <w:szCs w:val="26"/>
                <w:rtl/>
              </w:rPr>
            </w:pPr>
            <w:r w:rsidRPr="00EE6292">
              <w:rPr>
                <w:sz w:val="26"/>
                <w:szCs w:val="26"/>
                <w:rtl/>
              </w:rPr>
              <w:t>ת"פ</w:t>
            </w:r>
            <w:r w:rsidRPr="00EE6292">
              <w:rPr>
                <w:rFonts w:hint="cs"/>
                <w:sz w:val="26"/>
                <w:szCs w:val="26"/>
                <w:rtl/>
              </w:rPr>
              <w:t xml:space="preserve"> </w:t>
            </w:r>
            <w:r w:rsidRPr="00EE6292">
              <w:rPr>
                <w:sz w:val="26"/>
                <w:szCs w:val="26"/>
                <w:rtl/>
              </w:rPr>
              <w:t>41688-08-17</w:t>
            </w:r>
            <w:r w:rsidRPr="00EE6292">
              <w:rPr>
                <w:rFonts w:hint="cs"/>
                <w:sz w:val="26"/>
                <w:szCs w:val="26"/>
                <w:rtl/>
              </w:rPr>
              <w:t xml:space="preserve"> </w:t>
            </w:r>
            <w:r w:rsidRPr="00EE6292">
              <w:rPr>
                <w:sz w:val="26"/>
                <w:szCs w:val="26"/>
                <w:rtl/>
              </w:rPr>
              <w:t>מדינת ישראל נ' דנקנר</w:t>
            </w:r>
          </w:p>
        </w:tc>
        <w:tc>
          <w:tcPr>
            <w:tcW w:w="3667" w:type="dxa"/>
          </w:tcPr>
          <w:p w14:paraId="49F40E50" w14:textId="77777777" w:rsidR="0031451A" w:rsidRPr="00EE6292" w:rsidRDefault="0031451A" w:rsidP="003333E9">
            <w:pPr>
              <w:pStyle w:val="a3"/>
              <w:jc w:val="right"/>
              <w:rPr>
                <w:rFonts w:cs="FrankRuehl"/>
                <w:sz w:val="28"/>
                <w:szCs w:val="28"/>
                <w:rtl/>
              </w:rPr>
            </w:pPr>
          </w:p>
        </w:tc>
      </w:tr>
    </w:tbl>
    <w:p w14:paraId="55BA16E6" w14:textId="77777777" w:rsidR="0031451A" w:rsidRPr="00EE6292" w:rsidRDefault="0031451A" w:rsidP="0031451A">
      <w:pPr>
        <w:pStyle w:val="a3"/>
        <w:rPr>
          <w:rtl/>
        </w:rPr>
      </w:pPr>
      <w:r w:rsidRPr="00EE6292">
        <w:rPr>
          <w:rFonts w:hint="cs"/>
          <w:rtl/>
        </w:rPr>
        <w:t xml:space="preserve"> </w:t>
      </w:r>
    </w:p>
    <w:p w14:paraId="5F0D47C0" w14:textId="77777777" w:rsidR="0031451A" w:rsidRPr="00EE6292" w:rsidRDefault="0031451A" w:rsidP="0031451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31451A" w:rsidRPr="00EE6292" w14:paraId="082DF385" w14:textId="77777777" w:rsidTr="0031451A">
        <w:trPr>
          <w:trHeight w:val="295"/>
          <w:jc w:val="center"/>
        </w:trPr>
        <w:tc>
          <w:tcPr>
            <w:tcW w:w="8820" w:type="dxa"/>
            <w:gridSpan w:val="3"/>
            <w:tcBorders>
              <w:top w:val="nil"/>
              <w:left w:val="nil"/>
              <w:bottom w:val="nil"/>
              <w:right w:val="nil"/>
            </w:tcBorders>
            <w:shd w:val="clear" w:color="auto" w:fill="auto"/>
          </w:tcPr>
          <w:p w14:paraId="1B86748F" w14:textId="77777777" w:rsidR="0031451A" w:rsidRPr="00EE6292" w:rsidRDefault="0031451A" w:rsidP="0031451A">
            <w:pPr>
              <w:jc w:val="both"/>
              <w:rPr>
                <w:sz w:val="26"/>
                <w:szCs w:val="26"/>
                <w:rtl/>
              </w:rPr>
            </w:pPr>
            <w:r w:rsidRPr="00EE6292">
              <w:rPr>
                <w:rFonts w:ascii="Arial" w:hAnsi="Arial" w:hint="cs"/>
                <w:b/>
                <w:bCs/>
                <w:sz w:val="26"/>
                <w:szCs w:val="26"/>
                <w:rtl/>
              </w:rPr>
              <w:t>ל</w:t>
            </w:r>
            <w:r w:rsidRPr="00EE6292">
              <w:rPr>
                <w:rFonts w:ascii="Arial" w:hAnsi="Arial"/>
                <w:b/>
                <w:bCs/>
                <w:sz w:val="26"/>
                <w:szCs w:val="26"/>
                <w:rtl/>
              </w:rPr>
              <w:t xml:space="preserve">פני </w:t>
            </w:r>
            <w:r w:rsidRPr="00EE6292">
              <w:rPr>
                <w:rFonts w:ascii="Arial" w:hAnsi="Arial" w:hint="cs"/>
                <w:b/>
                <w:bCs/>
                <w:sz w:val="26"/>
                <w:szCs w:val="26"/>
                <w:rtl/>
              </w:rPr>
              <w:t>כבוד ה</w:t>
            </w:r>
            <w:r w:rsidRPr="00EE6292">
              <w:rPr>
                <w:rFonts w:ascii="Arial" w:hAnsi="Arial"/>
                <w:b/>
                <w:bCs/>
                <w:sz w:val="26"/>
                <w:szCs w:val="26"/>
                <w:rtl/>
              </w:rPr>
              <w:t>שופט</w:t>
            </w:r>
            <w:r w:rsidRPr="00EE6292">
              <w:rPr>
                <w:rFonts w:ascii="Arial" w:hAnsi="Arial" w:hint="cs"/>
                <w:b/>
                <w:bCs/>
                <w:sz w:val="26"/>
                <w:szCs w:val="26"/>
                <w:rtl/>
              </w:rPr>
              <w:t xml:space="preserve">  </w:t>
            </w:r>
            <w:r w:rsidRPr="00EE6292">
              <w:rPr>
                <w:rFonts w:ascii="Arial" w:hAnsi="Arial"/>
                <w:b/>
                <w:bCs/>
                <w:sz w:val="26"/>
                <w:szCs w:val="26"/>
                <w:rtl/>
              </w:rPr>
              <w:t>עידו דרויאן-גמלי</w:t>
            </w:r>
            <w:r w:rsidRPr="00EE6292">
              <w:rPr>
                <w:rFonts w:ascii="Arial" w:hAnsi="Arial" w:hint="cs"/>
                <w:b/>
                <w:bCs/>
                <w:sz w:val="26"/>
                <w:szCs w:val="26"/>
                <w:rtl/>
              </w:rPr>
              <w:t>אל</w:t>
            </w:r>
          </w:p>
          <w:p w14:paraId="10324355" w14:textId="77777777" w:rsidR="0031451A" w:rsidRPr="00EE6292" w:rsidRDefault="0031451A" w:rsidP="0031451A">
            <w:pPr>
              <w:jc w:val="both"/>
              <w:rPr>
                <w:sz w:val="26"/>
                <w:szCs w:val="26"/>
                <w:rtl/>
              </w:rPr>
            </w:pPr>
          </w:p>
          <w:p w14:paraId="734DBBE3" w14:textId="77777777" w:rsidR="0031451A" w:rsidRPr="00EE6292" w:rsidRDefault="0031451A" w:rsidP="0031451A">
            <w:pPr>
              <w:jc w:val="both"/>
              <w:rPr>
                <w:rFonts w:ascii="Arial" w:hAnsi="Arial"/>
                <w:b/>
                <w:bCs/>
                <w:sz w:val="26"/>
                <w:szCs w:val="26"/>
              </w:rPr>
            </w:pPr>
          </w:p>
        </w:tc>
      </w:tr>
      <w:tr w:rsidR="0031451A" w:rsidRPr="00EE6292" w14:paraId="2DE94FBE" w14:textId="77777777" w:rsidTr="0031451A">
        <w:trPr>
          <w:trHeight w:val="355"/>
          <w:jc w:val="center"/>
        </w:trPr>
        <w:tc>
          <w:tcPr>
            <w:tcW w:w="885" w:type="dxa"/>
            <w:tcBorders>
              <w:top w:val="nil"/>
              <w:left w:val="nil"/>
              <w:bottom w:val="nil"/>
              <w:right w:val="nil"/>
            </w:tcBorders>
            <w:shd w:val="clear" w:color="auto" w:fill="auto"/>
          </w:tcPr>
          <w:p w14:paraId="65E3F920" w14:textId="77777777" w:rsidR="0031451A" w:rsidRPr="00EE6292" w:rsidRDefault="0031451A" w:rsidP="0031451A">
            <w:pPr>
              <w:jc w:val="both"/>
              <w:rPr>
                <w:rFonts w:ascii="Arial" w:hAnsi="Arial"/>
                <w:b/>
                <w:bCs/>
                <w:sz w:val="26"/>
                <w:szCs w:val="26"/>
              </w:rPr>
            </w:pPr>
            <w:bookmarkStart w:id="1" w:name="FirstAppellant"/>
            <w:bookmarkStart w:id="2" w:name="FirstLawyer"/>
            <w:r w:rsidRPr="00EE6292">
              <w:rPr>
                <w:rFonts w:ascii="Arial" w:hAnsi="Arial" w:hint="cs"/>
                <w:b/>
                <w:bCs/>
                <w:sz w:val="26"/>
                <w:szCs w:val="26"/>
                <w:rtl/>
              </w:rPr>
              <w:t>ה</w:t>
            </w:r>
            <w:r w:rsidRPr="00EE6292">
              <w:rPr>
                <w:rFonts w:ascii="Arial" w:hAnsi="Arial"/>
                <w:b/>
                <w:bCs/>
                <w:sz w:val="26"/>
                <w:szCs w:val="26"/>
                <w:rtl/>
              </w:rPr>
              <w:t>מאשימה</w:t>
            </w:r>
          </w:p>
        </w:tc>
        <w:tc>
          <w:tcPr>
            <w:tcW w:w="4384" w:type="dxa"/>
            <w:tcBorders>
              <w:top w:val="nil"/>
              <w:left w:val="nil"/>
              <w:bottom w:val="nil"/>
              <w:right w:val="nil"/>
            </w:tcBorders>
            <w:shd w:val="clear" w:color="auto" w:fill="auto"/>
          </w:tcPr>
          <w:p w14:paraId="75D92939" w14:textId="77777777" w:rsidR="0031451A" w:rsidRPr="00EE6292" w:rsidRDefault="0031451A" w:rsidP="003333E9">
            <w:pPr>
              <w:rPr>
                <w:b/>
                <w:bCs/>
                <w:sz w:val="26"/>
                <w:szCs w:val="26"/>
                <w:rtl/>
              </w:rPr>
            </w:pPr>
            <w:r w:rsidRPr="00EE6292">
              <w:rPr>
                <w:rFonts w:ascii="Arial" w:hAnsi="Arial"/>
                <w:b/>
                <w:bCs/>
                <w:sz w:val="26"/>
                <w:szCs w:val="26"/>
                <w:rtl/>
              </w:rPr>
              <w:t>מדינת ישראל</w:t>
            </w:r>
          </w:p>
          <w:p w14:paraId="270F5F6D" w14:textId="77777777" w:rsidR="0031451A" w:rsidRPr="00EE6292" w:rsidRDefault="0031451A" w:rsidP="003333E9">
            <w:pPr>
              <w:rPr>
                <w:sz w:val="26"/>
                <w:szCs w:val="26"/>
              </w:rPr>
            </w:pPr>
            <w:r w:rsidRPr="00EE6292">
              <w:rPr>
                <w:rFonts w:hint="cs"/>
                <w:sz w:val="26"/>
                <w:szCs w:val="26"/>
                <w:rtl/>
              </w:rPr>
              <w:t>ע"י ב"כ עו"ד לופז</w:t>
            </w:r>
          </w:p>
        </w:tc>
        <w:tc>
          <w:tcPr>
            <w:tcW w:w="3551" w:type="dxa"/>
            <w:tcBorders>
              <w:top w:val="nil"/>
              <w:left w:val="nil"/>
              <w:bottom w:val="nil"/>
              <w:right w:val="nil"/>
            </w:tcBorders>
            <w:shd w:val="clear" w:color="auto" w:fill="auto"/>
          </w:tcPr>
          <w:p w14:paraId="13CCABD9" w14:textId="77777777" w:rsidR="0031451A" w:rsidRPr="00EE6292" w:rsidRDefault="0031451A" w:rsidP="0031451A">
            <w:pPr>
              <w:jc w:val="both"/>
              <w:rPr>
                <w:rFonts w:ascii="Arial" w:hAnsi="Arial"/>
                <w:sz w:val="26"/>
                <w:szCs w:val="26"/>
              </w:rPr>
            </w:pPr>
          </w:p>
        </w:tc>
      </w:tr>
      <w:bookmarkEnd w:id="1"/>
      <w:bookmarkEnd w:id="2"/>
      <w:tr w:rsidR="0031451A" w:rsidRPr="00EE6292" w14:paraId="10D96798" w14:textId="77777777" w:rsidTr="0031451A">
        <w:trPr>
          <w:trHeight w:val="373"/>
          <w:jc w:val="center"/>
        </w:trPr>
        <w:tc>
          <w:tcPr>
            <w:tcW w:w="885" w:type="dxa"/>
            <w:tcBorders>
              <w:top w:val="nil"/>
              <w:left w:val="nil"/>
              <w:bottom w:val="nil"/>
              <w:right w:val="nil"/>
            </w:tcBorders>
            <w:shd w:val="clear" w:color="auto" w:fill="auto"/>
          </w:tcPr>
          <w:p w14:paraId="6AA4F06E" w14:textId="77777777" w:rsidR="0031451A" w:rsidRPr="00EE6292" w:rsidRDefault="0031451A" w:rsidP="0031451A">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4A8A5F1" w14:textId="77777777" w:rsidR="0031451A" w:rsidRPr="00EE6292" w:rsidRDefault="0031451A" w:rsidP="0031451A">
            <w:pPr>
              <w:jc w:val="center"/>
              <w:rPr>
                <w:rFonts w:ascii="Arial" w:hAnsi="Arial"/>
                <w:b/>
                <w:bCs/>
                <w:sz w:val="26"/>
                <w:szCs w:val="26"/>
                <w:rtl/>
              </w:rPr>
            </w:pPr>
          </w:p>
          <w:p w14:paraId="64F303A9" w14:textId="77777777" w:rsidR="0031451A" w:rsidRPr="00EE6292" w:rsidRDefault="0031451A" w:rsidP="0031451A">
            <w:pPr>
              <w:jc w:val="center"/>
              <w:rPr>
                <w:rFonts w:ascii="Arial" w:hAnsi="Arial"/>
                <w:b/>
                <w:bCs/>
                <w:sz w:val="26"/>
                <w:szCs w:val="26"/>
                <w:rtl/>
              </w:rPr>
            </w:pPr>
            <w:r w:rsidRPr="00EE6292">
              <w:rPr>
                <w:rFonts w:ascii="Arial" w:hAnsi="Arial"/>
                <w:b/>
                <w:bCs/>
                <w:sz w:val="26"/>
                <w:szCs w:val="26"/>
                <w:rtl/>
              </w:rPr>
              <w:t>נגד</w:t>
            </w:r>
          </w:p>
          <w:p w14:paraId="59E066ED" w14:textId="77777777" w:rsidR="0031451A" w:rsidRPr="00EE6292" w:rsidRDefault="0031451A" w:rsidP="0031451A">
            <w:pPr>
              <w:jc w:val="both"/>
              <w:rPr>
                <w:rFonts w:ascii="Arial" w:hAnsi="Arial"/>
                <w:sz w:val="26"/>
                <w:szCs w:val="26"/>
              </w:rPr>
            </w:pPr>
          </w:p>
        </w:tc>
      </w:tr>
      <w:tr w:rsidR="0031451A" w:rsidRPr="00EE6292" w14:paraId="762463A8" w14:textId="77777777" w:rsidTr="0031451A">
        <w:trPr>
          <w:trHeight w:val="355"/>
          <w:jc w:val="center"/>
        </w:trPr>
        <w:tc>
          <w:tcPr>
            <w:tcW w:w="885" w:type="dxa"/>
            <w:tcBorders>
              <w:top w:val="nil"/>
              <w:left w:val="nil"/>
              <w:bottom w:val="nil"/>
              <w:right w:val="nil"/>
            </w:tcBorders>
            <w:shd w:val="clear" w:color="auto" w:fill="auto"/>
          </w:tcPr>
          <w:p w14:paraId="7F67EF5B" w14:textId="77777777" w:rsidR="0031451A" w:rsidRPr="00EE6292" w:rsidRDefault="0031451A" w:rsidP="003333E9">
            <w:pPr>
              <w:rPr>
                <w:rFonts w:ascii="Arial" w:hAnsi="Arial"/>
                <w:b/>
                <w:bCs/>
                <w:sz w:val="26"/>
                <w:szCs w:val="26"/>
                <w:rtl/>
              </w:rPr>
            </w:pPr>
            <w:r w:rsidRPr="00EE6292">
              <w:rPr>
                <w:rFonts w:ascii="Arial" w:hAnsi="Arial" w:hint="cs"/>
                <w:b/>
                <w:bCs/>
                <w:sz w:val="26"/>
                <w:szCs w:val="26"/>
                <w:rtl/>
              </w:rPr>
              <w:t>ה</w:t>
            </w:r>
            <w:r w:rsidRPr="00EE6292">
              <w:rPr>
                <w:rFonts w:ascii="Arial" w:hAnsi="Arial"/>
                <w:b/>
                <w:bCs/>
                <w:sz w:val="26"/>
                <w:szCs w:val="26"/>
                <w:rtl/>
              </w:rPr>
              <w:t>נאשם</w:t>
            </w:r>
          </w:p>
        </w:tc>
        <w:tc>
          <w:tcPr>
            <w:tcW w:w="4384" w:type="dxa"/>
            <w:tcBorders>
              <w:top w:val="nil"/>
              <w:left w:val="nil"/>
              <w:bottom w:val="nil"/>
              <w:right w:val="nil"/>
            </w:tcBorders>
            <w:shd w:val="clear" w:color="auto" w:fill="auto"/>
          </w:tcPr>
          <w:p w14:paraId="51567EA7" w14:textId="77777777" w:rsidR="0031451A" w:rsidRPr="00EE6292" w:rsidRDefault="0031451A" w:rsidP="003333E9">
            <w:pPr>
              <w:rPr>
                <w:b/>
                <w:bCs/>
                <w:sz w:val="26"/>
                <w:szCs w:val="26"/>
                <w:rtl/>
              </w:rPr>
            </w:pPr>
            <w:r w:rsidRPr="00EE6292">
              <w:rPr>
                <w:rFonts w:ascii="Arial" w:hAnsi="Arial"/>
                <w:b/>
                <w:bCs/>
                <w:sz w:val="26"/>
                <w:szCs w:val="26"/>
                <w:rtl/>
              </w:rPr>
              <w:t xml:space="preserve">ניר אוגניו דנקנר </w:t>
            </w:r>
          </w:p>
          <w:p w14:paraId="7E45AB99" w14:textId="77777777" w:rsidR="0031451A" w:rsidRPr="00EE6292" w:rsidRDefault="0031451A" w:rsidP="003333E9">
            <w:pPr>
              <w:rPr>
                <w:sz w:val="26"/>
                <w:szCs w:val="26"/>
                <w:rtl/>
              </w:rPr>
            </w:pPr>
            <w:r w:rsidRPr="00EE6292">
              <w:rPr>
                <w:rFonts w:hint="cs"/>
                <w:sz w:val="26"/>
                <w:szCs w:val="26"/>
                <w:rtl/>
              </w:rPr>
              <w:t>ע"י ב"כ עו"ד שי נודל</w:t>
            </w:r>
          </w:p>
        </w:tc>
        <w:tc>
          <w:tcPr>
            <w:tcW w:w="3551" w:type="dxa"/>
            <w:tcBorders>
              <w:top w:val="nil"/>
              <w:left w:val="nil"/>
              <w:bottom w:val="nil"/>
              <w:right w:val="nil"/>
            </w:tcBorders>
            <w:shd w:val="clear" w:color="auto" w:fill="auto"/>
          </w:tcPr>
          <w:p w14:paraId="51D5121A" w14:textId="77777777" w:rsidR="0031451A" w:rsidRPr="00EE6292" w:rsidRDefault="0031451A" w:rsidP="0031451A">
            <w:pPr>
              <w:jc w:val="right"/>
              <w:rPr>
                <w:rFonts w:ascii="Arial" w:hAnsi="Arial"/>
                <w:sz w:val="26"/>
                <w:szCs w:val="26"/>
              </w:rPr>
            </w:pPr>
          </w:p>
        </w:tc>
      </w:tr>
    </w:tbl>
    <w:p w14:paraId="6D1019AB" w14:textId="77777777" w:rsidR="006005A4" w:rsidRDefault="006005A4" w:rsidP="0031451A">
      <w:pPr>
        <w:rPr>
          <w:rtl/>
        </w:rPr>
      </w:pPr>
      <w:bookmarkStart w:id="3" w:name="LawTable"/>
      <w:bookmarkEnd w:id="3"/>
    </w:p>
    <w:p w14:paraId="1DB595DB" w14:textId="77777777" w:rsidR="006005A4" w:rsidRPr="006005A4" w:rsidRDefault="006005A4" w:rsidP="006005A4">
      <w:pPr>
        <w:spacing w:after="120" w:line="240" w:lineRule="exact"/>
        <w:ind w:left="283" w:hanging="283"/>
        <w:jc w:val="both"/>
        <w:rPr>
          <w:rFonts w:ascii="FrankRuehl" w:hAnsi="FrankRuehl" w:cs="FrankRuehl"/>
          <w:rtl/>
        </w:rPr>
      </w:pPr>
    </w:p>
    <w:p w14:paraId="5A42B937" w14:textId="77777777" w:rsidR="006005A4" w:rsidRPr="006005A4" w:rsidRDefault="006005A4" w:rsidP="006005A4">
      <w:pPr>
        <w:spacing w:after="120" w:line="240" w:lineRule="exact"/>
        <w:ind w:left="283" w:hanging="283"/>
        <w:jc w:val="both"/>
        <w:rPr>
          <w:rFonts w:ascii="FrankRuehl" w:hAnsi="FrankRuehl" w:cs="FrankRuehl"/>
          <w:rtl/>
        </w:rPr>
      </w:pPr>
      <w:r w:rsidRPr="006005A4">
        <w:rPr>
          <w:rFonts w:ascii="FrankRuehl" w:hAnsi="FrankRuehl" w:cs="FrankRuehl"/>
          <w:rtl/>
        </w:rPr>
        <w:t xml:space="preserve">חקיקה שאוזכרה: </w:t>
      </w:r>
    </w:p>
    <w:p w14:paraId="4CC857D5" w14:textId="77777777" w:rsidR="006005A4" w:rsidRPr="006005A4" w:rsidRDefault="006005A4" w:rsidP="006005A4">
      <w:pPr>
        <w:spacing w:after="120" w:line="240" w:lineRule="exact"/>
        <w:ind w:left="283" w:hanging="283"/>
        <w:jc w:val="both"/>
        <w:rPr>
          <w:rFonts w:ascii="FrankRuehl" w:hAnsi="FrankRuehl" w:cs="FrankRuehl"/>
          <w:rtl/>
        </w:rPr>
      </w:pPr>
      <w:hyperlink r:id="rId7" w:history="1">
        <w:r w:rsidRPr="006005A4">
          <w:rPr>
            <w:rFonts w:ascii="FrankRuehl" w:hAnsi="FrankRuehl" w:cs="FrankRuehl"/>
            <w:color w:val="0000FF"/>
            <w:u w:val="single"/>
            <w:rtl/>
          </w:rPr>
          <w:t>פקודת הסמים המסוכנים [נוסח חדש], תשל"ג-1973</w:t>
        </w:r>
      </w:hyperlink>
      <w:r w:rsidRPr="006005A4">
        <w:rPr>
          <w:rFonts w:ascii="FrankRuehl" w:hAnsi="FrankRuehl" w:cs="FrankRuehl"/>
          <w:rtl/>
        </w:rPr>
        <w:t xml:space="preserve">: סע'  </w:t>
      </w:r>
      <w:hyperlink r:id="rId8" w:history="1">
        <w:r w:rsidRPr="006005A4">
          <w:rPr>
            <w:rFonts w:ascii="FrankRuehl" w:hAnsi="FrankRuehl" w:cs="FrankRuehl"/>
            <w:color w:val="0000FF"/>
            <w:u w:val="single"/>
            <w:rtl/>
          </w:rPr>
          <w:t>6</w:t>
        </w:r>
      </w:hyperlink>
      <w:r w:rsidRPr="006005A4">
        <w:rPr>
          <w:rFonts w:ascii="FrankRuehl" w:hAnsi="FrankRuehl" w:cs="FrankRuehl"/>
          <w:rtl/>
        </w:rPr>
        <w:t xml:space="preserve">, </w:t>
      </w:r>
      <w:hyperlink r:id="rId9" w:history="1">
        <w:r w:rsidRPr="006005A4">
          <w:rPr>
            <w:rFonts w:ascii="FrankRuehl" w:hAnsi="FrankRuehl" w:cs="FrankRuehl"/>
            <w:color w:val="0000FF"/>
            <w:u w:val="single"/>
            <w:rtl/>
          </w:rPr>
          <w:t>7(א)</w:t>
        </w:r>
      </w:hyperlink>
      <w:r w:rsidRPr="006005A4">
        <w:rPr>
          <w:rFonts w:ascii="FrankRuehl" w:hAnsi="FrankRuehl" w:cs="FrankRuehl"/>
          <w:rtl/>
        </w:rPr>
        <w:t xml:space="preserve">, </w:t>
      </w:r>
      <w:hyperlink r:id="rId10" w:history="1">
        <w:r w:rsidRPr="006005A4">
          <w:rPr>
            <w:rFonts w:ascii="FrankRuehl" w:hAnsi="FrankRuehl" w:cs="FrankRuehl"/>
            <w:color w:val="0000FF"/>
            <w:u w:val="single"/>
            <w:rtl/>
          </w:rPr>
          <w:t>7(ג)</w:t>
        </w:r>
      </w:hyperlink>
      <w:r w:rsidRPr="006005A4">
        <w:rPr>
          <w:rFonts w:ascii="FrankRuehl" w:hAnsi="FrankRuehl" w:cs="FrankRuehl"/>
          <w:rtl/>
        </w:rPr>
        <w:t xml:space="preserve">, </w:t>
      </w:r>
      <w:hyperlink r:id="rId11" w:history="1">
        <w:r w:rsidRPr="006005A4">
          <w:rPr>
            <w:rFonts w:ascii="FrankRuehl" w:hAnsi="FrankRuehl" w:cs="FrankRuehl"/>
            <w:color w:val="0000FF"/>
            <w:u w:val="single"/>
            <w:rtl/>
          </w:rPr>
          <w:t>13</w:t>
        </w:r>
      </w:hyperlink>
      <w:r w:rsidRPr="006005A4">
        <w:rPr>
          <w:rFonts w:ascii="FrankRuehl" w:hAnsi="FrankRuehl" w:cs="FrankRuehl"/>
          <w:rtl/>
        </w:rPr>
        <w:t xml:space="preserve">, </w:t>
      </w:r>
      <w:hyperlink r:id="rId12" w:history="1">
        <w:r w:rsidRPr="006005A4">
          <w:rPr>
            <w:rFonts w:ascii="FrankRuehl" w:hAnsi="FrankRuehl" w:cs="FrankRuehl"/>
            <w:color w:val="0000FF"/>
            <w:u w:val="single"/>
            <w:rtl/>
          </w:rPr>
          <w:t>19א'</w:t>
        </w:r>
      </w:hyperlink>
    </w:p>
    <w:p w14:paraId="3CDE72F3" w14:textId="77777777" w:rsidR="006005A4" w:rsidRPr="006005A4" w:rsidRDefault="006005A4" w:rsidP="006005A4">
      <w:pPr>
        <w:spacing w:after="120" w:line="240" w:lineRule="exact"/>
        <w:ind w:left="283" w:hanging="283"/>
        <w:jc w:val="both"/>
        <w:rPr>
          <w:rFonts w:ascii="FrankRuehl" w:hAnsi="FrankRuehl" w:cs="FrankRuehl"/>
          <w:rtl/>
        </w:rPr>
      </w:pPr>
    </w:p>
    <w:p w14:paraId="3CECB5AF" w14:textId="77777777" w:rsidR="006005A4" w:rsidRPr="006005A4" w:rsidRDefault="006005A4" w:rsidP="0031451A">
      <w:pPr>
        <w:rPr>
          <w:rtl/>
        </w:rPr>
      </w:pPr>
      <w:bookmarkStart w:id="4" w:name="LawTable_End"/>
      <w:bookmarkEnd w:id="4"/>
    </w:p>
    <w:p w14:paraId="6002D982" w14:textId="77777777" w:rsidR="00E25257" w:rsidRDefault="00E25257" w:rsidP="0031451A">
      <w:pPr>
        <w:rPr>
          <w:rtl/>
        </w:rPr>
      </w:pPr>
    </w:p>
    <w:p w14:paraId="685F2F62" w14:textId="77777777" w:rsidR="00E25257" w:rsidRPr="00E25257" w:rsidRDefault="00E25257" w:rsidP="00E25257">
      <w:pPr>
        <w:spacing w:after="120" w:line="240" w:lineRule="exact"/>
        <w:ind w:left="283" w:hanging="283"/>
        <w:jc w:val="both"/>
        <w:rPr>
          <w:rFonts w:ascii="FrankRuehl" w:hAnsi="FrankRuehl" w:cs="FrankRuehl"/>
          <w:rtl/>
        </w:rPr>
      </w:pPr>
    </w:p>
    <w:p w14:paraId="26A9B6AB" w14:textId="77777777" w:rsidR="00E25257" w:rsidRPr="00E25257" w:rsidRDefault="00E25257" w:rsidP="00E25257">
      <w:pPr>
        <w:spacing w:after="120" w:line="240" w:lineRule="exact"/>
        <w:ind w:left="283" w:hanging="283"/>
        <w:jc w:val="both"/>
        <w:rPr>
          <w:rFonts w:ascii="FrankRuehl" w:hAnsi="FrankRuehl" w:cs="FrankRuehl"/>
          <w:rtl/>
        </w:rPr>
      </w:pPr>
      <w:r w:rsidRPr="00E25257">
        <w:rPr>
          <w:rFonts w:ascii="FrankRuehl" w:hAnsi="FrankRuehl" w:cs="FrankRuehl"/>
          <w:rtl/>
        </w:rPr>
        <w:t xml:space="preserve">חקיקה שאוזכרה: </w:t>
      </w:r>
    </w:p>
    <w:p w14:paraId="57D17F75" w14:textId="77777777" w:rsidR="00E25257" w:rsidRPr="00E25257" w:rsidRDefault="00E25257" w:rsidP="00E25257">
      <w:pPr>
        <w:spacing w:after="120" w:line="240" w:lineRule="exact"/>
        <w:ind w:left="283" w:hanging="283"/>
        <w:jc w:val="both"/>
        <w:rPr>
          <w:rFonts w:ascii="FrankRuehl" w:hAnsi="FrankRuehl" w:cs="FrankRuehl"/>
          <w:rtl/>
        </w:rPr>
      </w:pPr>
      <w:hyperlink r:id="rId13" w:history="1">
        <w:r w:rsidRPr="00E25257">
          <w:rPr>
            <w:rFonts w:ascii="FrankRuehl" w:hAnsi="FrankRuehl" w:cs="FrankRuehl"/>
            <w:color w:val="0000FF"/>
            <w:u w:val="single"/>
            <w:rtl/>
          </w:rPr>
          <w:t>פקודת הסמים המסוכנים [נוסח חדש], תשל"ג-1973</w:t>
        </w:r>
      </w:hyperlink>
      <w:r w:rsidRPr="00E25257">
        <w:rPr>
          <w:rFonts w:ascii="FrankRuehl" w:hAnsi="FrankRuehl" w:cs="FrankRuehl"/>
          <w:rtl/>
        </w:rPr>
        <w:t xml:space="preserve">: סע'  </w:t>
      </w:r>
      <w:hyperlink r:id="rId14" w:history="1">
        <w:r w:rsidRPr="00E25257">
          <w:rPr>
            <w:rFonts w:ascii="FrankRuehl" w:hAnsi="FrankRuehl" w:cs="FrankRuehl"/>
            <w:color w:val="0000FF"/>
            <w:u w:val="single"/>
            <w:rtl/>
          </w:rPr>
          <w:t>6</w:t>
        </w:r>
      </w:hyperlink>
      <w:r w:rsidRPr="00E25257">
        <w:rPr>
          <w:rFonts w:ascii="FrankRuehl" w:hAnsi="FrankRuehl" w:cs="FrankRuehl"/>
          <w:rtl/>
        </w:rPr>
        <w:t xml:space="preserve">, </w:t>
      </w:r>
      <w:hyperlink r:id="rId15" w:history="1">
        <w:r w:rsidRPr="00E25257">
          <w:rPr>
            <w:rFonts w:ascii="FrankRuehl" w:hAnsi="FrankRuehl" w:cs="FrankRuehl"/>
            <w:color w:val="0000FF"/>
            <w:u w:val="single"/>
            <w:rtl/>
          </w:rPr>
          <w:t>7(א)</w:t>
        </w:r>
      </w:hyperlink>
      <w:r w:rsidRPr="00E25257">
        <w:rPr>
          <w:rFonts w:ascii="FrankRuehl" w:hAnsi="FrankRuehl" w:cs="FrankRuehl"/>
          <w:rtl/>
        </w:rPr>
        <w:t xml:space="preserve">, </w:t>
      </w:r>
      <w:hyperlink r:id="rId16" w:history="1">
        <w:r w:rsidRPr="00E25257">
          <w:rPr>
            <w:rFonts w:ascii="FrankRuehl" w:hAnsi="FrankRuehl" w:cs="FrankRuehl"/>
            <w:color w:val="0000FF"/>
            <w:u w:val="single"/>
            <w:rtl/>
          </w:rPr>
          <w:t>7(ג)</w:t>
        </w:r>
      </w:hyperlink>
      <w:r w:rsidRPr="00E25257">
        <w:rPr>
          <w:rFonts w:ascii="FrankRuehl" w:hAnsi="FrankRuehl" w:cs="FrankRuehl"/>
          <w:rtl/>
        </w:rPr>
        <w:t xml:space="preserve">, </w:t>
      </w:r>
      <w:hyperlink r:id="rId17" w:history="1">
        <w:r w:rsidRPr="00E25257">
          <w:rPr>
            <w:rFonts w:ascii="FrankRuehl" w:hAnsi="FrankRuehl" w:cs="FrankRuehl"/>
            <w:color w:val="0000FF"/>
            <w:u w:val="single"/>
            <w:rtl/>
          </w:rPr>
          <w:t>13</w:t>
        </w:r>
      </w:hyperlink>
      <w:r w:rsidRPr="00E25257">
        <w:rPr>
          <w:rFonts w:ascii="FrankRuehl" w:hAnsi="FrankRuehl" w:cs="FrankRuehl"/>
          <w:rtl/>
        </w:rPr>
        <w:t xml:space="preserve">, </w:t>
      </w:r>
      <w:hyperlink r:id="rId18" w:history="1">
        <w:r w:rsidRPr="00E25257">
          <w:rPr>
            <w:rFonts w:ascii="FrankRuehl" w:hAnsi="FrankRuehl" w:cs="FrankRuehl"/>
            <w:color w:val="0000FF"/>
            <w:u w:val="single"/>
            <w:rtl/>
          </w:rPr>
          <w:t>19א'</w:t>
        </w:r>
      </w:hyperlink>
    </w:p>
    <w:p w14:paraId="1B139455" w14:textId="77777777" w:rsidR="0031451A" w:rsidRPr="00EE6292" w:rsidRDefault="0031451A" w:rsidP="0031451A"/>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1451A" w14:paraId="38E23EDF" w14:textId="77777777" w:rsidTr="0031451A">
        <w:trPr>
          <w:trHeight w:val="355"/>
          <w:jc w:val="center"/>
        </w:trPr>
        <w:tc>
          <w:tcPr>
            <w:tcW w:w="8820" w:type="dxa"/>
            <w:tcBorders>
              <w:top w:val="nil"/>
              <w:left w:val="nil"/>
              <w:bottom w:val="nil"/>
              <w:right w:val="nil"/>
            </w:tcBorders>
            <w:shd w:val="clear" w:color="auto" w:fill="auto"/>
          </w:tcPr>
          <w:p w14:paraId="592E38C6" w14:textId="77777777" w:rsidR="00EE6292" w:rsidRPr="00EE6292" w:rsidRDefault="00EE6292" w:rsidP="00EE6292">
            <w:pPr>
              <w:jc w:val="center"/>
              <w:rPr>
                <w:rFonts w:ascii="Arial" w:hAnsi="Arial"/>
                <w:b/>
                <w:bCs/>
                <w:sz w:val="28"/>
                <w:szCs w:val="28"/>
                <w:u w:val="single"/>
                <w:rtl/>
              </w:rPr>
            </w:pPr>
            <w:bookmarkStart w:id="5" w:name="PsakDin" w:colFirst="0" w:colLast="0"/>
            <w:bookmarkEnd w:id="0"/>
            <w:r w:rsidRPr="00EE6292">
              <w:rPr>
                <w:rFonts w:ascii="Arial" w:hAnsi="Arial"/>
                <w:b/>
                <w:bCs/>
                <w:sz w:val="28"/>
                <w:szCs w:val="28"/>
                <w:u w:val="single"/>
                <w:rtl/>
              </w:rPr>
              <w:t>גזר דין</w:t>
            </w:r>
          </w:p>
          <w:p w14:paraId="5D44F119" w14:textId="77777777" w:rsidR="0031451A" w:rsidRPr="00EE6292" w:rsidRDefault="0031451A" w:rsidP="00EE6292">
            <w:pPr>
              <w:jc w:val="center"/>
              <w:rPr>
                <w:rFonts w:ascii="Arial" w:hAnsi="Arial"/>
                <w:bCs/>
                <w:sz w:val="28"/>
                <w:szCs w:val="28"/>
                <w:u w:val="single"/>
                <w:rtl/>
              </w:rPr>
            </w:pPr>
          </w:p>
        </w:tc>
      </w:tr>
      <w:bookmarkEnd w:id="5"/>
    </w:tbl>
    <w:p w14:paraId="5A92D557" w14:textId="77777777" w:rsidR="0031451A" w:rsidRDefault="0031451A" w:rsidP="0031451A">
      <w:pPr>
        <w:jc w:val="both"/>
        <w:rPr>
          <w:rFonts w:ascii="Arial" w:hAnsi="Arial"/>
          <w:b/>
          <w:bCs/>
          <w:u w:val="single"/>
          <w:rtl/>
        </w:rPr>
      </w:pPr>
    </w:p>
    <w:p w14:paraId="4E0F4CC3" w14:textId="77777777" w:rsidR="0031451A" w:rsidRDefault="0031451A" w:rsidP="0031451A">
      <w:pPr>
        <w:jc w:val="both"/>
        <w:rPr>
          <w:rFonts w:ascii="Arial" w:hAnsi="Arial"/>
          <w:b/>
          <w:bCs/>
          <w:u w:val="single"/>
          <w:rtl/>
        </w:rPr>
      </w:pPr>
    </w:p>
    <w:p w14:paraId="3C00ACBB" w14:textId="77777777" w:rsidR="0031451A" w:rsidRPr="0083334F" w:rsidRDefault="0031451A" w:rsidP="0031451A">
      <w:pPr>
        <w:jc w:val="both"/>
        <w:rPr>
          <w:rFonts w:ascii="Arial" w:hAnsi="Arial"/>
          <w:b/>
          <w:bCs/>
          <w:rtl/>
        </w:rPr>
      </w:pPr>
      <w:r w:rsidRPr="0083334F">
        <w:rPr>
          <w:rFonts w:ascii="Arial" w:hAnsi="Arial" w:hint="cs"/>
          <w:b/>
          <w:bCs/>
          <w:u w:val="single"/>
          <w:rtl/>
        </w:rPr>
        <w:t>השתלשלות ההליך</w:t>
      </w:r>
      <w:r w:rsidRPr="0083334F">
        <w:rPr>
          <w:rFonts w:ascii="Arial" w:hAnsi="Arial" w:hint="cs"/>
          <w:b/>
          <w:bCs/>
          <w:rtl/>
        </w:rPr>
        <w:t>:</w:t>
      </w:r>
    </w:p>
    <w:p w14:paraId="00EF5E40" w14:textId="77777777" w:rsidR="0031451A" w:rsidRPr="0083334F" w:rsidRDefault="0031451A" w:rsidP="0031451A">
      <w:pPr>
        <w:jc w:val="both"/>
        <w:rPr>
          <w:rFonts w:ascii="Arial" w:hAnsi="Arial"/>
          <w:b/>
          <w:bCs/>
          <w:rtl/>
        </w:rPr>
      </w:pPr>
    </w:p>
    <w:p w14:paraId="79FF6855" w14:textId="77777777" w:rsidR="0031451A" w:rsidRPr="0083334F" w:rsidRDefault="0031451A" w:rsidP="0031451A">
      <w:pPr>
        <w:pStyle w:val="a9"/>
        <w:numPr>
          <w:ilvl w:val="0"/>
          <w:numId w:val="1"/>
        </w:numPr>
        <w:spacing w:line="360" w:lineRule="auto"/>
        <w:ind w:left="360"/>
        <w:jc w:val="both"/>
        <w:rPr>
          <w:rFonts w:ascii="Arial" w:hAnsi="Arial"/>
        </w:rPr>
      </w:pPr>
      <w:bookmarkStart w:id="6" w:name="ABSTRACT_START"/>
      <w:bookmarkEnd w:id="6"/>
      <w:r w:rsidRPr="0083334F">
        <w:rPr>
          <w:rFonts w:ascii="Arial" w:hAnsi="Arial" w:hint="cs"/>
          <w:rtl/>
        </w:rPr>
        <w:t>ביום 30.4.18</w:t>
      </w:r>
      <w:r>
        <w:rPr>
          <w:rFonts w:ascii="Arial" w:hAnsi="Arial" w:hint="cs"/>
          <w:rtl/>
        </w:rPr>
        <w:t>,</w:t>
      </w:r>
      <w:r w:rsidRPr="0083334F">
        <w:rPr>
          <w:rFonts w:ascii="Arial" w:hAnsi="Arial" w:hint="cs"/>
          <w:rtl/>
        </w:rPr>
        <w:t xml:space="preserve"> במסגרת הסדר טיעון דיוני</w:t>
      </w:r>
      <w:r>
        <w:rPr>
          <w:rFonts w:ascii="Arial" w:hAnsi="Arial" w:hint="cs"/>
          <w:rtl/>
        </w:rPr>
        <w:t xml:space="preserve"> ללא הסכמה עונשית</w:t>
      </w:r>
      <w:r w:rsidRPr="0083334F">
        <w:rPr>
          <w:rFonts w:ascii="Arial" w:hAnsi="Arial" w:hint="cs"/>
          <w:rtl/>
        </w:rPr>
        <w:t xml:space="preserve">, הודה הנאשם </w:t>
      </w:r>
      <w:r>
        <w:rPr>
          <w:rFonts w:ascii="Arial" w:hAnsi="Arial" w:hint="cs"/>
          <w:rtl/>
        </w:rPr>
        <w:t>בכתב אישום מתוקן ו</w:t>
      </w:r>
      <w:r w:rsidRPr="0083334F">
        <w:rPr>
          <w:rFonts w:ascii="Arial" w:hAnsi="Arial" w:hint="cs"/>
          <w:rtl/>
        </w:rPr>
        <w:t>הורשע בעבירות הבאות:</w:t>
      </w:r>
    </w:p>
    <w:p w14:paraId="56526FBA" w14:textId="77777777" w:rsidR="0031451A" w:rsidRPr="0083334F" w:rsidRDefault="0031451A" w:rsidP="0031451A">
      <w:pPr>
        <w:pStyle w:val="a9"/>
        <w:numPr>
          <w:ilvl w:val="0"/>
          <w:numId w:val="5"/>
        </w:numPr>
        <w:spacing w:line="360" w:lineRule="auto"/>
        <w:jc w:val="both"/>
        <w:rPr>
          <w:rFonts w:ascii="David" w:eastAsia="David" w:hAnsi="David"/>
          <w:rtl/>
        </w:rPr>
      </w:pPr>
      <w:r w:rsidRPr="0083334F">
        <w:rPr>
          <w:rFonts w:ascii="David" w:eastAsia="David" w:hAnsi="David" w:hint="cs"/>
          <w:rtl/>
        </w:rPr>
        <w:t xml:space="preserve">גידול סם מסוכן, לפי </w:t>
      </w:r>
      <w:hyperlink r:id="rId19" w:history="1">
        <w:r w:rsidR="00E25257" w:rsidRPr="00E25257">
          <w:rPr>
            <w:rFonts w:ascii="David" w:eastAsia="David" w:hAnsi="David"/>
            <w:color w:val="0000FF"/>
            <w:u w:val="single"/>
            <w:rtl/>
          </w:rPr>
          <w:t>סעיף 6</w:t>
        </w:r>
      </w:hyperlink>
      <w:r w:rsidRPr="0083334F">
        <w:rPr>
          <w:rFonts w:ascii="David" w:eastAsia="David" w:hAnsi="David" w:hint="cs"/>
          <w:rtl/>
        </w:rPr>
        <w:t xml:space="preserve"> ל</w:t>
      </w:r>
      <w:hyperlink r:id="rId20" w:history="1">
        <w:r w:rsidR="00EE6292" w:rsidRPr="00EE6292">
          <w:rPr>
            <w:rFonts w:ascii="David" w:eastAsia="David" w:hAnsi="David"/>
            <w:color w:val="0000FF"/>
            <w:u w:val="single"/>
            <w:rtl/>
          </w:rPr>
          <w:t>פקודת הסמים המסוכנים</w:t>
        </w:r>
      </w:hyperlink>
      <w:r w:rsidRPr="0083334F">
        <w:rPr>
          <w:rFonts w:ascii="David" w:eastAsia="David" w:hAnsi="David" w:hint="cs"/>
          <w:rtl/>
        </w:rPr>
        <w:t xml:space="preserve"> התשל"ג </w:t>
      </w:r>
      <w:r w:rsidRPr="0083334F">
        <w:rPr>
          <w:rFonts w:ascii="David" w:eastAsia="David" w:hAnsi="David"/>
          <w:rtl/>
        </w:rPr>
        <w:t>–</w:t>
      </w:r>
      <w:r w:rsidRPr="0083334F">
        <w:rPr>
          <w:rFonts w:ascii="David" w:eastAsia="David" w:hAnsi="David" w:hint="cs"/>
          <w:rtl/>
        </w:rPr>
        <w:t xml:space="preserve"> 1973</w:t>
      </w:r>
      <w:r>
        <w:rPr>
          <w:rFonts w:ascii="David" w:eastAsia="David" w:hAnsi="David" w:hint="cs"/>
          <w:rtl/>
        </w:rPr>
        <w:t>;</w:t>
      </w:r>
    </w:p>
    <w:p w14:paraId="339518B3" w14:textId="77777777" w:rsidR="0031451A" w:rsidRPr="0083334F" w:rsidRDefault="0031451A" w:rsidP="0031451A">
      <w:pPr>
        <w:pStyle w:val="a9"/>
        <w:numPr>
          <w:ilvl w:val="0"/>
          <w:numId w:val="5"/>
        </w:numPr>
        <w:spacing w:line="360" w:lineRule="auto"/>
        <w:jc w:val="both"/>
        <w:rPr>
          <w:rFonts w:ascii="David" w:eastAsia="David" w:hAnsi="David"/>
          <w:rtl/>
        </w:rPr>
      </w:pPr>
      <w:r w:rsidRPr="0083334F">
        <w:rPr>
          <w:rFonts w:ascii="David" w:eastAsia="David" w:hAnsi="David" w:hint="cs"/>
          <w:rtl/>
        </w:rPr>
        <w:t xml:space="preserve">החזקת סם </w:t>
      </w:r>
      <w:r>
        <w:rPr>
          <w:rFonts w:ascii="David" w:eastAsia="David" w:hAnsi="David" w:hint="cs"/>
          <w:rtl/>
        </w:rPr>
        <w:t xml:space="preserve">מסוכן </w:t>
      </w:r>
      <w:r w:rsidRPr="0083334F">
        <w:rPr>
          <w:rFonts w:ascii="David" w:eastAsia="David" w:hAnsi="David" w:hint="cs"/>
          <w:rtl/>
        </w:rPr>
        <w:t xml:space="preserve">שלא לצריכה עצמית, לפי </w:t>
      </w:r>
      <w:hyperlink r:id="rId21" w:history="1">
        <w:r w:rsidR="00E25257" w:rsidRPr="00E25257">
          <w:rPr>
            <w:rFonts w:ascii="David" w:eastAsia="David" w:hAnsi="David"/>
            <w:color w:val="0000FF"/>
            <w:u w:val="single"/>
            <w:rtl/>
          </w:rPr>
          <w:t>סעיף 7(א)</w:t>
        </w:r>
      </w:hyperlink>
      <w:r>
        <w:rPr>
          <w:rFonts w:ascii="David" w:eastAsia="David" w:hAnsi="David" w:hint="cs"/>
          <w:rtl/>
        </w:rPr>
        <w:t xml:space="preserve"> בצירוף </w:t>
      </w:r>
      <w:hyperlink r:id="rId22" w:history="1">
        <w:r w:rsidR="00E25257" w:rsidRPr="00E25257">
          <w:rPr>
            <w:rFonts w:ascii="David" w:eastAsia="David" w:hAnsi="David"/>
            <w:color w:val="0000FF"/>
            <w:u w:val="single"/>
            <w:rtl/>
          </w:rPr>
          <w:t>סעיף 7(ג)</w:t>
        </w:r>
      </w:hyperlink>
      <w:r>
        <w:rPr>
          <w:rFonts w:ascii="David" w:eastAsia="David" w:hAnsi="David" w:hint="cs"/>
          <w:rtl/>
        </w:rPr>
        <w:t xml:space="preserve"> רישא לפקודה הנ"ל (שתי עבירות);</w:t>
      </w:r>
    </w:p>
    <w:p w14:paraId="79E1549B" w14:textId="77777777" w:rsidR="0031451A" w:rsidRPr="0083334F" w:rsidRDefault="0031451A" w:rsidP="0031451A">
      <w:pPr>
        <w:pStyle w:val="a9"/>
        <w:numPr>
          <w:ilvl w:val="0"/>
          <w:numId w:val="5"/>
        </w:numPr>
        <w:spacing w:line="360" w:lineRule="auto"/>
        <w:jc w:val="both"/>
        <w:rPr>
          <w:rFonts w:ascii="David" w:eastAsia="David" w:hAnsi="David"/>
        </w:rPr>
      </w:pPr>
      <w:r w:rsidRPr="0083334F">
        <w:rPr>
          <w:rFonts w:ascii="David" w:eastAsia="David" w:hAnsi="David" w:hint="cs"/>
          <w:rtl/>
        </w:rPr>
        <w:t>סחר בסם מסוכ</w:t>
      </w:r>
      <w:r>
        <w:rPr>
          <w:rFonts w:ascii="David" w:eastAsia="David" w:hAnsi="David" w:hint="cs"/>
          <w:rtl/>
        </w:rPr>
        <w:t xml:space="preserve">ן לפי </w:t>
      </w:r>
      <w:hyperlink r:id="rId23" w:history="1">
        <w:r w:rsidR="00E25257" w:rsidRPr="00E25257">
          <w:rPr>
            <w:rFonts w:ascii="David" w:eastAsia="David" w:hAnsi="David"/>
            <w:color w:val="0000FF"/>
            <w:u w:val="single"/>
            <w:rtl/>
          </w:rPr>
          <w:t>סעיף 13</w:t>
        </w:r>
      </w:hyperlink>
      <w:r>
        <w:rPr>
          <w:rFonts w:ascii="David" w:eastAsia="David" w:hAnsi="David" w:hint="cs"/>
          <w:rtl/>
        </w:rPr>
        <w:t xml:space="preserve"> בצירוף </w:t>
      </w:r>
      <w:hyperlink r:id="rId24" w:history="1">
        <w:r w:rsidR="00E25257" w:rsidRPr="00E25257">
          <w:rPr>
            <w:rFonts w:ascii="David" w:eastAsia="David" w:hAnsi="David"/>
            <w:color w:val="0000FF"/>
            <w:u w:val="single"/>
            <w:rtl/>
          </w:rPr>
          <w:t>סעיף 19א'</w:t>
        </w:r>
      </w:hyperlink>
      <w:r w:rsidRPr="0083334F">
        <w:rPr>
          <w:rFonts w:ascii="David" w:eastAsia="David" w:hAnsi="David" w:hint="cs"/>
          <w:rtl/>
        </w:rPr>
        <w:t xml:space="preserve"> לפקודה</w:t>
      </w:r>
      <w:r>
        <w:rPr>
          <w:rFonts w:ascii="David" w:eastAsia="David" w:hAnsi="David" w:hint="cs"/>
          <w:rtl/>
        </w:rPr>
        <w:t xml:space="preserve"> הנ"ל (שתי עבירות);</w:t>
      </w:r>
    </w:p>
    <w:p w14:paraId="5477A662" w14:textId="77777777" w:rsidR="0031451A" w:rsidRPr="0083334F" w:rsidRDefault="0031451A" w:rsidP="0031451A">
      <w:pPr>
        <w:pStyle w:val="a9"/>
        <w:numPr>
          <w:ilvl w:val="0"/>
          <w:numId w:val="1"/>
        </w:numPr>
        <w:spacing w:line="360" w:lineRule="auto"/>
        <w:ind w:left="360"/>
        <w:jc w:val="both"/>
        <w:rPr>
          <w:rFonts w:ascii="Arial" w:hAnsi="Arial"/>
        </w:rPr>
      </w:pPr>
      <w:r w:rsidRPr="0083334F">
        <w:rPr>
          <w:rFonts w:ascii="Arial" w:hAnsi="Arial" w:hint="cs"/>
          <w:rtl/>
        </w:rPr>
        <w:t xml:space="preserve">הוסכם, כי ההגנה תוכל לטעון שעבירות הסחר בוצעו בנסיבות חברתיות. </w:t>
      </w:r>
    </w:p>
    <w:p w14:paraId="0D36E2FC" w14:textId="77777777" w:rsidR="0031451A" w:rsidRDefault="0031451A" w:rsidP="0031451A">
      <w:pPr>
        <w:pStyle w:val="a9"/>
        <w:numPr>
          <w:ilvl w:val="0"/>
          <w:numId w:val="1"/>
        </w:numPr>
        <w:spacing w:line="360" w:lineRule="auto"/>
        <w:ind w:left="360"/>
        <w:jc w:val="both"/>
        <w:rPr>
          <w:rFonts w:ascii="Arial" w:hAnsi="Arial"/>
        </w:rPr>
      </w:pPr>
      <w:r w:rsidRPr="0083334F">
        <w:rPr>
          <w:rFonts w:ascii="Arial" w:hAnsi="Arial" w:hint="cs"/>
          <w:rtl/>
        </w:rPr>
        <w:t xml:space="preserve">בהתאם למוסכם הופנה הנאשם לשירות המבחן למבוגרים </w:t>
      </w:r>
      <w:r>
        <w:rPr>
          <w:rFonts w:ascii="Arial" w:hAnsi="Arial" w:hint="cs"/>
          <w:rtl/>
        </w:rPr>
        <w:t xml:space="preserve">והתקבל תסקיר מיום 15.10.18: שירות המבחן התרשם מעליית הנאשם על דרך השיקום וממליץ להימנע ממאסר ולו לריצוי </w:t>
      </w:r>
      <w:r>
        <w:rPr>
          <w:rFonts w:ascii="Arial" w:hAnsi="Arial" w:hint="cs"/>
          <w:rtl/>
        </w:rPr>
        <w:lastRenderedPageBreak/>
        <w:t>בעבודות שירות, אלא לנקוט באפיק טיפולי-שיקומי של צו מבחן וצו של"צ בהיקף נכבד של 340 שעות.</w:t>
      </w:r>
    </w:p>
    <w:p w14:paraId="0DAE87CF" w14:textId="77777777" w:rsidR="0031451A" w:rsidRPr="0083334F" w:rsidRDefault="0031451A" w:rsidP="0031451A">
      <w:pPr>
        <w:pStyle w:val="a9"/>
        <w:numPr>
          <w:ilvl w:val="0"/>
          <w:numId w:val="1"/>
        </w:numPr>
        <w:spacing w:line="360" w:lineRule="auto"/>
        <w:ind w:left="360"/>
        <w:jc w:val="both"/>
        <w:rPr>
          <w:rFonts w:ascii="Arial" w:hAnsi="Arial"/>
        </w:rPr>
      </w:pPr>
      <w:r>
        <w:rPr>
          <w:rFonts w:ascii="Arial" w:hAnsi="Arial" w:hint="cs"/>
          <w:rtl/>
        </w:rPr>
        <w:t>ב</w:t>
      </w:r>
      <w:r w:rsidRPr="0083334F">
        <w:rPr>
          <w:rFonts w:ascii="Arial" w:hAnsi="Arial" w:hint="cs"/>
          <w:rtl/>
        </w:rPr>
        <w:t xml:space="preserve">יום </w:t>
      </w:r>
      <w:r>
        <w:rPr>
          <w:rFonts w:ascii="Arial" w:hAnsi="Arial" w:hint="cs"/>
          <w:rtl/>
        </w:rPr>
        <w:t xml:space="preserve">28.10.18 </w:t>
      </w:r>
      <w:r w:rsidRPr="0083334F">
        <w:rPr>
          <w:rFonts w:ascii="Arial" w:hAnsi="Arial" w:hint="cs"/>
          <w:rtl/>
        </w:rPr>
        <w:t>טענו הצדדים לעונש:</w:t>
      </w:r>
    </w:p>
    <w:p w14:paraId="7B9CD4C1" w14:textId="77777777" w:rsidR="0031451A" w:rsidRPr="0083334F" w:rsidRDefault="0031451A" w:rsidP="0031451A">
      <w:pPr>
        <w:pStyle w:val="a9"/>
        <w:spacing w:line="360" w:lineRule="auto"/>
        <w:ind w:left="360"/>
        <w:jc w:val="both"/>
        <w:rPr>
          <w:rFonts w:ascii="Arial" w:hAnsi="Arial"/>
          <w:rtl/>
        </w:rPr>
      </w:pPr>
      <w:r>
        <w:rPr>
          <w:rFonts w:ascii="Arial" w:hAnsi="Arial" w:hint="cs"/>
          <w:rtl/>
        </w:rPr>
        <w:t>התביעה, שהסכימה כי ההגנה תוכל לטעון שעבירות הסחר בוצעו "בנסיבות חברתיות", עתרה לעונש שעיקרו שנת מאסר, ולצידה עבירה נלווית;</w:t>
      </w:r>
    </w:p>
    <w:p w14:paraId="4A9AF808" w14:textId="77777777" w:rsidR="0031451A" w:rsidRPr="0083334F" w:rsidRDefault="0031451A" w:rsidP="0031451A">
      <w:pPr>
        <w:pStyle w:val="a9"/>
        <w:spacing w:line="360" w:lineRule="auto"/>
        <w:ind w:left="360"/>
        <w:jc w:val="both"/>
        <w:rPr>
          <w:rFonts w:ascii="Arial" w:hAnsi="Arial"/>
          <w:rtl/>
        </w:rPr>
      </w:pPr>
      <w:r>
        <w:rPr>
          <w:rFonts w:ascii="Arial" w:hAnsi="Arial" w:hint="cs"/>
          <w:rtl/>
        </w:rPr>
        <w:t>ההגנה עתרה לאימוץ המלצתו של שירות המבחן;</w:t>
      </w:r>
    </w:p>
    <w:p w14:paraId="362A37EE" w14:textId="77777777" w:rsidR="0031451A" w:rsidRPr="0083334F" w:rsidRDefault="0031451A" w:rsidP="0031451A">
      <w:pPr>
        <w:spacing w:line="360" w:lineRule="auto"/>
        <w:jc w:val="both"/>
        <w:rPr>
          <w:rFonts w:ascii="Arial" w:hAnsi="Arial"/>
          <w:rtl/>
        </w:rPr>
      </w:pPr>
      <w:bookmarkStart w:id="7" w:name="ABSTRACT_END"/>
      <w:bookmarkEnd w:id="7"/>
    </w:p>
    <w:p w14:paraId="0CB063F4" w14:textId="77777777" w:rsidR="0031451A" w:rsidRPr="0083334F" w:rsidRDefault="0031451A" w:rsidP="0031451A">
      <w:pPr>
        <w:spacing w:line="360" w:lineRule="auto"/>
        <w:jc w:val="both"/>
        <w:rPr>
          <w:rFonts w:ascii="Arial" w:hAnsi="Arial"/>
          <w:b/>
          <w:bCs/>
          <w:rtl/>
        </w:rPr>
      </w:pPr>
      <w:r w:rsidRPr="0083334F">
        <w:rPr>
          <w:rFonts w:ascii="Arial" w:hAnsi="Arial" w:hint="cs"/>
          <w:b/>
          <w:bCs/>
          <w:u w:val="single"/>
          <w:rtl/>
        </w:rPr>
        <w:t>מעשי הנאשם</w:t>
      </w:r>
      <w:r w:rsidRPr="0083334F">
        <w:rPr>
          <w:rFonts w:ascii="Arial" w:hAnsi="Arial" w:hint="cs"/>
          <w:b/>
          <w:bCs/>
          <w:rtl/>
        </w:rPr>
        <w:t xml:space="preserve">: </w:t>
      </w:r>
    </w:p>
    <w:p w14:paraId="65F74DD9" w14:textId="77777777" w:rsidR="0031451A" w:rsidRDefault="0031451A" w:rsidP="0031451A">
      <w:pPr>
        <w:pStyle w:val="a9"/>
        <w:numPr>
          <w:ilvl w:val="0"/>
          <w:numId w:val="2"/>
        </w:numPr>
        <w:spacing w:line="360" w:lineRule="auto"/>
        <w:ind w:left="360"/>
        <w:jc w:val="both"/>
        <w:rPr>
          <w:rFonts w:ascii="Arial" w:hAnsi="Arial"/>
        </w:rPr>
      </w:pPr>
      <w:r w:rsidRPr="00A41079">
        <w:rPr>
          <w:rFonts w:ascii="Arial" w:hAnsi="Arial" w:hint="cs"/>
          <w:rtl/>
        </w:rPr>
        <w:t xml:space="preserve">במהלך שנתיים קודם לאוגוסט 2017, בשלוש הזדמנויות שונות, מכר הנאשם </w:t>
      </w:r>
      <w:r>
        <w:rPr>
          <w:rFonts w:ascii="Arial" w:hAnsi="Arial" w:hint="cs"/>
          <w:rtl/>
        </w:rPr>
        <w:t>למר מ.ת.</w:t>
      </w:r>
      <w:r w:rsidRPr="00A41079">
        <w:rPr>
          <w:rFonts w:ascii="Arial" w:hAnsi="Arial" w:hint="cs"/>
          <w:rtl/>
        </w:rPr>
        <w:t xml:space="preserve"> קנבוס</w:t>
      </w:r>
      <w:r>
        <w:rPr>
          <w:rFonts w:ascii="Arial" w:hAnsi="Arial" w:hint="cs"/>
          <w:rtl/>
        </w:rPr>
        <w:t xml:space="preserve"> </w:t>
      </w:r>
      <w:r w:rsidRPr="00A41079">
        <w:rPr>
          <w:rFonts w:ascii="Arial" w:hAnsi="Arial" w:hint="cs"/>
          <w:rtl/>
        </w:rPr>
        <w:t xml:space="preserve">חמישה עד עשרה גרם סם תמורת 800 עד 1,000 </w:t>
      </w:r>
      <w:r>
        <w:rPr>
          <w:rFonts w:ascii="Arial" w:hAnsi="Arial" w:hint="cs"/>
          <w:rtl/>
        </w:rPr>
        <w:t>₪ בכל פעם [אישום שלישי].</w:t>
      </w:r>
    </w:p>
    <w:p w14:paraId="5B725F3D" w14:textId="77777777" w:rsidR="0031451A" w:rsidRDefault="0031451A" w:rsidP="0031451A">
      <w:pPr>
        <w:pStyle w:val="a9"/>
        <w:numPr>
          <w:ilvl w:val="0"/>
          <w:numId w:val="2"/>
        </w:numPr>
        <w:spacing w:line="360" w:lineRule="auto"/>
        <w:ind w:left="360"/>
        <w:jc w:val="both"/>
        <w:rPr>
          <w:rFonts w:ascii="Arial" w:hAnsi="Arial"/>
        </w:rPr>
      </w:pPr>
      <w:r>
        <w:rPr>
          <w:rFonts w:ascii="Arial" w:hAnsi="Arial" w:hint="cs"/>
          <w:rtl/>
        </w:rPr>
        <w:t>במהלך שנה קודם לאוגוסט 2017, בשתי הזדמנויות שונות, מכר הנאשם למר נ.ז. חמישה גרם קנבוס תמורת 250 ₪ בכל פעם [אישום רביעי].</w:t>
      </w:r>
    </w:p>
    <w:p w14:paraId="4DBC8618" w14:textId="77777777" w:rsidR="0031451A" w:rsidRDefault="0031451A" w:rsidP="0031451A">
      <w:pPr>
        <w:pStyle w:val="a9"/>
        <w:numPr>
          <w:ilvl w:val="0"/>
          <w:numId w:val="2"/>
        </w:numPr>
        <w:spacing w:line="360" w:lineRule="auto"/>
        <w:ind w:left="360"/>
        <w:jc w:val="both"/>
        <w:rPr>
          <w:rFonts w:ascii="Arial" w:hAnsi="Arial"/>
        </w:rPr>
      </w:pPr>
      <w:r>
        <w:rPr>
          <w:rFonts w:ascii="Arial" w:hAnsi="Arial" w:hint="cs"/>
          <w:rtl/>
        </w:rPr>
        <w:t>ביום 14.8.17 החזיק הנאשם בדירת מגוריו קנבוס במשקל כולל של 446.30 גרם, שלא לצריכה עצמית [אישום שני];</w:t>
      </w:r>
    </w:p>
    <w:p w14:paraId="547125E0" w14:textId="77777777" w:rsidR="0031451A" w:rsidRDefault="0031451A" w:rsidP="0031451A">
      <w:pPr>
        <w:pStyle w:val="a9"/>
        <w:numPr>
          <w:ilvl w:val="0"/>
          <w:numId w:val="2"/>
        </w:numPr>
        <w:spacing w:line="360" w:lineRule="auto"/>
        <w:ind w:left="360"/>
        <w:jc w:val="both"/>
        <w:rPr>
          <w:rFonts w:ascii="Arial" w:hAnsi="Arial"/>
        </w:rPr>
      </w:pPr>
      <w:r>
        <w:rPr>
          <w:rFonts w:ascii="Arial" w:hAnsi="Arial" w:hint="cs"/>
          <w:rtl/>
        </w:rPr>
        <w:t xml:space="preserve">ביום 14.8.17, בדירה ששכר הנאשם לצורך גידול סמים, גידל הנאשם ב-97 אדניות שתילי קנבוס במשקל כולל של 4,897.70 ק"ג, ועוד החזיק שלא לצריכה עצמית 25.10 גרם קנבוס. הנאשם החזיק והתקין בדירה ציוד גידול </w:t>
      </w:r>
      <w:r>
        <w:rPr>
          <w:rFonts w:ascii="Arial" w:hAnsi="Arial"/>
          <w:rtl/>
        </w:rPr>
        <w:t>–</w:t>
      </w:r>
      <w:r>
        <w:rPr>
          <w:rFonts w:ascii="Arial" w:hAnsi="Arial" w:hint="cs"/>
          <w:rtl/>
        </w:rPr>
        <w:t xml:space="preserve"> בתי מנורה, מדי לחות, שנאים ואוהל </w:t>
      </w:r>
      <w:r>
        <w:rPr>
          <w:rFonts w:ascii="Arial" w:hAnsi="Arial"/>
          <w:rtl/>
        </w:rPr>
        <w:t>–</w:t>
      </w:r>
      <w:r>
        <w:rPr>
          <w:rFonts w:ascii="Arial" w:hAnsi="Arial" w:hint="cs"/>
          <w:rtl/>
        </w:rPr>
        <w:t xml:space="preserve"> שערכו הכולל 5,000 ₪ [אישום ראשון].</w:t>
      </w:r>
    </w:p>
    <w:p w14:paraId="13C6F671" w14:textId="77777777" w:rsidR="0031451A" w:rsidRPr="0083334F" w:rsidRDefault="0031451A" w:rsidP="0031451A">
      <w:pPr>
        <w:spacing w:line="360" w:lineRule="auto"/>
        <w:jc w:val="both"/>
        <w:rPr>
          <w:rFonts w:ascii="Arial" w:hAnsi="Arial"/>
          <w:rtl/>
        </w:rPr>
      </w:pPr>
    </w:p>
    <w:p w14:paraId="52E90E63" w14:textId="77777777" w:rsidR="0031451A" w:rsidRPr="0083334F" w:rsidRDefault="0031451A" w:rsidP="0031451A">
      <w:pPr>
        <w:spacing w:line="360" w:lineRule="auto"/>
        <w:jc w:val="both"/>
        <w:rPr>
          <w:rFonts w:ascii="Arial" w:hAnsi="Arial"/>
          <w:b/>
          <w:bCs/>
        </w:rPr>
      </w:pPr>
      <w:r w:rsidRPr="0083334F">
        <w:rPr>
          <w:rFonts w:ascii="Arial" w:hAnsi="Arial" w:hint="cs"/>
          <w:b/>
          <w:bCs/>
          <w:u w:val="single"/>
          <w:rtl/>
        </w:rPr>
        <w:t>נסיבות העבירות</w:t>
      </w:r>
      <w:r>
        <w:rPr>
          <w:rFonts w:ascii="Arial" w:hAnsi="Arial" w:hint="cs"/>
          <w:b/>
          <w:bCs/>
          <w:u w:val="single"/>
          <w:rtl/>
        </w:rPr>
        <w:t xml:space="preserve"> </w:t>
      </w:r>
      <w:r>
        <w:rPr>
          <w:rFonts w:ascii="Arial" w:hAnsi="Arial"/>
          <w:b/>
          <w:bCs/>
          <w:u w:val="single"/>
          <w:rtl/>
        </w:rPr>
        <w:t>–</w:t>
      </w:r>
      <w:r>
        <w:rPr>
          <w:rFonts w:ascii="Arial" w:hAnsi="Arial" w:hint="cs"/>
          <w:b/>
          <w:bCs/>
          <w:u w:val="single"/>
          <w:rtl/>
        </w:rPr>
        <w:t xml:space="preserve"> ק</w:t>
      </w:r>
      <w:r w:rsidRPr="0083334F">
        <w:rPr>
          <w:rFonts w:ascii="Arial" w:hAnsi="Arial" w:hint="cs"/>
          <w:b/>
          <w:bCs/>
          <w:u w:val="single"/>
          <w:rtl/>
        </w:rPr>
        <w:t>ב</w:t>
      </w:r>
      <w:r>
        <w:rPr>
          <w:rFonts w:ascii="Arial" w:hAnsi="Arial" w:hint="cs"/>
          <w:b/>
          <w:bCs/>
          <w:u w:val="single"/>
          <w:rtl/>
        </w:rPr>
        <w:t>י</w:t>
      </w:r>
      <w:r w:rsidRPr="0083334F">
        <w:rPr>
          <w:rFonts w:ascii="Arial" w:hAnsi="Arial" w:hint="cs"/>
          <w:b/>
          <w:bCs/>
          <w:u w:val="single"/>
          <w:rtl/>
        </w:rPr>
        <w:t>עת מתחם העונש ההולם</w:t>
      </w:r>
      <w:r w:rsidRPr="0083334F">
        <w:rPr>
          <w:rFonts w:ascii="Arial" w:hAnsi="Arial" w:hint="cs"/>
          <w:b/>
          <w:bCs/>
          <w:rtl/>
        </w:rPr>
        <w:t>:</w:t>
      </w:r>
    </w:p>
    <w:p w14:paraId="51D9D4CA" w14:textId="77777777" w:rsidR="0031451A" w:rsidRDefault="0031451A" w:rsidP="0031451A">
      <w:pPr>
        <w:numPr>
          <w:ilvl w:val="0"/>
          <w:numId w:val="3"/>
        </w:numPr>
        <w:spacing w:line="360" w:lineRule="auto"/>
        <w:ind w:left="360"/>
        <w:contextualSpacing/>
        <w:jc w:val="both"/>
        <w:rPr>
          <w:rFonts w:ascii="Arial" w:hAnsi="Arial"/>
        </w:rPr>
      </w:pPr>
      <w:r w:rsidRPr="0083334F">
        <w:rPr>
          <w:rFonts w:ascii="Arial" w:hAnsi="Arial"/>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2CC527A5" w14:textId="77777777" w:rsidR="0031451A" w:rsidRDefault="0031451A" w:rsidP="0031451A">
      <w:pPr>
        <w:numPr>
          <w:ilvl w:val="0"/>
          <w:numId w:val="3"/>
        </w:numPr>
        <w:spacing w:line="360" w:lineRule="auto"/>
        <w:ind w:left="360"/>
        <w:contextualSpacing/>
        <w:jc w:val="both"/>
        <w:rPr>
          <w:rFonts w:ascii="Arial" w:hAnsi="Arial"/>
        </w:rPr>
      </w:pPr>
      <w:r>
        <w:rPr>
          <w:rFonts w:ascii="Arial" w:hAnsi="Arial" w:hint="cs"/>
          <w:rtl/>
        </w:rPr>
        <w:t>דרך קביעתם של מתחמי העונש:</w:t>
      </w:r>
    </w:p>
    <w:p w14:paraId="228EABC0"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 xml:space="preserve">פעולות הסחר שביצע הנאשם משתרעות על-פני תקופה של שנתיים, וכל אירוע עבירה יצדיק קביעת מתחם, הגם שזהה בכל המקרים; </w:t>
      </w:r>
    </w:p>
    <w:p w14:paraId="565FB12D"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בגין גידול והחזקת הסם "בדירת המעבדה" ייקבע מתחם עונשי אחד;</w:t>
      </w:r>
    </w:p>
    <w:p w14:paraId="301CEFAE"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החזקת הסם בדירת המגורים תגרור מתחם עונשי נפרד;</w:t>
      </w:r>
    </w:p>
    <w:p w14:paraId="6123A201" w14:textId="77777777" w:rsidR="0031451A" w:rsidRDefault="0031451A" w:rsidP="0031451A">
      <w:pPr>
        <w:numPr>
          <w:ilvl w:val="0"/>
          <w:numId w:val="3"/>
        </w:numPr>
        <w:spacing w:line="360" w:lineRule="auto"/>
        <w:ind w:left="360"/>
        <w:contextualSpacing/>
        <w:jc w:val="both"/>
        <w:rPr>
          <w:rFonts w:ascii="Arial" w:hAnsi="Arial"/>
        </w:rPr>
      </w:pPr>
      <w:r>
        <w:rPr>
          <w:rFonts w:ascii="Arial" w:hAnsi="Arial" w:hint="cs"/>
          <w:rtl/>
        </w:rPr>
        <w:t>עבירות הסחר:</w:t>
      </w:r>
    </w:p>
    <w:p w14:paraId="2F0AD841"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סך הכל, בתקופה של שנתיים, מכר הנאשם קנבוס שהוא "סם קל" בחמש הזדמנויות לשניים ממכריו, בנסיבות חברתיות;</w:t>
      </w:r>
    </w:p>
    <w:p w14:paraId="4E1711ED"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lastRenderedPageBreak/>
        <w:t xml:space="preserve">אמנם, מדובר בהתנהגות חוזרת ומתוכננת, אך מידת הפגיעה בערכים המוגנים היתה קלה למדי, והנזקים הנלווים </w:t>
      </w:r>
      <w:r>
        <w:rPr>
          <w:rFonts w:ascii="Arial" w:hAnsi="Arial"/>
          <w:rtl/>
        </w:rPr>
        <w:t>–</w:t>
      </w:r>
      <w:r>
        <w:rPr>
          <w:rFonts w:ascii="Arial" w:hAnsi="Arial" w:hint="cs"/>
          <w:rtl/>
        </w:rPr>
        <w:t xml:space="preserve"> קונקרטיים כפוטנציאליים </w:t>
      </w:r>
      <w:r>
        <w:rPr>
          <w:rFonts w:ascii="Arial" w:hAnsi="Arial"/>
          <w:rtl/>
        </w:rPr>
        <w:t>–</w:t>
      </w:r>
      <w:r>
        <w:rPr>
          <w:rFonts w:ascii="Arial" w:hAnsi="Arial" w:hint="cs"/>
          <w:rtl/>
        </w:rPr>
        <w:t xml:space="preserve"> קלים אף-הם;</w:t>
      </w:r>
    </w:p>
    <w:p w14:paraId="6617828B" w14:textId="77777777" w:rsidR="0031451A" w:rsidRDefault="0031451A" w:rsidP="0031451A">
      <w:pPr>
        <w:numPr>
          <w:ilvl w:val="1"/>
          <w:numId w:val="3"/>
        </w:numPr>
        <w:spacing w:line="360" w:lineRule="auto"/>
        <w:contextualSpacing/>
        <w:jc w:val="both"/>
        <w:rPr>
          <w:rFonts w:ascii="Arial" w:hAnsi="Arial"/>
        </w:rPr>
      </w:pPr>
      <w:r w:rsidRPr="00003132">
        <w:rPr>
          <w:rFonts w:ascii="Arial" w:hAnsi="Arial"/>
          <w:rtl/>
        </w:rPr>
        <w:t xml:space="preserve">לעניין הספקה הנעשית בסם "קל" בכמויות קטנות, נחלקת הענישה הנוהגת על-בסיס ההבחנה בין עבירה שנעשית על רקע חברתי לבין עבירה שנעשית כחלק מהפצה מסחרית של הסם. עבירה מסוג זה הנעשית על רקע חברתי, מצדיקה קביעתו של מתחם מקל-יחסית: כך ראו </w:t>
      </w:r>
      <w:hyperlink r:id="rId25" w:history="1">
        <w:r w:rsidR="00EE6292" w:rsidRPr="00EE6292">
          <w:rPr>
            <w:rFonts w:ascii="Arial" w:hAnsi="Arial"/>
            <w:color w:val="0000FF"/>
            <w:u w:val="single"/>
            <w:rtl/>
          </w:rPr>
          <w:t>ת"פ 47067-01-16</w:t>
        </w:r>
      </w:hyperlink>
      <w:r w:rsidRPr="00003132">
        <w:rPr>
          <w:rFonts w:ascii="Arial" w:hAnsi="Arial"/>
          <w:rtl/>
        </w:rPr>
        <w:t xml:space="preserve"> </w:t>
      </w:r>
      <w:r w:rsidRPr="00003132">
        <w:rPr>
          <w:rFonts w:ascii="Arial" w:hAnsi="Arial"/>
          <w:b/>
          <w:bCs/>
          <w:rtl/>
        </w:rPr>
        <w:t>מ.י. נ' ברמלי</w:t>
      </w:r>
      <w:r>
        <w:rPr>
          <w:rFonts w:ascii="Arial" w:hAnsi="Arial"/>
          <w:rtl/>
        </w:rPr>
        <w:t xml:space="preserve"> (2018)</w:t>
      </w:r>
      <w:r w:rsidRPr="00003132">
        <w:rPr>
          <w:rFonts w:ascii="Arial" w:hAnsi="Arial"/>
          <w:rtl/>
        </w:rPr>
        <w:t xml:space="preserve"> </w:t>
      </w:r>
      <w:hyperlink r:id="rId26" w:history="1">
        <w:r w:rsidR="00EE6292" w:rsidRPr="00EE6292">
          <w:rPr>
            <w:rFonts w:ascii="Arial" w:hAnsi="Arial"/>
            <w:color w:val="0000FF"/>
            <w:u w:val="single"/>
            <w:rtl/>
          </w:rPr>
          <w:t>ת"פ 4475-12-13</w:t>
        </w:r>
      </w:hyperlink>
      <w:r w:rsidRPr="00003132">
        <w:rPr>
          <w:rFonts w:ascii="Arial" w:hAnsi="Arial"/>
          <w:rtl/>
        </w:rPr>
        <w:t xml:space="preserve"> </w:t>
      </w:r>
      <w:r w:rsidRPr="00003132">
        <w:rPr>
          <w:rFonts w:ascii="Arial" w:hAnsi="Arial"/>
          <w:b/>
          <w:bCs/>
          <w:rtl/>
        </w:rPr>
        <w:t>מ.י נ' מזרחי</w:t>
      </w:r>
      <w:r>
        <w:rPr>
          <w:rFonts w:ascii="Arial" w:hAnsi="Arial"/>
          <w:rtl/>
        </w:rPr>
        <w:t xml:space="preserve"> (2017)</w:t>
      </w:r>
      <w:r w:rsidRPr="00003132">
        <w:rPr>
          <w:rFonts w:ascii="Arial" w:hAnsi="Arial"/>
          <w:rtl/>
        </w:rPr>
        <w:t xml:space="preserve"> ו</w:t>
      </w:r>
      <w:hyperlink r:id="rId27" w:history="1">
        <w:r w:rsidR="00EE6292" w:rsidRPr="00EE6292">
          <w:rPr>
            <w:rFonts w:ascii="Arial" w:hAnsi="Arial"/>
            <w:color w:val="0000FF"/>
            <w:u w:val="single"/>
            <w:rtl/>
          </w:rPr>
          <w:t>ת"פ 14998-08-16</w:t>
        </w:r>
      </w:hyperlink>
      <w:r w:rsidRPr="00003132">
        <w:rPr>
          <w:rFonts w:ascii="Arial" w:hAnsi="Arial"/>
          <w:rtl/>
        </w:rPr>
        <w:t xml:space="preserve"> </w:t>
      </w:r>
      <w:r w:rsidRPr="00003132">
        <w:rPr>
          <w:rFonts w:ascii="Arial" w:hAnsi="Arial"/>
          <w:b/>
          <w:bCs/>
          <w:rtl/>
        </w:rPr>
        <w:t>מ.י. נ' כהן</w:t>
      </w:r>
      <w:r w:rsidRPr="00003132">
        <w:rPr>
          <w:rFonts w:ascii="Arial" w:hAnsi="Arial"/>
          <w:rtl/>
        </w:rPr>
        <w:t xml:space="preserve"> (2017) בנסי</w:t>
      </w:r>
      <w:r>
        <w:rPr>
          <w:rFonts w:ascii="Arial" w:hAnsi="Arial"/>
          <w:rtl/>
        </w:rPr>
        <w:t xml:space="preserve">בות חמורות יותר של פעילות </w:t>
      </w:r>
      <w:r>
        <w:rPr>
          <w:rFonts w:ascii="Arial" w:hAnsi="Arial" w:hint="cs"/>
          <w:rtl/>
        </w:rPr>
        <w:t>תדירה ו</w:t>
      </w:r>
      <w:r>
        <w:rPr>
          <w:rFonts w:ascii="Arial" w:hAnsi="Arial"/>
          <w:rtl/>
        </w:rPr>
        <w:t>חוזרת</w:t>
      </w:r>
      <w:r>
        <w:rPr>
          <w:rFonts w:ascii="Arial" w:hAnsi="Arial" w:hint="cs"/>
          <w:rtl/>
        </w:rPr>
        <w:t>;</w:t>
      </w:r>
    </w:p>
    <w:p w14:paraId="2EF7F958"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מתחם העונש ייקבע אפוא בין מאסר מותנה לבין שנת מאסר, לכל מעשה עבירה ולעניין העונש העיקרי;</w:t>
      </w:r>
    </w:p>
    <w:p w14:paraId="7A257F8E" w14:textId="77777777" w:rsidR="0031451A" w:rsidRDefault="0031451A" w:rsidP="0031451A">
      <w:pPr>
        <w:numPr>
          <w:ilvl w:val="0"/>
          <w:numId w:val="3"/>
        </w:numPr>
        <w:spacing w:line="360" w:lineRule="auto"/>
        <w:contextualSpacing/>
        <w:jc w:val="both"/>
        <w:rPr>
          <w:rFonts w:ascii="Arial" w:hAnsi="Arial"/>
        </w:rPr>
      </w:pPr>
      <w:r>
        <w:rPr>
          <w:rFonts w:ascii="Arial" w:hAnsi="Arial" w:hint="cs"/>
          <w:rtl/>
        </w:rPr>
        <w:t>החזקת הסם בדירת המגורים:</w:t>
      </w:r>
    </w:p>
    <w:p w14:paraId="0B9B5B95" w14:textId="77777777" w:rsidR="0031451A" w:rsidRDefault="0031451A" w:rsidP="0031451A">
      <w:pPr>
        <w:numPr>
          <w:ilvl w:val="1"/>
          <w:numId w:val="3"/>
        </w:numPr>
        <w:spacing w:line="360" w:lineRule="auto"/>
        <w:contextualSpacing/>
        <w:jc w:val="both"/>
        <w:rPr>
          <w:rFonts w:ascii="Arial" w:hAnsi="Arial"/>
        </w:rPr>
      </w:pPr>
      <w:r w:rsidRPr="00643EFD">
        <w:rPr>
          <w:rFonts w:ascii="Arial" w:hAnsi="Arial"/>
          <w:rtl/>
        </w:rPr>
        <w:t>הענישה המקובלת ב</w:t>
      </w:r>
      <w:r>
        <w:rPr>
          <w:rFonts w:ascii="Arial" w:hAnsi="Arial" w:hint="cs"/>
          <w:rtl/>
        </w:rPr>
        <w:t xml:space="preserve">גין </w:t>
      </w:r>
      <w:r w:rsidRPr="00643EFD">
        <w:rPr>
          <w:rFonts w:ascii="Arial" w:hAnsi="Arial"/>
          <w:rtl/>
        </w:rPr>
        <w:t xml:space="preserve">עבירות </w:t>
      </w:r>
      <w:r>
        <w:rPr>
          <w:rFonts w:ascii="Arial" w:hAnsi="Arial" w:hint="cs"/>
          <w:rtl/>
        </w:rPr>
        <w:t xml:space="preserve">של </w:t>
      </w:r>
      <w:r w:rsidRPr="00643EFD">
        <w:rPr>
          <w:rFonts w:ascii="Arial" w:hAnsi="Arial"/>
          <w:rtl/>
        </w:rPr>
        <w:t>החזקת קנב</w:t>
      </w:r>
      <w:r>
        <w:rPr>
          <w:rFonts w:ascii="Arial" w:hAnsi="Arial" w:hint="cs"/>
          <w:rtl/>
        </w:rPr>
        <w:t>ו</w:t>
      </w:r>
      <w:r w:rsidRPr="00643EFD">
        <w:rPr>
          <w:rFonts w:ascii="Arial" w:hAnsi="Arial"/>
          <w:rtl/>
        </w:rPr>
        <w:t>ס לסוגיו שלא לצריכה עצמית, בכמויות הקרובות לקילוגרם אחד (אחד המרבה ואחד הממעיט), הנה של מאסר בפועל על-דרך</w:t>
      </w:r>
      <w:r>
        <w:rPr>
          <w:rFonts w:ascii="Arial" w:hAnsi="Arial"/>
          <w:rtl/>
        </w:rPr>
        <w:t xml:space="preserve"> של כליאה-ממש לתקופות משמעותיות</w:t>
      </w:r>
      <w:r>
        <w:rPr>
          <w:rFonts w:ascii="Arial" w:hAnsi="Arial" w:hint="cs"/>
          <w:rtl/>
        </w:rPr>
        <w:t>;</w:t>
      </w:r>
    </w:p>
    <w:p w14:paraId="6215134E"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במקרה דנן עסקינן בכמות הקטנה מחצי קילוגרם, שלא הוחזקה בנסיבות המקרבות את העבירה לעבירות הפצה, כך שפוטנציאל הנזק נמוך, ונזק קונקרטי נמנע עקב פעולת המשטרה;</w:t>
      </w:r>
    </w:p>
    <w:p w14:paraId="5D928FAB"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מתחם העונש ייקבע בין מאסר מותנה לשמונה חודשי מאסר, לעניין העונש העיקרי;</w:t>
      </w:r>
    </w:p>
    <w:p w14:paraId="5A9E8862" w14:textId="77777777" w:rsidR="0031451A" w:rsidRDefault="0031451A" w:rsidP="0031451A">
      <w:pPr>
        <w:numPr>
          <w:ilvl w:val="0"/>
          <w:numId w:val="3"/>
        </w:numPr>
        <w:spacing w:line="360" w:lineRule="auto"/>
        <w:contextualSpacing/>
        <w:jc w:val="both"/>
        <w:rPr>
          <w:rFonts w:ascii="Arial" w:hAnsi="Arial"/>
        </w:rPr>
      </w:pPr>
      <w:r>
        <w:rPr>
          <w:rFonts w:ascii="Arial" w:hAnsi="Arial" w:hint="cs"/>
          <w:rtl/>
        </w:rPr>
        <w:t>עבירות הגידול וההחזקה ב"דירת המעבדה":</w:t>
      </w:r>
    </w:p>
    <w:p w14:paraId="0EE2FBB6" w14:textId="77777777" w:rsidR="0031451A" w:rsidRPr="009E5AB3" w:rsidRDefault="0031451A" w:rsidP="0031451A">
      <w:pPr>
        <w:numPr>
          <w:ilvl w:val="1"/>
          <w:numId w:val="3"/>
        </w:numPr>
        <w:spacing w:line="360" w:lineRule="auto"/>
        <w:contextualSpacing/>
        <w:jc w:val="both"/>
        <w:rPr>
          <w:rFonts w:ascii="Arial" w:hAnsi="Arial"/>
          <w:rtl/>
        </w:rPr>
      </w:pPr>
      <w:r w:rsidRPr="009E5AB3">
        <w:rPr>
          <w:rFonts w:ascii="Arial" w:hAnsi="Arial"/>
          <w:rtl/>
        </w:rPr>
        <w:t>במקרה דנן מדובר בגידולו של סם "קל" מסוג קנבוס, כך שחלקם של הנזקים המלווים את העיסוק בסמים אחרים אינם רלוונטיים. עם זאת, גם פעילות זו אסורה ומזיקה, ויש אפוא לבחון את היקפיה, ה</w:t>
      </w:r>
      <w:r>
        <w:rPr>
          <w:rFonts w:ascii="Arial" w:hAnsi="Arial"/>
          <w:rtl/>
        </w:rPr>
        <w:t>פוטנציאליים והקונקרטיים</w:t>
      </w:r>
      <w:r>
        <w:rPr>
          <w:rFonts w:ascii="Arial" w:hAnsi="Arial" w:hint="cs"/>
          <w:rtl/>
        </w:rPr>
        <w:t>;</w:t>
      </w:r>
    </w:p>
    <w:p w14:paraId="34DF1C02" w14:textId="77777777" w:rsidR="0031451A" w:rsidRDefault="0031451A" w:rsidP="0031451A">
      <w:pPr>
        <w:numPr>
          <w:ilvl w:val="1"/>
          <w:numId w:val="3"/>
        </w:numPr>
        <w:spacing w:line="360" w:lineRule="auto"/>
        <w:contextualSpacing/>
        <w:jc w:val="both"/>
        <w:rPr>
          <w:rFonts w:ascii="Arial" w:hAnsi="Arial"/>
        </w:rPr>
      </w:pPr>
      <w:r w:rsidRPr="009E5AB3">
        <w:rPr>
          <w:rFonts w:ascii="Arial" w:hAnsi="Arial"/>
          <w:rtl/>
        </w:rPr>
        <w:t>מדובר בביצוע עבירה מתוכננת, שבוצעה לאורך זמן תוך השקעת מחשבה</w:t>
      </w:r>
      <w:r>
        <w:rPr>
          <w:rFonts w:ascii="Arial" w:hAnsi="Arial"/>
          <w:rtl/>
        </w:rPr>
        <w:t xml:space="preserve"> ומשאבים, כמות השתילים </w:t>
      </w:r>
      <w:r>
        <w:rPr>
          <w:rFonts w:ascii="Arial" w:hAnsi="Arial" w:hint="cs"/>
          <w:rtl/>
        </w:rPr>
        <w:t>גדולה, ומשקל הסם קרוב לחמישה קילוגרם [תצלומים תע/1];</w:t>
      </w:r>
    </w:p>
    <w:p w14:paraId="6E42369D"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 xml:space="preserve">שכירתה של דירה ייעודית, ההשקעה במערך הגידול וכמות השתילים (כמות המלמדת על גודלו של פוטנציאל הנזק, יותר משמלמד משקל הסם), </w:t>
      </w:r>
      <w:r w:rsidRPr="00D500DA">
        <w:rPr>
          <w:rFonts w:ascii="Arial" w:hAnsi="Arial"/>
          <w:rtl/>
        </w:rPr>
        <w:t>מ</w:t>
      </w:r>
      <w:r>
        <w:rPr>
          <w:rFonts w:ascii="Arial" w:hAnsi="Arial" w:hint="cs"/>
          <w:rtl/>
        </w:rPr>
        <w:t>עי</w:t>
      </w:r>
      <w:r w:rsidRPr="00D500DA">
        <w:rPr>
          <w:rFonts w:ascii="Arial" w:hAnsi="Arial"/>
          <w:rtl/>
        </w:rPr>
        <w:t xml:space="preserve">דים כי מדובר ב"מעבדה" לכל דבר ועניין. זה מכבר נקבע, כי סוג גידול זה הפך ל"מכת מדינה": אין לטעות בגידול שבהיקף התופעה בעירנו ובמחוזנו, שהפכו באופן בלתי-צפוי למרכז של חקלאות משוכללת ומכניסה, כפי שניתן להסיק מריבוי המקרים המובאים לבית המשפט, ואף תוך זהירות והתחשבות בהטיות אפשריות (כגון עליה ביכולות ובהיקפי אכיפה). כך ראו </w:t>
      </w:r>
      <w:hyperlink r:id="rId28" w:history="1">
        <w:r w:rsidR="00EE6292" w:rsidRPr="00EE6292">
          <w:rPr>
            <w:rFonts w:ascii="Arial" w:hAnsi="Arial"/>
            <w:color w:val="0000FF"/>
            <w:u w:val="single"/>
            <w:rtl/>
          </w:rPr>
          <w:t>עפ"ג 12819-11-15</w:t>
        </w:r>
      </w:hyperlink>
      <w:r w:rsidRPr="00D500DA">
        <w:rPr>
          <w:rFonts w:ascii="Arial" w:hAnsi="Arial"/>
          <w:rtl/>
        </w:rPr>
        <w:t xml:space="preserve"> </w:t>
      </w:r>
      <w:r w:rsidRPr="00D500DA">
        <w:rPr>
          <w:rFonts w:ascii="Arial" w:hAnsi="Arial"/>
          <w:b/>
          <w:bCs/>
          <w:rtl/>
        </w:rPr>
        <w:t>מ.י. נ' בן-צבי</w:t>
      </w:r>
      <w:r w:rsidRPr="00D500DA">
        <w:rPr>
          <w:rFonts w:ascii="Arial" w:hAnsi="Arial"/>
          <w:rtl/>
        </w:rPr>
        <w:t xml:space="preserve"> (2015), </w:t>
      </w:r>
      <w:hyperlink r:id="rId29" w:history="1">
        <w:r w:rsidR="00EE6292" w:rsidRPr="00EE6292">
          <w:rPr>
            <w:rFonts w:ascii="Arial" w:hAnsi="Arial"/>
            <w:color w:val="0000FF"/>
            <w:u w:val="single"/>
            <w:rtl/>
          </w:rPr>
          <w:t>עפ"ג 17796-10-14</w:t>
        </w:r>
      </w:hyperlink>
      <w:r w:rsidRPr="00D500DA">
        <w:rPr>
          <w:rFonts w:ascii="Arial" w:hAnsi="Arial"/>
          <w:rtl/>
        </w:rPr>
        <w:t xml:space="preserve"> </w:t>
      </w:r>
      <w:r w:rsidRPr="00D500DA">
        <w:rPr>
          <w:rFonts w:ascii="Arial" w:hAnsi="Arial"/>
          <w:b/>
          <w:bCs/>
          <w:rtl/>
        </w:rPr>
        <w:t>מ.י. נ' דדון</w:t>
      </w:r>
      <w:r w:rsidRPr="00D500DA">
        <w:rPr>
          <w:rFonts w:ascii="Arial" w:hAnsi="Arial"/>
          <w:rtl/>
        </w:rPr>
        <w:t xml:space="preserve"> (2015) </w:t>
      </w:r>
      <w:hyperlink r:id="rId30" w:history="1">
        <w:r w:rsidR="00EE6292" w:rsidRPr="00EE6292">
          <w:rPr>
            <w:rFonts w:ascii="Arial" w:hAnsi="Arial"/>
            <w:color w:val="0000FF"/>
            <w:u w:val="single"/>
            <w:rtl/>
          </w:rPr>
          <w:t>עפ"ג 31126-05-14</w:t>
        </w:r>
      </w:hyperlink>
      <w:r w:rsidRPr="00D500DA">
        <w:rPr>
          <w:rFonts w:ascii="Arial" w:hAnsi="Arial"/>
          <w:rtl/>
        </w:rPr>
        <w:t xml:space="preserve"> </w:t>
      </w:r>
      <w:r w:rsidRPr="00D500DA">
        <w:rPr>
          <w:rFonts w:ascii="Arial" w:hAnsi="Arial"/>
          <w:b/>
          <w:bCs/>
          <w:rtl/>
        </w:rPr>
        <w:t>מ.י. נ' חריט</w:t>
      </w:r>
      <w:r w:rsidRPr="00D500DA">
        <w:rPr>
          <w:rFonts w:ascii="Arial" w:hAnsi="Arial"/>
          <w:rtl/>
        </w:rPr>
        <w:t xml:space="preserve"> (2015) ו</w:t>
      </w:r>
      <w:hyperlink r:id="rId31" w:history="1">
        <w:r w:rsidR="00EE6292" w:rsidRPr="00EE6292">
          <w:rPr>
            <w:rFonts w:ascii="Arial" w:hAnsi="Arial"/>
            <w:color w:val="0000FF"/>
            <w:u w:val="single"/>
            <w:rtl/>
          </w:rPr>
          <w:t>עפ"ג 46738-09-14</w:t>
        </w:r>
      </w:hyperlink>
      <w:r w:rsidRPr="00D500DA">
        <w:rPr>
          <w:rFonts w:ascii="Arial" w:hAnsi="Arial"/>
          <w:rtl/>
        </w:rPr>
        <w:t xml:space="preserve"> </w:t>
      </w:r>
      <w:r w:rsidRPr="00D500DA">
        <w:rPr>
          <w:rFonts w:ascii="Arial" w:hAnsi="Arial"/>
          <w:b/>
          <w:bCs/>
          <w:rtl/>
        </w:rPr>
        <w:t>מ.י. נ' צקבאשווילי</w:t>
      </w:r>
      <w:r w:rsidRPr="00D500DA">
        <w:rPr>
          <w:rFonts w:ascii="Arial" w:hAnsi="Arial"/>
          <w:rtl/>
        </w:rPr>
        <w:t xml:space="preserve"> (2014) – ענייניהן של שתיים ושלוש מעבדות סמים מסוג זה מובאים מדי שבוע בפני ערכאת הערעור בבית המשפט המחוזי בתל-אביב – יפו, כאמור בפסיקתו; וממחוזות אחרים – </w:t>
      </w:r>
      <w:hyperlink r:id="rId32" w:history="1">
        <w:r w:rsidR="00EE6292" w:rsidRPr="00EE6292">
          <w:rPr>
            <w:rFonts w:ascii="Arial" w:hAnsi="Arial"/>
            <w:color w:val="0000FF"/>
            <w:u w:val="single"/>
            <w:rtl/>
          </w:rPr>
          <w:t>ת"פ (מרכז) 21059-03-16</w:t>
        </w:r>
      </w:hyperlink>
      <w:r w:rsidRPr="00D500DA">
        <w:rPr>
          <w:rFonts w:ascii="Arial" w:hAnsi="Arial"/>
          <w:rtl/>
        </w:rPr>
        <w:t xml:space="preserve"> </w:t>
      </w:r>
      <w:r w:rsidRPr="00D500DA">
        <w:rPr>
          <w:rFonts w:ascii="Arial" w:hAnsi="Arial"/>
          <w:b/>
          <w:bCs/>
          <w:rtl/>
        </w:rPr>
        <w:t xml:space="preserve">מ.י. נ' איליספוב </w:t>
      </w:r>
      <w:r w:rsidRPr="00D500DA">
        <w:rPr>
          <w:rFonts w:ascii="Arial" w:hAnsi="Arial"/>
          <w:rtl/>
        </w:rPr>
        <w:t xml:space="preserve">(2017) וע"פ (מחוזי חיפה) </w:t>
      </w:r>
      <w:hyperlink r:id="rId33" w:history="1">
        <w:r w:rsidR="006005A4" w:rsidRPr="006005A4">
          <w:rPr>
            <w:rFonts w:ascii="Arial" w:hAnsi="Arial"/>
            <w:color w:val="0000FF"/>
            <w:u w:val="single"/>
            <w:rtl/>
          </w:rPr>
          <w:t xml:space="preserve">42358-10-14 </w:t>
        </w:r>
      </w:hyperlink>
      <w:r w:rsidRPr="00D500DA">
        <w:rPr>
          <w:rFonts w:ascii="Arial" w:hAnsi="Arial"/>
          <w:rtl/>
        </w:rPr>
        <w:t xml:space="preserve"> </w:t>
      </w:r>
      <w:r w:rsidRPr="00D500DA">
        <w:rPr>
          <w:rFonts w:ascii="Arial" w:hAnsi="Arial"/>
          <w:b/>
          <w:bCs/>
          <w:rtl/>
        </w:rPr>
        <w:t>גיא נ' מ.י.</w:t>
      </w:r>
      <w:r w:rsidRPr="00D500DA">
        <w:rPr>
          <w:rFonts w:ascii="Arial" w:hAnsi="Arial"/>
          <w:rtl/>
        </w:rPr>
        <w:t xml:space="preserve"> (2015);</w:t>
      </w:r>
    </w:p>
    <w:p w14:paraId="7D362695" w14:textId="77777777" w:rsidR="0031451A" w:rsidRDefault="0031451A" w:rsidP="0031451A">
      <w:pPr>
        <w:numPr>
          <w:ilvl w:val="1"/>
          <w:numId w:val="3"/>
        </w:numPr>
        <w:spacing w:line="360" w:lineRule="auto"/>
        <w:contextualSpacing/>
        <w:jc w:val="both"/>
        <w:rPr>
          <w:rFonts w:ascii="Arial" w:hAnsi="Arial"/>
        </w:rPr>
      </w:pPr>
      <w:r w:rsidRPr="00132DFD">
        <w:rPr>
          <w:rFonts w:ascii="Arial" w:hAnsi="Arial"/>
          <w:rtl/>
        </w:rPr>
        <w:t xml:space="preserve">עיון בפסיקה הנוהגת כגון </w:t>
      </w:r>
      <w:hyperlink r:id="rId34" w:history="1">
        <w:r w:rsidR="00EE6292" w:rsidRPr="00EE6292">
          <w:rPr>
            <w:rFonts w:ascii="Arial" w:hAnsi="Arial"/>
            <w:color w:val="0000FF"/>
            <w:u w:val="single"/>
            <w:rtl/>
          </w:rPr>
          <w:t>עפ"ג 24376-07-14</w:t>
        </w:r>
      </w:hyperlink>
      <w:r w:rsidRPr="00132DFD">
        <w:rPr>
          <w:rFonts w:ascii="Arial" w:hAnsi="Arial" w:hint="cs"/>
          <w:rtl/>
        </w:rPr>
        <w:t xml:space="preserve"> </w:t>
      </w:r>
      <w:r w:rsidRPr="00132DFD">
        <w:rPr>
          <w:rFonts w:ascii="Arial" w:hAnsi="Arial" w:hint="cs"/>
          <w:b/>
          <w:bCs/>
          <w:rtl/>
        </w:rPr>
        <w:t>עמר נ' מ.י.</w:t>
      </w:r>
      <w:r w:rsidRPr="00132DFD">
        <w:rPr>
          <w:rFonts w:ascii="Arial" w:hAnsi="Arial" w:hint="cs"/>
          <w:rtl/>
        </w:rPr>
        <w:t xml:space="preserve"> (2015), </w:t>
      </w:r>
      <w:hyperlink r:id="rId35" w:history="1">
        <w:r w:rsidR="00EE6292" w:rsidRPr="00EE6292">
          <w:rPr>
            <w:rFonts w:ascii="Arial" w:hAnsi="Arial"/>
            <w:color w:val="0000FF"/>
            <w:u w:val="single"/>
            <w:rtl/>
          </w:rPr>
          <w:t>ת"פ (מחוזי ת"א) 40182/05</w:t>
        </w:r>
      </w:hyperlink>
      <w:r w:rsidRPr="00132DFD">
        <w:rPr>
          <w:rFonts w:ascii="Arial" w:hAnsi="Arial"/>
          <w:rtl/>
        </w:rPr>
        <w:t xml:space="preserve"> </w:t>
      </w:r>
      <w:r w:rsidRPr="00132DFD">
        <w:rPr>
          <w:rFonts w:ascii="Arial" w:hAnsi="Arial"/>
          <w:b/>
          <w:bCs/>
          <w:rtl/>
        </w:rPr>
        <w:t>מ.י. נ' מטיס</w:t>
      </w:r>
      <w:r w:rsidRPr="00132DFD">
        <w:rPr>
          <w:rFonts w:ascii="Arial" w:hAnsi="Arial"/>
          <w:rtl/>
        </w:rPr>
        <w:t xml:space="preserve"> (2006)</w:t>
      </w:r>
      <w:r w:rsidRPr="00132DFD">
        <w:rPr>
          <w:rFonts w:ascii="Arial" w:hAnsi="Arial" w:hint="cs"/>
          <w:rtl/>
        </w:rPr>
        <w:t xml:space="preserve">, </w:t>
      </w:r>
      <w:hyperlink r:id="rId36" w:history="1">
        <w:r w:rsidR="00EE6292" w:rsidRPr="00EE6292">
          <w:rPr>
            <w:rFonts w:ascii="Arial" w:hAnsi="Arial"/>
            <w:color w:val="0000FF"/>
            <w:u w:val="single"/>
            <w:rtl/>
          </w:rPr>
          <w:t>ת"פ 32795-03-12</w:t>
        </w:r>
      </w:hyperlink>
      <w:r w:rsidRPr="00132DFD">
        <w:rPr>
          <w:rFonts w:ascii="Arial" w:hAnsi="Arial"/>
          <w:rtl/>
        </w:rPr>
        <w:t xml:space="preserve"> </w:t>
      </w:r>
      <w:r w:rsidRPr="00132DFD">
        <w:rPr>
          <w:rFonts w:ascii="Arial" w:hAnsi="Arial"/>
          <w:b/>
          <w:bCs/>
          <w:rtl/>
        </w:rPr>
        <w:t>מ.י. נ' דגן</w:t>
      </w:r>
      <w:r w:rsidRPr="00132DFD">
        <w:rPr>
          <w:rFonts w:ascii="Arial" w:hAnsi="Arial"/>
          <w:rtl/>
        </w:rPr>
        <w:t xml:space="preserve"> (2014)</w:t>
      </w:r>
      <w:r>
        <w:rPr>
          <w:rFonts w:ascii="Arial" w:hAnsi="Arial" w:hint="cs"/>
          <w:rtl/>
        </w:rPr>
        <w:t xml:space="preserve"> ו</w:t>
      </w:r>
      <w:hyperlink r:id="rId37" w:history="1">
        <w:r w:rsidR="00EE6292" w:rsidRPr="00EE6292">
          <w:rPr>
            <w:rFonts w:ascii="Arial" w:hAnsi="Arial"/>
            <w:color w:val="0000FF"/>
            <w:u w:val="single"/>
            <w:rtl/>
          </w:rPr>
          <w:t>ת"פ 32887-11-12</w:t>
        </w:r>
      </w:hyperlink>
      <w:r>
        <w:rPr>
          <w:rFonts w:ascii="Arial" w:hAnsi="Arial" w:hint="cs"/>
          <w:rtl/>
        </w:rPr>
        <w:t xml:space="preserve"> </w:t>
      </w:r>
      <w:r>
        <w:rPr>
          <w:rFonts w:ascii="Arial" w:hAnsi="Arial" w:hint="cs"/>
          <w:b/>
          <w:bCs/>
          <w:rtl/>
        </w:rPr>
        <w:t>מ.י. נ' קדשני</w:t>
      </w:r>
      <w:r>
        <w:rPr>
          <w:rFonts w:ascii="Arial" w:hAnsi="Arial" w:hint="cs"/>
          <w:rtl/>
        </w:rPr>
        <w:t xml:space="preserve"> (2013),</w:t>
      </w:r>
      <w:r w:rsidRPr="00132DFD">
        <w:rPr>
          <w:rFonts w:ascii="Arial" w:hAnsi="Arial" w:hint="cs"/>
          <w:rtl/>
        </w:rPr>
        <w:t xml:space="preserve"> </w:t>
      </w:r>
      <w:r w:rsidRPr="00132DFD">
        <w:rPr>
          <w:rFonts w:ascii="Arial" w:hAnsi="Arial"/>
          <w:rtl/>
        </w:rPr>
        <w:t>מלמד כי העונש המוטל ברגיל בגין החזקת קנביס או גידולו בכמויות בסדרי גודל של קילוגרמים ספורים הינו של מאסר בפועל, שאינו פחו</w:t>
      </w:r>
      <w:r>
        <w:rPr>
          <w:rFonts w:ascii="Arial" w:hAnsi="Arial" w:hint="cs"/>
          <w:rtl/>
        </w:rPr>
        <w:t>ּ</w:t>
      </w:r>
      <w:r w:rsidRPr="00132DFD">
        <w:rPr>
          <w:rFonts w:ascii="Arial" w:hAnsi="Arial"/>
          <w:rtl/>
        </w:rPr>
        <w:t>ת משישה חודשים (שלא בעבודות שי</w:t>
      </w:r>
      <w:r>
        <w:rPr>
          <w:rFonts w:ascii="Arial" w:hAnsi="Arial"/>
          <w:rtl/>
        </w:rPr>
        <w:t>רות) ועד לשנתיים</w:t>
      </w:r>
      <w:r>
        <w:rPr>
          <w:rFonts w:ascii="Arial" w:hAnsi="Arial" w:hint="cs"/>
          <w:rtl/>
        </w:rPr>
        <w:t>;</w:t>
      </w:r>
    </w:p>
    <w:p w14:paraId="21732495"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הסניגור המלומד עמל וליקט גזרי דין ופסקי דין המקלים מאוד ביחס לענישה שנזכרה לעיל, אולם חלק ניכר מאותם מקרים זכו להתייחסות מקלה בשל נסיבות מיוחדות, ואילו אחרים סוטים בעיני ממדיניות הענישה, שהוכתבה בפסיקתו של בית המשפט העליון ושנוהגת בזרם המרכזי של הפסיקה;</w:t>
      </w:r>
    </w:p>
    <w:p w14:paraId="594F24BF" w14:textId="77777777" w:rsidR="0031451A" w:rsidRDefault="0031451A" w:rsidP="0031451A">
      <w:pPr>
        <w:numPr>
          <w:ilvl w:val="1"/>
          <w:numId w:val="3"/>
        </w:numPr>
        <w:spacing w:line="360" w:lineRule="auto"/>
        <w:contextualSpacing/>
        <w:jc w:val="both"/>
        <w:rPr>
          <w:rFonts w:ascii="Arial" w:hAnsi="Arial"/>
        </w:rPr>
      </w:pPr>
      <w:r>
        <w:rPr>
          <w:rFonts w:ascii="Arial" w:hAnsi="Arial" w:hint="cs"/>
          <w:rtl/>
        </w:rPr>
        <w:t>מתחם העונש ייקבע אפוא בין שמונה לבין חמישה-עשר חודשי מאסר בפועל, כעונש עיקרי (המתחם נקבע לפי טיעונו של התובע המלומד, אחרת היה רף המתחם גבוה יותר);</w:t>
      </w:r>
    </w:p>
    <w:p w14:paraId="4C418B34" w14:textId="77777777" w:rsidR="0031451A" w:rsidRPr="00132DFD" w:rsidRDefault="0031451A" w:rsidP="0031451A">
      <w:pPr>
        <w:spacing w:line="360" w:lineRule="auto"/>
        <w:contextualSpacing/>
        <w:jc w:val="both"/>
        <w:rPr>
          <w:rFonts w:ascii="Arial" w:hAnsi="Arial"/>
        </w:rPr>
      </w:pPr>
    </w:p>
    <w:p w14:paraId="09861F3D" w14:textId="77777777" w:rsidR="0031451A" w:rsidRPr="0083334F" w:rsidRDefault="0031451A" w:rsidP="0031451A">
      <w:pPr>
        <w:spacing w:line="360" w:lineRule="auto"/>
        <w:jc w:val="both"/>
        <w:rPr>
          <w:rtl/>
        </w:rPr>
      </w:pPr>
      <w:r w:rsidRPr="0083334F">
        <w:rPr>
          <w:rFonts w:hint="cs"/>
          <w:b/>
          <w:bCs/>
          <w:u w:val="single"/>
          <w:rtl/>
        </w:rPr>
        <w:t>נסיבות שאינן קשורות בעבירה- קביעת העונש במתחם</w:t>
      </w:r>
      <w:r w:rsidRPr="0083334F">
        <w:rPr>
          <w:rFonts w:hint="cs"/>
          <w:rtl/>
        </w:rPr>
        <w:t>:</w:t>
      </w:r>
    </w:p>
    <w:p w14:paraId="7969165D" w14:textId="77777777" w:rsidR="0031451A" w:rsidRDefault="0031451A" w:rsidP="0031451A">
      <w:pPr>
        <w:pStyle w:val="a9"/>
        <w:numPr>
          <w:ilvl w:val="0"/>
          <w:numId w:val="4"/>
        </w:numPr>
        <w:spacing w:line="360" w:lineRule="auto"/>
        <w:ind w:left="360"/>
        <w:jc w:val="both"/>
      </w:pPr>
      <w:r w:rsidRPr="0083334F">
        <w:rPr>
          <w:rFonts w:hint="cs"/>
          <w:rtl/>
        </w:rPr>
        <w:t>הנאשם יליד 1977, כבן 41</w:t>
      </w:r>
      <w:r>
        <w:rPr>
          <w:rFonts w:hint="cs"/>
          <w:rtl/>
        </w:rPr>
        <w:t xml:space="preserve"> כיום</w:t>
      </w:r>
      <w:r w:rsidRPr="0083334F">
        <w:rPr>
          <w:rFonts w:hint="cs"/>
          <w:rtl/>
        </w:rPr>
        <w:t xml:space="preserve">, נשוי ואב לשלוש בנות </w:t>
      </w:r>
      <w:r>
        <w:rPr>
          <w:rFonts w:hint="cs"/>
          <w:rtl/>
        </w:rPr>
        <w:t>שהקטנה שבהן פעוטה והגדולה כבת עשר. מוצא הנאשם במשפחה שהתמודדה עם התמכרות אחיו לאלכוהול, כך שלהורי הנאשם לא נותרו משאבים רבים להפנות לצרכי הנאשם, שעקב זאת גדל ללא גורמי תמיכה והכוונה. הנאשם סיים לימודי ובתעודת בגרות, שרת שירות מלא בצה"ל, עבד בעבודות מזדמנות ומזה כחמש שנים הוא עובד כשרברב עצמאי.</w:t>
      </w:r>
    </w:p>
    <w:p w14:paraId="4F8BD842" w14:textId="77777777" w:rsidR="0031451A" w:rsidRDefault="0031451A" w:rsidP="0031451A">
      <w:pPr>
        <w:pStyle w:val="a9"/>
        <w:numPr>
          <w:ilvl w:val="0"/>
          <w:numId w:val="4"/>
        </w:numPr>
        <w:spacing w:line="360" w:lineRule="auto"/>
        <w:ind w:left="360"/>
        <w:jc w:val="both"/>
      </w:pPr>
      <w:r>
        <w:rPr>
          <w:rFonts w:hint="cs"/>
          <w:rtl/>
        </w:rPr>
        <w:t>אין לחובת הנאשם הרשעות קודמות.</w:t>
      </w:r>
    </w:p>
    <w:p w14:paraId="42F43A29" w14:textId="77777777" w:rsidR="0031451A" w:rsidRDefault="0031451A" w:rsidP="0031451A">
      <w:pPr>
        <w:pStyle w:val="a9"/>
        <w:numPr>
          <w:ilvl w:val="0"/>
          <w:numId w:val="4"/>
        </w:numPr>
        <w:spacing w:line="360" w:lineRule="auto"/>
        <w:ind w:left="360"/>
        <w:jc w:val="both"/>
      </w:pPr>
      <w:r>
        <w:rPr>
          <w:rFonts w:hint="cs"/>
          <w:rtl/>
        </w:rPr>
        <w:t xml:space="preserve">הנאשם החל לצרוך קנבוס לפני כשנתיים, עקב משבר שחווה משנפטרה אמו. צריכת הקנבוס תכפה עד לצריכה אינטנסיבית ויומיומית, וגררה קשיים כלכליים. הנאשם ביצע את העבירות כפתרון לקשיים אלו ולמימון צריכת הסמים. </w:t>
      </w:r>
    </w:p>
    <w:p w14:paraId="2E681D19" w14:textId="77777777" w:rsidR="0031451A" w:rsidRDefault="0031451A" w:rsidP="0031451A">
      <w:pPr>
        <w:pStyle w:val="a9"/>
        <w:numPr>
          <w:ilvl w:val="0"/>
          <w:numId w:val="4"/>
        </w:numPr>
        <w:spacing w:line="360" w:lineRule="auto"/>
        <w:ind w:left="360"/>
        <w:jc w:val="both"/>
      </w:pPr>
      <w:r>
        <w:rPr>
          <w:rFonts w:hint="cs"/>
          <w:rtl/>
        </w:rPr>
        <w:t>ביחס לעבירות, הנאשם נוטל אחריות בוגרת וכנה על מעשיו (לפי התרשמות שירות המבחן) וחש צער ובושה. מדובר בתפנית חדה מהעמדות בהן אחז בשנת 2017, שאז התרשם השירות שהנאשם מרוכז בסיפוק צרכיו וממזער את משמעות מעשיו, כשהוא מתאר שימוש מזדמן וחברתי בלבד.</w:t>
      </w:r>
    </w:p>
    <w:p w14:paraId="6B3118A1" w14:textId="77777777" w:rsidR="0031451A" w:rsidRDefault="0031451A" w:rsidP="0031451A">
      <w:pPr>
        <w:pStyle w:val="a9"/>
        <w:numPr>
          <w:ilvl w:val="0"/>
          <w:numId w:val="4"/>
        </w:numPr>
        <w:spacing w:line="360" w:lineRule="auto"/>
        <w:ind w:left="360"/>
        <w:jc w:val="both"/>
      </w:pPr>
      <w:r>
        <w:rPr>
          <w:rFonts w:hint="cs"/>
          <w:rtl/>
        </w:rPr>
        <w:t xml:space="preserve">מאוקטובר 2017 עד פברואר 2018 השתתף הנאשם בקבוצה טיפולית ייעודית לעצורי בית, ונראה שהנאשם נתרם מהטיפול </w:t>
      </w:r>
      <w:r>
        <w:rPr>
          <w:rtl/>
        </w:rPr>
        <w:t>–</w:t>
      </w:r>
      <w:r>
        <w:rPr>
          <w:rFonts w:hint="cs"/>
          <w:rtl/>
        </w:rPr>
        <w:t xml:space="preserve"> הנאשם נקי מסמים והפנים את חומרת מעשיו ואת פגיעתם בו ובמשפחתו.</w:t>
      </w:r>
    </w:p>
    <w:p w14:paraId="558ABC71" w14:textId="77777777" w:rsidR="0031451A" w:rsidRDefault="0031451A" w:rsidP="0031451A">
      <w:pPr>
        <w:pStyle w:val="a9"/>
        <w:numPr>
          <w:ilvl w:val="0"/>
          <w:numId w:val="4"/>
        </w:numPr>
        <w:spacing w:line="360" w:lineRule="auto"/>
        <w:ind w:left="360"/>
        <w:jc w:val="both"/>
      </w:pPr>
      <w:r>
        <w:rPr>
          <w:rFonts w:hint="cs"/>
          <w:rtl/>
        </w:rPr>
        <w:t>שירות המבחן מסכם בהערכה שהנאשם מצוי על דרך השיקום, לנוכח ניקיונו מסמים, הפנמת חומרת מעשיו והמחירים שמסבים עבירות וההליך הפלילי בעקבותיהם, יכולתו להירתם ולהיתרם מטיפול, וכל-זאת על בסיס של אורח חיים ותפיסות תקינות, לרבות יציבות תעסוקתית ותפקוד נאות במסגרת המשפחה. השירות ממליץ אפוא לנקוט בענישה שיקומית-חינוכית של מאסר מותנה מרתיע, צו מבחן וצו של"צ בהיקף של 340 שעות: השירות חושש, שריצוי מאסר בעבודות שירות יקשה על הנאשם ומשפחתו, בהיותו מפרנס יחיד, ועלול לפגוע בהמשך שיקומו.</w:t>
      </w:r>
    </w:p>
    <w:p w14:paraId="466C20E1" w14:textId="77777777" w:rsidR="0031451A" w:rsidRDefault="0031451A" w:rsidP="0031451A">
      <w:pPr>
        <w:pStyle w:val="a9"/>
        <w:numPr>
          <w:ilvl w:val="0"/>
          <w:numId w:val="4"/>
        </w:numPr>
        <w:spacing w:line="360" w:lineRule="auto"/>
        <w:ind w:left="360"/>
        <w:jc w:val="both"/>
      </w:pPr>
      <w:r>
        <w:rPr>
          <w:rFonts w:hint="cs"/>
          <w:rtl/>
        </w:rPr>
        <w:t>יש להעריך את מאמצי הנאשם לשתף עצמו בטיפול ואת יכולתו להפיק ממנו תועלת. נתונים אלו, שבכוחם להשפיע על מיקום עונשו של הנאשם במתחמים שנקבעו, לא יובילו לחריגה מהמתחם שנקבע לעניין הגידול: עבירה זו</w:t>
      </w:r>
      <w:r>
        <w:rPr>
          <w:rtl/>
        </w:rPr>
        <w:t>–</w:t>
      </w:r>
      <w:r>
        <w:rPr>
          <w:rFonts w:hint="cs"/>
          <w:rtl/>
        </w:rPr>
        <w:t xml:space="preserve"> שמאפייניה כאן הם תכנון ארוך-טווח, השקעת משאבים וזמן, וייצור כמות גדולה של סם </w:t>
      </w:r>
      <w:r>
        <w:rPr>
          <w:rtl/>
        </w:rPr>
        <w:t>–</w:t>
      </w:r>
      <w:r>
        <w:rPr>
          <w:rFonts w:hint="cs"/>
          <w:rtl/>
        </w:rPr>
        <w:t xml:space="preserve"> אין לה דבר וחצי-דבר עם מצוקה קשה שהנאשם כשל בהתמודדותו אתה ולכן נזקק לשיקום כדי לחזור ולעמוד על רגליו. </w:t>
      </w:r>
    </w:p>
    <w:p w14:paraId="3D362BCF" w14:textId="77777777" w:rsidR="0031451A" w:rsidRDefault="0031451A" w:rsidP="0031451A">
      <w:pPr>
        <w:pStyle w:val="a9"/>
        <w:numPr>
          <w:ilvl w:val="0"/>
          <w:numId w:val="4"/>
        </w:numPr>
        <w:spacing w:line="360" w:lineRule="auto"/>
        <w:ind w:left="360"/>
        <w:jc w:val="both"/>
      </w:pPr>
      <w:r>
        <w:rPr>
          <w:rFonts w:hint="cs"/>
          <w:rtl/>
        </w:rPr>
        <w:t>לזכות הנאשם יעמדו שיקולים נכבדים:</w:t>
      </w:r>
    </w:p>
    <w:p w14:paraId="623B7665" w14:textId="77777777" w:rsidR="0031451A" w:rsidRDefault="0031451A" w:rsidP="0031451A">
      <w:pPr>
        <w:pStyle w:val="a9"/>
        <w:numPr>
          <w:ilvl w:val="1"/>
          <w:numId w:val="4"/>
        </w:numPr>
        <w:spacing w:line="360" w:lineRule="auto"/>
        <w:jc w:val="both"/>
      </w:pPr>
      <w:r>
        <w:rPr>
          <w:rFonts w:hint="cs"/>
          <w:rtl/>
        </w:rPr>
        <w:t>הנאשם עתיד להיפגע קשות ממאסר בכליאה, שהינו מאסר ראשון;</w:t>
      </w:r>
    </w:p>
    <w:p w14:paraId="1E39E480" w14:textId="77777777" w:rsidR="0031451A" w:rsidRDefault="0031451A" w:rsidP="0031451A">
      <w:pPr>
        <w:pStyle w:val="a9"/>
        <w:numPr>
          <w:ilvl w:val="1"/>
          <w:numId w:val="4"/>
        </w:numPr>
        <w:spacing w:line="360" w:lineRule="auto"/>
        <w:jc w:val="both"/>
      </w:pPr>
      <w:r>
        <w:rPr>
          <w:rFonts w:hint="cs"/>
          <w:rtl/>
        </w:rPr>
        <w:t>משפחתו של הנאשם נפגעה כלכלית מתקופת מעצר הבית ותיפגע כך אם הנאשם ירצה עונש מאסר, בכליאה או בעבודות שירות, שכן הנאשם הוא מפרנס יחיד;</w:t>
      </w:r>
    </w:p>
    <w:p w14:paraId="2DFFB3E1" w14:textId="77777777" w:rsidR="0031451A" w:rsidRDefault="0031451A" w:rsidP="0031451A">
      <w:pPr>
        <w:pStyle w:val="a9"/>
        <w:numPr>
          <w:ilvl w:val="1"/>
          <w:numId w:val="4"/>
        </w:numPr>
        <w:spacing w:line="360" w:lineRule="auto"/>
        <w:jc w:val="both"/>
      </w:pPr>
      <w:r>
        <w:rPr>
          <w:rFonts w:hint="cs"/>
          <w:rtl/>
        </w:rPr>
        <w:t>הנאשם הודה, נטל אחריות על מעשיו ונרתם לטיפול, שהעלה אותו על דרך השיקום;</w:t>
      </w:r>
    </w:p>
    <w:p w14:paraId="45A48D1D" w14:textId="77777777" w:rsidR="0031451A" w:rsidRDefault="0031451A" w:rsidP="0031451A">
      <w:pPr>
        <w:pStyle w:val="a9"/>
        <w:numPr>
          <w:ilvl w:val="1"/>
          <w:numId w:val="4"/>
        </w:numPr>
        <w:spacing w:line="360" w:lineRule="auto"/>
        <w:jc w:val="both"/>
      </w:pPr>
      <w:r>
        <w:rPr>
          <w:rFonts w:hint="cs"/>
          <w:rtl/>
        </w:rPr>
        <w:t>הנאשם מנהל אורח חיים נורמטיבי ויצרני, ואין לחובתו עבר פלילי;</w:t>
      </w:r>
    </w:p>
    <w:p w14:paraId="54C66B39" w14:textId="77777777" w:rsidR="0031451A" w:rsidRDefault="0031451A" w:rsidP="0031451A">
      <w:pPr>
        <w:pStyle w:val="a9"/>
        <w:numPr>
          <w:ilvl w:val="1"/>
          <w:numId w:val="4"/>
        </w:numPr>
        <w:spacing w:line="360" w:lineRule="auto"/>
        <w:jc w:val="both"/>
      </w:pPr>
      <w:r>
        <w:rPr>
          <w:rFonts w:hint="cs"/>
          <w:rtl/>
        </w:rPr>
        <w:t>נסיבות ילדותו, ששירות המבחן קושר ביניהן לבין ביצוע העבירות;</w:t>
      </w:r>
    </w:p>
    <w:p w14:paraId="5B0C53CE" w14:textId="77777777" w:rsidR="0031451A" w:rsidRDefault="0031451A" w:rsidP="0031451A">
      <w:pPr>
        <w:pStyle w:val="a9"/>
        <w:numPr>
          <w:ilvl w:val="0"/>
          <w:numId w:val="4"/>
        </w:numPr>
        <w:spacing w:line="360" w:lineRule="auto"/>
        <w:ind w:left="360"/>
        <w:jc w:val="both"/>
      </w:pPr>
      <w:r>
        <w:rPr>
          <w:rFonts w:hint="cs"/>
          <w:rtl/>
        </w:rPr>
        <w:t>נתונים אלה יצדיקו את קביעת עונשו של הנאשם בתחתית מתחמי הענישה שנקבעו, כשהמשמעות היא שהעונש העיקרי יתייחס רק לעבירות גידול  והחזקת הסם שבוצעו ב"דירת המעבדה".</w:t>
      </w:r>
    </w:p>
    <w:p w14:paraId="02F7E779" w14:textId="77777777" w:rsidR="0031451A" w:rsidRDefault="0031451A" w:rsidP="0031451A">
      <w:pPr>
        <w:pStyle w:val="a9"/>
        <w:numPr>
          <w:ilvl w:val="0"/>
          <w:numId w:val="4"/>
        </w:numPr>
        <w:spacing w:line="360" w:lineRule="auto"/>
        <w:ind w:left="360"/>
        <w:jc w:val="both"/>
      </w:pPr>
      <w:r>
        <w:rPr>
          <w:rFonts w:hint="cs"/>
          <w:rtl/>
        </w:rPr>
        <w:t>לצד העונש העיקרי יוטלו עונשים נוספים: מאסר והתחייבות כספית לתוספת הרתעה; קנס שיאזן את התועלת הכלכלית האסורה שהפיק הנאשם ממעשיו, כשגודל הסכום ייקבע גם בהתחשב בתקופת המאסר; פסילת רישיון תוטל באופן מותנה בלבד, לנוכח הפסקת השימוש בסם והצלחת הטיפול.</w:t>
      </w:r>
    </w:p>
    <w:p w14:paraId="7B77B411" w14:textId="77777777" w:rsidR="0031451A" w:rsidRDefault="0031451A" w:rsidP="0031451A">
      <w:pPr>
        <w:spacing w:line="360" w:lineRule="auto"/>
        <w:jc w:val="both"/>
        <w:rPr>
          <w:rtl/>
        </w:rPr>
      </w:pPr>
    </w:p>
    <w:p w14:paraId="3A43E956" w14:textId="77777777" w:rsidR="0031451A" w:rsidRDefault="0031451A" w:rsidP="0031451A">
      <w:pPr>
        <w:spacing w:line="360" w:lineRule="auto"/>
        <w:jc w:val="both"/>
        <w:rPr>
          <w:rtl/>
        </w:rPr>
      </w:pPr>
      <w:r>
        <w:rPr>
          <w:rFonts w:hint="cs"/>
          <w:b/>
          <w:bCs/>
          <w:u w:val="single"/>
          <w:rtl/>
        </w:rPr>
        <w:t>סוף-דבר, אני גוזר על הנאשם את העונשים הבאים</w:t>
      </w:r>
      <w:r>
        <w:rPr>
          <w:rFonts w:hint="cs"/>
          <w:rtl/>
        </w:rPr>
        <w:t>:</w:t>
      </w:r>
    </w:p>
    <w:p w14:paraId="5A5B6E12" w14:textId="77777777" w:rsidR="0031451A" w:rsidRDefault="0031451A" w:rsidP="0031451A">
      <w:pPr>
        <w:pStyle w:val="a9"/>
        <w:numPr>
          <w:ilvl w:val="0"/>
          <w:numId w:val="6"/>
        </w:numPr>
        <w:spacing w:line="360" w:lineRule="auto"/>
        <w:jc w:val="both"/>
      </w:pPr>
      <w:r>
        <w:rPr>
          <w:rFonts w:hint="cs"/>
          <w:rtl/>
        </w:rPr>
        <w:t>שמונה חודשי מאסר בפועל, בניכוי ימי מעצרו בכליאה מיום 4.8.17 ועד ליום 8.10.17 (ואפילו יראו רישומי שב"ס אחרת);</w:t>
      </w:r>
    </w:p>
    <w:p w14:paraId="009A7C9D" w14:textId="77777777" w:rsidR="0031451A" w:rsidRDefault="0031451A" w:rsidP="0031451A">
      <w:pPr>
        <w:pStyle w:val="a9"/>
        <w:numPr>
          <w:ilvl w:val="0"/>
          <w:numId w:val="6"/>
        </w:numPr>
        <w:spacing w:line="360" w:lineRule="auto"/>
        <w:jc w:val="both"/>
      </w:pPr>
      <w:r>
        <w:rPr>
          <w:rFonts w:hint="cs"/>
          <w:rtl/>
        </w:rPr>
        <w:t>שישה חודשי מאסר על-תנאי למשך שנתיים מיום שחרורו, שלא יעבור עבירת סמים שהיא פשע;</w:t>
      </w:r>
    </w:p>
    <w:p w14:paraId="41AB3EDE" w14:textId="77777777" w:rsidR="0031451A" w:rsidRDefault="0031451A" w:rsidP="0031451A">
      <w:pPr>
        <w:pStyle w:val="a9"/>
        <w:numPr>
          <w:ilvl w:val="0"/>
          <w:numId w:val="6"/>
        </w:numPr>
        <w:spacing w:line="360" w:lineRule="auto"/>
        <w:jc w:val="both"/>
      </w:pPr>
      <w:r>
        <w:rPr>
          <w:rFonts w:hint="cs"/>
          <w:rtl/>
        </w:rPr>
        <w:t>קנס בסך 3,000 ₪, שישולם עד ליום 1.1.19 ויועבר לזכות קרן הסמים, או חודש מאסר תמורתו;</w:t>
      </w:r>
    </w:p>
    <w:p w14:paraId="6197AE74" w14:textId="77777777" w:rsidR="0031451A" w:rsidRDefault="0031451A" w:rsidP="0031451A">
      <w:pPr>
        <w:pStyle w:val="a9"/>
        <w:numPr>
          <w:ilvl w:val="0"/>
          <w:numId w:val="6"/>
        </w:numPr>
        <w:spacing w:line="360" w:lineRule="auto"/>
        <w:jc w:val="both"/>
      </w:pPr>
      <w:r>
        <w:rPr>
          <w:rFonts w:hint="cs"/>
          <w:rtl/>
        </w:rPr>
        <w:t>התחייבות בסך 2,000 ש"ח</w:t>
      </w:r>
      <w:r w:rsidRPr="00066850">
        <w:rPr>
          <w:rFonts w:hint="cs"/>
          <w:rtl/>
        </w:rPr>
        <w:t xml:space="preserve"> </w:t>
      </w:r>
      <w:r>
        <w:rPr>
          <w:rFonts w:hint="cs"/>
          <w:rtl/>
        </w:rPr>
        <w:t>למשך שנתיים מיום שחרורו, שלא יעבור עבירת סמים שהיא פשע. לא תיחתם ההתחייבות, ייאסר הנאשם למשך חודש ימים;</w:t>
      </w:r>
    </w:p>
    <w:p w14:paraId="130C7B59" w14:textId="77777777" w:rsidR="0031451A" w:rsidRDefault="0031451A" w:rsidP="0031451A">
      <w:pPr>
        <w:pStyle w:val="a9"/>
        <w:numPr>
          <w:ilvl w:val="0"/>
          <w:numId w:val="6"/>
        </w:numPr>
        <w:spacing w:line="360" w:lineRule="auto"/>
        <w:jc w:val="both"/>
      </w:pPr>
      <w:r>
        <w:rPr>
          <w:rFonts w:hint="cs"/>
          <w:rtl/>
        </w:rPr>
        <w:t>שישה חודשי פסילה על תנאי, מלקבל רישיון נהיגה או לנהוג, למשך שנתיים מיום שחרורו;</w:t>
      </w:r>
    </w:p>
    <w:p w14:paraId="60E4CBB0" w14:textId="77777777" w:rsidR="0031451A" w:rsidRDefault="0031451A" w:rsidP="0031451A">
      <w:pPr>
        <w:pStyle w:val="a9"/>
        <w:numPr>
          <w:ilvl w:val="0"/>
          <w:numId w:val="6"/>
        </w:numPr>
        <w:spacing w:line="360" w:lineRule="auto"/>
        <w:jc w:val="both"/>
      </w:pPr>
      <w:r>
        <w:rPr>
          <w:rFonts w:hint="cs"/>
          <w:rtl/>
        </w:rPr>
        <w:t>חילוט סך של 10,000 ₪ שנתפס במהלך החקירה, לזכות קרן הסמים;</w:t>
      </w:r>
    </w:p>
    <w:p w14:paraId="44670E48" w14:textId="77777777" w:rsidR="0031451A" w:rsidRDefault="0031451A" w:rsidP="0031451A">
      <w:pPr>
        <w:spacing w:line="360" w:lineRule="auto"/>
        <w:jc w:val="both"/>
        <w:rPr>
          <w:rtl/>
        </w:rPr>
      </w:pPr>
    </w:p>
    <w:p w14:paraId="409BB6D9" w14:textId="77777777" w:rsidR="0031451A" w:rsidRDefault="0031451A" w:rsidP="0031451A">
      <w:pPr>
        <w:spacing w:line="360" w:lineRule="auto"/>
        <w:jc w:val="both"/>
        <w:rPr>
          <w:rtl/>
        </w:rPr>
      </w:pPr>
      <w:r>
        <w:rPr>
          <w:rFonts w:hint="cs"/>
          <w:b/>
          <w:bCs/>
          <w:u w:val="single"/>
          <w:rtl/>
        </w:rPr>
        <w:t>הוראות נלוות</w:t>
      </w:r>
      <w:r>
        <w:rPr>
          <w:rFonts w:hint="cs"/>
          <w:rtl/>
        </w:rPr>
        <w:t>:</w:t>
      </w:r>
    </w:p>
    <w:p w14:paraId="30C282BE" w14:textId="77777777" w:rsidR="0031451A" w:rsidRDefault="0031451A" w:rsidP="0031451A">
      <w:pPr>
        <w:pStyle w:val="a9"/>
        <w:numPr>
          <w:ilvl w:val="0"/>
          <w:numId w:val="7"/>
        </w:numPr>
        <w:spacing w:line="360" w:lineRule="auto"/>
        <w:jc w:val="both"/>
      </w:pPr>
      <w:r>
        <w:rPr>
          <w:rFonts w:hint="cs"/>
          <w:rtl/>
        </w:rPr>
        <w:t>בקשות לדחייה נוספת של הקנס או לפריסה לתשלומים ניתן להגיש למרכז לגביית קנסות;</w:t>
      </w:r>
    </w:p>
    <w:p w14:paraId="311E79AF" w14:textId="77777777" w:rsidR="0031451A" w:rsidRDefault="0031451A" w:rsidP="0031451A">
      <w:pPr>
        <w:pStyle w:val="a9"/>
        <w:numPr>
          <w:ilvl w:val="0"/>
          <w:numId w:val="7"/>
        </w:numPr>
        <w:spacing w:line="360" w:lineRule="auto"/>
        <w:jc w:val="both"/>
      </w:pPr>
      <w:r>
        <w:rPr>
          <w:rFonts w:hint="cs"/>
          <w:rtl/>
        </w:rPr>
        <w:t>עותק גזר הדין יועבר לידיעת שירות המבחן;</w:t>
      </w:r>
    </w:p>
    <w:p w14:paraId="792EED10" w14:textId="77777777" w:rsidR="0031451A" w:rsidRDefault="0031451A" w:rsidP="0031451A">
      <w:pPr>
        <w:pStyle w:val="a9"/>
        <w:numPr>
          <w:ilvl w:val="0"/>
          <w:numId w:val="7"/>
        </w:numPr>
        <w:spacing w:line="360" w:lineRule="auto"/>
        <w:jc w:val="both"/>
      </w:pPr>
      <w:r>
        <w:rPr>
          <w:rFonts w:hint="cs"/>
          <w:rtl/>
        </w:rPr>
        <w:t>הערובות הכספיות תעמודנה בעינן עד לכניסת הנאשם למאסר, או עד החלטה אחרת בערעור (אם יוגש), לפי המוקדם, ואז יושב פיקדון לנאשם;</w:t>
      </w:r>
    </w:p>
    <w:p w14:paraId="18496B63" w14:textId="77777777" w:rsidR="0031451A" w:rsidRPr="00B74473" w:rsidRDefault="0031451A" w:rsidP="0031451A">
      <w:pPr>
        <w:pStyle w:val="a9"/>
        <w:numPr>
          <w:ilvl w:val="0"/>
          <w:numId w:val="7"/>
        </w:numPr>
        <w:spacing w:line="360" w:lineRule="auto"/>
        <w:jc w:val="both"/>
        <w:rPr>
          <w:rtl/>
        </w:rPr>
      </w:pPr>
      <w:r>
        <w:rPr>
          <w:rFonts w:hint="cs"/>
          <w:rtl/>
        </w:rPr>
        <w:t>סם וציוד גידול יושמדו. מוצגים שלא הוריתי מה יעשה בהם, יועברו להחלטת קצין משטרה;</w:t>
      </w:r>
    </w:p>
    <w:p w14:paraId="53A97015" w14:textId="77777777" w:rsidR="0031451A" w:rsidRPr="0083334F" w:rsidRDefault="0031451A" w:rsidP="0031451A">
      <w:pPr>
        <w:pStyle w:val="a9"/>
        <w:spacing w:line="360" w:lineRule="auto"/>
        <w:ind w:left="360"/>
        <w:jc w:val="both"/>
        <w:rPr>
          <w:rtl/>
        </w:rPr>
      </w:pPr>
    </w:p>
    <w:p w14:paraId="263DBB89" w14:textId="77777777" w:rsidR="0031451A" w:rsidRPr="0083334F" w:rsidRDefault="0031451A" w:rsidP="0031451A">
      <w:pPr>
        <w:jc w:val="both"/>
        <w:rPr>
          <w:rtl/>
        </w:rPr>
      </w:pPr>
      <w:r>
        <w:rPr>
          <w:rFonts w:hint="cs"/>
          <w:rtl/>
        </w:rPr>
        <w:t>זכות ערעור לבית המשפט המחוזי תוך 45 יום מהיום.</w:t>
      </w:r>
    </w:p>
    <w:p w14:paraId="29502B72" w14:textId="77777777" w:rsidR="0031451A" w:rsidRPr="0083334F" w:rsidRDefault="0031451A" w:rsidP="0031451A">
      <w:pPr>
        <w:jc w:val="both"/>
        <w:rPr>
          <w:rtl/>
        </w:rPr>
      </w:pPr>
    </w:p>
    <w:p w14:paraId="039F827E" w14:textId="77777777" w:rsidR="0031451A" w:rsidRPr="00EE6292" w:rsidRDefault="00EE6292" w:rsidP="0031451A">
      <w:pPr>
        <w:jc w:val="both"/>
        <w:rPr>
          <w:color w:val="FFFFFF"/>
          <w:sz w:val="2"/>
          <w:szCs w:val="2"/>
          <w:rtl/>
        </w:rPr>
      </w:pPr>
      <w:r w:rsidRPr="00EE6292">
        <w:rPr>
          <w:color w:val="FFFFFF"/>
          <w:sz w:val="2"/>
          <w:szCs w:val="2"/>
          <w:rtl/>
        </w:rPr>
        <w:t>5129371</w:t>
      </w:r>
    </w:p>
    <w:p w14:paraId="195DD998" w14:textId="77777777" w:rsidR="0031451A" w:rsidRPr="00250B83" w:rsidRDefault="00EE6292" w:rsidP="0031451A">
      <w:pPr>
        <w:rPr>
          <w:rtl/>
        </w:rPr>
      </w:pPr>
      <w:r w:rsidRPr="00EE6292">
        <w:rPr>
          <w:rFonts w:ascii="Arial" w:hAnsi="Arial"/>
          <w:color w:val="FFFFFF"/>
          <w:sz w:val="2"/>
          <w:szCs w:val="2"/>
          <w:rtl/>
        </w:rPr>
        <w:t>54678313</w:t>
      </w:r>
      <w:r>
        <w:rPr>
          <w:rFonts w:ascii="Arial" w:hAnsi="Arial"/>
          <w:rtl/>
        </w:rPr>
        <w:t xml:space="preserve">ניתן היום, כ"טכ"ט חשוון תשע"ט, 07 נובמבר 2018, במעמד הצדדים. </w:t>
      </w:r>
    </w:p>
    <w:p w14:paraId="40714A13" w14:textId="77777777" w:rsidR="0031451A" w:rsidRPr="00250B83" w:rsidRDefault="0031451A" w:rsidP="0031451A">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5339B09" w14:textId="77777777" w:rsidR="0031451A" w:rsidRPr="00250B83" w:rsidRDefault="0031451A" w:rsidP="0031451A">
      <w:pPr>
        <w:jc w:val="center"/>
        <w:rPr>
          <w:rFonts w:ascii="Arial" w:hAnsi="Arial"/>
          <w:rtl/>
        </w:rPr>
      </w:pPr>
    </w:p>
    <w:p w14:paraId="37CF83D5" w14:textId="77777777" w:rsidR="0031451A" w:rsidRPr="00250B83" w:rsidRDefault="0031451A" w:rsidP="0031451A">
      <w:pPr>
        <w:rPr>
          <w:rtl/>
        </w:rPr>
      </w:pPr>
    </w:p>
    <w:p w14:paraId="2F015ADF" w14:textId="77777777" w:rsidR="0031451A" w:rsidRPr="00E25257" w:rsidRDefault="00E25257" w:rsidP="0031451A">
      <w:pPr>
        <w:pStyle w:val="a3"/>
        <w:jc w:val="center"/>
        <w:rPr>
          <w:color w:val="FFFFFF"/>
          <w:sz w:val="2"/>
          <w:szCs w:val="2"/>
          <w:rtl/>
        </w:rPr>
      </w:pPr>
      <w:r w:rsidRPr="00E25257">
        <w:rPr>
          <w:color w:val="FFFFFF"/>
          <w:sz w:val="2"/>
          <w:szCs w:val="2"/>
          <w:rtl/>
        </w:rPr>
        <w:t>5129371</w:t>
      </w:r>
    </w:p>
    <w:p w14:paraId="6207E457" w14:textId="77777777" w:rsidR="0018617D" w:rsidRPr="00E25257" w:rsidRDefault="00E25257" w:rsidP="00EE6292">
      <w:pPr>
        <w:keepNext/>
        <w:rPr>
          <w:rFonts w:ascii="David" w:hAnsi="David"/>
          <w:color w:val="FFFFFF"/>
          <w:sz w:val="2"/>
          <w:szCs w:val="2"/>
          <w:rtl/>
        </w:rPr>
      </w:pPr>
      <w:r w:rsidRPr="00E25257">
        <w:rPr>
          <w:rFonts w:ascii="David" w:hAnsi="David"/>
          <w:color w:val="FFFFFF"/>
          <w:sz w:val="2"/>
          <w:szCs w:val="2"/>
          <w:rtl/>
        </w:rPr>
        <w:t>54678313</w:t>
      </w:r>
    </w:p>
    <w:p w14:paraId="63CFDACF" w14:textId="77777777" w:rsidR="00EE6292" w:rsidRPr="00EE6292" w:rsidRDefault="00EE6292" w:rsidP="00EE6292">
      <w:pPr>
        <w:keepNext/>
        <w:rPr>
          <w:rFonts w:ascii="David" w:hAnsi="David"/>
          <w:color w:val="000000"/>
          <w:sz w:val="22"/>
          <w:szCs w:val="22"/>
          <w:rtl/>
        </w:rPr>
      </w:pPr>
      <w:r w:rsidRPr="00EE6292">
        <w:rPr>
          <w:rFonts w:ascii="David" w:hAnsi="David"/>
          <w:color w:val="000000"/>
          <w:sz w:val="22"/>
          <w:szCs w:val="22"/>
          <w:rtl/>
        </w:rPr>
        <w:t>עידו דרויאן גמליאל 54678313</w:t>
      </w:r>
    </w:p>
    <w:p w14:paraId="380A250B" w14:textId="77777777" w:rsidR="00EE6292" w:rsidRDefault="00EE6292" w:rsidP="00EE6292">
      <w:r w:rsidRPr="00EE6292">
        <w:rPr>
          <w:color w:val="000000"/>
          <w:rtl/>
        </w:rPr>
        <w:t>נוסח מסמך זה כפוף לשינויי ניסוח ועריכה</w:t>
      </w:r>
    </w:p>
    <w:p w14:paraId="783BFBC6" w14:textId="77777777" w:rsidR="00EE6292" w:rsidRDefault="00EE6292" w:rsidP="00EE6292">
      <w:pPr>
        <w:rPr>
          <w:rtl/>
        </w:rPr>
      </w:pPr>
    </w:p>
    <w:p w14:paraId="3036C089" w14:textId="77777777" w:rsidR="00EE6292" w:rsidRDefault="00EE6292" w:rsidP="00EE6292">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3F8506EF" w14:textId="77777777" w:rsidR="00E25257" w:rsidRPr="00E25257" w:rsidRDefault="00E25257" w:rsidP="00E25257">
      <w:pPr>
        <w:keepNext/>
        <w:rPr>
          <w:rFonts w:ascii="David" w:hAnsi="David"/>
          <w:color w:val="000000"/>
          <w:sz w:val="22"/>
          <w:szCs w:val="22"/>
          <w:rtl/>
        </w:rPr>
      </w:pPr>
    </w:p>
    <w:p w14:paraId="6D67DD62" w14:textId="77777777" w:rsidR="00EE6292" w:rsidRPr="00EE6292" w:rsidRDefault="00EE6292" w:rsidP="00E25257">
      <w:pPr>
        <w:rPr>
          <w:color w:val="0000FF"/>
          <w:u w:val="single"/>
        </w:rPr>
      </w:pPr>
    </w:p>
    <w:sectPr w:rsidR="00EE6292" w:rsidRPr="00EE6292" w:rsidSect="00E25257">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1251D2" w14:textId="77777777" w:rsidR="00D929F4" w:rsidRDefault="00D929F4" w:rsidP="00264F47">
      <w:r>
        <w:separator/>
      </w:r>
    </w:p>
  </w:endnote>
  <w:endnote w:type="continuationSeparator" w:id="0">
    <w:p w14:paraId="418114F6" w14:textId="77777777" w:rsidR="00D929F4" w:rsidRDefault="00D929F4" w:rsidP="0026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41EE2" w14:textId="77777777" w:rsidR="00E25257" w:rsidRDefault="00E25257" w:rsidP="00E252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A1BF83" w14:textId="77777777" w:rsidR="003333E9" w:rsidRPr="00E25257" w:rsidRDefault="00E25257" w:rsidP="00E25257">
    <w:pPr>
      <w:pStyle w:val="a5"/>
      <w:pBdr>
        <w:top w:val="single" w:sz="4" w:space="1" w:color="auto"/>
        <w:between w:val="single" w:sz="4" w:space="0" w:color="auto"/>
      </w:pBdr>
      <w:spacing w:after="60"/>
      <w:jc w:val="center"/>
      <w:rPr>
        <w:rFonts w:ascii="FrankRuehl" w:hAnsi="FrankRuehl" w:cs="FrankRuehl"/>
        <w:color w:val="000000"/>
      </w:rPr>
    </w:pPr>
    <w:r w:rsidRPr="00E2525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5CCB1D" w14:textId="77777777" w:rsidR="00E25257" w:rsidRDefault="00E25257" w:rsidP="00E2525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C4D56">
      <w:rPr>
        <w:rFonts w:ascii="FrankRuehl" w:hAnsi="FrankRuehl" w:cs="FrankRuehl"/>
        <w:noProof/>
        <w:rtl/>
      </w:rPr>
      <w:t>1</w:t>
    </w:r>
    <w:r>
      <w:rPr>
        <w:rFonts w:ascii="FrankRuehl" w:hAnsi="FrankRuehl" w:cs="FrankRuehl"/>
        <w:rtl/>
      </w:rPr>
      <w:fldChar w:fldCharType="end"/>
    </w:r>
  </w:p>
  <w:p w14:paraId="60E8FFA5" w14:textId="77777777" w:rsidR="003333E9" w:rsidRPr="00E25257" w:rsidRDefault="00E25257" w:rsidP="00E25257">
    <w:pPr>
      <w:pStyle w:val="a5"/>
      <w:pBdr>
        <w:top w:val="single" w:sz="4" w:space="1" w:color="auto"/>
        <w:between w:val="single" w:sz="4" w:space="0" w:color="auto"/>
      </w:pBdr>
      <w:spacing w:after="60"/>
      <w:jc w:val="center"/>
      <w:rPr>
        <w:rFonts w:ascii="FrankRuehl" w:hAnsi="FrankRuehl" w:cs="FrankRuehl"/>
        <w:color w:val="000000"/>
      </w:rPr>
    </w:pPr>
    <w:r w:rsidRPr="00E25257">
      <w:rPr>
        <w:rFonts w:ascii="FrankRuehl" w:hAnsi="FrankRuehl" w:cs="FrankRuehl"/>
        <w:color w:val="000000"/>
      </w:rPr>
      <w:pict w14:anchorId="14D9D6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D3B8B" w14:textId="77777777" w:rsidR="00D929F4" w:rsidRDefault="00D929F4" w:rsidP="00264F47">
      <w:r>
        <w:separator/>
      </w:r>
    </w:p>
  </w:footnote>
  <w:footnote w:type="continuationSeparator" w:id="0">
    <w:p w14:paraId="246401A0" w14:textId="77777777" w:rsidR="00D929F4" w:rsidRDefault="00D929F4" w:rsidP="00264F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3A96A9" w14:textId="77777777" w:rsidR="00EE6292" w:rsidRPr="00E25257" w:rsidRDefault="00E25257" w:rsidP="00E252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41688-08-17</w:t>
    </w:r>
    <w:r>
      <w:rPr>
        <w:rFonts w:ascii="David" w:hAnsi="David"/>
        <w:color w:val="000000"/>
        <w:sz w:val="22"/>
        <w:szCs w:val="22"/>
        <w:rtl/>
      </w:rPr>
      <w:tab/>
      <w:t xml:space="preserve"> מדינת ישראל נ' ניר אוגניו דנקנר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A920C" w14:textId="77777777" w:rsidR="00EE6292" w:rsidRPr="00E25257" w:rsidRDefault="00E25257" w:rsidP="00E2525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41688-08-17</w:t>
    </w:r>
    <w:r>
      <w:rPr>
        <w:rFonts w:ascii="David" w:hAnsi="David"/>
        <w:color w:val="000000"/>
        <w:sz w:val="22"/>
        <w:szCs w:val="22"/>
        <w:rtl/>
      </w:rPr>
      <w:tab/>
      <w:t xml:space="preserve"> מדינת ישראל נ' ניר אוגניו דנקנר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0CD"/>
    <w:multiLevelType w:val="hybridMultilevel"/>
    <w:tmpl w:val="948C572A"/>
    <w:lvl w:ilvl="0" w:tplc="82A6AA9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A7586"/>
    <w:multiLevelType w:val="hybridMultilevel"/>
    <w:tmpl w:val="F1D633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B018D"/>
    <w:multiLevelType w:val="hybridMultilevel"/>
    <w:tmpl w:val="3FD0A3A0"/>
    <w:lvl w:ilvl="0" w:tplc="0409000F">
      <w:start w:val="1"/>
      <w:numFmt w:val="decimal"/>
      <w:lvlText w:val="%1."/>
      <w:lvlJc w:val="left"/>
      <w:pPr>
        <w:ind w:left="720" w:hanging="360"/>
      </w:pPr>
      <w:rPr>
        <w:rFonts w:cs="Times New Roman"/>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E9D4A6D"/>
    <w:multiLevelType w:val="hybridMultilevel"/>
    <w:tmpl w:val="65640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5C0D16"/>
    <w:multiLevelType w:val="hybridMultilevel"/>
    <w:tmpl w:val="D35E7D50"/>
    <w:lvl w:ilvl="0" w:tplc="82A6AA98">
      <w:start w:val="1"/>
      <w:numFmt w:val="decimal"/>
      <w:lvlText w:val="%1."/>
      <w:lvlJc w:val="left"/>
      <w:pPr>
        <w:ind w:left="720" w:hanging="360"/>
      </w:pPr>
      <w:rPr>
        <w:b w:val="0"/>
        <w:bCs w:val="0"/>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E17EEE"/>
    <w:multiLevelType w:val="hybridMultilevel"/>
    <w:tmpl w:val="9E68619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142BCC"/>
    <w:multiLevelType w:val="hybridMultilevel"/>
    <w:tmpl w:val="E3A267E6"/>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0246941">
    <w:abstractNumId w:val="3"/>
  </w:num>
  <w:num w:numId="2" w16cid:durableId="498155805">
    <w:abstractNumId w:val="0"/>
  </w:num>
  <w:num w:numId="3" w16cid:durableId="987780322">
    <w:abstractNumId w:val="2"/>
  </w:num>
  <w:num w:numId="4" w16cid:durableId="500656975">
    <w:abstractNumId w:val="4"/>
  </w:num>
  <w:num w:numId="5" w16cid:durableId="125782909">
    <w:abstractNumId w:val="6"/>
  </w:num>
  <w:num w:numId="6" w16cid:durableId="903952574">
    <w:abstractNumId w:val="1"/>
  </w:num>
  <w:num w:numId="7" w16cid:durableId="335042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1451A"/>
    <w:rsid w:val="0018617D"/>
    <w:rsid w:val="00264F47"/>
    <w:rsid w:val="0031451A"/>
    <w:rsid w:val="00322EAC"/>
    <w:rsid w:val="003333E9"/>
    <w:rsid w:val="0044208B"/>
    <w:rsid w:val="006005A4"/>
    <w:rsid w:val="006B56DF"/>
    <w:rsid w:val="00880AE8"/>
    <w:rsid w:val="00AC4D56"/>
    <w:rsid w:val="00AF2F50"/>
    <w:rsid w:val="00C73673"/>
    <w:rsid w:val="00D929F4"/>
    <w:rsid w:val="00E25257"/>
    <w:rsid w:val="00EE62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8F2001C"/>
  <w15:chartTrackingRefBased/>
  <w15:docId w15:val="{B21E3594-94FF-45B8-A324-827D9495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45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1451A"/>
    <w:pPr>
      <w:tabs>
        <w:tab w:val="center" w:pos="4153"/>
        <w:tab w:val="right" w:pos="8306"/>
      </w:tabs>
    </w:pPr>
  </w:style>
  <w:style w:type="character" w:customStyle="1" w:styleId="a4">
    <w:name w:val="כותרת עליונה תו"/>
    <w:link w:val="a3"/>
    <w:rsid w:val="0031451A"/>
    <w:rPr>
      <w:rFonts w:ascii="Times New Roman" w:eastAsia="Times New Roman" w:hAnsi="Times New Roman" w:cs="David"/>
      <w:sz w:val="24"/>
      <w:szCs w:val="24"/>
    </w:rPr>
  </w:style>
  <w:style w:type="paragraph" w:styleId="a5">
    <w:name w:val="footer"/>
    <w:basedOn w:val="a"/>
    <w:link w:val="a6"/>
    <w:rsid w:val="0031451A"/>
    <w:pPr>
      <w:tabs>
        <w:tab w:val="center" w:pos="4153"/>
        <w:tab w:val="right" w:pos="8306"/>
      </w:tabs>
    </w:pPr>
  </w:style>
  <w:style w:type="character" w:customStyle="1" w:styleId="a6">
    <w:name w:val="כותרת תחתונה תו"/>
    <w:link w:val="a5"/>
    <w:rsid w:val="0031451A"/>
    <w:rPr>
      <w:rFonts w:ascii="Times New Roman" w:eastAsia="Times New Roman" w:hAnsi="Times New Roman" w:cs="David"/>
      <w:sz w:val="24"/>
      <w:szCs w:val="24"/>
    </w:rPr>
  </w:style>
  <w:style w:type="table" w:styleId="a7">
    <w:name w:val="Table Grid"/>
    <w:basedOn w:val="a1"/>
    <w:rsid w:val="003145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1451A"/>
  </w:style>
  <w:style w:type="paragraph" w:styleId="a9">
    <w:name w:val="List Paragraph"/>
    <w:basedOn w:val="a"/>
    <w:qFormat/>
    <w:rsid w:val="0031451A"/>
    <w:pPr>
      <w:ind w:left="720"/>
      <w:contextualSpacing/>
    </w:pPr>
  </w:style>
  <w:style w:type="paragraph" w:styleId="aa">
    <w:name w:val="Balloon Text"/>
    <w:basedOn w:val="a"/>
    <w:link w:val="ab"/>
    <w:rsid w:val="0031451A"/>
    <w:rPr>
      <w:rFonts w:ascii="Tahoma" w:hAnsi="Tahoma" w:cs="Tahoma"/>
      <w:sz w:val="16"/>
      <w:szCs w:val="16"/>
    </w:rPr>
  </w:style>
  <w:style w:type="character" w:customStyle="1" w:styleId="ab">
    <w:name w:val="טקסט בלונים תו"/>
    <w:link w:val="aa"/>
    <w:rsid w:val="0031451A"/>
    <w:rPr>
      <w:rFonts w:ascii="Tahoma" w:eastAsia="Times New Roman" w:hAnsi="Tahoma" w:cs="Tahoma"/>
      <w:sz w:val="16"/>
      <w:szCs w:val="16"/>
    </w:rPr>
  </w:style>
  <w:style w:type="character" w:styleId="Hyperlink">
    <w:name w:val="Hyperlink"/>
    <w:rsid w:val="00EE6292"/>
    <w:rPr>
      <w:color w:val="0000FF"/>
      <w:u w:val="single"/>
    </w:rPr>
  </w:style>
  <w:style w:type="character" w:styleId="ac">
    <w:name w:val="Unresolved Mention"/>
    <w:uiPriority w:val="99"/>
    <w:semiHidden/>
    <w:unhideWhenUsed/>
    <w:rsid w:val="00600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10495328" TargetMode="External"/><Relationship Id="rId39" Type="http://schemas.openxmlformats.org/officeDocument/2006/relationships/header" Target="header1.xml"/><Relationship Id="rId21" Type="http://schemas.openxmlformats.org/officeDocument/2006/relationships/hyperlink" Target="http://www.nevo.co.il/law/4216/7.a" TargetMode="External"/><Relationship Id="rId34" Type="http://schemas.openxmlformats.org/officeDocument/2006/relationships/hyperlink" Target="http://www.nevo.co.il/case/17045282"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0" Type="http://schemas.openxmlformats.org/officeDocument/2006/relationships/hyperlink" Target="http://www.nevo.co.il/law/4216" TargetMode="External"/><Relationship Id="rId29" Type="http://schemas.openxmlformats.org/officeDocument/2006/relationships/hyperlink" Target="http://www.nevo.co.il/case/18090154"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1020095" TargetMode="External"/><Relationship Id="rId37" Type="http://schemas.openxmlformats.org/officeDocument/2006/relationships/hyperlink" Target="http://www.nevo.co.il/case/4048397" TargetMode="External"/><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7.a" TargetMode="External"/><Relationship Id="rId23" Type="http://schemas.openxmlformats.org/officeDocument/2006/relationships/hyperlink" Target="http://www.nevo.co.il/law/4216/13" TargetMode="External"/><Relationship Id="rId28" Type="http://schemas.openxmlformats.org/officeDocument/2006/relationships/hyperlink" Target="http://www.nevo.co.il/case/20705570" TargetMode="External"/><Relationship Id="rId36" Type="http://schemas.openxmlformats.org/officeDocument/2006/relationships/hyperlink" Target="http://www.nevo.co.il/case/4194972"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18045843"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1914524" TargetMode="External"/><Relationship Id="rId30" Type="http://schemas.openxmlformats.org/officeDocument/2006/relationships/hyperlink" Target="http://www.nevo.co.il/case/16938303" TargetMode="External"/><Relationship Id="rId35" Type="http://schemas.openxmlformats.org/officeDocument/2006/relationships/hyperlink" Target="http://www.nevo.co.il/case/2236104" TargetMode="External"/><Relationship Id="rId43" Type="http://schemas.openxmlformats.org/officeDocument/2006/relationships/fontTable" Target="fontTable.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905674" TargetMode="External"/><Relationship Id="rId33" Type="http://schemas.openxmlformats.org/officeDocument/2006/relationships/hyperlink" Target="http://www.nevo.co.il/case/18119161"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1874</Words>
  <Characters>9372</Characters>
  <Application>Microsoft Office Word</Application>
  <DocSecurity>0</DocSecurity>
  <Lines>78</Lines>
  <Paragraphs>22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11224</CharactersWithSpaces>
  <SharedDoc>false</SharedDoc>
  <HLinks>
    <vt:vector size="192" baseType="variant">
      <vt:variant>
        <vt:i4>393283</vt:i4>
      </vt:variant>
      <vt:variant>
        <vt:i4>93</vt:i4>
      </vt:variant>
      <vt:variant>
        <vt:i4>0</vt:i4>
      </vt:variant>
      <vt:variant>
        <vt:i4>5</vt:i4>
      </vt:variant>
      <vt:variant>
        <vt:lpwstr>http://www.nevo.co.il/advertisements/nevo-100.doc</vt:lpwstr>
      </vt:variant>
      <vt:variant>
        <vt:lpwstr/>
      </vt:variant>
      <vt:variant>
        <vt:i4>3407989</vt:i4>
      </vt:variant>
      <vt:variant>
        <vt:i4>90</vt:i4>
      </vt:variant>
      <vt:variant>
        <vt:i4>0</vt:i4>
      </vt:variant>
      <vt:variant>
        <vt:i4>5</vt:i4>
      </vt:variant>
      <vt:variant>
        <vt:lpwstr>http://www.nevo.co.il/case/4048397</vt:lpwstr>
      </vt:variant>
      <vt:variant>
        <vt:lpwstr/>
      </vt:variant>
      <vt:variant>
        <vt:i4>3539062</vt:i4>
      </vt:variant>
      <vt:variant>
        <vt:i4>87</vt:i4>
      </vt:variant>
      <vt:variant>
        <vt:i4>0</vt:i4>
      </vt:variant>
      <vt:variant>
        <vt:i4>5</vt:i4>
      </vt:variant>
      <vt:variant>
        <vt:lpwstr>http://www.nevo.co.il/case/4194972</vt:lpwstr>
      </vt:variant>
      <vt:variant>
        <vt:lpwstr/>
      </vt:variant>
      <vt:variant>
        <vt:i4>3407984</vt:i4>
      </vt:variant>
      <vt:variant>
        <vt:i4>84</vt:i4>
      </vt:variant>
      <vt:variant>
        <vt:i4>0</vt:i4>
      </vt:variant>
      <vt:variant>
        <vt:i4>5</vt:i4>
      </vt:variant>
      <vt:variant>
        <vt:lpwstr>http://www.nevo.co.il/case/2236104</vt:lpwstr>
      </vt:variant>
      <vt:variant>
        <vt:lpwstr/>
      </vt:variant>
      <vt:variant>
        <vt:i4>3932277</vt:i4>
      </vt:variant>
      <vt:variant>
        <vt:i4>81</vt:i4>
      </vt:variant>
      <vt:variant>
        <vt:i4>0</vt:i4>
      </vt:variant>
      <vt:variant>
        <vt:i4>5</vt:i4>
      </vt:variant>
      <vt:variant>
        <vt:lpwstr>http://www.nevo.co.il/case/17045282</vt:lpwstr>
      </vt:variant>
      <vt:variant>
        <vt:lpwstr/>
      </vt:variant>
      <vt:variant>
        <vt:i4>4128892</vt:i4>
      </vt:variant>
      <vt:variant>
        <vt:i4>78</vt:i4>
      </vt:variant>
      <vt:variant>
        <vt:i4>0</vt:i4>
      </vt:variant>
      <vt:variant>
        <vt:i4>5</vt:i4>
      </vt:variant>
      <vt:variant>
        <vt:lpwstr>http://www.nevo.co.il/case/18119161</vt:lpwstr>
      </vt:variant>
      <vt:variant>
        <vt:lpwstr/>
      </vt:variant>
      <vt:variant>
        <vt:i4>3866743</vt:i4>
      </vt:variant>
      <vt:variant>
        <vt:i4>75</vt:i4>
      </vt:variant>
      <vt:variant>
        <vt:i4>0</vt:i4>
      </vt:variant>
      <vt:variant>
        <vt:i4>5</vt:i4>
      </vt:variant>
      <vt:variant>
        <vt:lpwstr>http://www.nevo.co.il/case/21020095</vt:lpwstr>
      </vt:variant>
      <vt:variant>
        <vt:lpwstr/>
      </vt:variant>
      <vt:variant>
        <vt:i4>3145840</vt:i4>
      </vt:variant>
      <vt:variant>
        <vt:i4>72</vt:i4>
      </vt:variant>
      <vt:variant>
        <vt:i4>0</vt:i4>
      </vt:variant>
      <vt:variant>
        <vt:i4>5</vt:i4>
      </vt:variant>
      <vt:variant>
        <vt:lpwstr>http://www.nevo.co.il/case/18045843</vt:lpwstr>
      </vt:variant>
      <vt:variant>
        <vt:lpwstr/>
      </vt:variant>
      <vt:variant>
        <vt:i4>3145842</vt:i4>
      </vt:variant>
      <vt:variant>
        <vt:i4>69</vt:i4>
      </vt:variant>
      <vt:variant>
        <vt:i4>0</vt:i4>
      </vt:variant>
      <vt:variant>
        <vt:i4>5</vt:i4>
      </vt:variant>
      <vt:variant>
        <vt:lpwstr>http://www.nevo.co.il/case/16938303</vt:lpwstr>
      </vt:variant>
      <vt:variant>
        <vt:lpwstr/>
      </vt:variant>
      <vt:variant>
        <vt:i4>3407988</vt:i4>
      </vt:variant>
      <vt:variant>
        <vt:i4>66</vt:i4>
      </vt:variant>
      <vt:variant>
        <vt:i4>0</vt:i4>
      </vt:variant>
      <vt:variant>
        <vt:i4>5</vt:i4>
      </vt:variant>
      <vt:variant>
        <vt:lpwstr>http://www.nevo.co.il/case/18090154</vt:lpwstr>
      </vt:variant>
      <vt:variant>
        <vt:lpwstr/>
      </vt:variant>
      <vt:variant>
        <vt:i4>3604593</vt:i4>
      </vt:variant>
      <vt:variant>
        <vt:i4>63</vt:i4>
      </vt:variant>
      <vt:variant>
        <vt:i4>0</vt:i4>
      </vt:variant>
      <vt:variant>
        <vt:i4>5</vt:i4>
      </vt:variant>
      <vt:variant>
        <vt:lpwstr>http://www.nevo.co.il/case/20705570</vt:lpwstr>
      </vt:variant>
      <vt:variant>
        <vt:lpwstr/>
      </vt:variant>
      <vt:variant>
        <vt:i4>3997809</vt:i4>
      </vt:variant>
      <vt:variant>
        <vt:i4>60</vt:i4>
      </vt:variant>
      <vt:variant>
        <vt:i4>0</vt:i4>
      </vt:variant>
      <vt:variant>
        <vt:i4>5</vt:i4>
      </vt:variant>
      <vt:variant>
        <vt:lpwstr>http://www.nevo.co.il/case/21914524</vt:lpwstr>
      </vt:variant>
      <vt:variant>
        <vt:lpwstr/>
      </vt:variant>
      <vt:variant>
        <vt:i4>3276926</vt:i4>
      </vt:variant>
      <vt:variant>
        <vt:i4>57</vt:i4>
      </vt:variant>
      <vt:variant>
        <vt:i4>0</vt:i4>
      </vt:variant>
      <vt:variant>
        <vt:i4>5</vt:i4>
      </vt:variant>
      <vt:variant>
        <vt:lpwstr>http://www.nevo.co.il/case/10495328</vt:lpwstr>
      </vt:variant>
      <vt:variant>
        <vt:lpwstr/>
      </vt:variant>
      <vt:variant>
        <vt:i4>3735666</vt:i4>
      </vt:variant>
      <vt:variant>
        <vt:i4>54</vt:i4>
      </vt:variant>
      <vt:variant>
        <vt:i4>0</vt:i4>
      </vt:variant>
      <vt:variant>
        <vt:i4>5</vt:i4>
      </vt:variant>
      <vt:variant>
        <vt:lpwstr>http://www.nevo.co.il/case/20905674</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8257637</vt:i4>
      </vt:variant>
      <vt:variant>
        <vt:i4>39</vt:i4>
      </vt:variant>
      <vt:variant>
        <vt:i4>0</vt:i4>
      </vt:variant>
      <vt:variant>
        <vt:i4>5</vt:i4>
      </vt:variant>
      <vt:variant>
        <vt:lpwstr>http://www.nevo.co.il/law/4216</vt:lpwstr>
      </vt:variant>
      <vt:variant>
        <vt:lpwstr/>
      </vt:variant>
      <vt:variant>
        <vt:i4>4718666</vt:i4>
      </vt:variant>
      <vt:variant>
        <vt:i4>36</vt:i4>
      </vt:variant>
      <vt:variant>
        <vt:i4>0</vt:i4>
      </vt:variant>
      <vt:variant>
        <vt:i4>5</vt:i4>
      </vt:variant>
      <vt:variant>
        <vt:lpwstr>http://www.nevo.co.il/law/4216/6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4718666</vt:i4>
      </vt:variant>
      <vt:variant>
        <vt:i4>21</vt:i4>
      </vt:variant>
      <vt:variant>
        <vt:i4>0</vt:i4>
      </vt:variant>
      <vt:variant>
        <vt:i4>5</vt:i4>
      </vt:variant>
      <vt:variant>
        <vt:lpwstr>http://www.nevo.co.il/law/4216/6</vt:lpwstr>
      </vt:variant>
      <vt:variant>
        <vt:lpwstr/>
      </vt:variant>
      <vt:variant>
        <vt:i4>8257637</vt:i4>
      </vt:variant>
      <vt:variant>
        <vt:i4>18</vt:i4>
      </vt:variant>
      <vt:variant>
        <vt:i4>0</vt:i4>
      </vt:variant>
      <vt:variant>
        <vt:i4>5</vt:i4>
      </vt:variant>
      <vt:variant>
        <vt:lpwstr>http://www.nevo.co.il/law/4216</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41688</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ניר אוגניו דנקנר</vt:lpwstr>
  </property>
  <property fmtid="{D5CDD505-2E9C-101B-9397-08002B2CF9AE}" pid="10" name="LAWYER">
    <vt:lpwstr>לופז;שי נודל</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20181107</vt:lpwstr>
  </property>
  <property fmtid="{D5CDD505-2E9C-101B-9397-08002B2CF9AE}" pid="14" name="TYPE_N_DATE">
    <vt:lpwstr>38020181107</vt:lpwstr>
  </property>
  <property fmtid="{D5CDD505-2E9C-101B-9397-08002B2CF9AE}" pid="15" name="WORDNUMPAGES">
    <vt:lpwstr>6</vt:lpwstr>
  </property>
  <property fmtid="{D5CDD505-2E9C-101B-9397-08002B2CF9AE}" pid="16" name="TYPE_ABS_DATE">
    <vt:lpwstr>380020181107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20905674;10495328;21914524;20705570;18090154;16938303;18045843;21020095;18119161;17045282;2236104;4194972;4048397</vt:lpwstr>
  </property>
  <property fmtid="{D5CDD505-2E9C-101B-9397-08002B2CF9AE}" pid="36" name="LAWLISTTMP1">
    <vt:lpwstr>4216/006;007.a;007.c;013;019a</vt:lpwstr>
  </property>
</Properties>
</file>