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E2B08" w:rsidRPr="00A536F3" w14:paraId="3F973D42" w14:textId="77777777" w:rsidTr="00D84D99">
        <w:trPr>
          <w:trHeight w:hRule="exact" w:val="418"/>
          <w:jc w:val="center"/>
        </w:trPr>
        <w:tc>
          <w:tcPr>
            <w:tcW w:w="8721" w:type="dxa"/>
            <w:gridSpan w:val="2"/>
          </w:tcPr>
          <w:p w14:paraId="1E83C131" w14:textId="77777777" w:rsidR="000E2B08" w:rsidRPr="00A536F3" w:rsidRDefault="000E2B08" w:rsidP="00452C32">
            <w:pPr>
              <w:pStyle w:val="a3"/>
              <w:jc w:val="center"/>
              <w:rPr>
                <w:rFonts w:ascii="Tahoma" w:hAnsi="Tahoma" w:cs="FrankRuehl"/>
                <w:color w:val="000080"/>
                <w:sz w:val="26"/>
                <w:szCs w:val="26"/>
                <w:rtl/>
              </w:rPr>
            </w:pPr>
            <w:bookmarkStart w:id="0" w:name="FirstLawyer"/>
            <w:bookmarkStart w:id="1" w:name="LastJudge"/>
            <w:r w:rsidRPr="00A536F3">
              <w:rPr>
                <w:rFonts w:ascii="Tahoma" w:hAnsi="Tahoma" w:cs="FrankRuehl"/>
                <w:b/>
                <w:bCs/>
                <w:color w:val="000080"/>
                <w:sz w:val="26"/>
                <w:szCs w:val="26"/>
                <w:rtl/>
              </w:rPr>
              <w:t>בית משפט השלום בירושלים</w:t>
            </w:r>
          </w:p>
        </w:tc>
      </w:tr>
      <w:tr w:rsidR="000E2B08" w:rsidRPr="00A536F3" w14:paraId="703C50FB" w14:textId="77777777" w:rsidTr="00D84D99">
        <w:trPr>
          <w:trHeight w:val="337"/>
          <w:jc w:val="center"/>
        </w:trPr>
        <w:tc>
          <w:tcPr>
            <w:tcW w:w="5054" w:type="dxa"/>
          </w:tcPr>
          <w:p w14:paraId="2815D941" w14:textId="77777777" w:rsidR="000E2B08" w:rsidRPr="00A536F3" w:rsidRDefault="000E2B08" w:rsidP="00452C32">
            <w:pPr>
              <w:rPr>
                <w:rFonts w:cs="FrankRuehl"/>
                <w:sz w:val="26"/>
                <w:szCs w:val="26"/>
                <w:rtl/>
              </w:rPr>
            </w:pPr>
            <w:r w:rsidRPr="00A536F3">
              <w:rPr>
                <w:rFonts w:cs="FrankRuehl"/>
                <w:sz w:val="26"/>
                <w:szCs w:val="26"/>
                <w:rtl/>
              </w:rPr>
              <w:t>ת"פ</w:t>
            </w:r>
            <w:r w:rsidRPr="00A536F3">
              <w:rPr>
                <w:rFonts w:cs="FrankRuehl" w:hint="cs"/>
                <w:sz w:val="26"/>
                <w:szCs w:val="26"/>
                <w:rtl/>
              </w:rPr>
              <w:t xml:space="preserve"> </w:t>
            </w:r>
            <w:r w:rsidRPr="00A536F3">
              <w:rPr>
                <w:rFonts w:cs="FrankRuehl"/>
                <w:sz w:val="26"/>
                <w:szCs w:val="26"/>
                <w:rtl/>
              </w:rPr>
              <w:t>43694-08-17</w:t>
            </w:r>
            <w:r w:rsidRPr="00A536F3">
              <w:rPr>
                <w:rFonts w:cs="FrankRuehl" w:hint="cs"/>
                <w:sz w:val="26"/>
                <w:szCs w:val="26"/>
                <w:rtl/>
              </w:rPr>
              <w:t xml:space="preserve"> </w:t>
            </w:r>
            <w:r w:rsidRPr="00A536F3">
              <w:rPr>
                <w:rFonts w:cs="FrankRuehl"/>
                <w:sz w:val="26"/>
                <w:szCs w:val="26"/>
                <w:rtl/>
              </w:rPr>
              <w:t>מדינת ישראל נ' שטוב</w:t>
            </w:r>
          </w:p>
          <w:p w14:paraId="693C6901" w14:textId="77777777" w:rsidR="000E2B08" w:rsidRPr="00A536F3" w:rsidRDefault="000E2B08" w:rsidP="00452C32">
            <w:pPr>
              <w:pStyle w:val="a3"/>
              <w:rPr>
                <w:rFonts w:cs="FrankRuehl"/>
                <w:sz w:val="26"/>
                <w:szCs w:val="26"/>
                <w:rtl/>
              </w:rPr>
            </w:pPr>
          </w:p>
        </w:tc>
        <w:tc>
          <w:tcPr>
            <w:tcW w:w="3667" w:type="dxa"/>
          </w:tcPr>
          <w:p w14:paraId="4D9535C3" w14:textId="77777777" w:rsidR="000E2B08" w:rsidRPr="00A536F3" w:rsidRDefault="000E2B08" w:rsidP="00452C32">
            <w:pPr>
              <w:pStyle w:val="a3"/>
              <w:jc w:val="right"/>
              <w:rPr>
                <w:rFonts w:cs="FrankRuehl"/>
                <w:sz w:val="28"/>
                <w:szCs w:val="28"/>
                <w:rtl/>
              </w:rPr>
            </w:pPr>
          </w:p>
        </w:tc>
      </w:tr>
    </w:tbl>
    <w:p w14:paraId="54FB908A" w14:textId="77777777" w:rsidR="000E2B08" w:rsidRPr="00A536F3" w:rsidRDefault="000E2B08" w:rsidP="000E2B08">
      <w:pPr>
        <w:pStyle w:val="a3"/>
        <w:rPr>
          <w:rtl/>
        </w:rPr>
      </w:pPr>
      <w:r w:rsidRPr="00A536F3">
        <w:rPr>
          <w:rFonts w:hint="cs"/>
          <w:rtl/>
        </w:rPr>
        <w:t xml:space="preserve"> </w:t>
      </w:r>
    </w:p>
    <w:p w14:paraId="51E4D294" w14:textId="77777777" w:rsidR="000E2B08" w:rsidRPr="00A536F3" w:rsidRDefault="000E2B08" w:rsidP="000E2B08">
      <w:pPr>
        <w:rPr>
          <w:rFonts w:cs="FrankRuehl"/>
          <w:rtl/>
        </w:rPr>
      </w:pPr>
    </w:p>
    <w:p w14:paraId="526F4671" w14:textId="77777777" w:rsidR="000E2B08" w:rsidRPr="00A536F3" w:rsidRDefault="000E2B08" w:rsidP="000E2B08">
      <w:pPr>
        <w:rPr>
          <w:rFonts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E2B08" w:rsidRPr="00A536F3" w14:paraId="1D304450" w14:textId="77777777" w:rsidTr="000E2B08">
        <w:trPr>
          <w:trHeight w:val="295"/>
          <w:jc w:val="center"/>
        </w:trPr>
        <w:tc>
          <w:tcPr>
            <w:tcW w:w="923" w:type="dxa"/>
            <w:tcBorders>
              <w:top w:val="nil"/>
              <w:left w:val="nil"/>
              <w:bottom w:val="nil"/>
              <w:right w:val="nil"/>
            </w:tcBorders>
            <w:shd w:val="clear" w:color="auto" w:fill="auto"/>
          </w:tcPr>
          <w:p w14:paraId="11EE2C41" w14:textId="77777777" w:rsidR="000E2B08" w:rsidRPr="00A536F3" w:rsidRDefault="000E2B08" w:rsidP="000E2B08">
            <w:pPr>
              <w:jc w:val="both"/>
              <w:rPr>
                <w:rFonts w:ascii="Arial" w:hAnsi="Arial" w:cs="FrankRuehl"/>
                <w:sz w:val="26"/>
                <w:szCs w:val="26"/>
              </w:rPr>
            </w:pPr>
            <w:r w:rsidRPr="00A536F3">
              <w:rPr>
                <w:rFonts w:ascii="Arial" w:hAnsi="Arial" w:cs="FrankRuehl" w:hint="cs"/>
                <w:sz w:val="26"/>
                <w:szCs w:val="26"/>
                <w:rtl/>
              </w:rPr>
              <w:t>ב</w:t>
            </w:r>
            <w:r w:rsidRPr="00A536F3">
              <w:rPr>
                <w:rFonts w:ascii="Arial" w:hAnsi="Arial" w:cs="FrankRuehl"/>
                <w:sz w:val="26"/>
                <w:szCs w:val="26"/>
                <w:rtl/>
              </w:rPr>
              <w:t xml:space="preserve">פני </w:t>
            </w:r>
          </w:p>
        </w:tc>
        <w:tc>
          <w:tcPr>
            <w:tcW w:w="7897" w:type="dxa"/>
            <w:gridSpan w:val="2"/>
            <w:tcBorders>
              <w:top w:val="nil"/>
              <w:left w:val="nil"/>
              <w:bottom w:val="nil"/>
              <w:right w:val="nil"/>
            </w:tcBorders>
            <w:shd w:val="clear" w:color="auto" w:fill="auto"/>
          </w:tcPr>
          <w:p w14:paraId="79246CDC" w14:textId="77777777" w:rsidR="000E2B08" w:rsidRPr="00A536F3" w:rsidRDefault="000E2B08" w:rsidP="00452C32">
            <w:pPr>
              <w:rPr>
                <w:rFonts w:ascii="Arial" w:hAnsi="Arial" w:cs="FrankRuehl"/>
                <w:b/>
                <w:bCs/>
                <w:sz w:val="26"/>
                <w:szCs w:val="26"/>
                <w:rtl/>
              </w:rPr>
            </w:pPr>
            <w:r w:rsidRPr="00A536F3">
              <w:rPr>
                <w:rFonts w:ascii="Arial" w:hAnsi="Arial" w:cs="FrankRuehl" w:hint="cs"/>
                <w:b/>
                <w:bCs/>
                <w:sz w:val="26"/>
                <w:szCs w:val="26"/>
                <w:rtl/>
              </w:rPr>
              <w:t>כבוד ה</w:t>
            </w:r>
            <w:r w:rsidRPr="00A536F3">
              <w:rPr>
                <w:rFonts w:ascii="Arial" w:hAnsi="Arial" w:cs="FrankRuehl"/>
                <w:b/>
                <w:bCs/>
                <w:sz w:val="26"/>
                <w:szCs w:val="26"/>
                <w:rtl/>
              </w:rPr>
              <w:t>שופט</w:t>
            </w:r>
            <w:r w:rsidRPr="00A536F3">
              <w:rPr>
                <w:rFonts w:ascii="Arial" w:hAnsi="Arial" w:cs="FrankRuehl" w:hint="cs"/>
                <w:b/>
                <w:bCs/>
                <w:sz w:val="26"/>
                <w:szCs w:val="26"/>
                <w:rtl/>
              </w:rPr>
              <w:t xml:space="preserve">  </w:t>
            </w:r>
            <w:r w:rsidRPr="00A536F3">
              <w:rPr>
                <w:rFonts w:ascii="Arial" w:hAnsi="Arial" w:cs="FrankRuehl"/>
                <w:b/>
                <w:bCs/>
                <w:sz w:val="26"/>
                <w:szCs w:val="26"/>
                <w:rtl/>
              </w:rPr>
              <w:t>דוד שאול גבאי ריכטר</w:t>
            </w:r>
          </w:p>
          <w:p w14:paraId="05713D6B" w14:textId="77777777" w:rsidR="000E2B08" w:rsidRPr="00A536F3" w:rsidRDefault="000E2B08" w:rsidP="00452C32">
            <w:pPr>
              <w:rPr>
                <w:rFonts w:cs="FrankRuehl"/>
                <w:sz w:val="26"/>
                <w:szCs w:val="26"/>
                <w:rtl/>
              </w:rPr>
            </w:pPr>
          </w:p>
          <w:p w14:paraId="644DF155" w14:textId="77777777" w:rsidR="000E2B08" w:rsidRPr="00A536F3" w:rsidRDefault="000E2B08" w:rsidP="000E2B08">
            <w:pPr>
              <w:jc w:val="both"/>
              <w:rPr>
                <w:rFonts w:ascii="Arial" w:hAnsi="Arial" w:cs="FrankRuehl"/>
                <w:sz w:val="26"/>
                <w:szCs w:val="26"/>
              </w:rPr>
            </w:pPr>
          </w:p>
        </w:tc>
      </w:tr>
      <w:tr w:rsidR="000E2B08" w:rsidRPr="00A536F3" w14:paraId="294E7582" w14:textId="77777777" w:rsidTr="000E2B08">
        <w:trPr>
          <w:trHeight w:val="355"/>
          <w:jc w:val="center"/>
        </w:trPr>
        <w:tc>
          <w:tcPr>
            <w:tcW w:w="923" w:type="dxa"/>
            <w:tcBorders>
              <w:top w:val="nil"/>
              <w:left w:val="nil"/>
              <w:bottom w:val="nil"/>
              <w:right w:val="nil"/>
            </w:tcBorders>
            <w:shd w:val="clear" w:color="auto" w:fill="auto"/>
          </w:tcPr>
          <w:p w14:paraId="5FB98342" w14:textId="77777777" w:rsidR="000E2B08" w:rsidRPr="00A536F3" w:rsidRDefault="000E2B08" w:rsidP="000E2B08">
            <w:pPr>
              <w:jc w:val="both"/>
              <w:rPr>
                <w:rFonts w:ascii="Arial" w:hAnsi="Arial" w:cs="FrankRuehl"/>
                <w:sz w:val="28"/>
                <w:szCs w:val="28"/>
              </w:rPr>
            </w:pPr>
            <w:bookmarkStart w:id="2" w:name="FirstAppellant"/>
            <w:r w:rsidRPr="00A536F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AED5EC7" w14:textId="77777777" w:rsidR="000E2B08" w:rsidRPr="00A536F3" w:rsidRDefault="000E2B08" w:rsidP="00452C32">
            <w:pPr>
              <w:rPr>
                <w:rFonts w:cs="FrankRuehl"/>
                <w:b/>
                <w:bCs/>
              </w:rPr>
            </w:pPr>
            <w:r w:rsidRPr="00A536F3">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2F59F666" w14:textId="77777777" w:rsidR="000E2B08" w:rsidRPr="00A536F3" w:rsidRDefault="000E2B08" w:rsidP="000E2B08">
            <w:pPr>
              <w:jc w:val="both"/>
              <w:rPr>
                <w:rFonts w:ascii="Arial" w:hAnsi="Arial" w:cs="FrankRuehl"/>
                <w:sz w:val="28"/>
                <w:szCs w:val="28"/>
              </w:rPr>
            </w:pPr>
          </w:p>
        </w:tc>
      </w:tr>
      <w:bookmarkEnd w:id="2"/>
      <w:tr w:rsidR="000E2B08" w:rsidRPr="00A536F3" w14:paraId="06E7CC92" w14:textId="77777777" w:rsidTr="000E2B08">
        <w:trPr>
          <w:trHeight w:val="355"/>
          <w:jc w:val="center"/>
        </w:trPr>
        <w:tc>
          <w:tcPr>
            <w:tcW w:w="923" w:type="dxa"/>
            <w:tcBorders>
              <w:top w:val="nil"/>
              <w:left w:val="nil"/>
              <w:bottom w:val="nil"/>
              <w:right w:val="nil"/>
            </w:tcBorders>
            <w:shd w:val="clear" w:color="auto" w:fill="auto"/>
          </w:tcPr>
          <w:p w14:paraId="41FEB685" w14:textId="77777777" w:rsidR="000E2B08" w:rsidRPr="00A536F3" w:rsidRDefault="000E2B08" w:rsidP="000E2B0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3ACF24B" w14:textId="77777777" w:rsidR="000E2B08" w:rsidRPr="00A536F3" w:rsidRDefault="000E2B08" w:rsidP="000E2B08">
            <w:pPr>
              <w:jc w:val="both"/>
              <w:rPr>
                <w:rFonts w:cs="FrankRuehl"/>
                <w:b/>
                <w:bCs/>
                <w:rtl/>
              </w:rPr>
            </w:pPr>
            <w:r w:rsidRPr="00A536F3">
              <w:rPr>
                <w:rFonts w:cs="FrankRuehl" w:hint="cs"/>
                <w:b/>
                <w:bCs/>
                <w:rtl/>
              </w:rPr>
              <w:t>ע"י תביעות ירושלים</w:t>
            </w:r>
          </w:p>
        </w:tc>
        <w:tc>
          <w:tcPr>
            <w:tcW w:w="3771" w:type="dxa"/>
            <w:tcBorders>
              <w:top w:val="nil"/>
              <w:left w:val="nil"/>
              <w:bottom w:val="nil"/>
              <w:right w:val="nil"/>
            </w:tcBorders>
            <w:shd w:val="clear" w:color="auto" w:fill="auto"/>
          </w:tcPr>
          <w:p w14:paraId="7CD80940" w14:textId="77777777" w:rsidR="000E2B08" w:rsidRPr="00A536F3" w:rsidRDefault="000E2B08" w:rsidP="000E2B08">
            <w:pPr>
              <w:jc w:val="right"/>
              <w:rPr>
                <w:rFonts w:ascii="Arial" w:hAnsi="Arial" w:cs="FrankRuehl"/>
                <w:sz w:val="28"/>
                <w:szCs w:val="28"/>
                <w:rtl/>
              </w:rPr>
            </w:pPr>
            <w:r w:rsidRPr="00A536F3">
              <w:rPr>
                <w:rFonts w:ascii="Arial" w:hAnsi="Arial" w:cs="FrankRuehl" w:hint="cs"/>
                <w:sz w:val="28"/>
                <w:szCs w:val="28"/>
                <w:rtl/>
              </w:rPr>
              <w:t>ה</w:t>
            </w:r>
            <w:r w:rsidRPr="00A536F3">
              <w:rPr>
                <w:rFonts w:ascii="Arial" w:hAnsi="Arial" w:cs="FrankRuehl"/>
                <w:sz w:val="28"/>
                <w:szCs w:val="28"/>
                <w:rtl/>
              </w:rPr>
              <w:t>מאשימה</w:t>
            </w:r>
          </w:p>
        </w:tc>
      </w:tr>
      <w:tr w:rsidR="000E2B08" w:rsidRPr="00A536F3" w14:paraId="64B1AB99" w14:textId="77777777" w:rsidTr="000E2B08">
        <w:trPr>
          <w:trHeight w:val="355"/>
          <w:jc w:val="center"/>
        </w:trPr>
        <w:tc>
          <w:tcPr>
            <w:tcW w:w="923" w:type="dxa"/>
            <w:tcBorders>
              <w:top w:val="nil"/>
              <w:left w:val="nil"/>
              <w:bottom w:val="nil"/>
              <w:right w:val="nil"/>
            </w:tcBorders>
            <w:shd w:val="clear" w:color="auto" w:fill="auto"/>
          </w:tcPr>
          <w:p w14:paraId="059FBB4F" w14:textId="77777777" w:rsidR="000E2B08" w:rsidRPr="00A536F3" w:rsidRDefault="000E2B08" w:rsidP="000E2B0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BE17700" w14:textId="77777777" w:rsidR="000E2B08" w:rsidRPr="00A536F3" w:rsidRDefault="000E2B08" w:rsidP="000E2B08">
            <w:pPr>
              <w:jc w:val="center"/>
              <w:rPr>
                <w:rFonts w:ascii="Arial" w:hAnsi="Arial" w:cs="FrankRuehl"/>
                <w:b/>
                <w:bCs/>
                <w:sz w:val="28"/>
                <w:szCs w:val="28"/>
                <w:rtl/>
              </w:rPr>
            </w:pPr>
          </w:p>
          <w:p w14:paraId="739F28C4" w14:textId="77777777" w:rsidR="000E2B08" w:rsidRPr="00A536F3" w:rsidRDefault="000E2B08" w:rsidP="000E2B08">
            <w:pPr>
              <w:jc w:val="center"/>
              <w:rPr>
                <w:rFonts w:ascii="Arial" w:hAnsi="Arial" w:cs="FrankRuehl"/>
                <w:b/>
                <w:bCs/>
                <w:sz w:val="28"/>
                <w:szCs w:val="28"/>
                <w:rtl/>
              </w:rPr>
            </w:pPr>
            <w:r w:rsidRPr="00A536F3">
              <w:rPr>
                <w:rFonts w:ascii="Arial" w:hAnsi="Arial" w:cs="FrankRuehl"/>
                <w:b/>
                <w:bCs/>
                <w:sz w:val="28"/>
                <w:szCs w:val="28"/>
                <w:rtl/>
              </w:rPr>
              <w:t>נגד</w:t>
            </w:r>
          </w:p>
          <w:p w14:paraId="3BEBEB61" w14:textId="77777777" w:rsidR="000E2B08" w:rsidRPr="00A536F3" w:rsidRDefault="000E2B08" w:rsidP="000E2B08">
            <w:pPr>
              <w:jc w:val="both"/>
              <w:rPr>
                <w:rFonts w:ascii="Arial" w:hAnsi="Arial" w:cs="FrankRuehl"/>
                <w:sz w:val="28"/>
                <w:szCs w:val="28"/>
              </w:rPr>
            </w:pPr>
          </w:p>
        </w:tc>
      </w:tr>
      <w:tr w:rsidR="000E2B08" w:rsidRPr="00A536F3" w14:paraId="428D6A54" w14:textId="77777777" w:rsidTr="000E2B08">
        <w:trPr>
          <w:trHeight w:val="355"/>
          <w:jc w:val="center"/>
        </w:trPr>
        <w:tc>
          <w:tcPr>
            <w:tcW w:w="923" w:type="dxa"/>
            <w:tcBorders>
              <w:top w:val="nil"/>
              <w:left w:val="nil"/>
              <w:bottom w:val="nil"/>
              <w:right w:val="nil"/>
            </w:tcBorders>
            <w:shd w:val="clear" w:color="auto" w:fill="auto"/>
          </w:tcPr>
          <w:p w14:paraId="0F10F1BD" w14:textId="77777777" w:rsidR="000E2B08" w:rsidRPr="00A536F3" w:rsidRDefault="000E2B08" w:rsidP="00452C32">
            <w:pPr>
              <w:rPr>
                <w:rFonts w:ascii="Arial" w:hAnsi="Arial" w:cs="FrankRuehl"/>
                <w:sz w:val="28"/>
                <w:szCs w:val="28"/>
                <w:rtl/>
              </w:rPr>
            </w:pPr>
          </w:p>
        </w:tc>
        <w:tc>
          <w:tcPr>
            <w:tcW w:w="4126" w:type="dxa"/>
            <w:tcBorders>
              <w:top w:val="nil"/>
              <w:left w:val="nil"/>
              <w:bottom w:val="nil"/>
              <w:right w:val="nil"/>
            </w:tcBorders>
            <w:shd w:val="clear" w:color="auto" w:fill="auto"/>
          </w:tcPr>
          <w:p w14:paraId="18169B61" w14:textId="77777777" w:rsidR="000E2B08" w:rsidRPr="00A536F3" w:rsidRDefault="000E2B08" w:rsidP="000E2B08">
            <w:pPr>
              <w:spacing w:line="360" w:lineRule="auto"/>
              <w:rPr>
                <w:rFonts w:cs="FrankRuehl"/>
                <w:b/>
                <w:bCs/>
                <w:rtl/>
              </w:rPr>
            </w:pPr>
            <w:r w:rsidRPr="00A536F3">
              <w:rPr>
                <w:rFonts w:ascii="Arial" w:hAnsi="Arial" w:cs="FrankRuehl"/>
                <w:b/>
                <w:bCs/>
                <w:sz w:val="28"/>
                <w:szCs w:val="28"/>
                <w:rtl/>
              </w:rPr>
              <w:t>אנדריי שטוב</w:t>
            </w:r>
            <w:r w:rsidRPr="00A536F3">
              <w:rPr>
                <w:rFonts w:ascii="Arial" w:hAnsi="Arial" w:cs="FrankRuehl" w:hint="cs"/>
                <w:b/>
                <w:bCs/>
                <w:sz w:val="28"/>
                <w:szCs w:val="28"/>
                <w:rtl/>
              </w:rPr>
              <w:t xml:space="preserve">, ת"ז </w:t>
            </w:r>
            <w:r w:rsidR="00A536F3">
              <w:rPr>
                <w:rFonts w:ascii="Arial" w:hAnsi="Arial" w:cs="FrankRuehl"/>
                <w:b/>
                <w:bCs/>
                <w:sz w:val="28"/>
                <w:szCs w:val="28"/>
              </w:rPr>
              <w:t>xxxxxxxxx</w:t>
            </w:r>
            <w:r w:rsidRPr="00A536F3">
              <w:rPr>
                <w:rFonts w:ascii="Arial" w:hAnsi="Arial" w:cs="FrankRuehl"/>
                <w:b/>
                <w:bCs/>
                <w:sz w:val="28"/>
                <w:szCs w:val="28"/>
                <w:rtl/>
              </w:rPr>
              <w:br/>
            </w:r>
            <w:r w:rsidRPr="00A536F3">
              <w:rPr>
                <w:rFonts w:cs="FrankRuehl" w:hint="cs"/>
                <w:b/>
                <w:bCs/>
                <w:rtl/>
              </w:rPr>
              <w:t>ע"י ב"כ עו"ד דוד הלוי</w:t>
            </w:r>
          </w:p>
        </w:tc>
        <w:tc>
          <w:tcPr>
            <w:tcW w:w="3771" w:type="dxa"/>
            <w:tcBorders>
              <w:top w:val="nil"/>
              <w:left w:val="nil"/>
              <w:bottom w:val="nil"/>
              <w:right w:val="nil"/>
            </w:tcBorders>
            <w:shd w:val="clear" w:color="auto" w:fill="auto"/>
          </w:tcPr>
          <w:p w14:paraId="3653A929" w14:textId="77777777" w:rsidR="000E2B08" w:rsidRPr="00A536F3" w:rsidRDefault="000E2B08" w:rsidP="000E2B08">
            <w:pPr>
              <w:jc w:val="right"/>
              <w:rPr>
                <w:rFonts w:ascii="Arial" w:hAnsi="Arial" w:cs="FrankRuehl"/>
                <w:sz w:val="28"/>
                <w:szCs w:val="28"/>
              </w:rPr>
            </w:pPr>
          </w:p>
        </w:tc>
      </w:tr>
      <w:tr w:rsidR="000E2B08" w:rsidRPr="00A536F3" w14:paraId="15AD67A8" w14:textId="77777777" w:rsidTr="000E2B08">
        <w:trPr>
          <w:trHeight w:val="355"/>
          <w:jc w:val="center"/>
        </w:trPr>
        <w:tc>
          <w:tcPr>
            <w:tcW w:w="923" w:type="dxa"/>
            <w:tcBorders>
              <w:top w:val="nil"/>
              <w:left w:val="nil"/>
              <w:bottom w:val="nil"/>
              <w:right w:val="nil"/>
            </w:tcBorders>
            <w:shd w:val="clear" w:color="auto" w:fill="auto"/>
          </w:tcPr>
          <w:p w14:paraId="4634E997" w14:textId="77777777" w:rsidR="000E2B08" w:rsidRPr="00A536F3" w:rsidRDefault="000E2B08" w:rsidP="000E2B0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6F20DDC" w14:textId="77777777" w:rsidR="000E2B08" w:rsidRPr="00A536F3" w:rsidRDefault="000E2B08" w:rsidP="000E2B08">
            <w:pPr>
              <w:jc w:val="both"/>
              <w:rPr>
                <w:rFonts w:cs="FrankRuehl"/>
                <w:rtl/>
              </w:rPr>
            </w:pPr>
          </w:p>
        </w:tc>
        <w:tc>
          <w:tcPr>
            <w:tcW w:w="3771" w:type="dxa"/>
            <w:tcBorders>
              <w:top w:val="nil"/>
              <w:left w:val="nil"/>
              <w:bottom w:val="nil"/>
              <w:right w:val="nil"/>
            </w:tcBorders>
            <w:shd w:val="clear" w:color="auto" w:fill="auto"/>
          </w:tcPr>
          <w:p w14:paraId="3F0AA01E" w14:textId="77777777" w:rsidR="000E2B08" w:rsidRPr="00A536F3" w:rsidRDefault="000E2B08" w:rsidP="000E2B08">
            <w:pPr>
              <w:jc w:val="right"/>
              <w:rPr>
                <w:rFonts w:ascii="Arial" w:hAnsi="Arial" w:cs="FrankRuehl"/>
                <w:sz w:val="28"/>
                <w:szCs w:val="28"/>
              </w:rPr>
            </w:pPr>
            <w:r w:rsidRPr="00A536F3">
              <w:rPr>
                <w:rFonts w:ascii="Arial" w:hAnsi="Arial" w:cs="FrankRuehl" w:hint="cs"/>
                <w:sz w:val="28"/>
                <w:szCs w:val="28"/>
                <w:rtl/>
              </w:rPr>
              <w:t>ה</w:t>
            </w:r>
            <w:r w:rsidRPr="00A536F3">
              <w:rPr>
                <w:rFonts w:ascii="Arial" w:hAnsi="Arial" w:cs="FrankRuehl"/>
                <w:sz w:val="28"/>
                <w:szCs w:val="28"/>
                <w:rtl/>
              </w:rPr>
              <w:t>נאשם</w:t>
            </w:r>
          </w:p>
        </w:tc>
      </w:tr>
    </w:tbl>
    <w:p w14:paraId="386E59D2" w14:textId="77777777" w:rsidR="00D84D99" w:rsidRDefault="00D84D99" w:rsidP="000E2B08">
      <w:pPr>
        <w:rPr>
          <w:rFonts w:cs="FrankRuehl"/>
          <w:rtl/>
        </w:rPr>
      </w:pPr>
      <w:bookmarkStart w:id="3" w:name="LawTable"/>
      <w:bookmarkEnd w:id="3"/>
    </w:p>
    <w:p w14:paraId="7C789332" w14:textId="77777777" w:rsidR="00D84D99" w:rsidRPr="00D84D99" w:rsidRDefault="00D84D99" w:rsidP="00D84D99">
      <w:pPr>
        <w:spacing w:after="120" w:line="240" w:lineRule="exact"/>
        <w:ind w:left="283" w:hanging="283"/>
        <w:jc w:val="both"/>
        <w:rPr>
          <w:rFonts w:ascii="FrankRuehl" w:hAnsi="FrankRuehl" w:cs="FrankRuehl"/>
          <w:rtl/>
        </w:rPr>
      </w:pPr>
    </w:p>
    <w:p w14:paraId="38B3D110" w14:textId="77777777" w:rsidR="00D84D99" w:rsidRPr="00D84D99" w:rsidRDefault="00D84D99" w:rsidP="00D84D99">
      <w:pPr>
        <w:spacing w:after="120" w:line="240" w:lineRule="exact"/>
        <w:ind w:left="283" w:hanging="283"/>
        <w:jc w:val="both"/>
        <w:rPr>
          <w:rFonts w:ascii="FrankRuehl" w:hAnsi="FrankRuehl" w:cs="FrankRuehl"/>
          <w:rtl/>
        </w:rPr>
      </w:pPr>
      <w:r w:rsidRPr="00D84D99">
        <w:rPr>
          <w:rFonts w:ascii="FrankRuehl" w:hAnsi="FrankRuehl" w:cs="FrankRuehl"/>
          <w:rtl/>
        </w:rPr>
        <w:t xml:space="preserve">חקיקה שאוזכרה: </w:t>
      </w:r>
    </w:p>
    <w:p w14:paraId="65681BDE" w14:textId="77777777" w:rsidR="00D84D99" w:rsidRPr="00D84D99" w:rsidRDefault="00D84D99" w:rsidP="00D84D99">
      <w:pPr>
        <w:spacing w:after="120" w:line="240" w:lineRule="exact"/>
        <w:ind w:left="283" w:hanging="283"/>
        <w:jc w:val="both"/>
        <w:rPr>
          <w:rFonts w:ascii="FrankRuehl" w:hAnsi="FrankRuehl" w:cs="FrankRuehl"/>
          <w:rtl/>
        </w:rPr>
      </w:pPr>
      <w:hyperlink r:id="rId7" w:history="1">
        <w:r w:rsidRPr="00D84D99">
          <w:rPr>
            <w:rFonts w:ascii="FrankRuehl" w:hAnsi="FrankRuehl" w:cs="FrankRuehl"/>
            <w:color w:val="0000FF"/>
            <w:u w:val="single"/>
            <w:rtl/>
          </w:rPr>
          <w:t>פקודת הסמים המסוכנים [נוסח חדש], תשל"ג-1973</w:t>
        </w:r>
      </w:hyperlink>
      <w:r w:rsidRPr="00D84D99">
        <w:rPr>
          <w:rFonts w:ascii="FrankRuehl" w:hAnsi="FrankRuehl" w:cs="FrankRuehl"/>
          <w:rtl/>
        </w:rPr>
        <w:t xml:space="preserve">: סע'  </w:t>
      </w:r>
      <w:hyperlink r:id="rId8" w:history="1">
        <w:r w:rsidRPr="00D84D99">
          <w:rPr>
            <w:rFonts w:ascii="FrankRuehl" w:hAnsi="FrankRuehl" w:cs="FrankRuehl"/>
            <w:color w:val="0000FF"/>
            <w:u w:val="single"/>
            <w:rtl/>
          </w:rPr>
          <w:t>7א'</w:t>
        </w:r>
      </w:hyperlink>
      <w:r w:rsidRPr="00D84D99">
        <w:rPr>
          <w:rFonts w:ascii="FrankRuehl" w:hAnsi="FrankRuehl" w:cs="FrankRuehl"/>
          <w:rtl/>
        </w:rPr>
        <w:t xml:space="preserve">, </w:t>
      </w:r>
      <w:hyperlink r:id="rId9" w:history="1">
        <w:r w:rsidRPr="00D84D99">
          <w:rPr>
            <w:rFonts w:ascii="FrankRuehl" w:hAnsi="FrankRuehl" w:cs="FrankRuehl"/>
            <w:color w:val="0000FF"/>
            <w:u w:val="single"/>
            <w:rtl/>
          </w:rPr>
          <w:t>7ג'</w:t>
        </w:r>
      </w:hyperlink>
      <w:r w:rsidRPr="00D84D99">
        <w:rPr>
          <w:rFonts w:ascii="FrankRuehl" w:hAnsi="FrankRuehl" w:cs="FrankRuehl"/>
          <w:rtl/>
        </w:rPr>
        <w:t xml:space="preserve">, </w:t>
      </w:r>
      <w:hyperlink r:id="rId10" w:history="1">
        <w:r w:rsidRPr="00D84D99">
          <w:rPr>
            <w:rFonts w:ascii="FrankRuehl" w:hAnsi="FrankRuehl" w:cs="FrankRuehl"/>
            <w:color w:val="0000FF"/>
            <w:u w:val="single"/>
            <w:rtl/>
          </w:rPr>
          <w:t>13</w:t>
        </w:r>
      </w:hyperlink>
      <w:r w:rsidRPr="00D84D99">
        <w:rPr>
          <w:rFonts w:ascii="FrankRuehl" w:hAnsi="FrankRuehl" w:cs="FrankRuehl"/>
          <w:rtl/>
        </w:rPr>
        <w:t xml:space="preserve">, </w:t>
      </w:r>
      <w:hyperlink r:id="rId11" w:history="1">
        <w:r w:rsidRPr="00D84D99">
          <w:rPr>
            <w:rFonts w:ascii="FrankRuehl" w:hAnsi="FrankRuehl" w:cs="FrankRuehl"/>
            <w:color w:val="0000FF"/>
            <w:u w:val="single"/>
            <w:rtl/>
          </w:rPr>
          <w:t>19א</w:t>
        </w:r>
      </w:hyperlink>
    </w:p>
    <w:p w14:paraId="6601F14F" w14:textId="77777777" w:rsidR="00D84D99" w:rsidRPr="00D84D99" w:rsidRDefault="00D84D99" w:rsidP="00D84D99">
      <w:pPr>
        <w:spacing w:after="120" w:line="240" w:lineRule="exact"/>
        <w:ind w:left="283" w:hanging="283"/>
        <w:jc w:val="both"/>
        <w:rPr>
          <w:rFonts w:ascii="FrankRuehl" w:hAnsi="FrankRuehl" w:cs="FrankRuehl"/>
          <w:rtl/>
        </w:rPr>
      </w:pPr>
      <w:hyperlink r:id="rId12" w:history="1">
        <w:r w:rsidRPr="00D84D99">
          <w:rPr>
            <w:rFonts w:ascii="FrankRuehl" w:hAnsi="FrankRuehl" w:cs="FrankRuehl"/>
            <w:color w:val="0000FF"/>
            <w:u w:val="single"/>
            <w:rtl/>
          </w:rPr>
          <w:t>חוק העונשין, תשל"ז-1977</w:t>
        </w:r>
      </w:hyperlink>
      <w:r w:rsidRPr="00D84D99">
        <w:rPr>
          <w:rFonts w:ascii="FrankRuehl" w:hAnsi="FrankRuehl" w:cs="FrankRuehl"/>
          <w:rtl/>
        </w:rPr>
        <w:t xml:space="preserve">: סע'  </w:t>
      </w:r>
      <w:hyperlink r:id="rId13" w:history="1">
        <w:r w:rsidRPr="00D84D99">
          <w:rPr>
            <w:rFonts w:ascii="FrankRuehl" w:hAnsi="FrankRuehl" w:cs="FrankRuehl"/>
            <w:color w:val="0000FF"/>
            <w:u w:val="single"/>
            <w:rtl/>
          </w:rPr>
          <w:t>40ד'</w:t>
        </w:r>
      </w:hyperlink>
      <w:r w:rsidRPr="00D84D99">
        <w:rPr>
          <w:rFonts w:ascii="FrankRuehl" w:hAnsi="FrankRuehl" w:cs="FrankRuehl"/>
          <w:rtl/>
        </w:rPr>
        <w:t xml:space="preserve">, </w:t>
      </w:r>
      <w:hyperlink r:id="rId14" w:history="1">
        <w:r w:rsidRPr="00D84D99">
          <w:rPr>
            <w:rFonts w:ascii="FrankRuehl" w:hAnsi="FrankRuehl" w:cs="FrankRuehl"/>
            <w:color w:val="0000FF"/>
            <w:u w:val="single"/>
            <w:rtl/>
          </w:rPr>
          <w:t>40ט'</w:t>
        </w:r>
      </w:hyperlink>
      <w:r w:rsidRPr="00D84D99">
        <w:rPr>
          <w:rFonts w:ascii="FrankRuehl" w:hAnsi="FrankRuehl" w:cs="FrankRuehl"/>
          <w:rtl/>
        </w:rPr>
        <w:t xml:space="preserve">, </w:t>
      </w:r>
      <w:hyperlink r:id="rId15" w:history="1">
        <w:r w:rsidRPr="00D84D99">
          <w:rPr>
            <w:rFonts w:ascii="FrankRuehl" w:hAnsi="FrankRuehl" w:cs="FrankRuehl"/>
            <w:color w:val="0000FF"/>
            <w:u w:val="single"/>
            <w:rtl/>
          </w:rPr>
          <w:t>40יא</w:t>
        </w:r>
      </w:hyperlink>
    </w:p>
    <w:p w14:paraId="73933F7C" w14:textId="77777777" w:rsidR="00D84D99" w:rsidRPr="00D84D99" w:rsidRDefault="00D84D99" w:rsidP="00D84D99">
      <w:pPr>
        <w:spacing w:after="120" w:line="240" w:lineRule="exact"/>
        <w:ind w:left="283" w:hanging="283"/>
        <w:jc w:val="both"/>
        <w:rPr>
          <w:rFonts w:ascii="FrankRuehl" w:hAnsi="FrankRuehl" w:cs="FrankRuehl"/>
          <w:rtl/>
        </w:rPr>
      </w:pPr>
      <w:hyperlink r:id="rId16" w:history="1">
        <w:r w:rsidRPr="00D84D99">
          <w:rPr>
            <w:rFonts w:ascii="FrankRuehl" w:hAnsi="FrankRuehl" w:cs="FrankRuehl"/>
            <w:color w:val="0000FF"/>
            <w:u w:val="single"/>
            <w:rtl/>
          </w:rPr>
          <w:t>פקודת המבחן [נוסח חדש], תשכ"ט-1969</w:t>
        </w:r>
      </w:hyperlink>
    </w:p>
    <w:p w14:paraId="72F76570" w14:textId="77777777" w:rsidR="00D84D99" w:rsidRPr="00D84D99" w:rsidRDefault="00D84D99" w:rsidP="00D84D99">
      <w:pPr>
        <w:spacing w:after="120" w:line="240" w:lineRule="exact"/>
        <w:ind w:left="283" w:hanging="283"/>
        <w:jc w:val="both"/>
        <w:rPr>
          <w:rFonts w:ascii="FrankRuehl" w:hAnsi="FrankRuehl" w:cs="FrankRuehl"/>
          <w:rtl/>
        </w:rPr>
      </w:pPr>
    </w:p>
    <w:p w14:paraId="17FB8163" w14:textId="77777777" w:rsidR="000E2B08" w:rsidRPr="00A536F3" w:rsidRDefault="000E2B08" w:rsidP="000E2B08">
      <w:pPr>
        <w:rPr>
          <w:rFonts w:cs="FrankRueh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2B08" w:rsidRPr="00A73FE7" w14:paraId="24527B39" w14:textId="77777777" w:rsidTr="000E2B08">
        <w:trPr>
          <w:trHeight w:val="355"/>
          <w:jc w:val="center"/>
        </w:trPr>
        <w:tc>
          <w:tcPr>
            <w:tcW w:w="8820" w:type="dxa"/>
            <w:tcBorders>
              <w:top w:val="nil"/>
              <w:left w:val="nil"/>
              <w:bottom w:val="nil"/>
              <w:right w:val="nil"/>
            </w:tcBorders>
            <w:shd w:val="clear" w:color="auto" w:fill="auto"/>
          </w:tcPr>
          <w:p w14:paraId="269F64A5" w14:textId="77777777" w:rsidR="00A536F3" w:rsidRPr="00A536F3" w:rsidRDefault="00A536F3" w:rsidP="00A536F3">
            <w:pPr>
              <w:jc w:val="center"/>
              <w:rPr>
                <w:rFonts w:ascii="Arial" w:hAnsi="Arial" w:cs="FrankRuehl"/>
                <w:b/>
                <w:bCs/>
                <w:sz w:val="32"/>
                <w:szCs w:val="32"/>
                <w:u w:val="single"/>
                <w:rtl/>
              </w:rPr>
            </w:pPr>
            <w:bookmarkStart w:id="5" w:name="PsakDin" w:colFirst="0" w:colLast="0"/>
            <w:bookmarkEnd w:id="0"/>
            <w:bookmarkEnd w:id="1"/>
            <w:r w:rsidRPr="00A536F3">
              <w:rPr>
                <w:rFonts w:ascii="Arial" w:hAnsi="Arial" w:cs="FrankRuehl"/>
                <w:b/>
                <w:bCs/>
                <w:sz w:val="32"/>
                <w:szCs w:val="32"/>
                <w:u w:val="single"/>
                <w:rtl/>
              </w:rPr>
              <w:t>גזר דין</w:t>
            </w:r>
          </w:p>
          <w:p w14:paraId="4BE4D1D3" w14:textId="77777777" w:rsidR="000E2B08" w:rsidRPr="00A536F3" w:rsidRDefault="000E2B08" w:rsidP="00A536F3">
            <w:pPr>
              <w:jc w:val="center"/>
              <w:rPr>
                <w:rFonts w:ascii="Arial" w:hAnsi="Arial" w:cs="FrankRuehl"/>
                <w:bCs/>
                <w:sz w:val="32"/>
                <w:szCs w:val="32"/>
                <w:u w:val="single"/>
                <w:rtl/>
              </w:rPr>
            </w:pPr>
          </w:p>
        </w:tc>
      </w:tr>
      <w:bookmarkEnd w:id="5"/>
    </w:tbl>
    <w:p w14:paraId="0B4DFEF2" w14:textId="77777777" w:rsidR="000E2B08" w:rsidRPr="00A73FE7" w:rsidRDefault="000E2B08" w:rsidP="000E2B08">
      <w:pPr>
        <w:rPr>
          <w:rFonts w:ascii="Arial" w:hAnsi="Arial" w:cs="FrankRuehl"/>
          <w:rtl/>
        </w:rPr>
      </w:pPr>
    </w:p>
    <w:p w14:paraId="4A3A3718" w14:textId="77777777" w:rsidR="000E2B08" w:rsidRPr="00A73FE7" w:rsidRDefault="000E2B08" w:rsidP="000E2B08">
      <w:pPr>
        <w:rPr>
          <w:rFonts w:cs="FrankRuehl"/>
          <w:rtl/>
        </w:rPr>
      </w:pPr>
    </w:p>
    <w:p w14:paraId="366081DD" w14:textId="77777777" w:rsidR="000E2B08" w:rsidRDefault="000E2B08" w:rsidP="000E2B08">
      <w:pPr>
        <w:spacing w:line="360" w:lineRule="auto"/>
        <w:rPr>
          <w:rFonts w:cs="FrankRuehl"/>
          <w:b/>
          <w:bCs/>
          <w:u w:val="single"/>
        </w:rPr>
      </w:pPr>
      <w:r>
        <w:rPr>
          <w:rFonts w:cs="FrankRuehl" w:hint="cs"/>
          <w:b/>
          <w:bCs/>
          <w:u w:val="single"/>
          <w:rtl/>
        </w:rPr>
        <w:t>כתב האישום</w:t>
      </w:r>
    </w:p>
    <w:p w14:paraId="2F62D593" w14:textId="77777777" w:rsidR="000E2B08" w:rsidRPr="000E2B08" w:rsidRDefault="000E2B08" w:rsidP="000E2B08">
      <w:pPr>
        <w:spacing w:after="160" w:line="360" w:lineRule="auto"/>
        <w:jc w:val="both"/>
        <w:rPr>
          <w:rFonts w:ascii="Calibri" w:hAnsi="Calibri" w:cs="FrankRuehl"/>
          <w:rtl/>
        </w:rPr>
      </w:pPr>
      <w:bookmarkStart w:id="6" w:name="ABSTRACT_START"/>
      <w:bookmarkEnd w:id="6"/>
      <w:r w:rsidRPr="000E2B08">
        <w:rPr>
          <w:rFonts w:ascii="Calibri" w:hAnsi="Calibri" w:cs="FrankRuehl" w:hint="cs"/>
          <w:rtl/>
        </w:rPr>
        <w:t xml:space="preserve">הנאשם הורשע על פי הודאתו בעבירות ובעובדות המנויות בכתב האישום המתוקן </w:t>
      </w:r>
      <w:r w:rsidRPr="000E2B08">
        <w:rPr>
          <w:rFonts w:ascii="Calibri" w:hAnsi="Calibri" w:cs="FrankRuehl"/>
          <w:rtl/>
        </w:rPr>
        <w:t>–</w:t>
      </w:r>
      <w:r w:rsidRPr="000E2B08">
        <w:rPr>
          <w:rFonts w:ascii="Calibri" w:hAnsi="Calibri" w:cs="FrankRuehl" w:hint="cs"/>
          <w:rtl/>
        </w:rPr>
        <w:t xml:space="preserve"> עבירות בתחום הסמים.</w:t>
      </w:r>
    </w:p>
    <w:p w14:paraId="7DA83D84"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rtl/>
        </w:rPr>
        <w:t>באישום הראשון</w:t>
      </w:r>
      <w:r w:rsidRPr="000E2B08">
        <w:rPr>
          <w:rFonts w:ascii="Calibri" w:hAnsi="Calibri" w:cs="FrankRuehl" w:hint="cs"/>
          <w:rtl/>
        </w:rPr>
        <w:t xml:space="preserve"> מתואר, כי ביום 8.8.2017 בשכונת עין כרם בירושלים שהה הנאשם ברכבו כשראשו שמוט בין רגליו. שוטרים שעברו במקום והבחינו בו שאלו לשלומו. כשפתח הנאשם את חלון הרכב, עלה ריח חזק של סם ובעקבות זאת בוצע חופש ע"י השוטרים. החיפוש העלה כי ברכב היה סם מסוג חשיש במשקל 2.87 גרם נטו וכן סם מסוג מריחואנה במשקל 53.99 גרם מחולק ל-14 שקיות מסומנות ואטומות.</w:t>
      </w:r>
    </w:p>
    <w:p w14:paraId="3A4CFE58"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rtl/>
        </w:rPr>
        <w:t>באישום השלישי</w:t>
      </w:r>
      <w:r w:rsidRPr="000E2B08">
        <w:rPr>
          <w:rFonts w:ascii="Calibri" w:hAnsi="Calibri" w:cs="FrankRuehl" w:hint="cs"/>
          <w:rtl/>
        </w:rPr>
        <w:t xml:space="preserve"> מתואר, כי ביום 22.6.2017 סחר הנאשם בסם מסוג קנבוס במשקל 4 גרם תמורת 400 </w:t>
      </w:r>
      <w:r w:rsidRPr="000E2B08">
        <w:rPr>
          <w:rFonts w:ascii="Calibri" w:hAnsi="Calibri" w:cs="FrankRuehl" w:hint="eastAsia"/>
          <w:rtl/>
        </w:rPr>
        <w:t>₪</w:t>
      </w:r>
      <w:r w:rsidRPr="000E2B08">
        <w:rPr>
          <w:rFonts w:ascii="Calibri" w:hAnsi="Calibri" w:cs="FrankRuehl" w:hint="cs"/>
          <w:rtl/>
        </w:rPr>
        <w:t xml:space="preserve"> אל מול אדם לו הייתה עמו היכרות מוקדמת על-רקע עבודה משותפת.</w:t>
      </w:r>
    </w:p>
    <w:p w14:paraId="36C64684"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rtl/>
        </w:rPr>
        <w:lastRenderedPageBreak/>
        <w:t>באישום החמישי</w:t>
      </w:r>
      <w:r w:rsidRPr="000E2B08">
        <w:rPr>
          <w:rFonts w:ascii="Calibri" w:hAnsi="Calibri" w:cs="FrankRuehl" w:hint="cs"/>
          <w:rtl/>
        </w:rPr>
        <w:t xml:space="preserve"> מתואר, כי ביום 10.8.2017 סחר הנאשם בסם מסוג קנבוס במשקל 6 גרם תמורת 600 </w:t>
      </w:r>
      <w:r w:rsidRPr="000E2B08">
        <w:rPr>
          <w:rFonts w:ascii="Calibri" w:hAnsi="Calibri" w:cs="FrankRuehl" w:hint="eastAsia"/>
          <w:rtl/>
        </w:rPr>
        <w:t>₪</w:t>
      </w:r>
      <w:r w:rsidRPr="000E2B08">
        <w:rPr>
          <w:rFonts w:ascii="Calibri" w:hAnsi="Calibri" w:cs="FrankRuehl" w:hint="cs"/>
          <w:rtl/>
        </w:rPr>
        <w:t xml:space="preserve"> אל מול מכרה שלו מעבודה משותפת. הסם סופק לה באמצעות אדם נוסף תוך כדי תיאום מוקדם.</w:t>
      </w:r>
    </w:p>
    <w:p w14:paraId="6F8C19E8"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rtl/>
        </w:rPr>
        <w:t>באישום השביעי</w:t>
      </w:r>
      <w:r w:rsidRPr="000E2B08">
        <w:rPr>
          <w:rFonts w:ascii="Calibri" w:hAnsi="Calibri" w:cs="FrankRuehl" w:hint="cs"/>
          <w:rtl/>
        </w:rPr>
        <w:t xml:space="preserve"> מתואר, כי ביום 16.8.2017 סחר הנאשם בסם מסוג קנבוס במשקל 5 גרם תמורת 600 </w:t>
      </w:r>
      <w:r w:rsidRPr="000E2B08">
        <w:rPr>
          <w:rFonts w:ascii="Calibri" w:hAnsi="Calibri" w:cs="FrankRuehl" w:hint="eastAsia"/>
          <w:rtl/>
        </w:rPr>
        <w:t>₪</w:t>
      </w:r>
      <w:r w:rsidRPr="000E2B08">
        <w:rPr>
          <w:rFonts w:ascii="Calibri" w:hAnsi="Calibri" w:cs="FrankRuehl" w:hint="cs"/>
          <w:rtl/>
        </w:rPr>
        <w:t>. הפעם תואמה העסקה באמצעות הטלגרס תוך שהנאשם משתמש בכינוי "אייזנברג", ומבצע את העסקה באמצעות אותו אחר מהאישום החמישי.</w:t>
      </w:r>
    </w:p>
    <w:p w14:paraId="6CCABEF5"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rtl/>
        </w:rPr>
        <w:t xml:space="preserve">באישום השמיני </w:t>
      </w:r>
      <w:r w:rsidRPr="000E2B08">
        <w:rPr>
          <w:rFonts w:ascii="Calibri" w:hAnsi="Calibri" w:cs="FrankRuehl" w:hint="cs"/>
          <w:rtl/>
        </w:rPr>
        <w:t>מתואר, כי במועד לא ידוע, תיווך הנאשם עסקת סחר בסמים בין מכר שלו, לבין אדם אחר, כאשר התיאום בוצע באמצעות הטלגרס. מדובר בסם מסוג קנבוס במשקל כ-3 גרם.</w:t>
      </w:r>
    </w:p>
    <w:p w14:paraId="390CA993"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rtl/>
        </w:rPr>
        <w:t xml:space="preserve">באישום התשיעי </w:t>
      </w:r>
      <w:r w:rsidRPr="000E2B08">
        <w:rPr>
          <w:rFonts w:ascii="Calibri" w:hAnsi="Calibri" w:cs="FrankRuehl" w:hint="cs"/>
          <w:rtl/>
        </w:rPr>
        <w:t xml:space="preserve"> מתואר, כי בחודש יולי 2017 מכר הנאשם 3 גרם קנבוס לאדם אחר, עמו לא הייתה לו הכרות, תמורת 300 </w:t>
      </w:r>
      <w:r w:rsidRPr="000E2B08">
        <w:rPr>
          <w:rFonts w:ascii="Calibri" w:hAnsi="Calibri" w:cs="FrankRuehl" w:hint="eastAsia"/>
          <w:rtl/>
        </w:rPr>
        <w:t>₪</w:t>
      </w:r>
      <w:r w:rsidRPr="000E2B08">
        <w:rPr>
          <w:rFonts w:ascii="Calibri" w:hAnsi="Calibri" w:cs="FrankRuehl" w:hint="cs"/>
          <w:rtl/>
        </w:rPr>
        <w:t xml:space="preserve">, וזאת באמצעות תיאום העסקה ב"טלגרס", תוך שהודעות תיאום העסקה נמחקו מיד לאחר שיגורן וקריאתן. </w:t>
      </w:r>
    </w:p>
    <w:p w14:paraId="35D24DE3" w14:textId="77777777" w:rsidR="000E2B08" w:rsidRPr="000E2B08" w:rsidRDefault="000E2B08" w:rsidP="000E2B08">
      <w:pPr>
        <w:spacing w:after="160" w:line="360" w:lineRule="auto"/>
        <w:jc w:val="both"/>
        <w:rPr>
          <w:rFonts w:ascii="Calibri" w:hAnsi="Calibri" w:cs="FrankRuehl"/>
        </w:rPr>
      </w:pPr>
      <w:bookmarkStart w:id="7" w:name="ABSTRACT_END"/>
      <w:bookmarkEnd w:id="7"/>
      <w:r w:rsidRPr="000E2B08">
        <w:rPr>
          <w:rFonts w:ascii="Calibri" w:hAnsi="Calibri" w:cs="FrankRuehl" w:hint="cs"/>
          <w:rtl/>
        </w:rPr>
        <w:t xml:space="preserve">בגין כל אלה, הורשע הנאשם בביצוע עבירה אחת של </w:t>
      </w:r>
      <w:r w:rsidRPr="000E2B08">
        <w:rPr>
          <w:rFonts w:ascii="Calibri" w:hAnsi="Calibri" w:cs="FrankRuehl" w:hint="cs"/>
          <w:b/>
          <w:bCs/>
          <w:rtl/>
        </w:rPr>
        <w:t>החזקת סם שלא לצריכה עצמית</w:t>
      </w:r>
      <w:r w:rsidRPr="000E2B08">
        <w:rPr>
          <w:rFonts w:ascii="Calibri" w:hAnsi="Calibri" w:cs="FrankRuehl" w:hint="cs"/>
          <w:rtl/>
        </w:rPr>
        <w:t xml:space="preserve">, לפי </w:t>
      </w:r>
      <w:hyperlink r:id="rId17" w:history="1">
        <w:r w:rsidR="00D84D99" w:rsidRPr="00D84D99">
          <w:rPr>
            <w:rFonts w:ascii="Calibri" w:hAnsi="Calibri" w:cs="FrankRuehl" w:hint="eastAsia"/>
            <w:color w:val="0000FF"/>
            <w:u w:val="single"/>
            <w:rtl/>
          </w:rPr>
          <w:t>סעיפים</w:t>
        </w:r>
        <w:r w:rsidR="00D84D99" w:rsidRPr="00D84D99">
          <w:rPr>
            <w:rFonts w:ascii="Calibri" w:hAnsi="Calibri" w:cs="FrankRuehl"/>
            <w:color w:val="0000FF"/>
            <w:u w:val="single"/>
            <w:rtl/>
          </w:rPr>
          <w:t xml:space="preserve"> 7</w:t>
        </w:r>
        <w:r w:rsidR="00D84D99" w:rsidRPr="00D84D99">
          <w:rPr>
            <w:rFonts w:ascii="Calibri" w:hAnsi="Calibri" w:cs="FrankRuehl" w:hint="eastAsia"/>
            <w:color w:val="0000FF"/>
            <w:u w:val="single"/>
            <w:rtl/>
          </w:rPr>
          <w:t>א</w:t>
        </w:r>
        <w:r w:rsidR="00D84D99" w:rsidRPr="00D84D99">
          <w:rPr>
            <w:rFonts w:ascii="Calibri" w:hAnsi="Calibri" w:cs="FrankRuehl"/>
            <w:color w:val="0000FF"/>
            <w:u w:val="single"/>
            <w:rtl/>
          </w:rPr>
          <w:t>'</w:t>
        </w:r>
      </w:hyperlink>
      <w:r w:rsidRPr="000E2B08">
        <w:rPr>
          <w:rFonts w:ascii="Calibri" w:hAnsi="Calibri" w:cs="FrankRuehl" w:hint="cs"/>
          <w:rtl/>
        </w:rPr>
        <w:t xml:space="preserve"> ו-</w:t>
      </w:r>
      <w:hyperlink r:id="rId18" w:history="1">
        <w:r w:rsidR="00D84D99" w:rsidRPr="00D84D99">
          <w:rPr>
            <w:rFonts w:ascii="Calibri" w:hAnsi="Calibri" w:cs="FrankRuehl"/>
            <w:color w:val="0000FF"/>
            <w:u w:val="single"/>
            <w:rtl/>
          </w:rPr>
          <w:t>7</w:t>
        </w:r>
        <w:r w:rsidR="00D84D99" w:rsidRPr="00D84D99">
          <w:rPr>
            <w:rFonts w:ascii="Calibri" w:hAnsi="Calibri" w:cs="FrankRuehl" w:hint="eastAsia"/>
            <w:color w:val="0000FF"/>
            <w:u w:val="single"/>
            <w:rtl/>
          </w:rPr>
          <w:t>ג</w:t>
        </w:r>
        <w:r w:rsidR="00D84D99" w:rsidRPr="00D84D99">
          <w:rPr>
            <w:rFonts w:ascii="Calibri" w:hAnsi="Calibri" w:cs="FrankRuehl"/>
            <w:color w:val="0000FF"/>
            <w:u w:val="single"/>
            <w:rtl/>
          </w:rPr>
          <w:t>'</w:t>
        </w:r>
      </w:hyperlink>
      <w:r w:rsidRPr="000E2B08">
        <w:rPr>
          <w:rFonts w:ascii="Calibri" w:hAnsi="Calibri" w:cs="FrankRuehl" w:hint="cs"/>
          <w:rtl/>
        </w:rPr>
        <w:t xml:space="preserve"> רישא ל</w:t>
      </w:r>
      <w:hyperlink r:id="rId19" w:history="1">
        <w:r w:rsidR="00A536F3" w:rsidRPr="00A536F3">
          <w:rPr>
            <w:rFonts w:ascii="Calibri" w:hAnsi="Calibri" w:cs="FrankRuehl" w:hint="eastAsia"/>
            <w:color w:val="0000FF"/>
            <w:u w:val="single"/>
            <w:rtl/>
          </w:rPr>
          <w:t>פקודת</w:t>
        </w:r>
        <w:r w:rsidR="00A536F3" w:rsidRPr="00A536F3">
          <w:rPr>
            <w:rFonts w:ascii="Calibri" w:hAnsi="Calibri" w:cs="FrankRuehl"/>
            <w:color w:val="0000FF"/>
            <w:u w:val="single"/>
            <w:rtl/>
          </w:rPr>
          <w:t xml:space="preserve"> </w:t>
        </w:r>
        <w:r w:rsidR="00A536F3" w:rsidRPr="00A536F3">
          <w:rPr>
            <w:rFonts w:ascii="Calibri" w:hAnsi="Calibri" w:cs="FrankRuehl" w:hint="eastAsia"/>
            <w:color w:val="0000FF"/>
            <w:u w:val="single"/>
            <w:rtl/>
          </w:rPr>
          <w:t>הסמים</w:t>
        </w:r>
        <w:r w:rsidR="00A536F3" w:rsidRPr="00A536F3">
          <w:rPr>
            <w:rFonts w:ascii="Calibri" w:hAnsi="Calibri" w:cs="FrankRuehl"/>
            <w:color w:val="0000FF"/>
            <w:u w:val="single"/>
            <w:rtl/>
          </w:rPr>
          <w:t xml:space="preserve"> </w:t>
        </w:r>
        <w:r w:rsidR="00A536F3" w:rsidRPr="00A536F3">
          <w:rPr>
            <w:rFonts w:ascii="Calibri" w:hAnsi="Calibri" w:cs="FrankRuehl" w:hint="eastAsia"/>
            <w:color w:val="0000FF"/>
            <w:u w:val="single"/>
            <w:rtl/>
          </w:rPr>
          <w:t>המסוכנים</w:t>
        </w:r>
      </w:hyperlink>
      <w:r w:rsidRPr="000E2B08">
        <w:rPr>
          <w:rFonts w:ascii="Calibri" w:hAnsi="Calibri" w:cs="FrankRuehl" w:hint="cs"/>
          <w:rtl/>
        </w:rPr>
        <w:t xml:space="preserve"> (להלן </w:t>
      </w:r>
      <w:r w:rsidRPr="000E2B08">
        <w:rPr>
          <w:rFonts w:ascii="Calibri" w:hAnsi="Calibri" w:cs="FrankRuehl"/>
          <w:rtl/>
        </w:rPr>
        <w:t>–</w:t>
      </w:r>
      <w:r w:rsidRPr="000E2B08">
        <w:rPr>
          <w:rFonts w:ascii="Calibri" w:hAnsi="Calibri" w:cs="FrankRuehl" w:hint="cs"/>
          <w:rtl/>
        </w:rPr>
        <w:t xml:space="preserve"> </w:t>
      </w:r>
      <w:r w:rsidRPr="000E2B08">
        <w:rPr>
          <w:rFonts w:ascii="Calibri" w:hAnsi="Calibri" w:cs="FrankRuehl" w:hint="cs"/>
          <w:b/>
          <w:bCs/>
          <w:rtl/>
        </w:rPr>
        <w:t>הפקודה</w:t>
      </w:r>
      <w:r w:rsidRPr="000E2B08">
        <w:rPr>
          <w:rFonts w:ascii="Calibri" w:hAnsi="Calibri" w:cs="FrankRuehl" w:hint="cs"/>
          <w:rtl/>
        </w:rPr>
        <w:t xml:space="preserve">); ב-4 עבירות של </w:t>
      </w:r>
      <w:r w:rsidRPr="000E2B08">
        <w:rPr>
          <w:rFonts w:ascii="Calibri" w:hAnsi="Calibri" w:cs="FrankRuehl" w:hint="cs"/>
          <w:b/>
          <w:bCs/>
          <w:rtl/>
        </w:rPr>
        <w:t>סחר בסם מסוכן</w:t>
      </w:r>
      <w:r w:rsidRPr="000E2B08">
        <w:rPr>
          <w:rFonts w:ascii="Calibri" w:hAnsi="Calibri" w:cs="FrankRuehl" w:hint="cs"/>
          <w:rtl/>
        </w:rPr>
        <w:t xml:space="preserve">, לפי </w:t>
      </w:r>
      <w:hyperlink r:id="rId20" w:history="1">
        <w:r w:rsidR="00D84D99" w:rsidRPr="00D84D99">
          <w:rPr>
            <w:rFonts w:ascii="Calibri" w:hAnsi="Calibri" w:cs="FrankRuehl" w:hint="eastAsia"/>
            <w:color w:val="0000FF"/>
            <w:u w:val="single"/>
            <w:rtl/>
          </w:rPr>
          <w:t>סעיף</w:t>
        </w:r>
        <w:r w:rsidR="00D84D99" w:rsidRPr="00D84D99">
          <w:rPr>
            <w:rFonts w:ascii="Calibri" w:hAnsi="Calibri" w:cs="FrankRuehl"/>
            <w:color w:val="0000FF"/>
            <w:u w:val="single"/>
            <w:rtl/>
          </w:rPr>
          <w:t xml:space="preserve"> 13</w:t>
        </w:r>
      </w:hyperlink>
      <w:r w:rsidRPr="000E2B08">
        <w:rPr>
          <w:rFonts w:ascii="Calibri" w:hAnsi="Calibri" w:cs="FrankRuehl" w:hint="cs"/>
          <w:rtl/>
        </w:rPr>
        <w:t xml:space="preserve"> + </w:t>
      </w:r>
      <w:hyperlink r:id="rId21" w:history="1">
        <w:r w:rsidR="00D84D99" w:rsidRPr="00D84D99">
          <w:rPr>
            <w:rFonts w:ascii="Calibri" w:hAnsi="Calibri" w:cs="FrankRuehl"/>
            <w:color w:val="0000FF"/>
            <w:u w:val="single"/>
            <w:rtl/>
          </w:rPr>
          <w:t>19</w:t>
        </w:r>
        <w:r w:rsidR="00D84D99" w:rsidRPr="00D84D99">
          <w:rPr>
            <w:rFonts w:ascii="Calibri" w:hAnsi="Calibri" w:cs="FrankRuehl" w:hint="eastAsia"/>
            <w:color w:val="0000FF"/>
            <w:u w:val="single"/>
            <w:rtl/>
          </w:rPr>
          <w:t>א</w:t>
        </w:r>
      </w:hyperlink>
      <w:r w:rsidRPr="000E2B08">
        <w:rPr>
          <w:rFonts w:ascii="Calibri" w:hAnsi="Calibri" w:cs="FrankRuehl" w:hint="cs"/>
          <w:rtl/>
        </w:rPr>
        <w:t xml:space="preserve"> לפקודה ובעבירה של </w:t>
      </w:r>
      <w:r w:rsidRPr="000E2B08">
        <w:rPr>
          <w:rFonts w:ascii="Calibri" w:hAnsi="Calibri" w:cs="FrankRuehl" w:hint="cs"/>
          <w:b/>
          <w:bCs/>
          <w:rtl/>
        </w:rPr>
        <w:t>תיווך לסחר בסם מסוכן</w:t>
      </w:r>
      <w:r w:rsidRPr="000E2B08">
        <w:rPr>
          <w:rFonts w:ascii="Calibri" w:hAnsi="Calibri" w:cs="FrankRuehl" w:hint="cs"/>
          <w:rtl/>
        </w:rPr>
        <w:t xml:space="preserve">, לפי אותם סעיפים. </w:t>
      </w:r>
    </w:p>
    <w:p w14:paraId="6002BD01" w14:textId="77777777" w:rsidR="000E2B08" w:rsidRPr="000E2B08" w:rsidRDefault="000E2B08" w:rsidP="000E2B08">
      <w:pPr>
        <w:spacing w:after="160" w:line="360" w:lineRule="auto"/>
        <w:jc w:val="both"/>
        <w:rPr>
          <w:rFonts w:ascii="Calibri" w:hAnsi="Calibri" w:cs="FrankRuehl"/>
          <w:b/>
          <w:bCs/>
          <w:u w:val="single"/>
        </w:rPr>
      </w:pPr>
    </w:p>
    <w:p w14:paraId="6419AA66" w14:textId="77777777" w:rsidR="000E2B08" w:rsidRPr="000E2B08" w:rsidRDefault="000E2B08" w:rsidP="000E2B08">
      <w:pPr>
        <w:spacing w:after="160" w:line="360" w:lineRule="auto"/>
        <w:jc w:val="both"/>
        <w:rPr>
          <w:rFonts w:ascii="Calibri" w:hAnsi="Calibri" w:cs="FrankRuehl"/>
          <w:b/>
          <w:bCs/>
          <w:u w:val="single"/>
          <w:rtl/>
        </w:rPr>
      </w:pPr>
      <w:r w:rsidRPr="000E2B08">
        <w:rPr>
          <w:rFonts w:ascii="Calibri" w:hAnsi="Calibri" w:cs="FrankRuehl" w:hint="cs"/>
          <w:b/>
          <w:bCs/>
          <w:u w:val="single"/>
          <w:rtl/>
        </w:rPr>
        <w:t>מהלך הדיון</w:t>
      </w:r>
    </w:p>
    <w:p w14:paraId="47AAFF7E"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הנאשם נעצר בתיק זה ביום 8.8.2017 (מועד האישום הראשון). הוא שוחרר לקהילה טיפולית "אפיק" במלכישוע ביום 15.10.2017. ביום  26.12.2017 דיווח שירות המבחן כי הנאשם היה מעורב באירוע אלימות בקהילה ועל-כן הורחק ממנה. בהמשך שירות המבחן לא המליץ על חזרתו של הנאשם לקהילה הטיפולית וסבר שיש להשיבו אל מאחורי סורג ובריח. יצוין, כי ממועד פליטתו של הנאשם מקהילת "אפיק", הוא נותר במעצר  בית מלא בחלופת המעצר המגבה. ביום 28.1.2018 הגיעו הצדדים להסדר דיוני בתיק העיקרי, במסגרתו תוקן כתב האישום, ללא הסכמה עונשית. הנאשם הודה והורשע בכתב האישום המתוקן ונשלח לשירות המבחן, הן לעניין העונש, הן לעניין תנאי שחרורו. ביום 20.3.2018, בהתאם להמלצת שירות המבחן, הוריתי על שילובו של הנאשם במרכז יום, תוך הותרת יתר התנאים על כנם, דהיינו, קיום של מעצר בית מפוקח מעבר לשעות בהן פועל מרכז היום. ביום 15.7.2018, לנוכח התקדמותו הטיפולית של הנאשם, הוקלו תנאי השחרור כך שפטרתי אותו מדרישת הליווי לטיפולים, למעשה, בכפוף להמשך טיפול, הותרתי על כנם רק את תנאי מעצר הבית הלילי.  לאחר מכן נדחה הדיון פעמיים בשל היעדר בשלות של התהליך הטיפולי. בחודש אפריל 2019, הוריתי על הסרת התנאים המגבילים לנוכח דיווחים חיוביים במישור התפקודי והטיפולי.</w:t>
      </w:r>
    </w:p>
    <w:p w14:paraId="061868F5" w14:textId="77777777" w:rsidR="000E2B08" w:rsidRPr="000E2B08" w:rsidRDefault="000E2B08" w:rsidP="000E2B08">
      <w:pPr>
        <w:spacing w:after="160" w:line="360" w:lineRule="auto"/>
        <w:jc w:val="both"/>
        <w:rPr>
          <w:rFonts w:ascii="Calibri" w:hAnsi="Calibri" w:cs="FrankRuehl"/>
          <w:b/>
          <w:bCs/>
          <w:u w:val="single"/>
          <w:rtl/>
        </w:rPr>
      </w:pPr>
    </w:p>
    <w:p w14:paraId="717F2CDB" w14:textId="77777777" w:rsidR="000E2B08" w:rsidRPr="000E2B08" w:rsidRDefault="000E2B08" w:rsidP="000E2B08">
      <w:pPr>
        <w:spacing w:after="160" w:line="360" w:lineRule="auto"/>
        <w:jc w:val="both"/>
        <w:rPr>
          <w:rFonts w:ascii="Calibri" w:hAnsi="Calibri" w:cs="FrankRuehl"/>
          <w:b/>
          <w:bCs/>
          <w:u w:val="single"/>
          <w:rtl/>
        </w:rPr>
      </w:pPr>
      <w:r w:rsidRPr="000E2B08">
        <w:rPr>
          <w:rFonts w:ascii="Calibri" w:hAnsi="Calibri" w:cs="FrankRuehl" w:hint="cs"/>
          <w:b/>
          <w:bCs/>
          <w:u w:val="single"/>
          <w:rtl/>
        </w:rPr>
        <w:t>תסקירי שירות המבחן</w:t>
      </w:r>
    </w:p>
    <w:p w14:paraId="36E8D40E"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lastRenderedPageBreak/>
        <w:t xml:space="preserve">בעניינו של הנאשם הוגשו מספר תסקירים. מהתסקירים עולה כי מדובר בצעיר כבן 25, שעלה ארצה בהיותו כבן 4. מדובר בבן יחיד להורים גרושים, כשהנאשם גדל עם אמו, ולמרבה הצער אביו נפטר כשהיה כבן 8. שירות המבחן גולל את קורות המשפחה ואת דינמיקת היחסים במשפחה, שהנה מורכבת. בשנות נעוריו הוא ידע קשיים רבים על רקע התנהגות פורצת גבולות, התחברות לחברה שולית ושימוש גובר והולך בסמים ואלכוהול. בשנים אלו הוא אף שהה ב"מלכישוע" במשך שנתיים תחת פיקוח בית המשפט, ולאחר שסיים 12 שנות לימוד, הצליח להתגייס לצבא, בו שירת כשנתיים וחצי, ובמקביל עבד. לדבריו, בתקופה זו חזר להשתמש בסמים על רקע רצון להשתייך חברתית לסביבתו. הוא פנה ביוזמתו למכון הירושלמי אך התקשה להיתרם מהטיפול והמשיך את השימוש עד למעצרו בתיק זה. שירות המבחן עמד על נשירתו של הנאשם מ"מלכישוע" במסגרת התיק הנוכחי בעקבות אירוע אלימות. בנוסף, ציין שירות המבחן את שהותו של הנאשם במרכז היום ואת תפקודו התקין במקום. שירות המבחן התרשם כי מחד, לנאשם כוחות ויכולות רבים ומצד שני, הוא מתקשה לווסת את דחפיו ונוהג למעשה באימפולסיביות. שירות המבחן עמד על עברו הפלילי של הנאשם, הכולל רישום מבית משפט לנוער בעבירות שוד, פריצה, גניבה, החזקת סמים לצריכה עצמית והיזק לרכוש שהסתיים בדרכי טיפול, וכן רישום פלילי בעבירה של הפרת הוראה חוקית. הנאשם נטל אחריות מלאה למעשיו והבין את הפסול שבהם, כפי שהתרשם שירות המבחן. הנאשם הסביר את ביצוע המעשים ברצון להרוויח ולחסוך כסף לצרכיו. השירות התרשם, כי הנאשם נטול דפוסי חשיבה ומעשה עברייניים, ויש לו שאיפות לניהול אורח חיים נורמטיבי. שירות המבחן ציין לחיוב את יכולותיו הגבוהות של הנאשם להציב לו מטרות ולעמוד בהן (סיום 12 שנות לימוד; שירות צבאי), ואת הבנתו את הכשלים שבהתנהגותו. לכן מצא שירות המבחן, כי למשיב כוחות רבים להשתלב בתהליך שיקומי. השירות התרשם בהמשך, כי התהליך הטיפולי שעובר הנאשם במסגרת "מרכז היום" הוא חיובי ועמוק ולכן המליץ על דחיית הדיון מפעם לפעם, על-מנת למצותו. שירות המבחן, בתסקירו האחרון מחודש יוני 2016, המליץ על הטלת של"ץ נרחב, ענישה מותנית וצו מבחן. שירות המבחן עמד על התמורות הגדולות שעברו על הנאשם במהלך השנה וחצי האחרונות </w:t>
      </w:r>
      <w:r w:rsidRPr="000E2B08">
        <w:rPr>
          <w:rFonts w:ascii="Calibri" w:hAnsi="Calibri" w:cs="FrankRuehl"/>
          <w:rtl/>
        </w:rPr>
        <w:t>–</w:t>
      </w:r>
      <w:r w:rsidRPr="000E2B08">
        <w:rPr>
          <w:rFonts w:ascii="Calibri" w:hAnsi="Calibri" w:cs="FrankRuehl" w:hint="cs"/>
          <w:rtl/>
        </w:rPr>
        <w:t xml:space="preserve"> האחריות שנטל לחייו; המשך שיתוף הפעולה ההדוק עם "קידום נוער", והיות הטיפול נדבך חשוב עבור שגרת חייו של הנאשם; היעדר פתיחת תיקים חדשים; השמירה על ניקיון מסמים, והמאמצים להסדיר את חובותיו. אם לסכם במילים אחרות, נדמה כי הנאשם התבגר ונטל את המושכות להמשך התנהלות מסלול חייו. שירות המבחן עמד על כך שלטעמו, עונש של מאסר, ולו בדרך של עבודות שירות, לא יעמוד בקנה אחד עם האינטרס השיקומי של הנאשם.</w:t>
      </w:r>
    </w:p>
    <w:p w14:paraId="1D1BF8BA" w14:textId="77777777" w:rsidR="000E2B08" w:rsidRPr="000E2B08" w:rsidRDefault="000E2B08" w:rsidP="000E2B08">
      <w:pPr>
        <w:spacing w:after="160" w:line="360" w:lineRule="auto"/>
        <w:jc w:val="both"/>
        <w:rPr>
          <w:rFonts w:ascii="Calibri" w:hAnsi="Calibri" w:cs="FrankRuehl"/>
          <w:b/>
          <w:bCs/>
          <w:u w:val="single"/>
          <w:rtl/>
        </w:rPr>
      </w:pPr>
    </w:p>
    <w:p w14:paraId="5521B0AA" w14:textId="77777777" w:rsidR="000E2B08" w:rsidRPr="000E2B08" w:rsidRDefault="000E2B08" w:rsidP="000E2B08">
      <w:pPr>
        <w:spacing w:after="160" w:line="360" w:lineRule="auto"/>
        <w:jc w:val="both"/>
        <w:rPr>
          <w:rFonts w:ascii="Calibri" w:hAnsi="Calibri" w:cs="FrankRuehl"/>
          <w:b/>
          <w:bCs/>
          <w:u w:val="single"/>
          <w:rtl/>
        </w:rPr>
      </w:pPr>
      <w:r w:rsidRPr="000E2B08">
        <w:rPr>
          <w:rFonts w:ascii="Calibri" w:hAnsi="Calibri" w:cs="FrankRuehl" w:hint="cs"/>
          <w:b/>
          <w:bCs/>
          <w:u w:val="single"/>
          <w:rtl/>
        </w:rPr>
        <w:t>חוות דעת של הממונה על עבודות השירות</w:t>
      </w:r>
    </w:p>
    <w:p w14:paraId="08835356"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הממונה הגיש חוות דעת על אודות כשירות הנאשם לבצע מאסר בעבודות שירות. מחוות הדעת עולה, כי הנאשם יוכל לבצע עבודות שירות במסגרת "כרמי העיר" ברח' אגריפס 72 בירושלים.</w:t>
      </w:r>
    </w:p>
    <w:p w14:paraId="3120BB19" w14:textId="77777777" w:rsidR="000E2B08" w:rsidRPr="000E2B08" w:rsidRDefault="000E2B08" w:rsidP="000E2B08">
      <w:pPr>
        <w:spacing w:after="160" w:line="360" w:lineRule="auto"/>
        <w:jc w:val="both"/>
        <w:rPr>
          <w:rFonts w:ascii="Calibri" w:hAnsi="Calibri" w:cs="FrankRuehl"/>
          <w:rtl/>
        </w:rPr>
      </w:pPr>
    </w:p>
    <w:p w14:paraId="4FB6720B" w14:textId="77777777" w:rsidR="000E2B08" w:rsidRPr="000E2B08" w:rsidRDefault="000E2B08" w:rsidP="000E2B08">
      <w:pPr>
        <w:spacing w:after="160" w:line="360" w:lineRule="auto"/>
        <w:jc w:val="both"/>
        <w:rPr>
          <w:rFonts w:ascii="Calibri" w:hAnsi="Calibri" w:cs="FrankRuehl"/>
          <w:b/>
          <w:bCs/>
          <w:u w:val="single"/>
          <w:rtl/>
        </w:rPr>
      </w:pPr>
      <w:r w:rsidRPr="000E2B08">
        <w:rPr>
          <w:rFonts w:ascii="Calibri" w:hAnsi="Calibri" w:cs="FrankRuehl" w:hint="cs"/>
          <w:b/>
          <w:bCs/>
          <w:u w:val="single"/>
          <w:rtl/>
        </w:rPr>
        <w:t>רישום פלילי</w:t>
      </w:r>
    </w:p>
    <w:p w14:paraId="2541E02C"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 xml:space="preserve">לנאשם שני פריטי רישום פלילי. בשנת 2018 הורשעה בגין עבירת סמים משנת 2016, מתקופת שירותו הצבאי (צריכה עצמית) </w:t>
      </w:r>
      <w:r w:rsidRPr="000E2B08">
        <w:rPr>
          <w:rFonts w:ascii="Calibri" w:hAnsi="Calibri" w:cs="FrankRuehl"/>
          <w:rtl/>
        </w:rPr>
        <w:t>–</w:t>
      </w:r>
      <w:r w:rsidRPr="000E2B08">
        <w:rPr>
          <w:rFonts w:ascii="Calibri" w:hAnsi="Calibri" w:cs="FrankRuehl" w:hint="cs"/>
          <w:rtl/>
        </w:rPr>
        <w:t xml:space="preserve"> הוא ריצה עונש מאסר מקביל למעצרו בתיק הנוכחי; בשנת 2013 סיים ללא הרשעה ודרכי טיפול הליך פלילי בבית המשפט לנוער בגין עבירות סמים רכוש ואלימות. יצוין כי למרות רישום זה משנת 2013 (עבירות משנים 2007 עד 2012) גויס לצבא ושירת בו כאמור.</w:t>
      </w:r>
    </w:p>
    <w:p w14:paraId="6B41B918" w14:textId="77777777" w:rsidR="000E2B08" w:rsidRPr="000E2B08" w:rsidRDefault="000E2B08" w:rsidP="000E2B08">
      <w:pPr>
        <w:spacing w:after="160" w:line="360" w:lineRule="auto"/>
        <w:jc w:val="both"/>
        <w:rPr>
          <w:rFonts w:ascii="Calibri" w:hAnsi="Calibri" w:cs="FrankRuehl"/>
          <w:b/>
          <w:bCs/>
          <w:u w:val="single"/>
          <w:rtl/>
        </w:rPr>
      </w:pPr>
    </w:p>
    <w:p w14:paraId="5366C800" w14:textId="77777777" w:rsidR="000E2B08" w:rsidRPr="000E2B08" w:rsidRDefault="000E2B08" w:rsidP="000E2B08">
      <w:pPr>
        <w:spacing w:after="160" w:line="360" w:lineRule="auto"/>
        <w:jc w:val="both"/>
        <w:rPr>
          <w:rFonts w:ascii="Calibri" w:hAnsi="Calibri" w:cs="FrankRuehl"/>
          <w:b/>
          <w:bCs/>
          <w:u w:val="single"/>
          <w:rtl/>
        </w:rPr>
      </w:pPr>
      <w:r w:rsidRPr="000E2B08">
        <w:rPr>
          <w:rFonts w:ascii="Calibri" w:hAnsi="Calibri" w:cs="FrankRuehl" w:hint="cs"/>
          <w:b/>
          <w:bCs/>
          <w:u w:val="single"/>
          <w:rtl/>
        </w:rPr>
        <w:t>טיעונים לעונש</w:t>
      </w:r>
    </w:p>
    <w:p w14:paraId="291392A0"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 xml:space="preserve">הצדדים לא הגיעו להסכמה עונשית. </w:t>
      </w:r>
    </w:p>
    <w:p w14:paraId="6EECC9CE"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מחד, המאשימה טענה כי יש להטיל על הנאשם מאסר בפועל, על בסיס מתחמים שבין 8 ל-18 חודשים לאישום הראשון, ו-6 ל-12 חודשים ליתר האישומים, כשכל אישום צריך להיחשב כאירוע נפרד. כמו כן עתרה המאשימה לענישה נלווית.</w:t>
      </w:r>
    </w:p>
    <w:p w14:paraId="0D06E132"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מאידך, הסניגור טען, כי יש מקום לסיים את ההליך בביטול ההרשעה ובענישה טיפולית לנוכח כברת הדרך הארוכה שעשה הנאשם ושיקומו המוצלח, ולנוכח נסיבות חייו הלא פשוטות.</w:t>
      </w:r>
    </w:p>
    <w:p w14:paraId="5BF9EA4B" w14:textId="77777777" w:rsidR="000E2B08" w:rsidRPr="000E2B08" w:rsidRDefault="000E2B08" w:rsidP="000E2B08">
      <w:pPr>
        <w:spacing w:after="160" w:line="360" w:lineRule="auto"/>
        <w:jc w:val="both"/>
        <w:rPr>
          <w:rFonts w:ascii="Calibri" w:hAnsi="Calibri" w:cs="FrankRuehl"/>
          <w:rtl/>
        </w:rPr>
      </w:pPr>
    </w:p>
    <w:p w14:paraId="1D9E22C1" w14:textId="77777777" w:rsidR="000E2B08" w:rsidRPr="000E2B08" w:rsidRDefault="000E2B08" w:rsidP="000E2B08">
      <w:pPr>
        <w:spacing w:after="160" w:line="360" w:lineRule="auto"/>
        <w:jc w:val="both"/>
        <w:rPr>
          <w:rFonts w:ascii="Calibri" w:hAnsi="Calibri" w:cs="FrankRuehl"/>
          <w:b/>
          <w:bCs/>
          <w:u w:val="single"/>
          <w:rtl/>
        </w:rPr>
      </w:pPr>
      <w:r w:rsidRPr="000E2B08">
        <w:rPr>
          <w:rFonts w:ascii="Calibri" w:hAnsi="Calibri" w:cs="FrankRuehl" w:hint="cs"/>
          <w:b/>
          <w:bCs/>
          <w:u w:val="single"/>
          <w:rtl/>
        </w:rPr>
        <w:t xml:space="preserve">קביעת מתחם הענישה </w:t>
      </w:r>
      <w:r w:rsidRPr="000E2B08">
        <w:rPr>
          <w:rFonts w:ascii="Calibri" w:hAnsi="Calibri" w:cs="FrankRuehl" w:hint="cs"/>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56A801FB" w14:textId="77777777" w:rsidR="000E2B08" w:rsidRPr="000E2B08" w:rsidRDefault="000E2B08" w:rsidP="000E2B08">
      <w:pPr>
        <w:spacing w:after="160" w:line="360" w:lineRule="auto"/>
        <w:jc w:val="both"/>
        <w:rPr>
          <w:rFonts w:ascii="Calibri" w:hAnsi="Calibri" w:cs="FrankRuehl"/>
          <w:b/>
          <w:bCs/>
          <w:u w:val="single"/>
          <w:rtl/>
        </w:rPr>
      </w:pPr>
    </w:p>
    <w:p w14:paraId="0660D90C"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u w:val="single"/>
          <w:rtl/>
        </w:rPr>
        <w:t xml:space="preserve">אשר לערך המוגן </w:t>
      </w:r>
      <w:r w:rsidRPr="000E2B08">
        <w:rPr>
          <w:rFonts w:ascii="Calibri" w:hAnsi="Calibri" w:cs="FrankRuehl" w:hint="cs"/>
          <w:rtl/>
        </w:rPr>
        <w:t>–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אך מובן כי שונה עניינו של צורך סמים מעניינו של סוחר סמים. בנוסף, מן הראוי להפנות לדברי כב' השופט עמית ב</w:t>
      </w:r>
      <w:hyperlink r:id="rId22" w:history="1">
        <w:r w:rsidR="00A536F3" w:rsidRPr="00A536F3">
          <w:rPr>
            <w:rFonts w:ascii="Calibri" w:hAnsi="Calibri" w:cs="FrankRuehl" w:hint="eastAsia"/>
            <w:color w:val="0000FF"/>
            <w:u w:val="single"/>
            <w:rtl/>
          </w:rPr>
          <w:t>ע</w:t>
        </w:r>
        <w:r w:rsidR="00A536F3" w:rsidRPr="00A536F3">
          <w:rPr>
            <w:rFonts w:ascii="Calibri" w:hAnsi="Calibri" w:cs="FrankRuehl"/>
            <w:color w:val="0000FF"/>
            <w:u w:val="single"/>
            <w:rtl/>
          </w:rPr>
          <w:t>"</w:t>
        </w:r>
        <w:r w:rsidR="00A536F3" w:rsidRPr="00A536F3">
          <w:rPr>
            <w:rFonts w:ascii="Calibri" w:hAnsi="Calibri" w:cs="FrankRuehl" w:hint="eastAsia"/>
            <w:color w:val="0000FF"/>
            <w:u w:val="single"/>
            <w:rtl/>
          </w:rPr>
          <w:t>פ</w:t>
        </w:r>
        <w:r w:rsidR="00A536F3" w:rsidRPr="00A536F3">
          <w:rPr>
            <w:rFonts w:ascii="Calibri" w:hAnsi="Calibri" w:cs="FrankRuehl"/>
            <w:color w:val="0000FF"/>
            <w:u w:val="single"/>
            <w:rtl/>
          </w:rPr>
          <w:t xml:space="preserve"> 2596/18</w:t>
        </w:r>
      </w:hyperlink>
      <w:r w:rsidRPr="000E2B08">
        <w:rPr>
          <w:rFonts w:ascii="Calibri" w:hAnsi="Calibri" w:cs="FrankRuehl" w:hint="cs"/>
          <w:rtl/>
        </w:rPr>
        <w:t xml:space="preserve"> </w:t>
      </w:r>
      <w:r w:rsidRPr="000E2B08">
        <w:rPr>
          <w:rFonts w:ascii="Calibri" w:hAnsi="Calibri" w:cs="FrankRuehl" w:hint="cs"/>
          <w:b/>
          <w:bCs/>
          <w:u w:val="single"/>
          <w:rtl/>
        </w:rPr>
        <w:t>זנזורי</w:t>
      </w:r>
      <w:r w:rsidRPr="000E2B08">
        <w:rPr>
          <w:rFonts w:ascii="Calibri" w:hAnsi="Calibri" w:cs="FrankRuehl" w:hint="cs"/>
          <w:rtl/>
        </w:rPr>
        <w:t xml:space="preserve"> נ' </w:t>
      </w:r>
      <w:r w:rsidRPr="000E2B08">
        <w:rPr>
          <w:rFonts w:ascii="Calibri" w:hAnsi="Calibri" w:cs="FrankRuehl" w:hint="cs"/>
          <w:b/>
          <w:bCs/>
          <w:u w:val="single"/>
          <w:rtl/>
        </w:rPr>
        <w:t>מ"י</w:t>
      </w:r>
      <w:r w:rsidRPr="000E2B08">
        <w:rPr>
          <w:rFonts w:ascii="Calibri" w:hAnsi="Calibri" w:cs="FrankRuehl" w:hint="cs"/>
          <w:rtl/>
        </w:rPr>
        <w:t xml:space="preserve"> (מיום 12.8.2018) בפסקה 8: </w:t>
      </w:r>
    </w:p>
    <w:p w14:paraId="4C735330" w14:textId="77777777" w:rsidR="000E2B08" w:rsidRPr="000E2B08" w:rsidRDefault="000E2B08" w:rsidP="000E2B08">
      <w:pPr>
        <w:ind w:left="851" w:right="851"/>
        <w:jc w:val="both"/>
        <w:rPr>
          <w:rFonts w:ascii="Calibri" w:hAnsi="Calibri" w:cs="FrankRuehl"/>
          <w:rtl/>
        </w:rPr>
      </w:pPr>
      <w:r w:rsidRPr="000E2B08">
        <w:rPr>
          <w:rFonts w:ascii="Calibri" w:hAnsi="Calibri" w:cs="FrankRuehl" w:hint="cs"/>
          <w:rtl/>
        </w:rPr>
        <w:t>"לפני סיום, ארשום הערת אזהרה לפני הצרכנים והמשתמשים.</w:t>
      </w:r>
    </w:p>
    <w:p w14:paraId="7F4B2A41" w14:textId="77777777" w:rsidR="000E2B08" w:rsidRPr="000E2B08" w:rsidRDefault="000E2B08" w:rsidP="000E2B08">
      <w:pPr>
        <w:ind w:left="851" w:right="851"/>
        <w:jc w:val="both"/>
        <w:rPr>
          <w:rFonts w:ascii="Calibri" w:hAnsi="Calibri" w:cs="FrankRuehl"/>
          <w:rtl/>
        </w:rPr>
      </w:pPr>
      <w:r w:rsidRPr="000E2B08">
        <w:rPr>
          <w:rFonts w:ascii="Calibri" w:hAnsi="Calibri" w:cs="FrankRuehl" w:hint="cs"/>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שהגם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רבה עבירות של סחר והפצה של סמים מסוכנים, גם סמים "קלים", תוך הטלת ענישה משמעותית ומרתיעה. צרכנים ומשתמשים – ראו הוזהרתם".</w:t>
      </w:r>
    </w:p>
    <w:p w14:paraId="01A10D4F" w14:textId="77777777" w:rsidR="000E2B08" w:rsidRPr="000E2B08" w:rsidRDefault="000E2B08" w:rsidP="000E2B08">
      <w:pPr>
        <w:spacing w:after="160" w:line="360" w:lineRule="auto"/>
        <w:ind w:left="851" w:right="851"/>
        <w:jc w:val="both"/>
        <w:rPr>
          <w:rFonts w:ascii="Calibri" w:hAnsi="Calibri" w:cs="FrankRuehl"/>
          <w:rtl/>
        </w:rPr>
      </w:pPr>
    </w:p>
    <w:p w14:paraId="1A882F66"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u w:val="single"/>
          <w:rtl/>
        </w:rPr>
        <w:t xml:space="preserve">נסיבות הקשורות בביצוע העבירה, לפי </w:t>
      </w:r>
      <w:hyperlink r:id="rId23" w:history="1">
        <w:r w:rsidR="00D84D99" w:rsidRPr="00D84D99">
          <w:rPr>
            <w:rFonts w:ascii="Calibri" w:hAnsi="Calibri" w:cs="FrankRuehl" w:hint="eastAsia"/>
            <w:b/>
            <w:bCs/>
            <w:color w:val="0000FF"/>
            <w:u w:val="single"/>
            <w:rtl/>
          </w:rPr>
          <w:t>סעיף</w:t>
        </w:r>
        <w:r w:rsidR="00D84D99" w:rsidRPr="00D84D99">
          <w:rPr>
            <w:rFonts w:ascii="Calibri" w:hAnsi="Calibri" w:cs="FrankRuehl"/>
            <w:b/>
            <w:bCs/>
            <w:color w:val="0000FF"/>
            <w:u w:val="single"/>
            <w:rtl/>
          </w:rPr>
          <w:t xml:space="preserve"> 40</w:t>
        </w:r>
        <w:r w:rsidR="00D84D99" w:rsidRPr="00D84D99">
          <w:rPr>
            <w:rFonts w:ascii="Calibri" w:hAnsi="Calibri" w:cs="FrankRuehl" w:hint="eastAsia"/>
            <w:b/>
            <w:bCs/>
            <w:color w:val="0000FF"/>
            <w:u w:val="single"/>
            <w:rtl/>
          </w:rPr>
          <w:t>ט</w:t>
        </w:r>
        <w:r w:rsidR="00D84D99" w:rsidRPr="00D84D99">
          <w:rPr>
            <w:rFonts w:ascii="Calibri" w:hAnsi="Calibri" w:cs="FrankRuehl"/>
            <w:b/>
            <w:bCs/>
            <w:color w:val="0000FF"/>
            <w:u w:val="single"/>
            <w:rtl/>
          </w:rPr>
          <w:t>'</w:t>
        </w:r>
      </w:hyperlink>
      <w:r w:rsidRPr="000E2B08">
        <w:rPr>
          <w:rFonts w:ascii="Calibri" w:hAnsi="Calibri" w:cs="FrankRuehl" w:hint="cs"/>
          <w:b/>
          <w:bCs/>
          <w:u w:val="single"/>
          <w:rtl/>
        </w:rPr>
        <w:t xml:space="preserve"> ל</w:t>
      </w:r>
      <w:hyperlink r:id="rId24" w:history="1">
        <w:r w:rsidR="00A536F3" w:rsidRPr="00A536F3">
          <w:rPr>
            <w:rFonts w:ascii="Calibri" w:hAnsi="Calibri" w:cs="FrankRuehl" w:hint="eastAsia"/>
            <w:b/>
            <w:bCs/>
            <w:color w:val="0000FF"/>
            <w:u w:val="single"/>
            <w:rtl/>
          </w:rPr>
          <w:t>חוק</w:t>
        </w:r>
        <w:r w:rsidR="00A536F3" w:rsidRPr="00A536F3">
          <w:rPr>
            <w:rFonts w:ascii="Calibri" w:hAnsi="Calibri" w:cs="FrankRuehl"/>
            <w:b/>
            <w:bCs/>
            <w:color w:val="0000FF"/>
            <w:u w:val="single"/>
            <w:rtl/>
          </w:rPr>
          <w:t xml:space="preserve"> </w:t>
        </w:r>
        <w:r w:rsidR="00A536F3" w:rsidRPr="00A536F3">
          <w:rPr>
            <w:rFonts w:ascii="Calibri" w:hAnsi="Calibri" w:cs="FrankRuehl" w:hint="eastAsia"/>
            <w:b/>
            <w:bCs/>
            <w:color w:val="0000FF"/>
            <w:u w:val="single"/>
            <w:rtl/>
          </w:rPr>
          <w:t>העונשין</w:t>
        </w:r>
      </w:hyperlink>
      <w:r w:rsidRPr="000E2B08">
        <w:rPr>
          <w:rFonts w:ascii="Calibri" w:hAnsi="Calibri" w:cs="FrankRuehl" w:hint="cs"/>
          <w:b/>
          <w:bCs/>
          <w:rtl/>
        </w:rPr>
        <w:t xml:space="preserve"> – </w:t>
      </w:r>
      <w:r w:rsidRPr="000E2B08">
        <w:rPr>
          <w:rFonts w:ascii="Calibri" w:hAnsi="Calibri" w:cs="FrankRuehl" w:hint="cs"/>
          <w:rtl/>
        </w:rPr>
        <w:t xml:space="preserve">בין הנסיבות הקשורות בביצוע העבירה יש לשקול את אלה, לעניין קביעת המתחם: מדובר בעבירות מתוכננות המבוצעות על-גבי פלטפורמה תקשורתית מתקדמת המאפשרת ביצוען בקלות ובחשאיות; אם בחלק מהאישומים הנאשם הכיר את הצרכנים, וניתן לייחס זאת לצריכה "חברתית", הרי שבאישומים אחרים הנאשם סחר ותיווך ביחס לצרכנים שלא הכיר, כשאין הסבר אחר מלבד שאיפה לקבלת רווח כספי בשל הסחר; הנזק מביצוע עבירות סמים ידוע, ובוודאי שהנזק הרוחבי הנגרם ממכירת סמים לכל אדם הוא קשה; הנאשם אדם צעיר אמנם, אך הוא בגיר, בשנות העשרים לחייו, והיה עליו לדעת כי מעשיו אינם חוקיים; ככל שהדבר נוגע לשימוש עצמי, הרי שבשל בעיית ההתמכרות של הנאשם, קיים קושי מובנה להימנע משימוש בסמים. אלא שהמקרים המתוארים בכתב האישום נוגעים לשימוש בסמים שלא לצריכה עצמית, ואין להם נגיעה לעצם התמכרותו של הנאשם, אלא הם נוגעים, כאמור ברצון לעשיית רווח </w:t>
      </w:r>
      <w:r w:rsidRPr="000E2B08">
        <w:rPr>
          <w:rFonts w:ascii="Calibri" w:hAnsi="Calibri" w:cs="FrankRuehl"/>
          <w:rtl/>
        </w:rPr>
        <w:t>–</w:t>
      </w:r>
      <w:r w:rsidRPr="000E2B08">
        <w:rPr>
          <w:rFonts w:ascii="Calibri" w:hAnsi="Calibri" w:cs="FrankRuehl" w:hint="cs"/>
          <w:rtl/>
        </w:rPr>
        <w:t xml:space="preserve"> על כן חזקה שהנאשם ידע את הפסול שבמעשיו ויכול היה להימנע מהם.</w:t>
      </w:r>
    </w:p>
    <w:p w14:paraId="758F0929" w14:textId="77777777" w:rsidR="000E2B08" w:rsidRPr="000E2B08" w:rsidRDefault="000E2B08" w:rsidP="000E2B08">
      <w:pPr>
        <w:spacing w:after="160" w:line="360" w:lineRule="auto"/>
        <w:jc w:val="both"/>
        <w:rPr>
          <w:rFonts w:ascii="Calibri" w:hAnsi="Calibri" w:cs="FrankRuehl"/>
          <w:b/>
          <w:bCs/>
          <w:u w:val="single"/>
          <w:rtl/>
        </w:rPr>
      </w:pPr>
    </w:p>
    <w:p w14:paraId="0B5F5C93"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u w:val="single"/>
          <w:rtl/>
        </w:rPr>
        <w:t>מדיניות הענישה הנוהגת</w:t>
      </w:r>
      <w:r w:rsidRPr="000E2B08">
        <w:rPr>
          <w:rFonts w:ascii="Calibri" w:hAnsi="Calibri" w:cs="FrankRuehl" w:hint="cs"/>
          <w:b/>
          <w:bCs/>
          <w:rtl/>
        </w:rPr>
        <w:t xml:space="preserve"> – </w:t>
      </w:r>
      <w:r w:rsidRPr="000E2B08">
        <w:rPr>
          <w:rFonts w:ascii="Calibri" w:hAnsi="Calibri" w:cs="FrankRuehl" w:hint="cs"/>
          <w:rtl/>
        </w:rPr>
        <w:t xml:space="preserve">בעבירות סחר בסמים ישנה העדפה של האינטרס הציבורי ההרתעתי על-פני זה האישי של נאשם בביצוע עבירות מסוג זה. ברע"פ 3343/07 </w:t>
      </w:r>
      <w:r w:rsidRPr="000E2B08">
        <w:rPr>
          <w:rFonts w:ascii="Calibri" w:hAnsi="Calibri" w:cs="FrankRuehl" w:hint="cs"/>
          <w:b/>
          <w:bCs/>
          <w:u w:val="single"/>
          <w:rtl/>
        </w:rPr>
        <w:t>מכאוי</w:t>
      </w:r>
      <w:r w:rsidRPr="000E2B08">
        <w:rPr>
          <w:rFonts w:ascii="Calibri" w:hAnsi="Calibri" w:cs="FrankRuehl" w:hint="cs"/>
          <w:rtl/>
        </w:rPr>
        <w:t xml:space="preserve"> נ' </w:t>
      </w:r>
      <w:r w:rsidRPr="000E2B08">
        <w:rPr>
          <w:rFonts w:ascii="Calibri" w:hAnsi="Calibri" w:cs="FrankRuehl" w:hint="cs"/>
          <w:b/>
          <w:bCs/>
          <w:u w:val="single"/>
          <w:rtl/>
        </w:rPr>
        <w:t>מ"</w:t>
      </w:r>
      <w:r w:rsidRPr="000E2B08">
        <w:rPr>
          <w:rFonts w:ascii="Calibri" w:hAnsi="Calibri" w:cs="FrankRuehl" w:hint="cs"/>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 לצד זאת, שיקום מוצלח, לעולם יהווה שיקול, ואף שיקול משמעותי, בגזירת דינו של נאשם, כאשר יש לתת את הבכורה לעקרון האינדיבידואליות בענישה.</w:t>
      </w:r>
    </w:p>
    <w:p w14:paraId="646F3A35"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הכלל העולה מן הפסיקה הוא אכן מאסר, שיכול להגיע אף לתקופה דו-ספרתית. ב</w:t>
      </w:r>
      <w:hyperlink r:id="rId25" w:history="1">
        <w:r w:rsidR="00A536F3" w:rsidRPr="00A536F3">
          <w:rPr>
            <w:rFonts w:ascii="Calibri" w:hAnsi="Calibri" w:cs="FrankRuehl" w:hint="eastAsia"/>
            <w:color w:val="0000FF"/>
            <w:u w:val="single"/>
            <w:rtl/>
          </w:rPr>
          <w:t>רע</w:t>
        </w:r>
        <w:r w:rsidR="00A536F3" w:rsidRPr="00A536F3">
          <w:rPr>
            <w:rFonts w:ascii="Calibri" w:hAnsi="Calibri" w:cs="FrankRuehl"/>
            <w:color w:val="0000FF"/>
            <w:u w:val="single"/>
            <w:rtl/>
          </w:rPr>
          <w:t>"</w:t>
        </w:r>
        <w:r w:rsidR="00A536F3" w:rsidRPr="00A536F3">
          <w:rPr>
            <w:rFonts w:ascii="Calibri" w:hAnsi="Calibri" w:cs="FrankRuehl" w:hint="eastAsia"/>
            <w:color w:val="0000FF"/>
            <w:u w:val="single"/>
            <w:rtl/>
          </w:rPr>
          <w:t>פ</w:t>
        </w:r>
        <w:r w:rsidR="00A536F3" w:rsidRPr="00A536F3">
          <w:rPr>
            <w:rFonts w:ascii="Calibri" w:hAnsi="Calibri" w:cs="FrankRuehl"/>
            <w:color w:val="0000FF"/>
            <w:u w:val="single"/>
            <w:rtl/>
          </w:rPr>
          <w:t xml:space="preserve"> 5353/17</w:t>
        </w:r>
      </w:hyperlink>
      <w:r w:rsidRPr="000E2B08">
        <w:rPr>
          <w:rFonts w:ascii="Calibri" w:hAnsi="Calibri" w:cs="FrankRuehl" w:hint="cs"/>
          <w:rtl/>
        </w:rPr>
        <w:t xml:space="preserve"> </w:t>
      </w:r>
      <w:r w:rsidRPr="000E2B08">
        <w:rPr>
          <w:rFonts w:ascii="Calibri" w:hAnsi="Calibri" w:cs="FrankRuehl" w:hint="cs"/>
          <w:b/>
          <w:bCs/>
          <w:u w:val="single"/>
          <w:rtl/>
        </w:rPr>
        <w:t>טפרה</w:t>
      </w:r>
      <w:r w:rsidRPr="000E2B08">
        <w:rPr>
          <w:rFonts w:ascii="Calibri" w:hAnsi="Calibri" w:cs="FrankRuehl" w:hint="cs"/>
          <w:rtl/>
        </w:rPr>
        <w:t xml:space="preserve"> נ' </w:t>
      </w:r>
      <w:r w:rsidRPr="000E2B08">
        <w:rPr>
          <w:rFonts w:ascii="Calibri" w:hAnsi="Calibri" w:cs="FrankRuehl" w:hint="cs"/>
          <w:b/>
          <w:bCs/>
          <w:u w:val="single"/>
          <w:rtl/>
        </w:rPr>
        <w:t>מ"י</w:t>
      </w:r>
      <w:r w:rsidRPr="000E2B08">
        <w:rPr>
          <w:rFonts w:ascii="Calibri" w:hAnsi="Calibri" w:cs="FrankRuehl" w:hint="cs"/>
          <w:rtl/>
        </w:rPr>
        <w:t xml:space="preserve"> (מיום 18.9.2017) נגזר על נאשם עונש של 7 חודשי מאסר בפועל, שם דובר במספר עסקאות תיווך וסחר בקוקאין. נקבע מתחם שבין 4 ל-12 חודשים בגין התיווך ו-6 עד 18 חודשים בגין עסקאות הסחר; ב</w:t>
      </w:r>
      <w:hyperlink r:id="rId26" w:history="1">
        <w:r w:rsidR="00A536F3" w:rsidRPr="00A536F3">
          <w:rPr>
            <w:rFonts w:ascii="Calibri" w:hAnsi="Calibri" w:cs="FrankRuehl" w:hint="eastAsia"/>
            <w:color w:val="0000FF"/>
            <w:u w:val="single"/>
            <w:rtl/>
          </w:rPr>
          <w:t>רע</w:t>
        </w:r>
        <w:r w:rsidR="00A536F3" w:rsidRPr="00A536F3">
          <w:rPr>
            <w:rFonts w:ascii="Calibri" w:hAnsi="Calibri" w:cs="FrankRuehl"/>
            <w:color w:val="0000FF"/>
            <w:u w:val="single"/>
            <w:rtl/>
          </w:rPr>
          <w:t>"</w:t>
        </w:r>
        <w:r w:rsidR="00A536F3" w:rsidRPr="00A536F3">
          <w:rPr>
            <w:rFonts w:ascii="Calibri" w:hAnsi="Calibri" w:cs="FrankRuehl" w:hint="eastAsia"/>
            <w:color w:val="0000FF"/>
            <w:u w:val="single"/>
            <w:rtl/>
          </w:rPr>
          <w:t>פ</w:t>
        </w:r>
        <w:r w:rsidR="00A536F3" w:rsidRPr="00A536F3">
          <w:rPr>
            <w:rFonts w:ascii="Calibri" w:hAnsi="Calibri" w:cs="FrankRuehl"/>
            <w:color w:val="0000FF"/>
            <w:u w:val="single"/>
            <w:rtl/>
          </w:rPr>
          <w:t xml:space="preserve"> 1183/18</w:t>
        </w:r>
      </w:hyperlink>
      <w:r w:rsidRPr="000E2B08">
        <w:rPr>
          <w:rFonts w:ascii="Calibri" w:hAnsi="Calibri" w:cs="FrankRuehl" w:hint="cs"/>
          <w:rtl/>
        </w:rPr>
        <w:t xml:space="preserve"> </w:t>
      </w:r>
      <w:r w:rsidRPr="000E2B08">
        <w:rPr>
          <w:rFonts w:ascii="Calibri" w:hAnsi="Calibri" w:cs="FrankRuehl" w:hint="cs"/>
          <w:b/>
          <w:bCs/>
          <w:u w:val="single"/>
          <w:rtl/>
        </w:rPr>
        <w:t>ששון</w:t>
      </w:r>
      <w:r w:rsidRPr="000E2B08">
        <w:rPr>
          <w:rFonts w:ascii="Calibri" w:hAnsi="Calibri" w:cs="FrankRuehl" w:hint="cs"/>
          <w:rtl/>
        </w:rPr>
        <w:t xml:space="preserve"> נ' </w:t>
      </w:r>
      <w:r w:rsidRPr="000E2B08">
        <w:rPr>
          <w:rFonts w:ascii="Calibri" w:hAnsi="Calibri" w:cs="FrankRuehl" w:hint="cs"/>
          <w:b/>
          <w:bCs/>
          <w:u w:val="single"/>
          <w:rtl/>
        </w:rPr>
        <w:t>מ"י</w:t>
      </w:r>
      <w:r w:rsidRPr="000E2B08">
        <w:rPr>
          <w:rFonts w:ascii="Calibri" w:hAnsi="Calibri" w:cs="FrankRuehl" w:hint="cs"/>
          <w:rtl/>
        </w:rPr>
        <w:t xml:space="preserve"> (מיום 21.3.2018) אושר מתחם שבין מספר חודשי מאסר לרבות עבודות שירות ועד 12 חודשים בנסיבות של עסקאות סמים מסוג </w:t>
      </w:r>
      <w:r w:rsidRPr="000E2B08">
        <w:rPr>
          <w:rFonts w:ascii="Calibri" w:hAnsi="Calibri" w:cs="FrankRuehl" w:hint="cs"/>
        </w:rPr>
        <w:t>L</w:t>
      </w:r>
      <w:r w:rsidRPr="000E2B08">
        <w:rPr>
          <w:rFonts w:ascii="Calibri" w:hAnsi="Calibri" w:cs="FrankRuehl"/>
        </w:rPr>
        <w:t>SD</w:t>
      </w:r>
      <w:r w:rsidRPr="000E2B08">
        <w:rPr>
          <w:rFonts w:ascii="Calibri" w:hAnsi="Calibri" w:cs="FrankRuehl" w:hint="cs"/>
          <w:rtl/>
        </w:rPr>
        <w:t>. שם נגזרו 5 חודשי עבודות שירות על הנאשם, ללא עבר פלילי ששירות המבחן מסר המלצה חיובית בעניינו; ב</w:t>
      </w:r>
      <w:hyperlink r:id="rId27" w:history="1">
        <w:r w:rsidR="00A536F3" w:rsidRPr="00A536F3">
          <w:rPr>
            <w:rFonts w:ascii="Calibri" w:hAnsi="Calibri" w:cs="FrankRuehl" w:hint="eastAsia"/>
            <w:color w:val="0000FF"/>
            <w:u w:val="single"/>
            <w:rtl/>
          </w:rPr>
          <w:t>רע</w:t>
        </w:r>
        <w:r w:rsidR="00A536F3" w:rsidRPr="00A536F3">
          <w:rPr>
            <w:rFonts w:ascii="Calibri" w:hAnsi="Calibri" w:cs="FrankRuehl"/>
            <w:color w:val="0000FF"/>
            <w:u w:val="single"/>
            <w:rtl/>
          </w:rPr>
          <w:t>"</w:t>
        </w:r>
        <w:r w:rsidR="00A536F3" w:rsidRPr="00A536F3">
          <w:rPr>
            <w:rFonts w:ascii="Calibri" w:hAnsi="Calibri" w:cs="FrankRuehl" w:hint="eastAsia"/>
            <w:color w:val="0000FF"/>
            <w:u w:val="single"/>
            <w:rtl/>
          </w:rPr>
          <w:t>פ</w:t>
        </w:r>
        <w:r w:rsidR="00A536F3" w:rsidRPr="00A536F3">
          <w:rPr>
            <w:rFonts w:ascii="Calibri" w:hAnsi="Calibri" w:cs="FrankRuehl"/>
            <w:color w:val="0000FF"/>
            <w:u w:val="single"/>
            <w:rtl/>
          </w:rPr>
          <w:t xml:space="preserve"> 7675/13</w:t>
        </w:r>
      </w:hyperlink>
      <w:r w:rsidRPr="000E2B08">
        <w:rPr>
          <w:rFonts w:ascii="Calibri" w:hAnsi="Calibri" w:cs="FrankRuehl" w:hint="cs"/>
          <w:rtl/>
        </w:rPr>
        <w:t xml:space="preserve"> </w:t>
      </w:r>
      <w:r w:rsidRPr="000E2B08">
        <w:rPr>
          <w:rFonts w:ascii="Calibri" w:hAnsi="Calibri" w:cs="FrankRuehl" w:hint="cs"/>
          <w:b/>
          <w:bCs/>
          <w:u w:val="single"/>
          <w:rtl/>
        </w:rPr>
        <w:t>סעאפין</w:t>
      </w:r>
      <w:r w:rsidRPr="000E2B08">
        <w:rPr>
          <w:rFonts w:ascii="Calibri" w:hAnsi="Calibri" w:cs="FrankRuehl" w:hint="cs"/>
          <w:rtl/>
        </w:rPr>
        <w:t xml:space="preserve"> נ' </w:t>
      </w:r>
      <w:r w:rsidRPr="000E2B08">
        <w:rPr>
          <w:rFonts w:ascii="Calibri" w:hAnsi="Calibri" w:cs="FrankRuehl" w:hint="cs"/>
          <w:b/>
          <w:bCs/>
          <w:u w:val="single"/>
          <w:rtl/>
        </w:rPr>
        <w:t>מ"י</w:t>
      </w:r>
      <w:r w:rsidRPr="000E2B08">
        <w:rPr>
          <w:rFonts w:ascii="Calibri" w:hAnsi="Calibri" w:cs="FrankRuehl" w:hint="cs"/>
          <w:rtl/>
        </w:rPr>
        <w:t xml:space="preserve"> (מום 26.1.2014) נגזרו 11 חודשי מאסר על מי שסחר בסמים מסוג קנביס במספר רב של הזדמנויות, נתפסו אצלו כ-300 גרם קנביס וכן כדורי </w:t>
      </w:r>
      <w:r w:rsidRPr="000E2B08">
        <w:rPr>
          <w:rFonts w:ascii="Calibri" w:hAnsi="Calibri" w:cs="FrankRuehl" w:hint="cs"/>
        </w:rPr>
        <w:t>MDMA</w:t>
      </w:r>
      <w:r w:rsidRPr="000E2B08">
        <w:rPr>
          <w:rFonts w:ascii="Calibri" w:hAnsi="Calibri" w:cs="FrankRuehl" w:hint="cs"/>
          <w:rtl/>
        </w:rPr>
        <w:t xml:space="preserve">, וזאת על בסיס מתחם שבין 8 ל-24 חודשים. </w:t>
      </w:r>
    </w:p>
    <w:p w14:paraId="1A18F60C" w14:textId="77777777" w:rsidR="000E2B08" w:rsidRPr="000E2B08" w:rsidRDefault="000E2B08" w:rsidP="000E2B08">
      <w:pPr>
        <w:spacing w:after="160" w:line="360" w:lineRule="auto"/>
        <w:jc w:val="both"/>
        <w:rPr>
          <w:rFonts w:ascii="Calibri" w:hAnsi="Calibri" w:cs="FrankRuehl"/>
          <w:b/>
          <w:bCs/>
          <w:u w:val="single"/>
          <w:rtl/>
        </w:rPr>
      </w:pPr>
    </w:p>
    <w:p w14:paraId="4AA3E853"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u w:val="single"/>
          <w:rtl/>
        </w:rPr>
        <w:t>מתחם הענישה</w:t>
      </w:r>
      <w:r w:rsidRPr="000E2B08">
        <w:rPr>
          <w:rFonts w:ascii="Calibri" w:hAnsi="Calibri" w:cs="FrankRuehl" w:hint="cs"/>
          <w:rtl/>
        </w:rPr>
        <w:t xml:space="preserve"> – </w:t>
      </w:r>
      <w:r w:rsidRPr="000E2B08">
        <w:rPr>
          <w:rFonts w:ascii="Calibri" w:hAnsi="Calibri" w:cs="FrankRuehl" w:hint="cs"/>
          <w:b/>
          <w:bCs/>
          <w:rtl/>
        </w:rPr>
        <w:t>ראשית</w:t>
      </w:r>
      <w:r w:rsidRPr="000E2B08">
        <w:rPr>
          <w:rFonts w:ascii="Calibri" w:hAnsi="Calibri" w:cs="FrankRuehl" w:hint="cs"/>
          <w:rtl/>
        </w:rPr>
        <w:t>, לא ניתן לקבוע מתחם אחד לכלל העבירות בשל נסיבותיהן השונות.</w:t>
      </w:r>
    </w:p>
    <w:p w14:paraId="0D149A50"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rtl/>
        </w:rPr>
        <w:t>שנית</w:t>
      </w:r>
      <w:r w:rsidRPr="000E2B08">
        <w:rPr>
          <w:rFonts w:ascii="Calibri" w:hAnsi="Calibri" w:cs="FrankRuehl" w:hint="cs"/>
          <w:rtl/>
        </w:rPr>
        <w:t>, לנוכח מכלול השיקולים שפורטו לעיל, אני קובע את מתחמי הענישה הבאים:</w:t>
      </w:r>
    </w:p>
    <w:p w14:paraId="6A70A096"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rtl/>
        </w:rPr>
        <w:t>אשר לאישום הראשון</w:t>
      </w:r>
      <w:r w:rsidRPr="000E2B08">
        <w:rPr>
          <w:rFonts w:ascii="Calibri" w:hAnsi="Calibri" w:cs="FrankRuehl" w:hint="cs"/>
          <w:rtl/>
        </w:rPr>
        <w:t>, מתחם שבין 4 ל-10 חודשי מאסר;</w:t>
      </w:r>
    </w:p>
    <w:p w14:paraId="7DCD9D2A"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rtl/>
        </w:rPr>
        <w:t>אשר לאישומים השלישי והחמישי</w:t>
      </w:r>
      <w:r w:rsidRPr="000E2B08">
        <w:rPr>
          <w:rFonts w:ascii="Calibri" w:hAnsi="Calibri" w:cs="FrankRuehl" w:hint="cs"/>
          <w:rtl/>
        </w:rPr>
        <w:t xml:space="preserve">, שם דובר בסחר עם אנשים אותם הכיר הנאשם הכרות מוקדמת </w:t>
      </w:r>
      <w:r w:rsidRPr="000E2B08">
        <w:rPr>
          <w:rFonts w:ascii="Calibri" w:hAnsi="Calibri" w:cs="FrankRuehl"/>
          <w:rtl/>
        </w:rPr>
        <w:t>–</w:t>
      </w:r>
      <w:r w:rsidRPr="000E2B08">
        <w:rPr>
          <w:rFonts w:ascii="Calibri" w:hAnsi="Calibri" w:cs="FrankRuehl" w:hint="cs"/>
          <w:rtl/>
        </w:rPr>
        <w:t xml:space="preserve"> קובע מתחם שבין 3 ל-6 חודשי מאסר עבור כל אחד מהם;</w:t>
      </w:r>
    </w:p>
    <w:p w14:paraId="54134C11"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rtl/>
        </w:rPr>
        <w:t>אשר לאישומים השביעי, השמיני והתשיעי</w:t>
      </w:r>
      <w:r w:rsidRPr="000E2B08">
        <w:rPr>
          <w:rFonts w:ascii="Calibri" w:hAnsi="Calibri" w:cs="FrankRuehl" w:hint="cs"/>
          <w:rtl/>
        </w:rPr>
        <w:t xml:space="preserve"> </w:t>
      </w:r>
      <w:r w:rsidRPr="000E2B08">
        <w:rPr>
          <w:rFonts w:ascii="Calibri" w:hAnsi="Calibri" w:cs="FrankRuehl"/>
          <w:rtl/>
        </w:rPr>
        <w:t>–</w:t>
      </w:r>
      <w:r w:rsidRPr="000E2B08">
        <w:rPr>
          <w:rFonts w:ascii="Calibri" w:hAnsi="Calibri" w:cs="FrankRuehl" w:hint="cs"/>
          <w:rtl/>
        </w:rPr>
        <w:t xml:space="preserve"> שם אין מדובר בסחר עם אנשים קרובים - קובע מתחם שבין 6 ל-12 חודשי מאסר עבור כל אחד מהם.</w:t>
      </w:r>
    </w:p>
    <w:p w14:paraId="035A131A" w14:textId="77777777" w:rsidR="000E2B08" w:rsidRPr="000E2B08" w:rsidRDefault="000E2B08" w:rsidP="000E2B08">
      <w:pPr>
        <w:spacing w:after="160" w:line="360" w:lineRule="auto"/>
        <w:jc w:val="both"/>
        <w:rPr>
          <w:rFonts w:ascii="Calibri" w:hAnsi="Calibri" w:cs="FrankRuehl"/>
          <w:b/>
          <w:bCs/>
          <w:u w:val="single"/>
          <w:rtl/>
        </w:rPr>
      </w:pPr>
    </w:p>
    <w:p w14:paraId="319B87A4"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b/>
          <w:bCs/>
          <w:u w:val="single"/>
          <w:rtl/>
        </w:rPr>
        <w:t xml:space="preserve">נסיבות שאינן קשורות בביצוע העבירה לפי </w:t>
      </w:r>
      <w:hyperlink r:id="rId28" w:history="1">
        <w:r w:rsidR="00D84D99" w:rsidRPr="00D84D99">
          <w:rPr>
            <w:rFonts w:ascii="Calibri" w:hAnsi="Calibri" w:cs="FrankRuehl" w:hint="eastAsia"/>
            <w:b/>
            <w:bCs/>
            <w:color w:val="0000FF"/>
            <w:u w:val="single"/>
            <w:rtl/>
          </w:rPr>
          <w:t>סעיף</w:t>
        </w:r>
        <w:r w:rsidR="00D84D99" w:rsidRPr="00D84D99">
          <w:rPr>
            <w:rFonts w:ascii="Calibri" w:hAnsi="Calibri" w:cs="FrankRuehl"/>
            <w:b/>
            <w:bCs/>
            <w:color w:val="0000FF"/>
            <w:u w:val="single"/>
            <w:rtl/>
          </w:rPr>
          <w:t xml:space="preserve"> 40</w:t>
        </w:r>
        <w:r w:rsidR="00D84D99" w:rsidRPr="00D84D99">
          <w:rPr>
            <w:rFonts w:ascii="Calibri" w:hAnsi="Calibri" w:cs="FrankRuehl" w:hint="eastAsia"/>
            <w:b/>
            <w:bCs/>
            <w:color w:val="0000FF"/>
            <w:u w:val="single"/>
            <w:rtl/>
          </w:rPr>
          <w:t>י</w:t>
        </w:r>
        <w:r w:rsidR="00D84D99" w:rsidRPr="00D84D99">
          <w:rPr>
            <w:rFonts w:ascii="Calibri" w:hAnsi="Calibri" w:cs="FrankRuehl"/>
            <w:b/>
            <w:bCs/>
            <w:color w:val="0000FF"/>
            <w:u w:val="single"/>
            <w:rtl/>
          </w:rPr>
          <w:t>"</w:t>
        </w:r>
        <w:r w:rsidR="00D84D99" w:rsidRPr="00D84D99">
          <w:rPr>
            <w:rFonts w:ascii="Calibri" w:hAnsi="Calibri" w:cs="FrankRuehl" w:hint="eastAsia"/>
            <w:b/>
            <w:bCs/>
            <w:color w:val="0000FF"/>
            <w:u w:val="single"/>
            <w:rtl/>
          </w:rPr>
          <w:t>א</w:t>
        </w:r>
      </w:hyperlink>
      <w:r w:rsidRPr="000E2B08">
        <w:rPr>
          <w:rFonts w:ascii="Calibri" w:hAnsi="Calibri" w:cs="FrankRuehl" w:hint="cs"/>
          <w:b/>
          <w:bCs/>
          <w:u w:val="single"/>
          <w:rtl/>
        </w:rPr>
        <w:t xml:space="preserve"> ל</w:t>
      </w:r>
      <w:hyperlink r:id="rId29" w:history="1">
        <w:r w:rsidR="00A536F3" w:rsidRPr="00A536F3">
          <w:rPr>
            <w:rFonts w:ascii="Calibri" w:hAnsi="Calibri" w:cs="FrankRuehl" w:hint="eastAsia"/>
            <w:b/>
            <w:bCs/>
            <w:color w:val="0000FF"/>
            <w:u w:val="single"/>
            <w:rtl/>
          </w:rPr>
          <w:t>חוק</w:t>
        </w:r>
        <w:r w:rsidR="00A536F3" w:rsidRPr="00A536F3">
          <w:rPr>
            <w:rFonts w:ascii="Calibri" w:hAnsi="Calibri" w:cs="FrankRuehl"/>
            <w:b/>
            <w:bCs/>
            <w:color w:val="0000FF"/>
            <w:u w:val="single"/>
            <w:rtl/>
          </w:rPr>
          <w:t xml:space="preserve"> </w:t>
        </w:r>
        <w:r w:rsidR="00A536F3" w:rsidRPr="00A536F3">
          <w:rPr>
            <w:rFonts w:ascii="Calibri" w:hAnsi="Calibri" w:cs="FrankRuehl" w:hint="eastAsia"/>
            <w:b/>
            <w:bCs/>
            <w:color w:val="0000FF"/>
            <w:u w:val="single"/>
            <w:rtl/>
          </w:rPr>
          <w:t>העונשין</w:t>
        </w:r>
      </w:hyperlink>
      <w:r w:rsidRPr="000E2B08">
        <w:rPr>
          <w:rFonts w:ascii="Calibri" w:hAnsi="Calibri" w:cs="FrankRuehl" w:hint="cs"/>
          <w:b/>
          <w:bCs/>
          <w:rtl/>
        </w:rPr>
        <w:t xml:space="preserve"> – </w:t>
      </w:r>
      <w:r w:rsidRPr="000E2B08">
        <w:rPr>
          <w:rFonts w:ascii="Calibri" w:hAnsi="Calibri" w:cs="FrankRuehl" w:hint="cs"/>
          <w:rtl/>
        </w:rPr>
        <w:t xml:space="preserve">ניתן  לתת משקל לנסיבות הבאות שאינן קשורות בביצוע העבירה, במסגרת גזירת העונש בתוך המתחם: הנאשם מעולם לא ריצה עונש מאסר ושליחתו למאסר תהא בלתי מדתית (ריצה ימים ספורים במקביל למעצרו בתיק זה בתיק בית הדין הצבאי), ועלולה לדרדר אותו שוב לעולם הסמים; הנאשם נמצא בתחילת דרכו הבוגרת, לאחר נסיבות חיים לא קלות ולאחר שתרם למדינה במסגרת שירותו הצבאי הכמעט מלא; הנאשם שהה במעצר ממש כחודשיים טרם השתלב בתהליך הטיפולי; הנאשם נטל אחריות מלאה וכנה למעשיו; הנאשם נרתם לטיפול ארוך, והגם שזה ידע עליות וירידות, הוא התמיד בו ורכש כלים להמשך חייו; עברו הפלילי של הנאשם מתקופת היותו נער, וגם אם עבירות שעבר כנער הן חמורות, הרי שמאז חלף זמן רב, וממילא ההליכים הסתיימו בדרכי טיפול. </w:t>
      </w:r>
    </w:p>
    <w:p w14:paraId="36AF6516" w14:textId="77777777" w:rsidR="000E2B08" w:rsidRPr="000E2B08" w:rsidRDefault="000E2B08" w:rsidP="000E2B08">
      <w:pPr>
        <w:spacing w:after="160" w:line="360" w:lineRule="auto"/>
        <w:jc w:val="both"/>
        <w:rPr>
          <w:rFonts w:ascii="Calibri" w:hAnsi="Calibri" w:cs="FrankRuehl"/>
          <w:b/>
          <w:bCs/>
          <w:u w:val="single"/>
          <w:rtl/>
        </w:rPr>
      </w:pPr>
    </w:p>
    <w:p w14:paraId="01C5D3EA" w14:textId="77777777" w:rsidR="000E2B08" w:rsidRPr="000E2B08" w:rsidRDefault="000E2B08" w:rsidP="000E2B08">
      <w:pPr>
        <w:spacing w:after="160" w:line="360" w:lineRule="auto"/>
        <w:jc w:val="both"/>
        <w:rPr>
          <w:rFonts w:ascii="Calibri" w:hAnsi="Calibri" w:cs="FrankRuehl"/>
        </w:rPr>
      </w:pPr>
      <w:r w:rsidRPr="000E2B08">
        <w:rPr>
          <w:rFonts w:ascii="Calibri" w:hAnsi="Calibri" w:cs="FrankRuehl" w:hint="cs"/>
          <w:b/>
          <w:bCs/>
          <w:u w:val="single"/>
          <w:rtl/>
        </w:rPr>
        <w:t>המיקום במתחם</w:t>
      </w:r>
      <w:r w:rsidRPr="000E2B08">
        <w:rPr>
          <w:rFonts w:ascii="Calibri" w:hAnsi="Calibri" w:cs="FrankRuehl" w:hint="cs"/>
          <w:rtl/>
        </w:rPr>
        <w:t xml:space="preserve"> </w:t>
      </w:r>
      <w:r w:rsidRPr="000E2B08">
        <w:rPr>
          <w:rFonts w:ascii="Calibri" w:hAnsi="Calibri" w:cs="FrankRuehl"/>
          <w:rtl/>
        </w:rPr>
        <w:t>–</w:t>
      </w:r>
      <w:r w:rsidRPr="000E2B08">
        <w:rPr>
          <w:rFonts w:ascii="Calibri" w:hAnsi="Calibri" w:cs="FrankRuehl" w:hint="cs"/>
          <w:rtl/>
        </w:rPr>
        <w:t xml:space="preserve"> אלמלא שיקולי השיקום, היה מקום למקם את הנאשם באמצע המתחם ולהטיל עליו עונש מאסר ממש לתקופה חד-ספרתית ברף הגבוה. אלא שלדעתי, יש מקום לחרוג ממתחם הענישה בעניינו של הנאשם, משיקולי שיקום, כמצוות </w:t>
      </w:r>
      <w:hyperlink r:id="rId30" w:history="1">
        <w:r w:rsidR="00D84D99" w:rsidRPr="00D84D99">
          <w:rPr>
            <w:rFonts w:ascii="Calibri" w:hAnsi="Calibri" w:cs="FrankRuehl" w:hint="eastAsia"/>
            <w:color w:val="0000FF"/>
            <w:u w:val="single"/>
            <w:rtl/>
          </w:rPr>
          <w:t>סעיף</w:t>
        </w:r>
        <w:r w:rsidR="00D84D99" w:rsidRPr="00D84D99">
          <w:rPr>
            <w:rFonts w:ascii="Calibri" w:hAnsi="Calibri" w:cs="FrankRuehl"/>
            <w:color w:val="0000FF"/>
            <w:u w:val="single"/>
            <w:rtl/>
          </w:rPr>
          <w:t xml:space="preserve"> 40</w:t>
        </w:r>
        <w:r w:rsidR="00D84D99" w:rsidRPr="00D84D99">
          <w:rPr>
            <w:rFonts w:ascii="Calibri" w:hAnsi="Calibri" w:cs="FrankRuehl" w:hint="eastAsia"/>
            <w:color w:val="0000FF"/>
            <w:u w:val="single"/>
            <w:rtl/>
          </w:rPr>
          <w:t>ד</w:t>
        </w:r>
        <w:r w:rsidR="00D84D99" w:rsidRPr="00D84D99">
          <w:rPr>
            <w:rFonts w:ascii="Calibri" w:hAnsi="Calibri" w:cs="FrankRuehl"/>
            <w:color w:val="0000FF"/>
            <w:u w:val="single"/>
            <w:rtl/>
          </w:rPr>
          <w:t>'</w:t>
        </w:r>
      </w:hyperlink>
      <w:r w:rsidRPr="000E2B08">
        <w:rPr>
          <w:rFonts w:ascii="Calibri" w:hAnsi="Calibri" w:cs="FrankRuehl" w:hint="cs"/>
          <w:rtl/>
        </w:rPr>
        <w:t xml:space="preserve"> ל</w:t>
      </w:r>
      <w:hyperlink r:id="rId31" w:history="1">
        <w:r w:rsidR="00A536F3" w:rsidRPr="00A536F3">
          <w:rPr>
            <w:rFonts w:ascii="Calibri" w:hAnsi="Calibri" w:cs="FrankRuehl" w:hint="eastAsia"/>
            <w:color w:val="0000FF"/>
            <w:u w:val="single"/>
            <w:rtl/>
          </w:rPr>
          <w:t>חוק</w:t>
        </w:r>
        <w:r w:rsidR="00A536F3" w:rsidRPr="00A536F3">
          <w:rPr>
            <w:rFonts w:ascii="Calibri" w:hAnsi="Calibri" w:cs="FrankRuehl"/>
            <w:color w:val="0000FF"/>
            <w:u w:val="single"/>
            <w:rtl/>
          </w:rPr>
          <w:t xml:space="preserve"> </w:t>
        </w:r>
        <w:r w:rsidR="00A536F3" w:rsidRPr="00A536F3">
          <w:rPr>
            <w:rFonts w:ascii="Calibri" w:hAnsi="Calibri" w:cs="FrankRuehl" w:hint="eastAsia"/>
            <w:color w:val="0000FF"/>
            <w:u w:val="single"/>
            <w:rtl/>
          </w:rPr>
          <w:t>העונשין</w:t>
        </w:r>
      </w:hyperlink>
      <w:r w:rsidRPr="000E2B08">
        <w:rPr>
          <w:rFonts w:ascii="Calibri" w:hAnsi="Calibri" w:cs="FrankRuehl" w:hint="cs"/>
          <w:rtl/>
        </w:rPr>
        <w:t>.  אלא שלא ניתן לקבל את המלצת שירות המבחן להטלת עונש של"ץ, משום שעונש זה, אינו עומד בקנה אחד עם עקרון ההלימה. אינני מבקר את שירות המבחן, ששיקוליו שונים משל בית המשפט, מה-גם שעל בית המשפט לשקול שיקולי גמול, הרתעת היחיד והרתעת הרבים. כאמור, מדיניות הענישה הנוהגת, ברגיל, מסתכמת בענישה מאחורי סורג ובריח, אך עונש זה, אינו מתאים לנסיבותיו של העושה ולמסלול השיקום המרשים ביותר שעבר. לכן התוצאה הראויה היא הטלת מאסר לריצוי בעבודות שירות, תוך התחשבות בתקופת המעצר ממש שבו שהה הנאשם.</w:t>
      </w:r>
    </w:p>
    <w:p w14:paraId="1D5F6019" w14:textId="77777777" w:rsidR="000E2B08" w:rsidRPr="000E2B08" w:rsidRDefault="000E2B08" w:rsidP="000E2B08">
      <w:pPr>
        <w:spacing w:after="160" w:line="360" w:lineRule="auto"/>
        <w:jc w:val="both"/>
        <w:rPr>
          <w:rFonts w:ascii="Calibri" w:hAnsi="Calibri" w:cs="FrankRuehl"/>
          <w:b/>
          <w:bCs/>
          <w:u w:val="single"/>
          <w:rtl/>
        </w:rPr>
      </w:pPr>
    </w:p>
    <w:p w14:paraId="6EF65960" w14:textId="77777777" w:rsidR="000E2B08" w:rsidRPr="000E2B08" w:rsidRDefault="000E2B08" w:rsidP="000E2B08">
      <w:pPr>
        <w:spacing w:after="160" w:line="360" w:lineRule="auto"/>
        <w:jc w:val="both"/>
        <w:rPr>
          <w:rFonts w:ascii="Calibri" w:hAnsi="Calibri" w:cs="FrankRuehl"/>
          <w:b/>
          <w:bCs/>
          <w:u w:val="single"/>
          <w:rtl/>
        </w:rPr>
      </w:pPr>
      <w:r w:rsidRPr="000E2B08">
        <w:rPr>
          <w:rFonts w:ascii="Calibri" w:hAnsi="Calibri" w:cs="FrankRuehl" w:hint="cs"/>
          <w:b/>
          <w:bCs/>
          <w:u w:val="single"/>
          <w:rtl/>
        </w:rPr>
        <w:t>שיקולים לחריגה לקולא מן המתחם בשל שיקום</w:t>
      </w:r>
    </w:p>
    <w:p w14:paraId="7BCFB4DA" w14:textId="77777777" w:rsidR="000E2B08" w:rsidRPr="000E2B08" w:rsidRDefault="00D84D99" w:rsidP="000E2B08">
      <w:pPr>
        <w:spacing w:after="160" w:line="360" w:lineRule="auto"/>
        <w:jc w:val="both"/>
        <w:rPr>
          <w:rFonts w:ascii="Calibri" w:hAnsi="Calibri" w:cs="FrankRuehl"/>
          <w:rtl/>
        </w:rPr>
      </w:pPr>
      <w:hyperlink r:id="rId32" w:history="1">
        <w:r w:rsidRPr="00D84D99">
          <w:rPr>
            <w:rFonts w:ascii="Calibri" w:hAnsi="Calibri" w:cs="FrankRuehl" w:hint="eastAsia"/>
            <w:color w:val="0000FF"/>
            <w:u w:val="single"/>
            <w:rtl/>
          </w:rPr>
          <w:t>סעיף</w:t>
        </w:r>
        <w:r w:rsidRPr="00D84D99">
          <w:rPr>
            <w:rFonts w:ascii="Calibri" w:hAnsi="Calibri" w:cs="FrankRuehl"/>
            <w:color w:val="0000FF"/>
            <w:u w:val="single"/>
            <w:rtl/>
          </w:rPr>
          <w:t xml:space="preserve"> 40</w:t>
        </w:r>
        <w:r w:rsidRPr="00D84D99">
          <w:rPr>
            <w:rFonts w:ascii="Calibri" w:hAnsi="Calibri" w:cs="FrankRuehl" w:hint="eastAsia"/>
            <w:color w:val="0000FF"/>
            <w:u w:val="single"/>
            <w:rtl/>
          </w:rPr>
          <w:t>ד</w:t>
        </w:r>
        <w:r w:rsidRPr="00D84D99">
          <w:rPr>
            <w:rFonts w:ascii="Calibri" w:hAnsi="Calibri" w:cs="FrankRuehl"/>
            <w:color w:val="0000FF"/>
            <w:u w:val="single"/>
            <w:rtl/>
          </w:rPr>
          <w:t>'</w:t>
        </w:r>
      </w:hyperlink>
      <w:r w:rsidR="000E2B08" w:rsidRPr="000E2B08">
        <w:rPr>
          <w:rFonts w:ascii="Calibri" w:hAnsi="Calibri" w:cs="FrankRuehl" w:hint="cs"/>
          <w:rtl/>
        </w:rPr>
        <w:t xml:space="preserve"> ל</w:t>
      </w:r>
      <w:hyperlink r:id="rId33" w:history="1">
        <w:r w:rsidR="00A536F3" w:rsidRPr="00A536F3">
          <w:rPr>
            <w:rFonts w:ascii="Calibri" w:hAnsi="Calibri" w:cs="FrankRuehl" w:hint="eastAsia"/>
            <w:color w:val="0000FF"/>
            <w:u w:val="single"/>
            <w:rtl/>
          </w:rPr>
          <w:t>חוק</w:t>
        </w:r>
        <w:r w:rsidR="00A536F3" w:rsidRPr="00A536F3">
          <w:rPr>
            <w:rFonts w:ascii="Calibri" w:hAnsi="Calibri" w:cs="FrankRuehl"/>
            <w:color w:val="0000FF"/>
            <w:u w:val="single"/>
            <w:rtl/>
          </w:rPr>
          <w:t xml:space="preserve"> </w:t>
        </w:r>
        <w:r w:rsidR="00A536F3" w:rsidRPr="00A536F3">
          <w:rPr>
            <w:rFonts w:ascii="Calibri" w:hAnsi="Calibri" w:cs="FrankRuehl" w:hint="eastAsia"/>
            <w:color w:val="0000FF"/>
            <w:u w:val="single"/>
            <w:rtl/>
          </w:rPr>
          <w:t>העונשין</w:t>
        </w:r>
      </w:hyperlink>
      <w:r w:rsidR="000E2B08" w:rsidRPr="000E2B08">
        <w:rPr>
          <w:rFonts w:ascii="Calibri" w:hAnsi="Calibri" w:cs="FrankRuehl" w:hint="cs"/>
          <w:rtl/>
        </w:rPr>
        <w:t xml:space="preserve"> קובע כך:</w:t>
      </w:r>
    </w:p>
    <w:p w14:paraId="6A5A0E7F" w14:textId="77777777" w:rsidR="000E2B08" w:rsidRDefault="000E2B08" w:rsidP="000E2B0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jc w:val="both"/>
        <w:rPr>
          <w:rFonts w:cs="FrankRuehl"/>
          <w:sz w:val="26"/>
          <w:szCs w:val="26"/>
          <w:rtl/>
          <w:lang w:eastAsia="he-IL"/>
        </w:rPr>
      </w:pPr>
      <w:r>
        <w:rPr>
          <w:rFonts w:cs="Miriam" w:hint="cs"/>
          <w:sz w:val="32"/>
          <w:szCs w:val="32"/>
          <w:rtl/>
          <w:lang w:eastAsia="he-IL"/>
        </w:rPr>
        <w:t>"40</w:t>
      </w:r>
      <w:r>
        <w:rPr>
          <w:rFonts w:cs="FrankRuehl" w:hint="cs"/>
          <w:sz w:val="26"/>
          <w:szCs w:val="26"/>
          <w:rtl/>
          <w:lang w:eastAsia="he-IL"/>
        </w:rPr>
        <w:t>ד.</w:t>
      </w:r>
      <w:r>
        <w:rPr>
          <w:rFonts w:cs="FrankRuehl" w:hint="cs"/>
          <w:sz w:val="26"/>
          <w:szCs w:val="26"/>
          <w:rtl/>
          <w:lang w:eastAsia="he-IL"/>
        </w:rPr>
        <w:tab/>
        <w:t>(א)</w:t>
      </w:r>
      <w:r>
        <w:rPr>
          <w:rFonts w:cs="FrankRuehl" w:hint="cs"/>
          <w:sz w:val="26"/>
          <w:szCs w:val="26"/>
          <w:rtl/>
          <w:lang w:eastAsia="he-IL"/>
        </w:rPr>
        <w:tab/>
        <w:t xml:space="preserve">קבע בית המשפט את מתחם העונש ההולם בהתאם לעיקרון המנחה ומצא </w:t>
      </w:r>
      <w:r>
        <w:rPr>
          <w:rFonts w:cs="FrankRuehl" w:hint="cs"/>
          <w:b/>
          <w:bCs/>
          <w:sz w:val="26"/>
          <w:szCs w:val="26"/>
          <w:rtl/>
          <w:lang w:eastAsia="he-IL"/>
        </w:rPr>
        <w:t>כי הנאשם השתקם או כי יש סיכוי של ממש שישתקם</w:t>
      </w:r>
      <w:r>
        <w:rPr>
          <w:rFonts w:cs="FrankRuehl" w:hint="cs"/>
          <w:sz w:val="26"/>
          <w:szCs w:val="26"/>
          <w:rtl/>
          <w:lang w:eastAsia="he-IL"/>
        </w:rPr>
        <w:t xml:space="preserve">,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4" w:history="1">
        <w:r w:rsidR="00A536F3" w:rsidRPr="00A536F3">
          <w:rPr>
            <w:rFonts w:cs="FrankRuehl"/>
            <w:color w:val="0000FF"/>
            <w:sz w:val="26"/>
            <w:szCs w:val="26"/>
            <w:u w:val="single"/>
            <w:rtl/>
            <w:lang w:eastAsia="he-IL"/>
          </w:rPr>
          <w:t>פקודת המבחן</w:t>
        </w:r>
      </w:hyperlink>
      <w:r>
        <w:rPr>
          <w:rFonts w:cs="FrankRuehl" w:hint="cs"/>
          <w:sz w:val="26"/>
          <w:szCs w:val="26"/>
          <w:rtl/>
          <w:lang w:eastAsia="he-IL"/>
        </w:rPr>
        <w:t xml:space="preserve"> [נוסח חדש], התשכ"ט-1969.</w:t>
      </w:r>
    </w:p>
    <w:p w14:paraId="1BEB0F5B" w14:textId="77777777" w:rsidR="000E2B08" w:rsidRDefault="000E2B08" w:rsidP="000E2B0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jc w:val="both"/>
        <w:rPr>
          <w:rFonts w:cs="FrankRuehl"/>
          <w:sz w:val="26"/>
          <w:szCs w:val="26"/>
          <w:rtl/>
          <w:lang w:eastAsia="he-IL"/>
        </w:rPr>
      </w:pPr>
      <w:r>
        <w:rPr>
          <w:rFonts w:cs="FrankRuehl" w:hint="cs"/>
          <w:sz w:val="26"/>
          <w:szCs w:val="26"/>
          <w:rtl/>
          <w:lang w:eastAsia="he-IL"/>
        </w:rPr>
        <w:tab/>
        <w:t>(ב)</w:t>
      </w:r>
      <w:r>
        <w:rPr>
          <w:rFonts w:cs="FrankRuehl" w:hint="cs"/>
          <w:sz w:val="26"/>
          <w:szCs w:val="26"/>
          <w:rtl/>
          <w:lang w:eastAsia="he-IL"/>
        </w:rPr>
        <w:tab/>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14:paraId="23B8DB25" w14:textId="77777777" w:rsidR="000E2B08" w:rsidRPr="000E2B08" w:rsidRDefault="000E2B08" w:rsidP="000E2B08">
      <w:pPr>
        <w:spacing w:after="160" w:line="360" w:lineRule="auto"/>
        <w:jc w:val="both"/>
        <w:rPr>
          <w:rFonts w:ascii="Calibri" w:hAnsi="Calibri" w:cs="FrankRuehl"/>
          <w:rtl/>
        </w:rPr>
      </w:pPr>
    </w:p>
    <w:p w14:paraId="05BBE00E"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ב</w:t>
      </w:r>
      <w:hyperlink r:id="rId35" w:history="1">
        <w:r w:rsidR="00A536F3" w:rsidRPr="00A536F3">
          <w:rPr>
            <w:rFonts w:ascii="Calibri" w:hAnsi="Calibri" w:cs="FrankRuehl" w:hint="eastAsia"/>
            <w:color w:val="0000FF"/>
            <w:u w:val="single"/>
            <w:rtl/>
          </w:rPr>
          <w:t>רע</w:t>
        </w:r>
        <w:r w:rsidR="00A536F3" w:rsidRPr="00A536F3">
          <w:rPr>
            <w:rFonts w:ascii="Calibri" w:hAnsi="Calibri" w:cs="FrankRuehl"/>
            <w:color w:val="0000FF"/>
            <w:u w:val="single"/>
            <w:rtl/>
          </w:rPr>
          <w:t>"</w:t>
        </w:r>
        <w:r w:rsidR="00A536F3" w:rsidRPr="00A536F3">
          <w:rPr>
            <w:rFonts w:ascii="Calibri" w:hAnsi="Calibri" w:cs="FrankRuehl" w:hint="eastAsia"/>
            <w:color w:val="0000FF"/>
            <w:u w:val="single"/>
            <w:rtl/>
          </w:rPr>
          <w:t>פ</w:t>
        </w:r>
        <w:r w:rsidR="00A536F3" w:rsidRPr="00A536F3">
          <w:rPr>
            <w:rFonts w:ascii="Calibri" w:hAnsi="Calibri" w:cs="FrankRuehl"/>
            <w:color w:val="0000FF"/>
            <w:u w:val="single"/>
            <w:rtl/>
          </w:rPr>
          <w:t xml:space="preserve"> 262/14</w:t>
        </w:r>
      </w:hyperlink>
      <w:r w:rsidRPr="000E2B08">
        <w:rPr>
          <w:rFonts w:ascii="Calibri" w:hAnsi="Calibri" w:cs="FrankRuehl" w:hint="cs"/>
          <w:rtl/>
        </w:rPr>
        <w:t xml:space="preserve"> </w:t>
      </w:r>
      <w:r w:rsidRPr="000E2B08">
        <w:rPr>
          <w:rFonts w:ascii="Calibri" w:hAnsi="Calibri" w:cs="FrankRuehl" w:hint="cs"/>
          <w:b/>
          <w:bCs/>
          <w:u w:val="single"/>
          <w:rtl/>
        </w:rPr>
        <w:t>נאשף</w:t>
      </w:r>
      <w:r w:rsidRPr="000E2B08">
        <w:rPr>
          <w:rFonts w:ascii="Calibri" w:hAnsi="Calibri" w:cs="FrankRuehl" w:hint="cs"/>
          <w:rtl/>
        </w:rPr>
        <w:t xml:space="preserve"> נ' </w:t>
      </w:r>
      <w:r w:rsidRPr="000E2B08">
        <w:rPr>
          <w:rFonts w:ascii="Calibri" w:hAnsi="Calibri" w:cs="FrankRuehl" w:hint="cs"/>
          <w:b/>
          <w:bCs/>
          <w:u w:val="single"/>
          <w:rtl/>
        </w:rPr>
        <w:t>מ"י</w:t>
      </w:r>
      <w:r w:rsidRPr="000E2B08">
        <w:rPr>
          <w:rFonts w:ascii="Calibri" w:hAnsi="Calibri" w:cs="FrankRuehl" w:hint="cs"/>
          <w:rtl/>
        </w:rPr>
        <w:t xml:space="preserve"> (מיום 22.1.2014) קבע בית המשפט העליון כך:</w:t>
      </w:r>
    </w:p>
    <w:p w14:paraId="138F22C0" w14:textId="77777777" w:rsidR="000E2B08" w:rsidRPr="000E2B08" w:rsidRDefault="000E2B08" w:rsidP="000E2B08">
      <w:pPr>
        <w:spacing w:after="160"/>
        <w:ind w:left="851" w:right="851"/>
        <w:jc w:val="both"/>
        <w:rPr>
          <w:rFonts w:ascii="Calibri" w:hAnsi="Calibri" w:cs="FrankRuehl"/>
          <w:b/>
          <w:bCs/>
          <w:rtl/>
        </w:rPr>
      </w:pPr>
      <w:r w:rsidRPr="000E2B08">
        <w:rPr>
          <w:rFonts w:ascii="Calibri" w:hAnsi="Calibri" w:cs="FrankRuehl" w:hint="cs"/>
          <w:rtl/>
        </w:rPr>
        <w:t>"בהקשר</w:t>
      </w:r>
      <w:r w:rsidRPr="000E2B08">
        <w:rPr>
          <w:rFonts w:ascii="Calibri" w:hAnsi="Calibri" w:cs="FrankRuehl"/>
        </w:rPr>
        <w:t xml:space="preserve"> </w:t>
      </w:r>
      <w:r w:rsidRPr="000E2B08">
        <w:rPr>
          <w:rFonts w:ascii="Calibri" w:hAnsi="Calibri" w:cs="FrankRuehl" w:hint="cs"/>
          <w:rtl/>
        </w:rPr>
        <w:t>זה</w:t>
      </w:r>
      <w:r w:rsidRPr="000E2B08">
        <w:rPr>
          <w:rFonts w:ascii="Calibri" w:hAnsi="Calibri" w:cs="FrankRuehl"/>
        </w:rPr>
        <w:t xml:space="preserve"> </w:t>
      </w:r>
      <w:r w:rsidRPr="000E2B08">
        <w:rPr>
          <w:rFonts w:ascii="Calibri" w:hAnsi="Calibri" w:cs="FrankRuehl" w:hint="cs"/>
          <w:rtl/>
        </w:rPr>
        <w:t>אני</w:t>
      </w:r>
      <w:r w:rsidRPr="000E2B08">
        <w:rPr>
          <w:rFonts w:ascii="Calibri" w:hAnsi="Calibri" w:cs="FrankRuehl"/>
        </w:rPr>
        <w:t xml:space="preserve"> </w:t>
      </w:r>
      <w:r w:rsidRPr="000E2B08">
        <w:rPr>
          <w:rFonts w:ascii="Calibri" w:hAnsi="Calibri" w:cs="FrankRuehl" w:hint="cs"/>
          <w:rtl/>
        </w:rPr>
        <w:t>מוצא</w:t>
      </w:r>
      <w:r w:rsidRPr="000E2B08">
        <w:rPr>
          <w:rFonts w:ascii="Calibri" w:hAnsi="Calibri" w:cs="FrankRuehl"/>
        </w:rPr>
        <w:t xml:space="preserve"> </w:t>
      </w:r>
      <w:r w:rsidRPr="000E2B08">
        <w:rPr>
          <w:rFonts w:ascii="Calibri" w:hAnsi="Calibri" w:cs="FrankRuehl" w:hint="cs"/>
          <w:rtl/>
        </w:rPr>
        <w:t>לנכון</w:t>
      </w:r>
      <w:r w:rsidRPr="000E2B08">
        <w:rPr>
          <w:rFonts w:ascii="Calibri" w:hAnsi="Calibri" w:cs="FrankRuehl"/>
        </w:rPr>
        <w:t xml:space="preserve"> </w:t>
      </w:r>
      <w:r w:rsidRPr="000E2B08">
        <w:rPr>
          <w:rFonts w:ascii="Calibri" w:hAnsi="Calibri" w:cs="FrankRuehl" w:hint="cs"/>
          <w:rtl/>
        </w:rPr>
        <w:t>להעיר</w:t>
      </w:r>
      <w:r w:rsidRPr="000E2B08">
        <w:rPr>
          <w:rFonts w:ascii="Calibri" w:hAnsi="Calibri" w:cs="FrankRuehl"/>
        </w:rPr>
        <w:t xml:space="preserve"> </w:t>
      </w:r>
      <w:r w:rsidRPr="000E2B08">
        <w:rPr>
          <w:rFonts w:ascii="Calibri" w:hAnsi="Calibri" w:cs="FrankRuehl" w:hint="cs"/>
          <w:rtl/>
        </w:rPr>
        <w:t>עוד</w:t>
      </w:r>
      <w:r w:rsidRPr="000E2B08">
        <w:rPr>
          <w:rFonts w:ascii="Calibri" w:hAnsi="Calibri" w:cs="FrankRuehl"/>
        </w:rPr>
        <w:t xml:space="preserve"> </w:t>
      </w:r>
      <w:r w:rsidRPr="000E2B08">
        <w:rPr>
          <w:rFonts w:ascii="Calibri" w:hAnsi="Calibri" w:cs="FrankRuehl" w:hint="cs"/>
          <w:rtl/>
        </w:rPr>
        <w:t>כי</w:t>
      </w:r>
      <w:r w:rsidRPr="000E2B08">
        <w:rPr>
          <w:rFonts w:ascii="Calibri" w:hAnsi="Calibri" w:cs="FrankRuehl"/>
        </w:rPr>
        <w:t xml:space="preserve"> </w:t>
      </w:r>
      <w:r w:rsidRPr="000E2B08">
        <w:rPr>
          <w:rFonts w:ascii="Calibri" w:hAnsi="Calibri" w:cs="FrankRuehl" w:hint="cs"/>
          <w:rtl/>
        </w:rPr>
        <w:t>שיקולי</w:t>
      </w:r>
      <w:r w:rsidRPr="000E2B08">
        <w:rPr>
          <w:rFonts w:ascii="Calibri" w:hAnsi="Calibri" w:cs="FrankRuehl"/>
        </w:rPr>
        <w:t xml:space="preserve"> </w:t>
      </w:r>
      <w:r w:rsidRPr="000E2B08">
        <w:rPr>
          <w:rFonts w:ascii="Calibri" w:hAnsi="Calibri" w:cs="FrankRuehl" w:hint="cs"/>
          <w:rtl/>
        </w:rPr>
        <w:t>שיקום</w:t>
      </w:r>
      <w:r w:rsidRPr="000E2B08">
        <w:rPr>
          <w:rFonts w:ascii="Calibri" w:hAnsi="Calibri" w:cs="FrankRuehl"/>
        </w:rPr>
        <w:t xml:space="preserve"> </w:t>
      </w:r>
      <w:r w:rsidRPr="000E2B08">
        <w:rPr>
          <w:rFonts w:ascii="Calibri" w:hAnsi="Calibri" w:cs="FrankRuehl" w:hint="cs"/>
          <w:rtl/>
        </w:rPr>
        <w:t>הם</w:t>
      </w:r>
      <w:r w:rsidRPr="000E2B08">
        <w:rPr>
          <w:rFonts w:ascii="Calibri" w:hAnsi="Calibri" w:cs="FrankRuehl"/>
        </w:rPr>
        <w:t xml:space="preserve">, </w:t>
      </w:r>
      <w:r w:rsidRPr="000E2B08">
        <w:rPr>
          <w:rFonts w:ascii="Calibri" w:hAnsi="Calibri" w:cs="FrankRuehl" w:hint="cs"/>
          <w:rtl/>
        </w:rPr>
        <w:t>אמנם</w:t>
      </w:r>
      <w:r w:rsidRPr="000E2B08">
        <w:rPr>
          <w:rFonts w:ascii="Calibri" w:hAnsi="Calibri" w:cs="FrankRuehl"/>
        </w:rPr>
        <w:t xml:space="preserve">, </w:t>
      </w:r>
      <w:r w:rsidRPr="000E2B08">
        <w:rPr>
          <w:rFonts w:ascii="Calibri" w:hAnsi="Calibri" w:cs="FrankRuehl" w:hint="cs"/>
          <w:rtl/>
        </w:rPr>
        <w:t>בעלי</w:t>
      </w:r>
      <w:r w:rsidRPr="000E2B08">
        <w:rPr>
          <w:rFonts w:ascii="Calibri" w:hAnsi="Calibri" w:cs="FrankRuehl"/>
        </w:rPr>
        <w:t xml:space="preserve"> </w:t>
      </w:r>
      <w:r w:rsidRPr="000E2B08">
        <w:rPr>
          <w:rFonts w:ascii="Calibri" w:hAnsi="Calibri" w:cs="FrankRuehl" w:hint="cs"/>
          <w:rtl/>
        </w:rPr>
        <w:t>מעמד</w:t>
      </w:r>
      <w:r w:rsidRPr="000E2B08">
        <w:rPr>
          <w:rFonts w:ascii="Calibri" w:hAnsi="Calibri" w:cs="FrankRuehl"/>
        </w:rPr>
        <w:t xml:space="preserve"> </w:t>
      </w:r>
      <w:r w:rsidRPr="000E2B08">
        <w:rPr>
          <w:rFonts w:ascii="Calibri" w:hAnsi="Calibri" w:cs="FrankRuehl" w:hint="cs"/>
          <w:rtl/>
        </w:rPr>
        <w:t>חשוב</w:t>
      </w:r>
      <w:r w:rsidRPr="000E2B08">
        <w:rPr>
          <w:rFonts w:ascii="Calibri" w:hAnsi="Calibri" w:cs="FrankRuehl"/>
        </w:rPr>
        <w:t xml:space="preserve"> </w:t>
      </w:r>
      <w:r w:rsidRPr="000E2B08">
        <w:rPr>
          <w:rFonts w:ascii="Calibri" w:hAnsi="Calibri" w:cs="FrankRuehl" w:hint="cs"/>
          <w:rtl/>
        </w:rPr>
        <w:t>עת</w:t>
      </w:r>
      <w:r w:rsidRPr="000E2B08">
        <w:rPr>
          <w:rFonts w:ascii="Calibri" w:hAnsi="Calibri" w:cs="FrankRuehl"/>
        </w:rPr>
        <w:t xml:space="preserve"> </w:t>
      </w:r>
      <w:r w:rsidRPr="000E2B08">
        <w:rPr>
          <w:rFonts w:ascii="Calibri" w:hAnsi="Calibri" w:cs="FrankRuehl" w:hint="cs"/>
          <w:rtl/>
        </w:rPr>
        <w:t>מאזן</w:t>
      </w:r>
      <w:r w:rsidRPr="000E2B08">
        <w:rPr>
          <w:rFonts w:ascii="Calibri" w:hAnsi="Calibri" w:cs="FrankRuehl"/>
        </w:rPr>
        <w:t xml:space="preserve"> </w:t>
      </w:r>
      <w:r w:rsidRPr="000E2B08">
        <w:rPr>
          <w:rFonts w:ascii="Calibri" w:hAnsi="Calibri" w:cs="FrankRuehl" w:hint="cs"/>
          <w:rtl/>
        </w:rPr>
        <w:t>בית</w:t>
      </w:r>
      <w:r w:rsidRPr="000E2B08">
        <w:rPr>
          <w:rFonts w:ascii="Calibri" w:hAnsi="Calibri" w:cs="FrankRuehl"/>
        </w:rPr>
        <w:t xml:space="preserve"> </w:t>
      </w:r>
      <w:r w:rsidRPr="000E2B08">
        <w:rPr>
          <w:rFonts w:ascii="Calibri" w:hAnsi="Calibri" w:cs="FrankRuehl" w:hint="cs"/>
          <w:rtl/>
        </w:rPr>
        <w:t>המשפט</w:t>
      </w:r>
      <w:r w:rsidRPr="000E2B08">
        <w:rPr>
          <w:rFonts w:ascii="Calibri" w:hAnsi="Calibri" w:cs="FrankRuehl"/>
        </w:rPr>
        <w:t xml:space="preserve"> </w:t>
      </w:r>
      <w:r w:rsidRPr="000E2B08">
        <w:rPr>
          <w:rFonts w:ascii="Calibri" w:hAnsi="Calibri" w:cs="FrankRuehl" w:hint="cs"/>
          <w:rtl/>
        </w:rPr>
        <w:t>בין</w:t>
      </w:r>
      <w:r w:rsidRPr="000E2B08">
        <w:rPr>
          <w:rFonts w:ascii="Calibri" w:hAnsi="Calibri" w:cs="FrankRuehl"/>
        </w:rPr>
        <w:t xml:space="preserve"> </w:t>
      </w:r>
      <w:r w:rsidRPr="000E2B08">
        <w:rPr>
          <w:rFonts w:ascii="Calibri" w:hAnsi="Calibri" w:cs="FrankRuehl" w:hint="cs"/>
          <w:rtl/>
        </w:rPr>
        <w:t>שיקולי</w:t>
      </w:r>
      <w:r w:rsidRPr="000E2B08">
        <w:rPr>
          <w:rFonts w:ascii="Calibri" w:hAnsi="Calibri" w:cs="FrankRuehl"/>
        </w:rPr>
        <w:t xml:space="preserve"> </w:t>
      </w:r>
      <w:r w:rsidRPr="000E2B08">
        <w:rPr>
          <w:rFonts w:ascii="Calibri" w:hAnsi="Calibri" w:cs="FrankRuehl" w:hint="cs"/>
          <w:rtl/>
        </w:rPr>
        <w:t>הענישה</w:t>
      </w:r>
      <w:r w:rsidRPr="000E2B08">
        <w:rPr>
          <w:rFonts w:ascii="Calibri" w:hAnsi="Calibri" w:cs="FrankRuehl"/>
        </w:rPr>
        <w:t xml:space="preserve">, </w:t>
      </w:r>
      <w:r w:rsidRPr="000E2B08">
        <w:rPr>
          <w:rFonts w:ascii="Calibri" w:hAnsi="Calibri" w:cs="FrankRuehl" w:hint="cs"/>
          <w:rtl/>
        </w:rPr>
        <w:t>הגמול</w:t>
      </w:r>
      <w:r w:rsidRPr="000E2B08">
        <w:rPr>
          <w:rFonts w:ascii="Calibri" w:hAnsi="Calibri" w:cs="FrankRuehl"/>
        </w:rPr>
        <w:t xml:space="preserve"> </w:t>
      </w:r>
      <w:r w:rsidRPr="000E2B08">
        <w:rPr>
          <w:rFonts w:ascii="Calibri" w:hAnsi="Calibri" w:cs="FrankRuehl" w:hint="cs"/>
          <w:rtl/>
        </w:rPr>
        <w:t>וההרתעה</w:t>
      </w:r>
      <w:r w:rsidRPr="000E2B08">
        <w:rPr>
          <w:rFonts w:ascii="Calibri" w:hAnsi="Calibri" w:cs="FrankRuehl"/>
        </w:rPr>
        <w:t xml:space="preserve">, </w:t>
      </w:r>
      <w:r w:rsidRPr="000E2B08">
        <w:rPr>
          <w:rFonts w:ascii="Calibri" w:hAnsi="Calibri" w:cs="FrankRuehl" w:hint="cs"/>
          <w:rtl/>
        </w:rPr>
        <w:t>במלאכת</w:t>
      </w:r>
      <w:r w:rsidRPr="000E2B08">
        <w:rPr>
          <w:rFonts w:ascii="Calibri" w:hAnsi="Calibri" w:cs="FrankRuehl"/>
        </w:rPr>
        <w:t xml:space="preserve"> </w:t>
      </w:r>
      <w:r w:rsidRPr="000E2B08">
        <w:rPr>
          <w:rFonts w:ascii="Calibri" w:hAnsi="Calibri" w:cs="FrankRuehl" w:hint="cs"/>
          <w:rtl/>
        </w:rPr>
        <w:t>גזירת</w:t>
      </w:r>
      <w:r w:rsidRPr="000E2B08">
        <w:rPr>
          <w:rFonts w:ascii="Calibri" w:hAnsi="Calibri" w:cs="FrankRuehl"/>
        </w:rPr>
        <w:t xml:space="preserve"> </w:t>
      </w:r>
      <w:r w:rsidRPr="000E2B08">
        <w:rPr>
          <w:rFonts w:ascii="Calibri" w:hAnsi="Calibri" w:cs="FrankRuehl" w:hint="cs"/>
          <w:rtl/>
        </w:rPr>
        <w:t>הדין</w:t>
      </w:r>
      <w:r w:rsidRPr="000E2B08">
        <w:rPr>
          <w:rFonts w:ascii="Calibri" w:hAnsi="Calibri" w:cs="FrankRuehl"/>
        </w:rPr>
        <w:t xml:space="preserve">. </w:t>
      </w:r>
      <w:r w:rsidRPr="000E2B08">
        <w:rPr>
          <w:rFonts w:ascii="Calibri" w:hAnsi="Calibri" w:cs="FrankRuehl" w:hint="cs"/>
          <w:rtl/>
        </w:rPr>
        <w:t>במקרים</w:t>
      </w:r>
      <w:r w:rsidRPr="000E2B08">
        <w:rPr>
          <w:rFonts w:ascii="Calibri" w:hAnsi="Calibri" w:cs="FrankRuehl"/>
        </w:rPr>
        <w:t xml:space="preserve"> </w:t>
      </w:r>
      <w:r w:rsidRPr="000E2B08">
        <w:rPr>
          <w:rFonts w:ascii="Calibri" w:hAnsi="Calibri" w:cs="FrankRuehl" w:hint="cs"/>
          <w:rtl/>
        </w:rPr>
        <w:t>שבהם</w:t>
      </w:r>
      <w:r w:rsidRPr="000E2B08">
        <w:rPr>
          <w:rFonts w:ascii="Calibri" w:hAnsi="Calibri" w:cs="FrankRuehl"/>
        </w:rPr>
        <w:t xml:space="preserve"> </w:t>
      </w:r>
      <w:r w:rsidRPr="000E2B08">
        <w:rPr>
          <w:rFonts w:ascii="Calibri" w:hAnsi="Calibri" w:cs="FrankRuehl" w:hint="cs"/>
          <w:rtl/>
        </w:rPr>
        <w:t>נרתם</w:t>
      </w:r>
      <w:r w:rsidRPr="000E2B08">
        <w:rPr>
          <w:rFonts w:ascii="Calibri" w:hAnsi="Calibri" w:cs="FrankRuehl"/>
        </w:rPr>
        <w:t xml:space="preserve"> </w:t>
      </w:r>
      <w:r w:rsidRPr="000E2B08">
        <w:rPr>
          <w:rFonts w:ascii="Calibri" w:hAnsi="Calibri" w:cs="FrankRuehl" w:hint="cs"/>
          <w:rtl/>
        </w:rPr>
        <w:t>הנאשם</w:t>
      </w:r>
      <w:r w:rsidRPr="000E2B08">
        <w:rPr>
          <w:rFonts w:ascii="Calibri" w:hAnsi="Calibri" w:cs="FrankRuehl"/>
        </w:rPr>
        <w:t xml:space="preserve"> </w:t>
      </w:r>
      <w:r w:rsidRPr="000E2B08">
        <w:rPr>
          <w:rFonts w:ascii="Calibri" w:hAnsi="Calibri" w:cs="FrankRuehl" w:hint="cs"/>
          <w:rtl/>
        </w:rPr>
        <w:t>להליך</w:t>
      </w:r>
      <w:r w:rsidRPr="000E2B08">
        <w:rPr>
          <w:rFonts w:ascii="Calibri" w:hAnsi="Calibri" w:cs="FrankRuehl"/>
        </w:rPr>
        <w:t xml:space="preserve"> </w:t>
      </w:r>
      <w:r w:rsidRPr="000E2B08">
        <w:rPr>
          <w:rFonts w:ascii="Calibri" w:hAnsi="Calibri" w:cs="FrankRuehl" w:hint="cs"/>
          <w:rtl/>
        </w:rPr>
        <w:t>שיקומי</w:t>
      </w:r>
      <w:r w:rsidRPr="000E2B08">
        <w:rPr>
          <w:rFonts w:ascii="Calibri" w:hAnsi="Calibri" w:cs="FrankRuehl"/>
        </w:rPr>
        <w:t xml:space="preserve">, </w:t>
      </w:r>
      <w:r w:rsidRPr="000E2B08">
        <w:rPr>
          <w:rFonts w:ascii="Calibri" w:hAnsi="Calibri" w:cs="FrankRuehl" w:hint="cs"/>
          <w:rtl/>
        </w:rPr>
        <w:t>או</w:t>
      </w:r>
      <w:r w:rsidRPr="000E2B08">
        <w:rPr>
          <w:rFonts w:ascii="Calibri" w:hAnsi="Calibri" w:cs="FrankRuehl"/>
        </w:rPr>
        <w:t xml:space="preserve"> </w:t>
      </w:r>
      <w:r w:rsidRPr="000E2B08">
        <w:rPr>
          <w:rFonts w:ascii="Calibri" w:hAnsi="Calibri" w:cs="FrankRuehl" w:hint="cs"/>
          <w:rtl/>
        </w:rPr>
        <w:t>מראה</w:t>
      </w:r>
      <w:r w:rsidRPr="000E2B08">
        <w:rPr>
          <w:rFonts w:ascii="Calibri" w:hAnsi="Calibri" w:cs="FrankRuehl"/>
        </w:rPr>
        <w:t xml:space="preserve"> </w:t>
      </w:r>
      <w:r w:rsidRPr="000E2B08">
        <w:rPr>
          <w:rFonts w:ascii="Calibri" w:hAnsi="Calibri" w:cs="FrankRuehl" w:hint="cs"/>
          <w:rtl/>
        </w:rPr>
        <w:t>נכונות</w:t>
      </w:r>
      <w:r w:rsidRPr="000E2B08">
        <w:rPr>
          <w:rFonts w:ascii="Calibri" w:hAnsi="Calibri" w:cs="FrankRuehl"/>
        </w:rPr>
        <w:t xml:space="preserve"> </w:t>
      </w:r>
      <w:r w:rsidRPr="000E2B08">
        <w:rPr>
          <w:rFonts w:ascii="Calibri" w:hAnsi="Calibri" w:cs="FrankRuehl" w:hint="cs"/>
          <w:rtl/>
        </w:rPr>
        <w:t>כנה</w:t>
      </w:r>
      <w:r w:rsidRPr="000E2B08">
        <w:rPr>
          <w:rFonts w:ascii="Calibri" w:hAnsi="Calibri" w:cs="FrankRuehl"/>
        </w:rPr>
        <w:t xml:space="preserve"> </w:t>
      </w:r>
      <w:r w:rsidRPr="000E2B08">
        <w:rPr>
          <w:rFonts w:ascii="Calibri" w:hAnsi="Calibri" w:cs="FrankRuehl" w:hint="cs"/>
          <w:rtl/>
        </w:rPr>
        <w:t>לעשות</w:t>
      </w:r>
      <w:r w:rsidRPr="000E2B08">
        <w:rPr>
          <w:rFonts w:ascii="Calibri" w:hAnsi="Calibri" w:cs="FrankRuehl"/>
        </w:rPr>
        <w:t xml:space="preserve"> </w:t>
      </w:r>
      <w:r w:rsidRPr="000E2B08">
        <w:rPr>
          <w:rFonts w:ascii="Calibri" w:hAnsi="Calibri" w:cs="FrankRuehl" w:hint="cs"/>
          <w:rtl/>
        </w:rPr>
        <w:t>כן</w:t>
      </w:r>
      <w:r w:rsidRPr="000E2B08">
        <w:rPr>
          <w:rFonts w:ascii="Calibri" w:hAnsi="Calibri" w:cs="FrankRuehl"/>
        </w:rPr>
        <w:t xml:space="preserve"> – </w:t>
      </w:r>
      <w:r w:rsidRPr="000E2B08">
        <w:rPr>
          <w:rFonts w:ascii="Calibri" w:hAnsi="Calibri" w:cs="FrankRuehl" w:hint="cs"/>
          <w:rtl/>
        </w:rPr>
        <w:t>עשויים</w:t>
      </w:r>
      <w:r w:rsidRPr="000E2B08">
        <w:rPr>
          <w:rFonts w:ascii="Calibri" w:hAnsi="Calibri" w:cs="FrankRuehl"/>
        </w:rPr>
        <w:t xml:space="preserve"> </w:t>
      </w:r>
      <w:r w:rsidRPr="000E2B08">
        <w:rPr>
          <w:rFonts w:ascii="Calibri" w:hAnsi="Calibri" w:cs="FrankRuehl" w:hint="cs"/>
          <w:rtl/>
        </w:rPr>
        <w:t>שיקולי</w:t>
      </w:r>
      <w:r w:rsidRPr="000E2B08">
        <w:rPr>
          <w:rFonts w:ascii="Calibri" w:hAnsi="Calibri" w:cs="FrankRuehl"/>
        </w:rPr>
        <w:t xml:space="preserve"> </w:t>
      </w:r>
      <w:r w:rsidRPr="000E2B08">
        <w:rPr>
          <w:rFonts w:ascii="Calibri" w:hAnsi="Calibri" w:cs="FrankRuehl" w:hint="cs"/>
          <w:rtl/>
        </w:rPr>
        <w:t>השיקום</w:t>
      </w:r>
      <w:r w:rsidRPr="000E2B08">
        <w:rPr>
          <w:rFonts w:ascii="Calibri" w:hAnsi="Calibri" w:cs="FrankRuehl"/>
        </w:rPr>
        <w:t xml:space="preserve"> </w:t>
      </w:r>
      <w:r w:rsidRPr="000E2B08">
        <w:rPr>
          <w:rFonts w:ascii="Calibri" w:hAnsi="Calibri" w:cs="FrankRuehl" w:hint="cs"/>
          <w:rtl/>
        </w:rPr>
        <w:t>אף</w:t>
      </w:r>
      <w:r w:rsidRPr="000E2B08">
        <w:rPr>
          <w:rFonts w:ascii="Calibri" w:hAnsi="Calibri" w:cs="FrankRuehl"/>
        </w:rPr>
        <w:t xml:space="preserve"> </w:t>
      </w:r>
      <w:r w:rsidRPr="000E2B08">
        <w:rPr>
          <w:rFonts w:ascii="Calibri" w:hAnsi="Calibri" w:cs="FrankRuehl" w:hint="cs"/>
          <w:rtl/>
        </w:rPr>
        <w:t>לגבור</w:t>
      </w:r>
      <w:r w:rsidRPr="000E2B08">
        <w:rPr>
          <w:rFonts w:ascii="Calibri" w:hAnsi="Calibri" w:cs="FrankRuehl"/>
        </w:rPr>
        <w:t xml:space="preserve"> </w:t>
      </w:r>
      <w:r w:rsidRPr="000E2B08">
        <w:rPr>
          <w:rFonts w:ascii="Calibri" w:hAnsi="Calibri" w:cs="FrankRuehl" w:hint="cs"/>
          <w:rtl/>
        </w:rPr>
        <w:t>על</w:t>
      </w:r>
      <w:r w:rsidRPr="000E2B08">
        <w:rPr>
          <w:rFonts w:ascii="Calibri" w:hAnsi="Calibri" w:cs="FrankRuehl"/>
        </w:rPr>
        <w:t xml:space="preserve"> </w:t>
      </w:r>
      <w:r w:rsidRPr="000E2B08">
        <w:rPr>
          <w:rFonts w:ascii="Calibri" w:hAnsi="Calibri" w:cs="FrankRuehl" w:hint="cs"/>
          <w:rtl/>
        </w:rPr>
        <w:t>שיקולי</w:t>
      </w:r>
      <w:r w:rsidRPr="000E2B08">
        <w:rPr>
          <w:rFonts w:ascii="Calibri" w:hAnsi="Calibri" w:cs="FrankRuehl"/>
        </w:rPr>
        <w:t xml:space="preserve"> </w:t>
      </w:r>
      <w:r w:rsidRPr="000E2B08">
        <w:rPr>
          <w:rFonts w:ascii="Calibri" w:hAnsi="Calibri" w:cs="FrankRuehl" w:hint="cs"/>
          <w:rtl/>
        </w:rPr>
        <w:t>ההרתעה</w:t>
      </w:r>
      <w:r w:rsidRPr="000E2B08">
        <w:rPr>
          <w:rFonts w:ascii="Calibri" w:hAnsi="Calibri" w:cs="FrankRuehl"/>
        </w:rPr>
        <w:t xml:space="preserve"> </w:t>
      </w:r>
      <w:r w:rsidRPr="000E2B08">
        <w:rPr>
          <w:rFonts w:ascii="Calibri" w:hAnsi="Calibri" w:cs="FrankRuehl" w:hint="cs"/>
          <w:rtl/>
        </w:rPr>
        <w:t>והגמול...</w:t>
      </w:r>
      <w:r w:rsidRPr="000E2B08">
        <w:rPr>
          <w:rFonts w:ascii="Calibri" w:hAnsi="Calibri" w:cs="FrankRuehl"/>
        </w:rPr>
        <w:t xml:space="preserve"> </w:t>
      </w:r>
      <w:r w:rsidRPr="000E2B08">
        <w:rPr>
          <w:rFonts w:ascii="Calibri" w:hAnsi="Calibri" w:cs="FrankRuehl" w:hint="cs"/>
          <w:rtl/>
        </w:rPr>
        <w:t>ואולם</w:t>
      </w:r>
      <w:r w:rsidRPr="000E2B08">
        <w:rPr>
          <w:rFonts w:ascii="Calibri" w:hAnsi="Calibri" w:cs="FrankRuehl"/>
        </w:rPr>
        <w:t xml:space="preserve">, </w:t>
      </w:r>
      <w:r w:rsidRPr="000E2B08">
        <w:rPr>
          <w:rFonts w:ascii="Calibri" w:hAnsi="Calibri" w:cs="FrankRuehl" w:hint="cs"/>
          <w:rtl/>
        </w:rPr>
        <w:t>ההתחשבות</w:t>
      </w:r>
      <w:r w:rsidRPr="000E2B08">
        <w:rPr>
          <w:rFonts w:ascii="Calibri" w:hAnsi="Calibri" w:cs="FrankRuehl"/>
        </w:rPr>
        <w:t xml:space="preserve"> </w:t>
      </w:r>
      <w:r w:rsidRPr="000E2B08">
        <w:rPr>
          <w:rFonts w:ascii="Calibri" w:hAnsi="Calibri" w:cs="FrankRuehl" w:hint="cs"/>
          <w:rtl/>
        </w:rPr>
        <w:t>בשיקולים</w:t>
      </w:r>
      <w:r w:rsidRPr="000E2B08">
        <w:rPr>
          <w:rFonts w:ascii="Calibri" w:hAnsi="Calibri" w:cs="FrankRuehl"/>
        </w:rPr>
        <w:t xml:space="preserve"> </w:t>
      </w:r>
      <w:r w:rsidRPr="000E2B08">
        <w:rPr>
          <w:rFonts w:ascii="Calibri" w:hAnsi="Calibri" w:cs="FrankRuehl" w:hint="cs"/>
          <w:rtl/>
        </w:rPr>
        <w:t>אלה</w:t>
      </w:r>
      <w:r w:rsidRPr="000E2B08">
        <w:rPr>
          <w:rFonts w:ascii="Calibri" w:hAnsi="Calibri" w:cs="FrankRuehl"/>
        </w:rPr>
        <w:t xml:space="preserve"> </w:t>
      </w:r>
      <w:r w:rsidRPr="000E2B08">
        <w:rPr>
          <w:rFonts w:ascii="Calibri" w:hAnsi="Calibri" w:cs="FrankRuehl" w:hint="cs"/>
          <w:rtl/>
        </w:rPr>
        <w:t>נתונה</w:t>
      </w:r>
      <w:r w:rsidRPr="000E2B08">
        <w:rPr>
          <w:rFonts w:ascii="Calibri" w:hAnsi="Calibri" w:cs="FrankRuehl"/>
        </w:rPr>
        <w:t xml:space="preserve"> </w:t>
      </w:r>
      <w:r w:rsidRPr="000E2B08">
        <w:rPr>
          <w:rFonts w:ascii="Calibri" w:hAnsi="Calibri" w:cs="FrankRuehl" w:hint="cs"/>
          <w:rtl/>
        </w:rPr>
        <w:t>לשיקול</w:t>
      </w:r>
      <w:r w:rsidRPr="000E2B08">
        <w:rPr>
          <w:rFonts w:ascii="Calibri" w:hAnsi="Calibri" w:cs="FrankRuehl"/>
        </w:rPr>
        <w:t xml:space="preserve"> </w:t>
      </w:r>
      <w:r w:rsidRPr="000E2B08">
        <w:rPr>
          <w:rFonts w:ascii="Calibri" w:hAnsi="Calibri" w:cs="FrankRuehl" w:hint="cs"/>
          <w:rtl/>
        </w:rPr>
        <w:t>דעתו</w:t>
      </w:r>
      <w:r w:rsidRPr="000E2B08">
        <w:rPr>
          <w:rFonts w:ascii="Calibri" w:hAnsi="Calibri" w:cs="FrankRuehl"/>
        </w:rPr>
        <w:t xml:space="preserve"> </w:t>
      </w:r>
      <w:r w:rsidRPr="000E2B08">
        <w:rPr>
          <w:rFonts w:ascii="Calibri" w:hAnsi="Calibri" w:cs="FrankRuehl" w:hint="cs"/>
          <w:rtl/>
        </w:rPr>
        <w:t>של</w:t>
      </w:r>
      <w:r w:rsidRPr="000E2B08">
        <w:rPr>
          <w:rFonts w:ascii="Calibri" w:hAnsi="Calibri" w:cs="FrankRuehl"/>
        </w:rPr>
        <w:t xml:space="preserve"> </w:t>
      </w:r>
      <w:r w:rsidRPr="000E2B08">
        <w:rPr>
          <w:rFonts w:ascii="Calibri" w:hAnsi="Calibri" w:cs="FrankRuehl" w:hint="cs"/>
          <w:rtl/>
        </w:rPr>
        <w:t>בית</w:t>
      </w:r>
      <w:r w:rsidRPr="000E2B08">
        <w:rPr>
          <w:rFonts w:ascii="Calibri" w:hAnsi="Calibri" w:cs="FrankRuehl"/>
        </w:rPr>
        <w:t xml:space="preserve"> </w:t>
      </w:r>
      <w:r w:rsidRPr="000E2B08">
        <w:rPr>
          <w:rFonts w:ascii="Calibri" w:hAnsi="Calibri" w:cs="FrankRuehl" w:hint="cs"/>
          <w:rtl/>
        </w:rPr>
        <w:t>המשפט</w:t>
      </w:r>
      <w:r w:rsidRPr="000E2B08">
        <w:rPr>
          <w:rFonts w:ascii="Calibri" w:hAnsi="Calibri" w:cs="FrankRuehl"/>
        </w:rPr>
        <w:t xml:space="preserve"> </w:t>
      </w:r>
      <w:r w:rsidRPr="000E2B08">
        <w:rPr>
          <w:rFonts w:ascii="Calibri" w:hAnsi="Calibri" w:cs="FrankRuehl" w:hint="cs"/>
          <w:rtl/>
        </w:rPr>
        <w:t>והיא</w:t>
      </w:r>
      <w:r w:rsidRPr="000E2B08">
        <w:rPr>
          <w:rFonts w:ascii="Calibri" w:hAnsi="Calibri" w:cs="FrankRuehl"/>
        </w:rPr>
        <w:t xml:space="preserve"> </w:t>
      </w:r>
      <w:r w:rsidRPr="000E2B08">
        <w:rPr>
          <w:rFonts w:ascii="Calibri" w:hAnsi="Calibri" w:cs="FrankRuehl" w:hint="cs"/>
          <w:rtl/>
        </w:rPr>
        <w:t>איננה</w:t>
      </w:r>
      <w:r w:rsidRPr="000E2B08">
        <w:rPr>
          <w:rFonts w:ascii="Calibri" w:hAnsi="Calibri" w:cs="FrankRuehl"/>
        </w:rPr>
        <w:t xml:space="preserve"> </w:t>
      </w:r>
      <w:r w:rsidRPr="000E2B08">
        <w:rPr>
          <w:rFonts w:ascii="Calibri" w:hAnsi="Calibri" w:cs="FrankRuehl" w:hint="cs"/>
          <w:rtl/>
        </w:rPr>
        <w:t>בגדר</w:t>
      </w:r>
      <w:r w:rsidRPr="000E2B08">
        <w:rPr>
          <w:rFonts w:ascii="Calibri" w:hAnsi="Calibri" w:cs="FrankRuehl"/>
        </w:rPr>
        <w:t xml:space="preserve"> </w:t>
      </w:r>
      <w:r w:rsidRPr="000E2B08">
        <w:rPr>
          <w:rFonts w:ascii="Calibri" w:hAnsi="Calibri" w:cs="FrankRuehl" w:hint="cs"/>
          <w:rtl/>
        </w:rPr>
        <w:t>חובה</w:t>
      </w:r>
      <w:r w:rsidRPr="000E2B08">
        <w:rPr>
          <w:rFonts w:ascii="Calibri" w:hAnsi="Calibri" w:cs="FrankRuehl"/>
        </w:rPr>
        <w:t xml:space="preserve">, </w:t>
      </w:r>
      <w:r w:rsidRPr="000E2B08">
        <w:rPr>
          <w:rFonts w:ascii="Calibri" w:hAnsi="Calibri" w:cs="FrankRuehl" w:hint="cs"/>
          <w:rtl/>
        </w:rPr>
        <w:t>גם</w:t>
      </w:r>
      <w:r w:rsidRPr="000E2B08">
        <w:rPr>
          <w:rFonts w:ascii="Calibri" w:hAnsi="Calibri" w:cs="FrankRuehl"/>
        </w:rPr>
        <w:t xml:space="preserve"> </w:t>
      </w:r>
      <w:r w:rsidRPr="000E2B08">
        <w:rPr>
          <w:rFonts w:ascii="Calibri" w:hAnsi="Calibri" w:cs="FrankRuehl" w:hint="cs"/>
          <w:rtl/>
        </w:rPr>
        <w:t>לאחר</w:t>
      </w:r>
      <w:r w:rsidRPr="000E2B08">
        <w:rPr>
          <w:rFonts w:ascii="Calibri" w:hAnsi="Calibri" w:cs="FrankRuehl"/>
        </w:rPr>
        <w:t xml:space="preserve"> </w:t>
      </w:r>
      <w:r w:rsidRPr="000E2B08">
        <w:rPr>
          <w:rFonts w:ascii="Calibri" w:hAnsi="Calibri" w:cs="FrankRuehl" w:hint="cs"/>
          <w:rtl/>
        </w:rPr>
        <w:t>תיקון</w:t>
      </w:r>
      <w:r w:rsidRPr="000E2B08">
        <w:rPr>
          <w:rFonts w:ascii="Calibri" w:hAnsi="Calibri" w:cs="FrankRuehl"/>
        </w:rPr>
        <w:t xml:space="preserve"> 113 </w:t>
      </w:r>
      <w:r w:rsidRPr="000E2B08">
        <w:rPr>
          <w:rFonts w:ascii="Calibri" w:hAnsi="Calibri" w:cs="FrankRuehl" w:hint="cs"/>
          <w:rtl/>
        </w:rPr>
        <w:t>ל</w:t>
      </w:r>
      <w:hyperlink r:id="rId36" w:history="1">
        <w:r w:rsidR="00A536F3" w:rsidRPr="00A536F3">
          <w:rPr>
            <w:rStyle w:val="Hyperlink"/>
            <w:rFonts w:ascii="Calibri" w:hAnsi="Calibri" w:cs="FrankRuehl" w:hint="eastAsia"/>
            <w:color w:val="0000FF"/>
            <w:rtl/>
          </w:rPr>
          <w:t>חוק</w:t>
        </w:r>
        <w:r w:rsidR="00A536F3" w:rsidRPr="00A536F3">
          <w:rPr>
            <w:rStyle w:val="Hyperlink"/>
            <w:rFonts w:ascii="Calibri" w:hAnsi="Calibri" w:cs="FrankRuehl"/>
            <w:color w:val="0000FF"/>
            <w:rtl/>
          </w:rPr>
          <w:t xml:space="preserve"> </w:t>
        </w:r>
        <w:r w:rsidR="00A536F3" w:rsidRPr="00A536F3">
          <w:rPr>
            <w:rStyle w:val="Hyperlink"/>
            <w:rFonts w:ascii="Calibri" w:hAnsi="Calibri" w:cs="FrankRuehl" w:hint="eastAsia"/>
            <w:color w:val="0000FF"/>
            <w:rtl/>
          </w:rPr>
          <w:t>העונשין</w:t>
        </w:r>
      </w:hyperlink>
      <w:r w:rsidRPr="000E2B08">
        <w:rPr>
          <w:rFonts w:ascii="Calibri" w:hAnsi="Calibri" w:cs="FrankRuehl"/>
        </w:rPr>
        <w:t xml:space="preserve"> </w:t>
      </w:r>
      <w:r w:rsidRPr="000E2B08">
        <w:rPr>
          <w:rFonts w:ascii="Calibri" w:hAnsi="Calibri" w:cs="FrankRuehl" w:hint="cs"/>
          <w:b/>
          <w:bCs/>
          <w:rtl/>
        </w:rPr>
        <w:t>...</w:t>
      </w:r>
      <w:r w:rsidRPr="000E2B08">
        <w:rPr>
          <w:rFonts w:ascii="Calibri" w:hAnsi="Calibri" w:cs="FrankRuehl"/>
          <w:b/>
          <w:bCs/>
        </w:rPr>
        <w:t xml:space="preserve"> </w:t>
      </w:r>
      <w:r w:rsidRPr="000E2B08">
        <w:rPr>
          <w:rFonts w:ascii="Calibri" w:hAnsi="Calibri" w:cs="FrankRuehl" w:hint="cs"/>
          <w:b/>
          <w:bCs/>
          <w:rtl/>
        </w:rPr>
        <w:t>בית</w:t>
      </w:r>
      <w:r w:rsidRPr="000E2B08">
        <w:rPr>
          <w:rFonts w:ascii="Calibri" w:hAnsi="Calibri" w:cs="FrankRuehl"/>
          <w:b/>
          <w:bCs/>
        </w:rPr>
        <w:t xml:space="preserve"> </w:t>
      </w:r>
      <w:r w:rsidRPr="000E2B08">
        <w:rPr>
          <w:rFonts w:ascii="Calibri" w:hAnsi="Calibri" w:cs="FrankRuehl" w:hint="cs"/>
          <w:b/>
          <w:bCs/>
          <w:rtl/>
        </w:rPr>
        <w:t>המשפט</w:t>
      </w:r>
      <w:r w:rsidRPr="000E2B08">
        <w:rPr>
          <w:rFonts w:ascii="Calibri" w:hAnsi="Calibri" w:cs="FrankRuehl"/>
          <w:b/>
          <w:bCs/>
        </w:rPr>
        <w:t xml:space="preserve"> </w:t>
      </w:r>
      <w:r w:rsidRPr="000E2B08">
        <w:rPr>
          <w:rFonts w:ascii="Calibri" w:hAnsi="Calibri" w:cs="FrankRuehl" w:hint="cs"/>
          <w:b/>
          <w:bCs/>
          <w:rtl/>
        </w:rPr>
        <w:t>יטה</w:t>
      </w:r>
      <w:r w:rsidRPr="000E2B08">
        <w:rPr>
          <w:rFonts w:ascii="Calibri" w:hAnsi="Calibri" w:cs="FrankRuehl"/>
          <w:b/>
          <w:bCs/>
        </w:rPr>
        <w:t xml:space="preserve"> </w:t>
      </w:r>
      <w:r w:rsidRPr="000E2B08">
        <w:rPr>
          <w:rFonts w:ascii="Calibri" w:hAnsi="Calibri" w:cs="FrankRuehl" w:hint="cs"/>
          <w:b/>
          <w:bCs/>
          <w:rtl/>
        </w:rPr>
        <w:t>לבכר</w:t>
      </w:r>
      <w:r w:rsidRPr="000E2B08">
        <w:rPr>
          <w:rFonts w:ascii="Calibri" w:hAnsi="Calibri" w:cs="FrankRuehl"/>
          <w:b/>
          <w:bCs/>
        </w:rPr>
        <w:t xml:space="preserve"> </w:t>
      </w:r>
      <w:r w:rsidRPr="000E2B08">
        <w:rPr>
          <w:rFonts w:ascii="Calibri" w:hAnsi="Calibri" w:cs="FrankRuehl" w:hint="cs"/>
          <w:b/>
          <w:bCs/>
          <w:rtl/>
        </w:rPr>
        <w:t>את</w:t>
      </w:r>
      <w:r w:rsidRPr="000E2B08">
        <w:rPr>
          <w:rFonts w:ascii="Calibri" w:hAnsi="Calibri" w:cs="FrankRuehl"/>
          <w:b/>
          <w:bCs/>
        </w:rPr>
        <w:t xml:space="preserve"> </w:t>
      </w:r>
      <w:r w:rsidRPr="000E2B08">
        <w:rPr>
          <w:rFonts w:ascii="Calibri" w:hAnsi="Calibri" w:cs="FrankRuehl" w:hint="cs"/>
          <w:b/>
          <w:bCs/>
          <w:rtl/>
        </w:rPr>
        <w:t>שיקולי</w:t>
      </w:r>
      <w:r w:rsidRPr="000E2B08">
        <w:rPr>
          <w:rFonts w:ascii="Calibri" w:hAnsi="Calibri" w:cs="FrankRuehl"/>
          <w:b/>
          <w:bCs/>
        </w:rPr>
        <w:t xml:space="preserve"> </w:t>
      </w:r>
      <w:r w:rsidRPr="000E2B08">
        <w:rPr>
          <w:rFonts w:ascii="Calibri" w:hAnsi="Calibri" w:cs="FrankRuehl" w:hint="cs"/>
          <w:b/>
          <w:bCs/>
          <w:rtl/>
        </w:rPr>
        <w:t>שיקומו</w:t>
      </w:r>
      <w:r w:rsidRPr="000E2B08">
        <w:rPr>
          <w:rFonts w:ascii="Calibri" w:hAnsi="Calibri" w:cs="FrankRuehl"/>
          <w:b/>
          <w:bCs/>
        </w:rPr>
        <w:t xml:space="preserve"> </w:t>
      </w:r>
      <w:r w:rsidRPr="000E2B08">
        <w:rPr>
          <w:rFonts w:ascii="Calibri" w:hAnsi="Calibri" w:cs="FrankRuehl" w:hint="cs"/>
          <w:b/>
          <w:bCs/>
          <w:rtl/>
        </w:rPr>
        <w:t>של</w:t>
      </w:r>
      <w:r w:rsidRPr="000E2B08">
        <w:rPr>
          <w:rFonts w:ascii="Calibri" w:hAnsi="Calibri" w:cs="FrankRuehl"/>
          <w:b/>
          <w:bCs/>
        </w:rPr>
        <w:t xml:space="preserve"> </w:t>
      </w:r>
      <w:r w:rsidRPr="000E2B08">
        <w:rPr>
          <w:rFonts w:ascii="Calibri" w:hAnsi="Calibri" w:cs="FrankRuehl" w:hint="cs"/>
          <w:b/>
          <w:bCs/>
          <w:rtl/>
        </w:rPr>
        <w:t>הנאשם</w:t>
      </w:r>
      <w:r w:rsidRPr="000E2B08">
        <w:rPr>
          <w:rFonts w:ascii="Calibri" w:hAnsi="Calibri" w:cs="FrankRuehl"/>
          <w:b/>
          <w:bCs/>
        </w:rPr>
        <w:t xml:space="preserve"> </w:t>
      </w:r>
      <w:r w:rsidRPr="000E2B08">
        <w:rPr>
          <w:rFonts w:ascii="Calibri" w:hAnsi="Calibri" w:cs="FrankRuehl" w:hint="cs"/>
          <w:b/>
          <w:bCs/>
          <w:rtl/>
        </w:rPr>
        <w:t>על</w:t>
      </w:r>
      <w:r w:rsidRPr="000E2B08">
        <w:rPr>
          <w:rFonts w:ascii="Calibri" w:hAnsi="Calibri" w:cs="FrankRuehl"/>
          <w:b/>
          <w:bCs/>
        </w:rPr>
        <w:t xml:space="preserve"> </w:t>
      </w:r>
      <w:r w:rsidRPr="000E2B08">
        <w:rPr>
          <w:rFonts w:ascii="Calibri" w:hAnsi="Calibri" w:cs="FrankRuehl" w:hint="cs"/>
          <w:b/>
          <w:bCs/>
          <w:rtl/>
        </w:rPr>
        <w:t>פני</w:t>
      </w:r>
      <w:r w:rsidRPr="000E2B08">
        <w:rPr>
          <w:rFonts w:ascii="Calibri" w:hAnsi="Calibri" w:cs="FrankRuehl"/>
          <w:b/>
          <w:bCs/>
        </w:rPr>
        <w:t xml:space="preserve"> </w:t>
      </w:r>
      <w:r w:rsidRPr="000E2B08">
        <w:rPr>
          <w:rFonts w:ascii="Calibri" w:hAnsi="Calibri" w:cs="FrankRuehl" w:hint="cs"/>
          <w:b/>
          <w:bCs/>
          <w:rtl/>
        </w:rPr>
        <w:t>שיקולים</w:t>
      </w:r>
      <w:r w:rsidRPr="000E2B08">
        <w:rPr>
          <w:rFonts w:ascii="Calibri" w:hAnsi="Calibri" w:cs="FrankRuehl"/>
          <w:b/>
          <w:bCs/>
        </w:rPr>
        <w:t xml:space="preserve"> </w:t>
      </w:r>
      <w:r w:rsidRPr="000E2B08">
        <w:rPr>
          <w:rFonts w:ascii="Calibri" w:hAnsi="Calibri" w:cs="FrankRuehl" w:hint="cs"/>
          <w:b/>
          <w:bCs/>
          <w:rtl/>
        </w:rPr>
        <w:t>אחרים</w:t>
      </w:r>
      <w:r w:rsidRPr="000E2B08">
        <w:rPr>
          <w:rFonts w:ascii="Calibri" w:hAnsi="Calibri" w:cs="FrankRuehl"/>
          <w:b/>
          <w:bCs/>
        </w:rPr>
        <w:t xml:space="preserve"> </w:t>
      </w:r>
      <w:r w:rsidRPr="000E2B08">
        <w:rPr>
          <w:rFonts w:ascii="Calibri" w:hAnsi="Calibri" w:cs="FrankRuehl" w:hint="cs"/>
          <w:b/>
          <w:bCs/>
          <w:rtl/>
        </w:rPr>
        <w:t>כאשר</w:t>
      </w:r>
      <w:r w:rsidRPr="000E2B08">
        <w:rPr>
          <w:rFonts w:ascii="Calibri" w:hAnsi="Calibri" w:cs="FrankRuehl"/>
          <w:b/>
          <w:bCs/>
        </w:rPr>
        <w:t xml:space="preserve"> </w:t>
      </w:r>
      <w:r w:rsidRPr="000E2B08">
        <w:rPr>
          <w:rFonts w:ascii="Calibri" w:hAnsi="Calibri" w:cs="FrankRuehl" w:hint="cs"/>
          <w:b/>
          <w:bCs/>
          <w:rtl/>
        </w:rPr>
        <w:t>הוא</w:t>
      </w:r>
      <w:r w:rsidRPr="000E2B08">
        <w:rPr>
          <w:rFonts w:ascii="Calibri" w:hAnsi="Calibri" w:cs="FrankRuehl"/>
          <w:b/>
          <w:bCs/>
        </w:rPr>
        <w:t xml:space="preserve"> </w:t>
      </w:r>
      <w:r w:rsidRPr="000E2B08">
        <w:rPr>
          <w:rFonts w:ascii="Calibri" w:hAnsi="Calibri" w:cs="FrankRuehl" w:hint="cs"/>
          <w:b/>
          <w:bCs/>
          <w:rtl/>
        </w:rPr>
        <w:t>משתכנע</w:t>
      </w:r>
      <w:r w:rsidRPr="000E2B08">
        <w:rPr>
          <w:rFonts w:ascii="Calibri" w:hAnsi="Calibri" w:cs="FrankRuehl"/>
          <w:b/>
          <w:bCs/>
        </w:rPr>
        <w:t xml:space="preserve"> </w:t>
      </w:r>
      <w:r w:rsidRPr="000E2B08">
        <w:rPr>
          <w:rFonts w:ascii="Calibri" w:hAnsi="Calibri" w:cs="FrankRuehl" w:hint="cs"/>
          <w:b/>
          <w:bCs/>
          <w:rtl/>
        </w:rPr>
        <w:t>כי</w:t>
      </w:r>
      <w:r w:rsidRPr="000E2B08">
        <w:rPr>
          <w:rFonts w:ascii="Calibri" w:hAnsi="Calibri" w:cs="FrankRuehl"/>
          <w:b/>
          <w:bCs/>
        </w:rPr>
        <w:t xml:space="preserve"> </w:t>
      </w:r>
      <w:r w:rsidRPr="000E2B08">
        <w:rPr>
          <w:rFonts w:ascii="Calibri" w:hAnsi="Calibri" w:cs="FrankRuehl" w:hint="cs"/>
          <w:b/>
          <w:bCs/>
          <w:rtl/>
        </w:rPr>
        <w:t>הנאשם</w:t>
      </w:r>
      <w:r w:rsidRPr="000E2B08">
        <w:rPr>
          <w:rFonts w:ascii="Calibri" w:hAnsi="Calibri" w:cs="FrankRuehl"/>
          <w:b/>
          <w:bCs/>
        </w:rPr>
        <w:t xml:space="preserve"> </w:t>
      </w:r>
      <w:r w:rsidRPr="000E2B08">
        <w:rPr>
          <w:rFonts w:ascii="Calibri" w:hAnsi="Calibri" w:cs="FrankRuehl" w:hint="cs"/>
          <w:b/>
          <w:bCs/>
          <w:rtl/>
        </w:rPr>
        <w:t>השתקם</w:t>
      </w:r>
      <w:r w:rsidRPr="000E2B08">
        <w:rPr>
          <w:rFonts w:ascii="Calibri" w:hAnsi="Calibri" w:cs="FrankRuehl"/>
          <w:b/>
          <w:bCs/>
        </w:rPr>
        <w:t xml:space="preserve"> </w:t>
      </w:r>
      <w:r w:rsidRPr="000E2B08">
        <w:rPr>
          <w:rFonts w:ascii="Calibri" w:hAnsi="Calibri" w:cs="FrankRuehl" w:hint="cs"/>
          <w:b/>
          <w:bCs/>
          <w:rtl/>
        </w:rPr>
        <w:t>ושינה</w:t>
      </w:r>
      <w:r w:rsidRPr="000E2B08">
        <w:rPr>
          <w:rFonts w:ascii="Calibri" w:hAnsi="Calibri" w:cs="FrankRuehl"/>
          <w:b/>
          <w:bCs/>
        </w:rPr>
        <w:t xml:space="preserve"> </w:t>
      </w:r>
      <w:r w:rsidRPr="000E2B08">
        <w:rPr>
          <w:rFonts w:ascii="Calibri" w:hAnsi="Calibri" w:cs="FrankRuehl" w:hint="cs"/>
          <w:b/>
          <w:bCs/>
          <w:rtl/>
        </w:rPr>
        <w:t>את</w:t>
      </w:r>
      <w:r w:rsidRPr="000E2B08">
        <w:rPr>
          <w:rFonts w:ascii="Calibri" w:hAnsi="Calibri" w:cs="FrankRuehl"/>
          <w:b/>
          <w:bCs/>
        </w:rPr>
        <w:t xml:space="preserve"> </w:t>
      </w:r>
      <w:r w:rsidRPr="000E2B08">
        <w:rPr>
          <w:rFonts w:ascii="Calibri" w:hAnsi="Calibri" w:cs="FrankRuehl" w:hint="cs"/>
          <w:b/>
          <w:bCs/>
          <w:rtl/>
        </w:rPr>
        <w:t>דרכיו</w:t>
      </w:r>
      <w:r w:rsidRPr="000E2B08">
        <w:rPr>
          <w:rFonts w:ascii="Calibri" w:hAnsi="Calibri" w:cs="FrankRuehl"/>
          <w:b/>
          <w:bCs/>
        </w:rPr>
        <w:t xml:space="preserve">, </w:t>
      </w:r>
      <w:r w:rsidRPr="000E2B08">
        <w:rPr>
          <w:rFonts w:ascii="Calibri" w:hAnsi="Calibri" w:cs="FrankRuehl" w:hint="cs"/>
          <w:b/>
          <w:bCs/>
          <w:rtl/>
        </w:rPr>
        <w:t>או</w:t>
      </w:r>
      <w:r w:rsidRPr="000E2B08">
        <w:rPr>
          <w:rFonts w:ascii="Calibri" w:hAnsi="Calibri" w:cs="FrankRuehl"/>
          <w:b/>
          <w:bCs/>
        </w:rPr>
        <w:t xml:space="preserve"> </w:t>
      </w:r>
      <w:r w:rsidRPr="000E2B08">
        <w:rPr>
          <w:rFonts w:ascii="Calibri" w:hAnsi="Calibri" w:cs="FrankRuehl" w:hint="cs"/>
          <w:b/>
          <w:bCs/>
          <w:rtl/>
        </w:rPr>
        <w:t>כי</w:t>
      </w:r>
      <w:r w:rsidRPr="000E2B08">
        <w:rPr>
          <w:rFonts w:ascii="Calibri" w:hAnsi="Calibri" w:cs="FrankRuehl"/>
          <w:b/>
          <w:bCs/>
        </w:rPr>
        <w:t xml:space="preserve"> </w:t>
      </w:r>
      <w:r w:rsidRPr="000E2B08">
        <w:rPr>
          <w:rFonts w:ascii="Calibri" w:hAnsi="Calibri" w:cs="FrankRuehl" w:hint="cs"/>
          <w:b/>
          <w:bCs/>
          <w:rtl/>
        </w:rPr>
        <w:t>קיים</w:t>
      </w:r>
      <w:r w:rsidRPr="000E2B08">
        <w:rPr>
          <w:rFonts w:ascii="Calibri" w:hAnsi="Calibri" w:cs="FrankRuehl"/>
          <w:b/>
          <w:bCs/>
        </w:rPr>
        <w:t xml:space="preserve"> </w:t>
      </w:r>
      <w:r w:rsidRPr="000E2B08">
        <w:rPr>
          <w:rFonts w:ascii="Calibri" w:hAnsi="Calibri" w:cs="FrankRuehl" w:hint="cs"/>
          <w:b/>
          <w:bCs/>
          <w:rtl/>
        </w:rPr>
        <w:t>סיכויי</w:t>
      </w:r>
      <w:r w:rsidRPr="000E2B08">
        <w:rPr>
          <w:rFonts w:ascii="Calibri" w:hAnsi="Calibri" w:cs="FrankRuehl"/>
          <w:b/>
          <w:bCs/>
        </w:rPr>
        <w:t xml:space="preserve"> </w:t>
      </w:r>
      <w:r w:rsidRPr="000E2B08">
        <w:rPr>
          <w:rFonts w:ascii="Calibri" w:hAnsi="Calibri" w:cs="FrankRuehl" w:hint="cs"/>
          <w:b/>
          <w:bCs/>
          <w:rtl/>
        </w:rPr>
        <w:t>ממשי</w:t>
      </w:r>
      <w:r w:rsidRPr="000E2B08">
        <w:rPr>
          <w:rFonts w:ascii="Calibri" w:hAnsi="Calibri" w:cs="FrankRuehl"/>
          <w:b/>
          <w:bCs/>
        </w:rPr>
        <w:t xml:space="preserve"> </w:t>
      </w:r>
      <w:r w:rsidRPr="000E2B08">
        <w:rPr>
          <w:rFonts w:ascii="Calibri" w:hAnsi="Calibri" w:cs="FrankRuehl" w:hint="cs"/>
          <w:b/>
          <w:bCs/>
          <w:rtl/>
        </w:rPr>
        <w:t>לשיקומו</w:t>
      </w:r>
      <w:r w:rsidRPr="000E2B08">
        <w:rPr>
          <w:rFonts w:ascii="Calibri" w:hAnsi="Calibri" w:cs="FrankRuehl"/>
          <w:b/>
          <w:bCs/>
        </w:rPr>
        <w:t xml:space="preserve">, </w:t>
      </w:r>
      <w:r w:rsidRPr="000E2B08">
        <w:rPr>
          <w:rFonts w:ascii="Calibri" w:hAnsi="Calibri" w:cs="FrankRuehl" w:hint="cs"/>
          <w:b/>
          <w:bCs/>
          <w:rtl/>
        </w:rPr>
        <w:t>וכך</w:t>
      </w:r>
      <w:r w:rsidRPr="000E2B08">
        <w:rPr>
          <w:rFonts w:ascii="Calibri" w:hAnsi="Calibri" w:cs="FrankRuehl"/>
          <w:b/>
          <w:bCs/>
        </w:rPr>
        <w:t xml:space="preserve"> </w:t>
      </w:r>
      <w:r w:rsidRPr="000E2B08">
        <w:rPr>
          <w:rFonts w:ascii="Calibri" w:hAnsi="Calibri" w:cs="FrankRuehl" w:hint="cs"/>
          <w:b/>
          <w:bCs/>
          <w:rtl/>
        </w:rPr>
        <w:t>הוא</w:t>
      </w:r>
      <w:r w:rsidRPr="000E2B08">
        <w:rPr>
          <w:rFonts w:ascii="Calibri" w:hAnsi="Calibri" w:cs="FrankRuehl"/>
          <w:b/>
          <w:bCs/>
        </w:rPr>
        <w:t xml:space="preserve"> "</w:t>
      </w:r>
      <w:r w:rsidRPr="000E2B08">
        <w:rPr>
          <w:rFonts w:ascii="Calibri" w:hAnsi="Calibri" w:cs="FrankRuehl" w:hint="cs"/>
          <w:b/>
          <w:bCs/>
          <w:rtl/>
        </w:rPr>
        <w:t>במקום</w:t>
      </w:r>
      <w:r w:rsidRPr="000E2B08">
        <w:rPr>
          <w:rFonts w:ascii="Calibri" w:hAnsi="Calibri" w:cs="FrankRuehl"/>
          <w:b/>
          <w:bCs/>
        </w:rPr>
        <w:t xml:space="preserve"> </w:t>
      </w:r>
      <w:r w:rsidRPr="000E2B08">
        <w:rPr>
          <w:rFonts w:ascii="Calibri" w:hAnsi="Calibri" w:cs="FrankRuehl" w:hint="cs"/>
          <w:b/>
          <w:bCs/>
          <w:rtl/>
        </w:rPr>
        <w:t>שבו</w:t>
      </w:r>
      <w:r w:rsidRPr="000E2B08">
        <w:rPr>
          <w:rFonts w:ascii="Calibri" w:hAnsi="Calibri" w:cs="FrankRuehl"/>
          <w:b/>
          <w:bCs/>
        </w:rPr>
        <w:t xml:space="preserve"> </w:t>
      </w:r>
      <w:r w:rsidRPr="000E2B08">
        <w:rPr>
          <w:rFonts w:ascii="Calibri" w:hAnsi="Calibri" w:cs="FrankRuehl" w:hint="cs"/>
          <w:b/>
          <w:bCs/>
          <w:rtl/>
        </w:rPr>
        <w:t>נראה</w:t>
      </w:r>
      <w:r w:rsidRPr="000E2B08">
        <w:rPr>
          <w:rFonts w:ascii="Calibri" w:hAnsi="Calibri" w:cs="FrankRuehl"/>
          <w:b/>
          <w:bCs/>
        </w:rPr>
        <w:t xml:space="preserve"> </w:t>
      </w:r>
      <w:r w:rsidRPr="000E2B08">
        <w:rPr>
          <w:rFonts w:ascii="Calibri" w:hAnsi="Calibri" w:cs="FrankRuehl" w:hint="cs"/>
          <w:b/>
          <w:bCs/>
          <w:rtl/>
        </w:rPr>
        <w:t>כעקבי</w:t>
      </w:r>
      <w:r w:rsidRPr="000E2B08">
        <w:rPr>
          <w:rFonts w:ascii="Calibri" w:hAnsi="Calibri" w:cs="FrankRuehl"/>
          <w:b/>
          <w:bCs/>
        </w:rPr>
        <w:t xml:space="preserve"> </w:t>
      </w:r>
      <w:r w:rsidRPr="000E2B08">
        <w:rPr>
          <w:rFonts w:ascii="Calibri" w:hAnsi="Calibri" w:cs="FrankRuehl" w:hint="cs"/>
          <w:b/>
          <w:bCs/>
          <w:rtl/>
        </w:rPr>
        <w:t>הליך</w:t>
      </w:r>
      <w:r w:rsidRPr="000E2B08">
        <w:rPr>
          <w:rFonts w:ascii="Calibri" w:hAnsi="Calibri" w:cs="FrankRuehl"/>
          <w:b/>
          <w:bCs/>
        </w:rPr>
        <w:t xml:space="preserve"> </w:t>
      </w:r>
      <w:r w:rsidRPr="000E2B08">
        <w:rPr>
          <w:rFonts w:ascii="Calibri" w:hAnsi="Calibri" w:cs="FrankRuehl" w:hint="cs"/>
          <w:b/>
          <w:bCs/>
          <w:rtl/>
        </w:rPr>
        <w:t>השיקום</w:t>
      </w:r>
      <w:r w:rsidRPr="000E2B08">
        <w:rPr>
          <w:rFonts w:ascii="Calibri" w:hAnsi="Calibri" w:cs="FrankRuehl"/>
          <w:b/>
          <w:bCs/>
        </w:rPr>
        <w:t xml:space="preserve"> </w:t>
      </w:r>
      <w:r w:rsidRPr="000E2B08">
        <w:rPr>
          <w:rFonts w:ascii="Calibri" w:hAnsi="Calibri" w:cs="FrankRuehl" w:hint="cs"/>
          <w:b/>
          <w:bCs/>
          <w:rtl/>
        </w:rPr>
        <w:t>שבו</w:t>
      </w:r>
      <w:r w:rsidRPr="000E2B08">
        <w:rPr>
          <w:rFonts w:ascii="Calibri" w:hAnsi="Calibri" w:cs="FrankRuehl"/>
          <w:b/>
          <w:bCs/>
        </w:rPr>
        <w:t xml:space="preserve"> </w:t>
      </w:r>
      <w:r w:rsidRPr="000E2B08">
        <w:rPr>
          <w:rFonts w:ascii="Calibri" w:hAnsi="Calibri" w:cs="FrankRuehl" w:hint="cs"/>
          <w:b/>
          <w:bCs/>
          <w:rtl/>
        </w:rPr>
        <w:t>מצוי</w:t>
      </w:r>
      <w:r w:rsidRPr="000E2B08">
        <w:rPr>
          <w:rFonts w:ascii="Calibri" w:hAnsi="Calibri" w:cs="FrankRuehl"/>
          <w:b/>
          <w:bCs/>
        </w:rPr>
        <w:t xml:space="preserve"> </w:t>
      </w:r>
      <w:r w:rsidRPr="000E2B08">
        <w:rPr>
          <w:rFonts w:ascii="Calibri" w:hAnsi="Calibri" w:cs="FrankRuehl" w:hint="cs"/>
          <w:b/>
          <w:bCs/>
          <w:rtl/>
        </w:rPr>
        <w:t>המבקש</w:t>
      </w:r>
      <w:r w:rsidRPr="000E2B08">
        <w:rPr>
          <w:rFonts w:ascii="Calibri" w:hAnsi="Calibri" w:cs="FrankRuehl"/>
          <w:b/>
          <w:bCs/>
        </w:rPr>
        <w:t>-</w:t>
      </w:r>
      <w:r w:rsidRPr="000E2B08">
        <w:rPr>
          <w:rFonts w:ascii="Calibri" w:hAnsi="Calibri" w:cs="FrankRuehl" w:hint="cs"/>
          <w:b/>
          <w:bCs/>
          <w:rtl/>
        </w:rPr>
        <w:t>המערער... אילו</w:t>
      </w:r>
      <w:r w:rsidRPr="000E2B08">
        <w:rPr>
          <w:rFonts w:ascii="Calibri" w:hAnsi="Calibri" w:cs="FrankRuehl"/>
          <w:b/>
          <w:bCs/>
        </w:rPr>
        <w:t xml:space="preserve"> </w:t>
      </w:r>
      <w:r w:rsidRPr="000E2B08">
        <w:rPr>
          <w:rFonts w:ascii="Calibri" w:hAnsi="Calibri" w:cs="FrankRuehl" w:hint="cs"/>
          <w:b/>
          <w:bCs/>
          <w:rtl/>
        </w:rPr>
        <w:t>השמתו</w:t>
      </w:r>
      <w:r w:rsidRPr="000E2B08">
        <w:rPr>
          <w:rFonts w:ascii="Calibri" w:hAnsi="Calibri" w:cs="FrankRuehl"/>
          <w:b/>
          <w:bCs/>
        </w:rPr>
        <w:t xml:space="preserve"> </w:t>
      </w:r>
      <w:r w:rsidRPr="000E2B08">
        <w:rPr>
          <w:rFonts w:ascii="Calibri" w:hAnsi="Calibri" w:cs="FrankRuehl" w:hint="cs"/>
          <w:b/>
          <w:bCs/>
          <w:rtl/>
        </w:rPr>
        <w:t>של</w:t>
      </w:r>
      <w:r w:rsidRPr="000E2B08">
        <w:rPr>
          <w:rFonts w:ascii="Calibri" w:hAnsi="Calibri" w:cs="FrankRuehl"/>
          <w:b/>
          <w:bCs/>
        </w:rPr>
        <w:t xml:space="preserve"> </w:t>
      </w:r>
      <w:r w:rsidRPr="000E2B08">
        <w:rPr>
          <w:rFonts w:ascii="Calibri" w:hAnsi="Calibri" w:cs="FrankRuehl" w:hint="cs"/>
          <w:b/>
          <w:bCs/>
          <w:rtl/>
        </w:rPr>
        <w:t>הנידון</w:t>
      </w:r>
      <w:r w:rsidRPr="000E2B08">
        <w:rPr>
          <w:rFonts w:ascii="Calibri" w:hAnsi="Calibri" w:cs="FrankRuehl"/>
          <w:b/>
          <w:bCs/>
        </w:rPr>
        <w:t xml:space="preserve"> </w:t>
      </w:r>
      <w:r w:rsidRPr="000E2B08">
        <w:rPr>
          <w:rFonts w:ascii="Calibri" w:hAnsi="Calibri" w:cs="FrankRuehl" w:hint="cs"/>
          <w:b/>
          <w:bCs/>
          <w:rtl/>
        </w:rPr>
        <w:t>מאחורי</w:t>
      </w:r>
      <w:r w:rsidRPr="000E2B08">
        <w:rPr>
          <w:rFonts w:ascii="Calibri" w:hAnsi="Calibri" w:cs="FrankRuehl"/>
          <w:b/>
          <w:bCs/>
        </w:rPr>
        <w:t xml:space="preserve"> </w:t>
      </w:r>
      <w:r w:rsidRPr="000E2B08">
        <w:rPr>
          <w:rFonts w:ascii="Calibri" w:hAnsi="Calibri" w:cs="FrankRuehl" w:hint="cs"/>
          <w:b/>
          <w:bCs/>
          <w:rtl/>
        </w:rPr>
        <w:t>סורג</w:t>
      </w:r>
      <w:r w:rsidRPr="000E2B08">
        <w:rPr>
          <w:rFonts w:ascii="Calibri" w:hAnsi="Calibri" w:cs="FrankRuehl"/>
          <w:b/>
          <w:bCs/>
        </w:rPr>
        <w:t xml:space="preserve"> </w:t>
      </w:r>
      <w:r w:rsidRPr="000E2B08">
        <w:rPr>
          <w:rFonts w:ascii="Calibri" w:hAnsi="Calibri" w:cs="FrankRuehl" w:hint="cs"/>
          <w:b/>
          <w:bCs/>
          <w:rtl/>
        </w:rPr>
        <w:t>ובריח</w:t>
      </w:r>
      <w:r w:rsidRPr="000E2B08">
        <w:rPr>
          <w:rFonts w:ascii="Calibri" w:hAnsi="Calibri" w:cs="FrankRuehl"/>
          <w:b/>
          <w:bCs/>
        </w:rPr>
        <w:t xml:space="preserve"> </w:t>
      </w:r>
      <w:r w:rsidRPr="000E2B08">
        <w:rPr>
          <w:rFonts w:ascii="Calibri" w:hAnsi="Calibri" w:cs="FrankRuehl" w:hint="cs"/>
          <w:b/>
          <w:bCs/>
          <w:rtl/>
        </w:rPr>
        <w:t>עלולה</w:t>
      </w:r>
      <w:r w:rsidRPr="000E2B08">
        <w:rPr>
          <w:rFonts w:ascii="Calibri" w:hAnsi="Calibri" w:cs="FrankRuehl"/>
          <w:b/>
          <w:bCs/>
        </w:rPr>
        <w:t xml:space="preserve"> </w:t>
      </w:r>
      <w:r w:rsidRPr="000E2B08">
        <w:rPr>
          <w:rFonts w:ascii="Calibri" w:hAnsi="Calibri" w:cs="FrankRuehl" w:hint="cs"/>
          <w:b/>
          <w:bCs/>
          <w:rtl/>
        </w:rPr>
        <w:t>לאיין</w:t>
      </w:r>
      <w:r w:rsidRPr="000E2B08">
        <w:rPr>
          <w:rFonts w:ascii="Calibri" w:hAnsi="Calibri" w:cs="FrankRuehl"/>
          <w:b/>
          <w:bCs/>
        </w:rPr>
        <w:t xml:space="preserve"> </w:t>
      </w:r>
      <w:r w:rsidRPr="000E2B08">
        <w:rPr>
          <w:rFonts w:ascii="Calibri" w:hAnsi="Calibri" w:cs="FrankRuehl" w:hint="cs"/>
          <w:b/>
          <w:bCs/>
          <w:rtl/>
        </w:rPr>
        <w:t>את</w:t>
      </w:r>
      <w:r w:rsidRPr="000E2B08">
        <w:rPr>
          <w:rFonts w:ascii="Calibri" w:hAnsi="Calibri" w:cs="FrankRuehl"/>
          <w:b/>
          <w:bCs/>
        </w:rPr>
        <w:t xml:space="preserve"> </w:t>
      </w:r>
      <w:r w:rsidRPr="000E2B08">
        <w:rPr>
          <w:rFonts w:ascii="Calibri" w:hAnsi="Calibri" w:cs="FrankRuehl" w:hint="cs"/>
          <w:b/>
          <w:bCs/>
          <w:rtl/>
        </w:rPr>
        <w:t>ההליך</w:t>
      </w:r>
      <w:r w:rsidRPr="000E2B08">
        <w:rPr>
          <w:rFonts w:ascii="Calibri" w:hAnsi="Calibri" w:cs="FrankRuehl"/>
          <w:b/>
          <w:bCs/>
        </w:rPr>
        <w:t xml:space="preserve"> </w:t>
      </w:r>
      <w:r w:rsidRPr="000E2B08">
        <w:rPr>
          <w:rFonts w:ascii="Calibri" w:hAnsi="Calibri" w:cs="FrankRuehl" w:hint="cs"/>
          <w:b/>
          <w:bCs/>
          <w:rtl/>
        </w:rPr>
        <w:t>השיקומי</w:t>
      </w:r>
      <w:r w:rsidRPr="000E2B08">
        <w:rPr>
          <w:rFonts w:ascii="Calibri" w:hAnsi="Calibri" w:cs="FrankRuehl"/>
          <w:b/>
          <w:bCs/>
        </w:rPr>
        <w:t xml:space="preserve">, </w:t>
      </w:r>
      <w:r w:rsidRPr="000E2B08">
        <w:rPr>
          <w:rFonts w:ascii="Calibri" w:hAnsi="Calibri" w:cs="FrankRuehl" w:hint="cs"/>
          <w:b/>
          <w:bCs/>
          <w:rtl/>
        </w:rPr>
        <w:t>או</w:t>
      </w:r>
      <w:r w:rsidRPr="000E2B08">
        <w:rPr>
          <w:rFonts w:ascii="Calibri" w:hAnsi="Calibri" w:cs="FrankRuehl"/>
          <w:b/>
          <w:bCs/>
        </w:rPr>
        <w:t xml:space="preserve"> </w:t>
      </w:r>
      <w:r w:rsidRPr="000E2B08">
        <w:rPr>
          <w:rFonts w:ascii="Calibri" w:hAnsi="Calibri" w:cs="FrankRuehl" w:hint="cs"/>
          <w:b/>
          <w:bCs/>
          <w:rtl/>
        </w:rPr>
        <w:t>לפגוע</w:t>
      </w:r>
      <w:r w:rsidRPr="000E2B08">
        <w:rPr>
          <w:rFonts w:ascii="Calibri" w:hAnsi="Calibri" w:cs="FrankRuehl"/>
          <w:b/>
          <w:bCs/>
        </w:rPr>
        <w:t xml:space="preserve"> </w:t>
      </w:r>
      <w:r w:rsidRPr="000E2B08">
        <w:rPr>
          <w:rFonts w:ascii="Calibri" w:hAnsi="Calibri" w:cs="FrankRuehl" w:hint="cs"/>
          <w:b/>
          <w:bCs/>
          <w:rtl/>
        </w:rPr>
        <w:t>בו</w:t>
      </w:r>
      <w:r w:rsidRPr="000E2B08">
        <w:rPr>
          <w:rFonts w:ascii="Calibri" w:hAnsi="Calibri" w:cs="FrankRuehl"/>
          <w:b/>
          <w:bCs/>
        </w:rPr>
        <w:t xml:space="preserve"> </w:t>
      </w:r>
      <w:r w:rsidRPr="000E2B08">
        <w:rPr>
          <w:rFonts w:ascii="Calibri" w:hAnsi="Calibri" w:cs="FrankRuehl" w:hint="cs"/>
          <w:b/>
          <w:bCs/>
          <w:rtl/>
        </w:rPr>
        <w:t>באופן</w:t>
      </w:r>
      <w:r w:rsidRPr="000E2B08">
        <w:rPr>
          <w:rFonts w:ascii="Calibri" w:hAnsi="Calibri" w:cs="FrankRuehl"/>
          <w:b/>
          <w:bCs/>
        </w:rPr>
        <w:t xml:space="preserve"> </w:t>
      </w:r>
      <w:r w:rsidRPr="000E2B08">
        <w:rPr>
          <w:rFonts w:ascii="Calibri" w:hAnsi="Calibri" w:cs="FrankRuehl" w:hint="cs"/>
          <w:b/>
          <w:bCs/>
          <w:rtl/>
        </w:rPr>
        <w:t>ניכר"</w:t>
      </w:r>
      <w:r w:rsidRPr="000E2B08">
        <w:rPr>
          <w:rFonts w:ascii="Calibri" w:hAnsi="Calibri" w:cs="FrankRuehl"/>
          <w:b/>
          <w:bCs/>
        </w:rPr>
        <w:t xml:space="preserve">. </w:t>
      </w:r>
      <w:r w:rsidRPr="000E2B08">
        <w:rPr>
          <w:rFonts w:ascii="Calibri" w:hAnsi="Calibri" w:cs="FrankRuehl" w:hint="cs"/>
          <w:rtl/>
        </w:rPr>
        <w:t>(ההדגשה שלי)</w:t>
      </w:r>
    </w:p>
    <w:p w14:paraId="7534D2EC" w14:textId="77777777" w:rsidR="000E2B08" w:rsidRPr="000E2B08" w:rsidRDefault="000E2B08" w:rsidP="000E2B08">
      <w:pPr>
        <w:spacing w:after="160" w:line="360" w:lineRule="auto"/>
        <w:jc w:val="both"/>
        <w:rPr>
          <w:rFonts w:ascii="Calibri" w:hAnsi="Calibri" w:cs="FrankRuehl"/>
          <w:rtl/>
        </w:rPr>
      </w:pPr>
    </w:p>
    <w:p w14:paraId="068CAA43"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 xml:space="preserve">בנוסף, אינני יכול שלא להפנות לשינוי הניכר כיום אצל רשויות האכיפה, בכל הנוגע לאימוץ דרכי ענישה חלופיות למאסר, במקרים ההולמים, וזאת ברוח מסקנות והמלצות הוועדה הציבורית לבחינת מדיניות הענישה והטיפול בעבריינים (מאוגוסט 2015), ומסקנות צוות התביעה לבחינת יישום דו"ח דורנר בהקשר זה (ר' באתר האינטרנט של משרד המשפטים).  לטעמי, זהו המקרה, שבו יש לבכר את האינטרס השיקומי של הנאשם, כביטוי הן לאינטרס הפרטני והן לאינטרס הציבורי – שכן המשך התהליך השיקומי לצד ענישה משמעותית שלא תקטע את התהליך, תבטיח במידה רבה, את אי-הישנות ההתנהגות העבריינית, ואת גדיעת המקורות לאותה התנהגות, הנטועים באישיותו של הנאשם. </w:t>
      </w:r>
    </w:p>
    <w:p w14:paraId="5D6C9000" w14:textId="77777777" w:rsidR="000E2B08" w:rsidRPr="000E2B08" w:rsidRDefault="000E2B08" w:rsidP="000E2B08">
      <w:pPr>
        <w:spacing w:after="160" w:line="360" w:lineRule="auto"/>
        <w:jc w:val="both"/>
        <w:rPr>
          <w:rFonts w:ascii="Calibri" w:hAnsi="Calibri" w:cs="FrankRuehl"/>
          <w:rtl/>
        </w:rPr>
      </w:pPr>
    </w:p>
    <w:p w14:paraId="28DD2AAA"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 xml:space="preserve">אני סבור, כי ההליך הפלילי הנוכחי, היה בחזקת נס גלוי לנאשם. אם בתחילת ההליך הוא נמצא "מסטול" במכוניתו אפופת אדי הסמים, כשראשו שמוט על רגליו, הרי שבמהלך של כשנתיים בקירוב הנאשם הזדקף, הישיר מבט פנימה כלפי עצמו והחוצה וקדימה, כלפי עתידו, עלה על מסלול השיקום, וגם אם מסלול זה ידע עליות ומורדות, הנאשם עבר אותו בהצלחה רבה, והתחושה היא, כי רכש כלים משמעותיים להתמודדות עם קשיי החיים (הנובעים ממנו עצמו ומסביבתו כאחד) באופן מועיל וחיובי. על-כן אני סבור, כי הנאשם הוכיח כי הוא זכאי להקלה משמעותית בעונשו, לנוכח המאמצים הגדולים שהשקיע בדרך השיקום, ולכן יש להעדיף את עניינו הפרטני על פני שיקולים אחרים.  </w:t>
      </w:r>
    </w:p>
    <w:p w14:paraId="47BA8D5B" w14:textId="77777777" w:rsidR="000E2B08" w:rsidRPr="000E2B08" w:rsidRDefault="000E2B08" w:rsidP="000E2B08">
      <w:pPr>
        <w:spacing w:after="160" w:line="360" w:lineRule="auto"/>
        <w:jc w:val="both"/>
        <w:rPr>
          <w:rFonts w:ascii="Calibri" w:hAnsi="Calibri" w:cs="FrankRuehl"/>
          <w:rtl/>
        </w:rPr>
      </w:pPr>
    </w:p>
    <w:p w14:paraId="5ACDAE7A" w14:textId="77777777" w:rsidR="000E2B08" w:rsidRPr="000E2B08" w:rsidRDefault="000E2B08" w:rsidP="000E2B08">
      <w:pPr>
        <w:spacing w:after="160" w:line="360" w:lineRule="auto"/>
        <w:jc w:val="both"/>
        <w:rPr>
          <w:rFonts w:ascii="Calibri" w:hAnsi="Calibri" w:cs="FrankRuehl"/>
          <w:b/>
          <w:bCs/>
          <w:u w:val="single"/>
          <w:rtl/>
        </w:rPr>
      </w:pPr>
      <w:r w:rsidRPr="000E2B08">
        <w:rPr>
          <w:rFonts w:ascii="Calibri" w:hAnsi="Calibri" w:cs="FrankRuehl" w:hint="cs"/>
          <w:b/>
          <w:bCs/>
          <w:u w:val="single"/>
          <w:rtl/>
        </w:rPr>
        <w:t>גזירת הדין</w:t>
      </w:r>
    </w:p>
    <w:p w14:paraId="1FAB7708" w14:textId="77777777" w:rsidR="000E2B08" w:rsidRPr="000E2B08" w:rsidRDefault="000E2B08" w:rsidP="000E2B08">
      <w:pPr>
        <w:spacing w:after="160" w:line="360" w:lineRule="auto"/>
        <w:jc w:val="both"/>
        <w:rPr>
          <w:rFonts w:ascii="Calibri" w:hAnsi="Calibri" w:cs="FrankRuehl"/>
          <w:rtl/>
        </w:rPr>
      </w:pPr>
      <w:r w:rsidRPr="000E2B08">
        <w:rPr>
          <w:rFonts w:ascii="Calibri" w:hAnsi="Calibri" w:cs="FrankRuehl" w:hint="cs"/>
          <w:rtl/>
        </w:rPr>
        <w:t>לפיכך, אני מחליט לגזור על הנאשם את העונשים הבאים:</w:t>
      </w:r>
    </w:p>
    <w:p w14:paraId="1002394A" w14:textId="77777777" w:rsidR="000E2B08" w:rsidRPr="000E2B08" w:rsidRDefault="000E2B08" w:rsidP="000E2B08">
      <w:pPr>
        <w:numPr>
          <w:ilvl w:val="0"/>
          <w:numId w:val="1"/>
        </w:numPr>
        <w:spacing w:after="160" w:line="360" w:lineRule="auto"/>
        <w:contextualSpacing/>
        <w:jc w:val="both"/>
        <w:rPr>
          <w:rFonts w:ascii="Calibri" w:hAnsi="Calibri" w:cs="FrankRuehl"/>
        </w:rPr>
      </w:pPr>
      <w:r w:rsidRPr="000E2B08">
        <w:rPr>
          <w:rFonts w:ascii="Calibri" w:hAnsi="Calibri" w:cs="FrankRuehl" w:hint="cs"/>
          <w:rtl/>
        </w:rPr>
        <w:t>5 חודשי מאסר, אשר ירוצו בעבודות שירות, החל מיום 8.9.2019   , אשר ירוצו ב"כרמי העיר" בירושלים, וזאת על פי חוות דעת הממונה על עבודות השירות. על הנאשם להתייצב ביום   8.9.2019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 מתקופה זו ינוכו ימי מעצרו של הנאשם בתיק זה, על-פי חישוב שב"ס שיכריע;</w:t>
      </w:r>
    </w:p>
    <w:p w14:paraId="405C7505" w14:textId="77777777" w:rsidR="000E2B08" w:rsidRPr="000E2B08" w:rsidRDefault="000E2B08" w:rsidP="000E2B08">
      <w:pPr>
        <w:numPr>
          <w:ilvl w:val="0"/>
          <w:numId w:val="1"/>
        </w:numPr>
        <w:spacing w:after="160" w:line="360" w:lineRule="auto"/>
        <w:contextualSpacing/>
        <w:jc w:val="both"/>
        <w:rPr>
          <w:rFonts w:ascii="Calibri" w:hAnsi="Calibri" w:cs="FrankRuehl"/>
        </w:rPr>
      </w:pPr>
      <w:r w:rsidRPr="000E2B08">
        <w:rPr>
          <w:rFonts w:ascii="Calibri" w:hAnsi="Calibri" w:cs="FrankRuehl" w:hint="cs"/>
          <w:rtl/>
        </w:rPr>
        <w:t>8 חודשי מאסר, שלא ירוצו אלא אם יעבור הנאשם כל עבירה על פקודת הסמים לרבות ניסיון לעוברה, למעט עבירות של שימוש עצמי והחזקת כלים לצריכה עצמית, וזאת בתוך שנתיים מהיום;</w:t>
      </w:r>
    </w:p>
    <w:p w14:paraId="36020FF1" w14:textId="77777777" w:rsidR="000E2B08" w:rsidRPr="000E2B08" w:rsidRDefault="000E2B08" w:rsidP="000E2B08">
      <w:pPr>
        <w:numPr>
          <w:ilvl w:val="0"/>
          <w:numId w:val="1"/>
        </w:numPr>
        <w:spacing w:after="160" w:line="360" w:lineRule="auto"/>
        <w:contextualSpacing/>
        <w:jc w:val="both"/>
        <w:rPr>
          <w:rFonts w:ascii="Calibri" w:hAnsi="Calibri" w:cs="FrankRuehl"/>
        </w:rPr>
      </w:pPr>
      <w:r w:rsidRPr="000E2B08">
        <w:rPr>
          <w:rFonts w:ascii="Calibri" w:hAnsi="Calibri" w:cs="FrankRuehl" w:hint="cs"/>
          <w:rtl/>
        </w:rPr>
        <w:t>3 חודשי מאסר, שלא ירוצו אלא אם יעבור הנאשם כל עבירה של שימוש עצמי או החזקת כלים לשימוש עצמי בסמים, לרבות ניסיון, וזאת בתוך שנתיים מהיום;</w:t>
      </w:r>
    </w:p>
    <w:p w14:paraId="082A6333" w14:textId="77777777" w:rsidR="000E2B08" w:rsidRPr="000E2B08" w:rsidRDefault="000E2B08" w:rsidP="000E2B08">
      <w:pPr>
        <w:numPr>
          <w:ilvl w:val="0"/>
          <w:numId w:val="1"/>
        </w:numPr>
        <w:spacing w:after="160" w:line="360" w:lineRule="auto"/>
        <w:contextualSpacing/>
        <w:jc w:val="both"/>
        <w:rPr>
          <w:rFonts w:ascii="Calibri" w:hAnsi="Calibri" w:cs="FrankRuehl"/>
        </w:rPr>
      </w:pPr>
      <w:r w:rsidRPr="000E2B08">
        <w:rPr>
          <w:rFonts w:ascii="Calibri" w:hAnsi="Calibri" w:cs="FrankRuehl" w:hint="cs"/>
          <w:rtl/>
        </w:rPr>
        <w:t>קנס בסך 3,000  ₪, אשר יקוזז מהפקדה ב</w:t>
      </w:r>
      <w:hyperlink r:id="rId37" w:history="1">
        <w:r w:rsidR="00A536F3" w:rsidRPr="00A536F3">
          <w:rPr>
            <w:rFonts w:ascii="Calibri" w:hAnsi="Calibri" w:cs="FrankRuehl" w:hint="eastAsia"/>
            <w:color w:val="0000FF"/>
            <w:u w:val="single"/>
            <w:rtl/>
          </w:rPr>
          <w:t>מ</w:t>
        </w:r>
        <w:r w:rsidR="00A536F3" w:rsidRPr="00A536F3">
          <w:rPr>
            <w:rFonts w:ascii="Calibri" w:hAnsi="Calibri" w:cs="FrankRuehl"/>
            <w:color w:val="0000FF"/>
            <w:u w:val="single"/>
            <w:rtl/>
          </w:rPr>
          <w:t>"</w:t>
        </w:r>
        <w:r w:rsidR="00A536F3" w:rsidRPr="00A536F3">
          <w:rPr>
            <w:rFonts w:ascii="Calibri" w:hAnsi="Calibri" w:cs="FrankRuehl" w:hint="eastAsia"/>
            <w:color w:val="0000FF"/>
            <w:u w:val="single"/>
            <w:rtl/>
          </w:rPr>
          <w:t>ת</w:t>
        </w:r>
        <w:r w:rsidR="00A536F3" w:rsidRPr="00A536F3">
          <w:rPr>
            <w:rFonts w:ascii="Calibri" w:hAnsi="Calibri" w:cs="FrankRuehl"/>
            <w:color w:val="0000FF"/>
            <w:u w:val="single"/>
            <w:rtl/>
          </w:rPr>
          <w:t xml:space="preserve"> 43699-08-17</w:t>
        </w:r>
      </w:hyperlink>
      <w:r w:rsidRPr="000E2B08">
        <w:rPr>
          <w:rFonts w:ascii="Calibri" w:hAnsi="Calibri" w:cs="FrankRuehl" w:hint="cs"/>
          <w:rtl/>
        </w:rPr>
        <w:t xml:space="preserve"> או 15 ימי מאסר תמורתו. ככל שתיוותר יתרת חובה לתשלום, היא תשולם עד ליום 2.11.2019. לא יעמוד הנאשם בתשלום הקנס במועד, יישא הקנס הפרשי ריבית פיגורים והצמדה כחוק מיום הגשת כתב האישום. הוראת הקיזוז תגבר על כל עיקול ככל שרשום לחובת הנאשם. הוראותיי כאן יגברו על כל עיקול;</w:t>
      </w:r>
    </w:p>
    <w:p w14:paraId="5D2C5C6A" w14:textId="77777777" w:rsidR="000E2B08" w:rsidRPr="000E2B08" w:rsidRDefault="000E2B08" w:rsidP="000E2B08">
      <w:pPr>
        <w:numPr>
          <w:ilvl w:val="0"/>
          <w:numId w:val="1"/>
        </w:numPr>
        <w:spacing w:after="160" w:line="360" w:lineRule="auto"/>
        <w:contextualSpacing/>
        <w:jc w:val="both"/>
        <w:rPr>
          <w:rFonts w:ascii="Calibri" w:hAnsi="Calibri" w:cs="FrankRuehl"/>
          <w:rtl/>
        </w:rPr>
      </w:pPr>
      <w:r w:rsidRPr="000E2B08">
        <w:rPr>
          <w:rFonts w:ascii="Calibri" w:hAnsi="Calibri" w:cs="FrankRuehl" w:hint="cs"/>
          <w:rtl/>
        </w:rPr>
        <w:t>צו מבחן לתקופה של 18 חודשים. במהלך תקופה זו הנאשם מחויב בשיתוף פעולה עם שירות המבחן, לרבות בעניין מתן בדיקות שתן, כאשר מובהר כי הפרת  הצו תוכל להביא לפתיחה מחודשת של המשפט וגזירת עונשו של הנאשם, לרבות עונש מאסר;</w:t>
      </w:r>
    </w:p>
    <w:p w14:paraId="09E233E4" w14:textId="77777777" w:rsidR="000E2B08" w:rsidRPr="000E2B08" w:rsidRDefault="000E2B08" w:rsidP="000E2B08">
      <w:pPr>
        <w:numPr>
          <w:ilvl w:val="0"/>
          <w:numId w:val="1"/>
        </w:numPr>
        <w:spacing w:after="160" w:line="360" w:lineRule="auto"/>
        <w:contextualSpacing/>
        <w:jc w:val="both"/>
        <w:rPr>
          <w:rFonts w:ascii="Calibri" w:hAnsi="Calibri" w:cs="FrankRuehl"/>
        </w:rPr>
      </w:pPr>
      <w:r w:rsidRPr="000E2B08">
        <w:rPr>
          <w:rFonts w:ascii="Calibri" w:hAnsi="Calibri" w:cs="FrankRuehl" w:hint="cs"/>
          <w:rtl/>
        </w:rPr>
        <w:t>התחייבות בסך 5,000 ₪ שלא לעבור כל עבירה לפי פקודת הסמים במשך שנתיים מהיום או 20 ימי מאסר תמורתה אם לא תיחתם. הובהר לנאשם שמשמעות ההתחייבות היא, כי אם יעבור את העבירות בתוך התקופה שצוינה, בית המשפט שיגזור את הדין יהא חייב לחלט את ההתחייבות כקנס;</w:t>
      </w:r>
    </w:p>
    <w:p w14:paraId="45ED5C16" w14:textId="77777777" w:rsidR="000E2B08" w:rsidRPr="000E2B08" w:rsidRDefault="000E2B08" w:rsidP="000E2B08">
      <w:pPr>
        <w:numPr>
          <w:ilvl w:val="0"/>
          <w:numId w:val="1"/>
        </w:numPr>
        <w:spacing w:after="160" w:line="360" w:lineRule="auto"/>
        <w:contextualSpacing/>
        <w:jc w:val="both"/>
        <w:rPr>
          <w:rFonts w:ascii="Calibri" w:hAnsi="Calibri" w:cs="FrankRuehl"/>
        </w:rPr>
      </w:pPr>
      <w:r w:rsidRPr="000E2B08">
        <w:rPr>
          <w:rFonts w:ascii="Calibri" w:hAnsi="Calibri" w:cs="FrankRuehl" w:hint="cs"/>
          <w:rtl/>
        </w:rPr>
        <w:t xml:space="preserve">פסילה של 12 חודשים מלהחזיק רישיון נהיגה או מלקבל רישיון נהיגה, וזאת על-תנאי למשך שנתיים מהיום </w:t>
      </w:r>
      <w:r w:rsidRPr="000E2B08">
        <w:rPr>
          <w:rFonts w:ascii="Calibri" w:hAnsi="Calibri" w:cs="FrankRuehl"/>
          <w:rtl/>
        </w:rPr>
        <w:t>–</w:t>
      </w:r>
      <w:r w:rsidRPr="000E2B08">
        <w:rPr>
          <w:rFonts w:ascii="Calibri" w:hAnsi="Calibri" w:cs="FrankRuehl" w:hint="cs"/>
          <w:rtl/>
        </w:rPr>
        <w:t xml:space="preserve"> שלא יעבור הנאשם את העבירות בהן הורשע במהלך התקופה האמורה.</w:t>
      </w:r>
    </w:p>
    <w:p w14:paraId="3DF2A2EA" w14:textId="77777777" w:rsidR="000E2B08" w:rsidRPr="00540DAC" w:rsidRDefault="000E2B08" w:rsidP="000E2B08">
      <w:pPr>
        <w:rPr>
          <w:rFonts w:cs="FrankRuehl"/>
          <w:rtl/>
        </w:rPr>
      </w:pPr>
    </w:p>
    <w:p w14:paraId="2060CC91" w14:textId="77777777" w:rsidR="000E2B08" w:rsidRPr="00A66BB2" w:rsidRDefault="000E2B08" w:rsidP="000E2B08">
      <w:pPr>
        <w:rPr>
          <w:rFonts w:cs="FrankRuehl"/>
          <w:b/>
          <w:bCs/>
          <w:rtl/>
        </w:rPr>
      </w:pPr>
      <w:r w:rsidRPr="00A66BB2">
        <w:rPr>
          <w:rFonts w:cs="FrankRuehl" w:hint="cs"/>
          <w:b/>
          <w:bCs/>
          <w:rtl/>
        </w:rPr>
        <w:t>מורה על השמדת הסמים</w:t>
      </w:r>
      <w:r>
        <w:rPr>
          <w:rFonts w:cs="FrankRuehl" w:hint="cs"/>
          <w:b/>
          <w:bCs/>
          <w:rtl/>
        </w:rPr>
        <w:t xml:space="preserve"> והמשקל, ועל חילוט הטלפונים</w:t>
      </w:r>
      <w:r w:rsidRPr="00A66BB2">
        <w:rPr>
          <w:rFonts w:cs="FrankRuehl" w:hint="cs"/>
          <w:b/>
          <w:bCs/>
          <w:rtl/>
        </w:rPr>
        <w:t>.</w:t>
      </w:r>
    </w:p>
    <w:p w14:paraId="3C949D2F" w14:textId="77777777" w:rsidR="000E2B08" w:rsidRDefault="000E2B08" w:rsidP="000E2B08">
      <w:pPr>
        <w:rPr>
          <w:rFonts w:cs="FrankRuehl"/>
          <w:rtl/>
        </w:rPr>
      </w:pPr>
    </w:p>
    <w:p w14:paraId="2C5EEAFE" w14:textId="77777777" w:rsidR="000E2B08" w:rsidRDefault="000E2B08" w:rsidP="000E2B08">
      <w:pPr>
        <w:rPr>
          <w:rFonts w:cs="FrankRuehl"/>
          <w:rtl/>
        </w:rPr>
      </w:pPr>
      <w:r>
        <w:rPr>
          <w:rFonts w:cs="FrankRuehl" w:hint="cs"/>
          <w:rtl/>
        </w:rPr>
        <w:t>יש לשלוח העתק לשירות המבחן ולממונה על עבודות שירות.</w:t>
      </w:r>
    </w:p>
    <w:p w14:paraId="5069E0B9" w14:textId="77777777" w:rsidR="000E2B08" w:rsidRDefault="000E2B08" w:rsidP="000E2B08">
      <w:pPr>
        <w:rPr>
          <w:rFonts w:cs="FrankRuehl"/>
          <w:rtl/>
        </w:rPr>
      </w:pPr>
    </w:p>
    <w:p w14:paraId="08DEF9DE" w14:textId="77777777" w:rsidR="000E2B08" w:rsidRDefault="000E2B08" w:rsidP="000E2B08">
      <w:pPr>
        <w:rPr>
          <w:rFonts w:cs="FrankRuehl"/>
          <w:rtl/>
        </w:rPr>
      </w:pPr>
    </w:p>
    <w:p w14:paraId="6D247943" w14:textId="77777777" w:rsidR="000E2B08" w:rsidRDefault="000E2B08" w:rsidP="000E2B08">
      <w:pPr>
        <w:spacing w:line="360" w:lineRule="auto"/>
        <w:jc w:val="both"/>
        <w:rPr>
          <w:rFonts w:cs="FrankRuehl"/>
          <w:rtl/>
        </w:rPr>
      </w:pPr>
      <w:r w:rsidRPr="0012360A">
        <w:rPr>
          <w:rFonts w:cs="FrankRuehl" w:hint="cs"/>
          <w:b/>
          <w:bCs/>
          <w:u w:val="single"/>
          <w:rtl/>
        </w:rPr>
        <w:t>הערה לסיום</w:t>
      </w:r>
      <w:r>
        <w:rPr>
          <w:rFonts w:cs="FrankRuehl" w:hint="cs"/>
          <w:rtl/>
        </w:rPr>
        <w:t xml:space="preserve">: אמנם הליך זה הסתיים בהרשעה ובענישה מוחשית, וזאת על-פי השיקולים עליהם עמדתי, שעליהם אמון בית המשפט. יחד עם זאת, אציין כי למדתי להכיר את הנאשם לאורך תקופה ארוכה מאוד </w:t>
      </w:r>
      <w:r>
        <w:rPr>
          <w:rFonts w:cs="FrankRuehl"/>
          <w:rtl/>
        </w:rPr>
        <w:t>–</w:t>
      </w:r>
      <w:r>
        <w:rPr>
          <w:rFonts w:cs="FrankRuehl" w:hint="cs"/>
          <w:rtl/>
        </w:rPr>
        <w:t xml:space="preserve"> ראיתי אותו בשיא השפל ואני רואה אותו היום </w:t>
      </w:r>
      <w:r>
        <w:rPr>
          <w:rFonts w:cs="FrankRuehl"/>
          <w:rtl/>
        </w:rPr>
        <w:t>–</w:t>
      </w:r>
      <w:r>
        <w:rPr>
          <w:rFonts w:cs="FrankRuehl" w:hint="cs"/>
          <w:rtl/>
        </w:rPr>
        <w:t xml:space="preserve"> עלם עציר ומפוכח, שהצליח להרים עצמו בשערות ראשו משפל תחתיות, ולהוכיח קודם כל לעצמו, שהוא מסוגל לתפקד באופן תקין ומועיל לעצמו ולחברה. מדובר בצעיר מרשים מבחינת יכולותיו האינטלקטואליות וגם מבחינת יכולות הביצוע שלו, כפי שעולה משירותו הצבאי ומהישגיו הלימודיים, למרות כל הקשיים שחווה מגיל צעיר מאוד. אני מאמין ורוצה לקוות, שהנאשם רכש את הכלים המועילים להתמיד במסלול חיובי ומועיל, באופן שיבטיח את עתידו, וצפוי לו עתיד מזהיר, אם יבחר בכך, לעסוק בכל תחום מקצועי שבו יחפוץ. חבל שהרישום הפלילי יעמוד לו לרועץ. אני מאמין בנאשם ומאחל לו שיידע לשמר את הישגיו ולשפרם לעתיד לבוא.</w:t>
      </w:r>
    </w:p>
    <w:p w14:paraId="2B4CE159" w14:textId="77777777" w:rsidR="000E2B08" w:rsidRDefault="000E2B08" w:rsidP="000E2B08">
      <w:pPr>
        <w:spacing w:line="360" w:lineRule="auto"/>
        <w:jc w:val="both"/>
        <w:rPr>
          <w:rFonts w:cs="FrankRuehl"/>
          <w:rtl/>
        </w:rPr>
      </w:pPr>
    </w:p>
    <w:p w14:paraId="3F6DDD49" w14:textId="77777777" w:rsidR="000E2B08" w:rsidRDefault="000E2B08" w:rsidP="000E2B08">
      <w:pPr>
        <w:spacing w:line="360" w:lineRule="auto"/>
        <w:jc w:val="both"/>
        <w:rPr>
          <w:rFonts w:cs="FrankRuehl"/>
          <w:b/>
          <w:bCs/>
          <w:rtl/>
        </w:rPr>
      </w:pPr>
      <w:r w:rsidRPr="00653C9B">
        <w:rPr>
          <w:rFonts w:cs="FrankRuehl" w:hint="cs"/>
          <w:b/>
          <w:bCs/>
          <w:rtl/>
        </w:rPr>
        <w:t xml:space="preserve">לגבי הכספים שנתפסו </w:t>
      </w:r>
      <w:r w:rsidRPr="00653C9B">
        <w:rPr>
          <w:rFonts w:cs="FrankRuehl"/>
          <w:b/>
          <w:bCs/>
          <w:rtl/>
        </w:rPr>
        <w:t>–</w:t>
      </w:r>
      <w:r w:rsidRPr="00653C9B">
        <w:rPr>
          <w:rFonts w:cs="FrankRuehl" w:hint="cs"/>
          <w:b/>
          <w:bCs/>
          <w:rtl/>
        </w:rPr>
        <w:t xml:space="preserve"> תוגש בקשה מסודרת.</w:t>
      </w:r>
    </w:p>
    <w:p w14:paraId="74CF1E12" w14:textId="77777777" w:rsidR="000E2B08" w:rsidRPr="00653C9B" w:rsidRDefault="000E2B08" w:rsidP="000E2B08">
      <w:pPr>
        <w:spacing w:line="360" w:lineRule="auto"/>
        <w:jc w:val="both"/>
        <w:rPr>
          <w:rFonts w:cs="FrankRuehl"/>
          <w:b/>
          <w:bCs/>
        </w:rPr>
      </w:pPr>
    </w:p>
    <w:p w14:paraId="48C18F9A" w14:textId="77777777" w:rsidR="000E2B08" w:rsidRDefault="000E2B08" w:rsidP="000E2B08">
      <w:pPr>
        <w:rPr>
          <w:rFonts w:cs="FrankRuehl"/>
        </w:rPr>
      </w:pPr>
      <w:r>
        <w:rPr>
          <w:rFonts w:cs="FrankRuehl" w:hint="cs"/>
          <w:rtl/>
        </w:rPr>
        <w:t>זכות ערעור כחוק לבית המשפט המחוזי בירושלים בתוך 45 יום מהיום.</w:t>
      </w:r>
    </w:p>
    <w:p w14:paraId="44AED28C" w14:textId="77777777" w:rsidR="000E2B08" w:rsidRPr="00A536F3" w:rsidRDefault="00A536F3" w:rsidP="000E2B08">
      <w:pPr>
        <w:rPr>
          <w:color w:val="FFFFFF"/>
          <w:sz w:val="2"/>
          <w:szCs w:val="2"/>
        </w:rPr>
      </w:pPr>
      <w:r w:rsidRPr="00A536F3">
        <w:rPr>
          <w:color w:val="FFFFFF"/>
          <w:sz w:val="2"/>
          <w:szCs w:val="2"/>
          <w:rtl/>
        </w:rPr>
        <w:t>5129371</w:t>
      </w:r>
    </w:p>
    <w:p w14:paraId="01D02944" w14:textId="77777777" w:rsidR="000E2B08" w:rsidRPr="00A73FE7" w:rsidRDefault="00A536F3" w:rsidP="000E2B08">
      <w:pPr>
        <w:rPr>
          <w:rFonts w:cs="FrankRuehl"/>
          <w:sz w:val="28"/>
          <w:szCs w:val="28"/>
          <w:rtl/>
        </w:rPr>
      </w:pPr>
      <w:bookmarkStart w:id="8" w:name="Nitan"/>
      <w:r w:rsidRPr="00A536F3">
        <w:rPr>
          <w:rFonts w:ascii="Arial" w:hAnsi="Arial" w:cs="FrankRuehl"/>
          <w:color w:val="FFFFFF"/>
          <w:sz w:val="2"/>
          <w:szCs w:val="2"/>
          <w:rtl/>
        </w:rPr>
        <w:t>54678313</w:t>
      </w:r>
      <w:r>
        <w:rPr>
          <w:rFonts w:ascii="Arial" w:hAnsi="Arial" w:cs="FrankRuehl"/>
          <w:rtl/>
        </w:rPr>
        <w:t xml:space="preserve">ניתן היום,  ד' תמוז תשע"ט, 07 יולי 2019, במעמד הצדדים. </w:t>
      </w:r>
      <w:bookmarkEnd w:id="8"/>
    </w:p>
    <w:p w14:paraId="29CBD877" w14:textId="77777777" w:rsidR="000E2B08" w:rsidRPr="00A73FE7" w:rsidRDefault="000E2B08" w:rsidP="00A536F3">
      <w:pPr>
        <w:jc w:val="center"/>
      </w:pPr>
      <w:r w:rsidRPr="00A73FE7">
        <w:rPr>
          <w:rFonts w:cs="FrankRuehl" w:hint="cs"/>
          <w:rtl/>
        </w:rPr>
        <w:t xml:space="preserve">   </w:t>
      </w:r>
      <w:r w:rsidRPr="00A73FE7">
        <w:rPr>
          <w:rFonts w:cs="FrankRuehl" w:hint="cs"/>
          <w:rtl/>
        </w:rPr>
        <w:tab/>
      </w:r>
      <w:r w:rsidRPr="00A73FE7">
        <w:rPr>
          <w:rFonts w:cs="FrankRuehl" w:hint="cs"/>
          <w:rtl/>
        </w:rPr>
        <w:tab/>
      </w:r>
      <w:r w:rsidRPr="00A73FE7">
        <w:rPr>
          <w:rFonts w:cs="FrankRuehl" w:hint="cs"/>
          <w:rtl/>
        </w:rPr>
        <w:tab/>
      </w:r>
      <w:r w:rsidRPr="00A73FE7">
        <w:rPr>
          <w:rFonts w:cs="FrankRuehl" w:hint="cs"/>
          <w:rtl/>
        </w:rPr>
        <w:tab/>
      </w:r>
      <w:r w:rsidRPr="00A73FE7">
        <w:rPr>
          <w:rFonts w:cs="FrankRuehl" w:hint="cs"/>
          <w:rtl/>
        </w:rPr>
        <w:tab/>
      </w:r>
    </w:p>
    <w:p w14:paraId="0C3C2102" w14:textId="77777777" w:rsidR="000E2B08" w:rsidRPr="00A73FE7" w:rsidRDefault="000E2B08" w:rsidP="000E2B08">
      <w:pPr>
        <w:jc w:val="center"/>
        <w:rPr>
          <w:rFonts w:ascii="Arial" w:hAnsi="Arial" w:cs="FrankRuehl"/>
          <w:sz w:val="28"/>
          <w:szCs w:val="28"/>
          <w:rtl/>
        </w:rPr>
      </w:pPr>
    </w:p>
    <w:p w14:paraId="79CAF0B0" w14:textId="77777777" w:rsidR="000E2B08" w:rsidRPr="00A73FE7" w:rsidRDefault="000E2B08" w:rsidP="000E2B08">
      <w:pPr>
        <w:rPr>
          <w:rFonts w:cs="FrankRuehl"/>
          <w:sz w:val="28"/>
          <w:szCs w:val="28"/>
          <w:rtl/>
        </w:rPr>
      </w:pPr>
    </w:p>
    <w:p w14:paraId="79807B28" w14:textId="77777777" w:rsidR="000E2B08" w:rsidRPr="00D84D99" w:rsidRDefault="00D84D99" w:rsidP="000E2B08">
      <w:pPr>
        <w:pStyle w:val="a3"/>
        <w:jc w:val="center"/>
        <w:rPr>
          <w:rFonts w:cs="FrankRuehl"/>
          <w:color w:val="FFFFFF"/>
          <w:sz w:val="2"/>
          <w:szCs w:val="2"/>
          <w:rtl/>
        </w:rPr>
      </w:pPr>
      <w:r w:rsidRPr="00D84D99">
        <w:rPr>
          <w:rFonts w:cs="FrankRuehl"/>
          <w:color w:val="FFFFFF"/>
          <w:sz w:val="2"/>
          <w:szCs w:val="2"/>
          <w:rtl/>
        </w:rPr>
        <w:t>5129371</w:t>
      </w:r>
    </w:p>
    <w:p w14:paraId="5101AB09" w14:textId="77777777" w:rsidR="008128C3" w:rsidRPr="00D84D99" w:rsidRDefault="00D84D99" w:rsidP="00A536F3">
      <w:pPr>
        <w:keepNext/>
        <w:rPr>
          <w:rFonts w:ascii="David" w:hAnsi="David"/>
          <w:color w:val="FFFFFF"/>
          <w:sz w:val="2"/>
          <w:szCs w:val="2"/>
          <w:rtl/>
        </w:rPr>
      </w:pPr>
      <w:r w:rsidRPr="00D84D99">
        <w:rPr>
          <w:rFonts w:ascii="David" w:hAnsi="David"/>
          <w:color w:val="FFFFFF"/>
          <w:sz w:val="2"/>
          <w:szCs w:val="2"/>
          <w:rtl/>
        </w:rPr>
        <w:t>54678313</w:t>
      </w:r>
    </w:p>
    <w:p w14:paraId="480B5BB3" w14:textId="77777777" w:rsidR="00A536F3" w:rsidRPr="00A536F3" w:rsidRDefault="00A536F3" w:rsidP="00A536F3">
      <w:pPr>
        <w:keepNext/>
        <w:rPr>
          <w:rFonts w:ascii="David" w:hAnsi="David"/>
          <w:color w:val="000000"/>
          <w:sz w:val="22"/>
          <w:szCs w:val="22"/>
          <w:rtl/>
        </w:rPr>
      </w:pPr>
      <w:r w:rsidRPr="00A536F3">
        <w:rPr>
          <w:rFonts w:ascii="David" w:hAnsi="David"/>
          <w:color w:val="000000"/>
          <w:sz w:val="22"/>
          <w:szCs w:val="22"/>
          <w:rtl/>
        </w:rPr>
        <w:t>דוד שאול גבאי ריכטר 54678313</w:t>
      </w:r>
    </w:p>
    <w:p w14:paraId="76C9BD49" w14:textId="77777777" w:rsidR="00A536F3" w:rsidRDefault="00A536F3" w:rsidP="00A536F3">
      <w:r w:rsidRPr="00A536F3">
        <w:rPr>
          <w:color w:val="000000"/>
          <w:rtl/>
        </w:rPr>
        <w:t>נוסח מסמך זה כפוף לשינויי ניסוח ועריכה</w:t>
      </w:r>
    </w:p>
    <w:p w14:paraId="346FA2DD" w14:textId="77777777" w:rsidR="00A536F3" w:rsidRDefault="00A536F3" w:rsidP="00A536F3">
      <w:pPr>
        <w:rPr>
          <w:rtl/>
        </w:rPr>
      </w:pPr>
    </w:p>
    <w:p w14:paraId="39C7D02D" w14:textId="77777777" w:rsidR="00A536F3" w:rsidRDefault="00A536F3" w:rsidP="00A536F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18A2AA9" w14:textId="77777777" w:rsidR="00D84D99" w:rsidRPr="00D84D99" w:rsidRDefault="00D84D99" w:rsidP="00D84D99">
      <w:pPr>
        <w:keepNext/>
        <w:rPr>
          <w:rFonts w:ascii="David" w:hAnsi="David"/>
          <w:color w:val="000000"/>
          <w:sz w:val="22"/>
          <w:szCs w:val="22"/>
          <w:rtl/>
        </w:rPr>
      </w:pPr>
    </w:p>
    <w:p w14:paraId="6C9366D7" w14:textId="77777777" w:rsidR="00A536F3" w:rsidRPr="00A536F3" w:rsidRDefault="00A536F3" w:rsidP="00D84D99">
      <w:pPr>
        <w:rPr>
          <w:color w:val="0000FF"/>
          <w:u w:val="single"/>
        </w:rPr>
      </w:pPr>
    </w:p>
    <w:sectPr w:rsidR="00A536F3" w:rsidRPr="00A536F3" w:rsidSect="00D84D99">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F92BF" w14:textId="77777777" w:rsidR="00490DA6" w:rsidRDefault="00490DA6" w:rsidP="00B25989">
      <w:r>
        <w:separator/>
      </w:r>
    </w:p>
  </w:endnote>
  <w:endnote w:type="continuationSeparator" w:id="0">
    <w:p w14:paraId="22659305" w14:textId="77777777" w:rsidR="00490DA6" w:rsidRDefault="00490DA6" w:rsidP="00B25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9F72A" w14:textId="77777777" w:rsidR="00D84D99" w:rsidRDefault="00D84D99" w:rsidP="00D84D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2BE964" w14:textId="77777777" w:rsidR="00452C32" w:rsidRPr="00D84D99" w:rsidRDefault="00D84D99" w:rsidP="00D84D99">
    <w:pPr>
      <w:pStyle w:val="a5"/>
      <w:pBdr>
        <w:top w:val="single" w:sz="4" w:space="1" w:color="auto"/>
        <w:between w:val="single" w:sz="4" w:space="0" w:color="auto"/>
      </w:pBdr>
      <w:spacing w:after="60"/>
      <w:jc w:val="center"/>
      <w:rPr>
        <w:rFonts w:ascii="FrankRuehl" w:hAnsi="FrankRuehl" w:cs="FrankRuehl"/>
        <w:color w:val="000000"/>
      </w:rPr>
    </w:pPr>
    <w:r w:rsidRPr="00D84D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C3FF2" w14:textId="77777777" w:rsidR="00D84D99" w:rsidRDefault="00D84D99" w:rsidP="00D84D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0E25">
      <w:rPr>
        <w:rFonts w:ascii="FrankRuehl" w:hAnsi="FrankRuehl" w:cs="FrankRuehl"/>
        <w:noProof/>
        <w:rtl/>
      </w:rPr>
      <w:t>1</w:t>
    </w:r>
    <w:r>
      <w:rPr>
        <w:rFonts w:ascii="FrankRuehl" w:hAnsi="FrankRuehl" w:cs="FrankRuehl"/>
        <w:rtl/>
      </w:rPr>
      <w:fldChar w:fldCharType="end"/>
    </w:r>
  </w:p>
  <w:p w14:paraId="28ADFD3C" w14:textId="77777777" w:rsidR="00452C32" w:rsidRPr="00D84D99" w:rsidRDefault="00D84D99" w:rsidP="00D84D99">
    <w:pPr>
      <w:pStyle w:val="a5"/>
      <w:pBdr>
        <w:top w:val="single" w:sz="4" w:space="1" w:color="auto"/>
        <w:between w:val="single" w:sz="4" w:space="0" w:color="auto"/>
      </w:pBdr>
      <w:spacing w:after="60"/>
      <w:jc w:val="center"/>
      <w:rPr>
        <w:rFonts w:ascii="FrankRuehl" w:hAnsi="FrankRuehl" w:cs="FrankRuehl"/>
        <w:color w:val="000000"/>
      </w:rPr>
    </w:pPr>
    <w:r w:rsidRPr="00D84D99">
      <w:rPr>
        <w:rFonts w:ascii="FrankRuehl" w:hAnsi="FrankRuehl" w:cs="FrankRuehl"/>
        <w:color w:val="000000"/>
      </w:rPr>
      <w:pict w14:anchorId="223A4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BDB61" w14:textId="77777777" w:rsidR="00490DA6" w:rsidRDefault="00490DA6" w:rsidP="00B25989">
      <w:r>
        <w:separator/>
      </w:r>
    </w:p>
  </w:footnote>
  <w:footnote w:type="continuationSeparator" w:id="0">
    <w:p w14:paraId="3224BD02" w14:textId="77777777" w:rsidR="00490DA6" w:rsidRDefault="00490DA6" w:rsidP="00B25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46647" w14:textId="77777777" w:rsidR="00A536F3" w:rsidRPr="00D84D99" w:rsidRDefault="00D84D99" w:rsidP="00D84D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43694-08-17</w:t>
    </w:r>
    <w:r>
      <w:rPr>
        <w:rFonts w:ascii="David" w:hAnsi="David"/>
        <w:color w:val="000000"/>
        <w:sz w:val="22"/>
        <w:szCs w:val="22"/>
        <w:rtl/>
      </w:rPr>
      <w:tab/>
      <w:t xml:space="preserve"> מדינת ישראל נ' אנדריי שטוב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EA0D5" w14:textId="77777777" w:rsidR="00A536F3" w:rsidRPr="00D84D99" w:rsidRDefault="00D84D99" w:rsidP="00D84D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43694-08-17</w:t>
    </w:r>
    <w:r>
      <w:rPr>
        <w:rFonts w:ascii="David" w:hAnsi="David"/>
        <w:color w:val="000000"/>
        <w:sz w:val="22"/>
        <w:szCs w:val="22"/>
        <w:rtl/>
      </w:rPr>
      <w:tab/>
      <w:t xml:space="preserve"> מדינת ישראל נ' אנדריי שטוב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345445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2B08"/>
    <w:rsid w:val="000E2B08"/>
    <w:rsid w:val="00381020"/>
    <w:rsid w:val="00452C32"/>
    <w:rsid w:val="00490DA6"/>
    <w:rsid w:val="00660E25"/>
    <w:rsid w:val="008128C3"/>
    <w:rsid w:val="00A536F3"/>
    <w:rsid w:val="00B25989"/>
    <w:rsid w:val="00D84D99"/>
    <w:rsid w:val="00F95052"/>
    <w:rsid w:val="00FF62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681B15"/>
  <w15:chartTrackingRefBased/>
  <w15:docId w15:val="{E3B406BA-BFD3-44B0-897D-04C8095F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2B0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2B08"/>
    <w:pPr>
      <w:tabs>
        <w:tab w:val="center" w:pos="4153"/>
        <w:tab w:val="right" w:pos="8306"/>
      </w:tabs>
    </w:pPr>
  </w:style>
  <w:style w:type="character" w:customStyle="1" w:styleId="a4">
    <w:name w:val="כותרת עליונה תו"/>
    <w:link w:val="a3"/>
    <w:rsid w:val="000E2B08"/>
    <w:rPr>
      <w:rFonts w:ascii="Times New Roman" w:eastAsia="Times New Roman" w:hAnsi="Times New Roman" w:cs="David"/>
      <w:sz w:val="24"/>
      <w:szCs w:val="24"/>
    </w:rPr>
  </w:style>
  <w:style w:type="paragraph" w:styleId="a5">
    <w:name w:val="footer"/>
    <w:basedOn w:val="a"/>
    <w:link w:val="a6"/>
    <w:rsid w:val="000E2B08"/>
    <w:pPr>
      <w:tabs>
        <w:tab w:val="center" w:pos="4153"/>
        <w:tab w:val="right" w:pos="8306"/>
      </w:tabs>
    </w:pPr>
  </w:style>
  <w:style w:type="character" w:customStyle="1" w:styleId="a6">
    <w:name w:val="כותרת תחתונה תו"/>
    <w:link w:val="a5"/>
    <w:rsid w:val="000E2B08"/>
    <w:rPr>
      <w:rFonts w:ascii="Times New Roman" w:eastAsia="Times New Roman" w:hAnsi="Times New Roman" w:cs="David"/>
      <w:sz w:val="24"/>
      <w:szCs w:val="24"/>
    </w:rPr>
  </w:style>
  <w:style w:type="table" w:styleId="a7">
    <w:name w:val="Table Grid"/>
    <w:basedOn w:val="a1"/>
    <w:rsid w:val="000E2B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2B08"/>
  </w:style>
  <w:style w:type="character" w:styleId="Hyperlink">
    <w:name w:val="Hyperlink"/>
    <w:rsid w:val="000E2B08"/>
    <w:rPr>
      <w:noProof w:val="0"/>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3748897" TargetMode="External"/><Relationship Id="rId39" Type="http://schemas.openxmlformats.org/officeDocument/2006/relationships/header" Target="header1.xml"/><Relationship Id="rId21" Type="http://schemas.openxmlformats.org/officeDocument/2006/relationships/hyperlink" Target="http://www.nevo.co.il/law/4216/19a" TargetMode="External"/><Relationship Id="rId34" Type="http://schemas.openxmlformats.org/officeDocument/2006/relationships/hyperlink" Target="http://www.nevo.co.il/law/71553"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0" Type="http://schemas.openxmlformats.org/officeDocument/2006/relationships/hyperlink" Target="http://www.nevo.co.il/law/4216/13"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d" TargetMode="External"/><Relationship Id="rId37" Type="http://schemas.openxmlformats.org/officeDocument/2006/relationships/hyperlink" Target="http://www.nevo.co.il/case/22931510"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70301/40ja"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10459111" TargetMode="External"/><Relationship Id="rId30" Type="http://schemas.openxmlformats.org/officeDocument/2006/relationships/hyperlink" Target="http://www.nevo.co.il/law/70301/40d" TargetMode="External"/><Relationship Id="rId35" Type="http://schemas.openxmlformats.org/officeDocument/2006/relationships/hyperlink" Target="http://www.nevo.co.il/case/11269647"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2797714"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3195</Words>
  <Characters>15976</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19133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3866736</vt:i4>
      </vt:variant>
      <vt:variant>
        <vt:i4>90</vt:i4>
      </vt:variant>
      <vt:variant>
        <vt:i4>0</vt:i4>
      </vt:variant>
      <vt:variant>
        <vt:i4>5</vt:i4>
      </vt:variant>
      <vt:variant>
        <vt:lpwstr>http://www.nevo.co.il/case/22931510</vt:lpwstr>
      </vt:variant>
      <vt:variant>
        <vt:lpwstr/>
      </vt:variant>
      <vt:variant>
        <vt:i4>7995492</vt:i4>
      </vt:variant>
      <vt:variant>
        <vt:i4>87</vt:i4>
      </vt:variant>
      <vt:variant>
        <vt:i4>0</vt:i4>
      </vt:variant>
      <vt:variant>
        <vt:i4>5</vt:i4>
      </vt:variant>
      <vt:variant>
        <vt:lpwstr>http://www.nevo.co.il/law/70301</vt:lpwstr>
      </vt:variant>
      <vt:variant>
        <vt:lpwstr/>
      </vt:variant>
      <vt:variant>
        <vt:i4>4063349</vt:i4>
      </vt:variant>
      <vt:variant>
        <vt:i4>84</vt:i4>
      </vt:variant>
      <vt:variant>
        <vt:i4>0</vt:i4>
      </vt:variant>
      <vt:variant>
        <vt:i4>5</vt:i4>
      </vt:variant>
      <vt:variant>
        <vt:lpwstr>http://www.nevo.co.il/case/11269647</vt:lpwstr>
      </vt:variant>
      <vt:variant>
        <vt:lpwstr/>
      </vt:variant>
      <vt:variant>
        <vt:i4>8257634</vt:i4>
      </vt:variant>
      <vt:variant>
        <vt:i4>81</vt:i4>
      </vt:variant>
      <vt:variant>
        <vt:i4>0</vt:i4>
      </vt:variant>
      <vt:variant>
        <vt:i4>5</vt:i4>
      </vt:variant>
      <vt:variant>
        <vt:lpwstr>http://www.nevo.co.il/law/71553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3997808</vt:i4>
      </vt:variant>
      <vt:variant>
        <vt:i4>60</vt:i4>
      </vt:variant>
      <vt:variant>
        <vt:i4>0</vt:i4>
      </vt:variant>
      <vt:variant>
        <vt:i4>5</vt:i4>
      </vt:variant>
      <vt:variant>
        <vt:lpwstr>http://www.nevo.co.il/case/10459111</vt:lpwstr>
      </vt:variant>
      <vt:variant>
        <vt:lpwstr/>
      </vt:variant>
      <vt:variant>
        <vt:i4>3407995</vt:i4>
      </vt:variant>
      <vt:variant>
        <vt:i4>57</vt:i4>
      </vt:variant>
      <vt:variant>
        <vt:i4>0</vt:i4>
      </vt:variant>
      <vt:variant>
        <vt:i4>5</vt:i4>
      </vt:variant>
      <vt:variant>
        <vt:lpwstr>http://www.nevo.co.il/case/23748897</vt:lpwstr>
      </vt:variant>
      <vt:variant>
        <vt:lpwstr/>
      </vt:variant>
      <vt:variant>
        <vt:i4>3342456</vt:i4>
      </vt:variant>
      <vt:variant>
        <vt:i4>54</vt:i4>
      </vt:variant>
      <vt:variant>
        <vt:i4>0</vt:i4>
      </vt:variant>
      <vt:variant>
        <vt:i4>5</vt:i4>
      </vt:variant>
      <vt:variant>
        <vt:lpwstr>http://www.nevo.co.il/case/22797714</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4784202</vt:i4>
      </vt:variant>
      <vt:variant>
        <vt:i4>33</vt:i4>
      </vt:variant>
      <vt:variant>
        <vt:i4>0</vt:i4>
      </vt:variant>
      <vt:variant>
        <vt:i4>5</vt:i4>
      </vt:variant>
      <vt:variant>
        <vt:lpwstr>http://www.nevo.co.il/law/4216/7c</vt:lpwstr>
      </vt:variant>
      <vt:variant>
        <vt:lpwstr/>
      </vt:variant>
      <vt:variant>
        <vt:i4>4784202</vt:i4>
      </vt:variant>
      <vt:variant>
        <vt:i4>30</vt:i4>
      </vt:variant>
      <vt:variant>
        <vt:i4>0</vt:i4>
      </vt:variant>
      <vt:variant>
        <vt:i4>5</vt:i4>
      </vt:variant>
      <vt:variant>
        <vt:lpwstr>http://www.nevo.co.il/law/4216/7a</vt:lpwstr>
      </vt:variant>
      <vt:variant>
        <vt:lpwstr/>
      </vt:variant>
      <vt:variant>
        <vt:i4>8257634</vt:i4>
      </vt:variant>
      <vt:variant>
        <vt:i4>27</vt:i4>
      </vt:variant>
      <vt:variant>
        <vt:i4>0</vt:i4>
      </vt:variant>
      <vt:variant>
        <vt:i4>5</vt:i4>
      </vt:variant>
      <vt:variant>
        <vt:lpwstr>http://www.nevo.co.il/law/71553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4784202</vt:i4>
      </vt:variant>
      <vt:variant>
        <vt:i4>6</vt:i4>
      </vt:variant>
      <vt:variant>
        <vt:i4>0</vt:i4>
      </vt:variant>
      <vt:variant>
        <vt:i4>5</vt:i4>
      </vt:variant>
      <vt:variant>
        <vt:lpwstr>http://www.nevo.co.il/law/4216/7c</vt:lpwstr>
      </vt:variant>
      <vt:variant>
        <vt:lpwstr/>
      </vt:variant>
      <vt:variant>
        <vt:i4>4784202</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2025-04-22T23:31:00Z</dcterms:created>
  <dcterms:modified xsi:type="dcterms:W3CDTF">2025-04-22T23:31:00Z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43694</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אנדריי שטוב</vt:lpwstr>
  </property>
  <property fmtid="{D5CDD505-2E9C-101B-9397-08002B2CF9AE}" pid="10" name="LAWYER">
    <vt:lpwstr>דוד הלוי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20190707</vt:lpwstr>
  </property>
  <property fmtid="{D5CDD505-2E9C-101B-9397-08002B2CF9AE}" pid="14" name="TYPE_N_DATE">
    <vt:lpwstr>38020190707</vt:lpwstr>
  </property>
  <property fmtid="{D5CDD505-2E9C-101B-9397-08002B2CF9AE}" pid="15" name="CASESLISTTMP1">
    <vt:lpwstr>23827604;22797714;23748897;10459111;11269647;22931510</vt:lpwstr>
  </property>
  <property fmtid="{D5CDD505-2E9C-101B-9397-08002B2CF9AE}" pid="16" name="CASENOTES1">
    <vt:lpwstr>ProcID=174;133;209&amp;PartA=3343&amp;PartC=07</vt:lpwstr>
  </property>
  <property fmtid="{D5CDD505-2E9C-101B-9397-08002B2CF9AE}" pid="17" name="WORDNUMPAGES">
    <vt:lpwstr>9</vt:lpwstr>
  </property>
  <property fmtid="{D5CDD505-2E9C-101B-9397-08002B2CF9AE}" pid="18" name="TYPE_ABS_DATE">
    <vt:lpwstr>380020190707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4216/007a;007c;013;019a</vt:lpwstr>
  </property>
  <property fmtid="{D5CDD505-2E9C-101B-9397-08002B2CF9AE}" pid="38" name="LAWLISTTMP2">
    <vt:lpwstr>70301/040i;40ja;040d:2</vt:lpwstr>
  </property>
  <property fmtid="{D5CDD505-2E9C-101B-9397-08002B2CF9AE}" pid="39" name="LAWLISTTMP3">
    <vt:lpwstr>71553</vt:lpwstr>
  </property>
</Properties>
</file>