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87104" w:rsidRPr="00827B93" w14:paraId="70426B4C" w14:textId="77777777" w:rsidTr="00A26151">
        <w:trPr>
          <w:trHeight w:hRule="exact" w:val="418"/>
          <w:jc w:val="center"/>
        </w:trPr>
        <w:tc>
          <w:tcPr>
            <w:tcW w:w="8721" w:type="dxa"/>
            <w:gridSpan w:val="2"/>
          </w:tcPr>
          <w:p w14:paraId="004EF610" w14:textId="77777777" w:rsidR="00187104" w:rsidRPr="00827B93" w:rsidRDefault="00187104" w:rsidP="00B42767">
            <w:pPr>
              <w:pStyle w:val="a3"/>
              <w:jc w:val="center"/>
              <w:rPr>
                <w:rFonts w:ascii="Tahoma" w:hAnsi="Tahoma" w:cs="Tahoma"/>
                <w:color w:val="000080"/>
                <w:rtl/>
              </w:rPr>
            </w:pPr>
            <w:r w:rsidRPr="00827B93">
              <w:rPr>
                <w:rFonts w:ascii="Tahoma" w:hAnsi="Tahoma" w:cs="Tahoma"/>
                <w:b/>
                <w:bCs/>
                <w:color w:val="000080"/>
                <w:rtl/>
              </w:rPr>
              <w:t>בית משפט השלום ברחובות</w:t>
            </w:r>
          </w:p>
        </w:tc>
      </w:tr>
      <w:tr w:rsidR="00187104" w:rsidRPr="00827B93" w14:paraId="131F4815" w14:textId="77777777" w:rsidTr="00A26151">
        <w:trPr>
          <w:trHeight w:val="337"/>
          <w:jc w:val="center"/>
        </w:trPr>
        <w:tc>
          <w:tcPr>
            <w:tcW w:w="5054" w:type="dxa"/>
          </w:tcPr>
          <w:p w14:paraId="3F1B3840" w14:textId="77777777" w:rsidR="00187104" w:rsidRPr="00827B93" w:rsidRDefault="00187104" w:rsidP="00B42767">
            <w:pPr>
              <w:rPr>
                <w:rFonts w:cs="FrankRuehl"/>
                <w:sz w:val="28"/>
                <w:szCs w:val="28"/>
                <w:rtl/>
              </w:rPr>
            </w:pPr>
            <w:r w:rsidRPr="00827B93">
              <w:rPr>
                <w:rFonts w:cs="FrankRuehl"/>
                <w:sz w:val="28"/>
                <w:szCs w:val="28"/>
                <w:rtl/>
              </w:rPr>
              <w:t>ת"פ</w:t>
            </w:r>
            <w:r w:rsidRPr="00827B93">
              <w:rPr>
                <w:rFonts w:cs="FrankRuehl" w:hint="cs"/>
                <w:sz w:val="28"/>
                <w:szCs w:val="28"/>
                <w:rtl/>
              </w:rPr>
              <w:t xml:space="preserve"> </w:t>
            </w:r>
            <w:r w:rsidRPr="00827B93">
              <w:rPr>
                <w:rFonts w:cs="FrankRuehl"/>
                <w:sz w:val="28"/>
                <w:szCs w:val="28"/>
                <w:rtl/>
              </w:rPr>
              <w:t>43875-08-17</w:t>
            </w:r>
            <w:r w:rsidRPr="00827B93">
              <w:rPr>
                <w:rFonts w:cs="FrankRuehl" w:hint="cs"/>
                <w:sz w:val="28"/>
                <w:szCs w:val="28"/>
                <w:rtl/>
              </w:rPr>
              <w:t xml:space="preserve"> </w:t>
            </w:r>
            <w:r w:rsidRPr="00827B93">
              <w:rPr>
                <w:rFonts w:cs="FrankRuehl"/>
                <w:sz w:val="28"/>
                <w:szCs w:val="28"/>
                <w:rtl/>
              </w:rPr>
              <w:t>מדינת ישראל נ' מוריסון</w:t>
            </w:r>
          </w:p>
          <w:p w14:paraId="1249B7DC" w14:textId="77777777" w:rsidR="00187104" w:rsidRPr="00827B93" w:rsidRDefault="00187104" w:rsidP="00B42767">
            <w:pPr>
              <w:pStyle w:val="a3"/>
              <w:rPr>
                <w:rFonts w:cs="FrankRuehl"/>
                <w:sz w:val="28"/>
                <w:szCs w:val="28"/>
                <w:rtl/>
              </w:rPr>
            </w:pPr>
          </w:p>
        </w:tc>
        <w:tc>
          <w:tcPr>
            <w:tcW w:w="3667" w:type="dxa"/>
          </w:tcPr>
          <w:p w14:paraId="311F26C6" w14:textId="77777777" w:rsidR="00187104" w:rsidRPr="00827B93" w:rsidRDefault="00187104" w:rsidP="00B42767">
            <w:pPr>
              <w:pStyle w:val="a3"/>
              <w:jc w:val="right"/>
              <w:rPr>
                <w:rFonts w:cs="FrankRuehl"/>
                <w:sz w:val="28"/>
                <w:szCs w:val="28"/>
                <w:rtl/>
              </w:rPr>
            </w:pPr>
          </w:p>
        </w:tc>
      </w:tr>
    </w:tbl>
    <w:p w14:paraId="321D126A" w14:textId="77777777" w:rsidR="00187104" w:rsidRPr="00827B93" w:rsidRDefault="00187104" w:rsidP="00187104">
      <w:pPr>
        <w:pStyle w:val="a3"/>
        <w:rPr>
          <w:rtl/>
        </w:rPr>
      </w:pPr>
      <w:r w:rsidRPr="00827B93">
        <w:rPr>
          <w:rFonts w:hint="cs"/>
          <w:rtl/>
        </w:rPr>
        <w:t xml:space="preserve"> </w:t>
      </w:r>
    </w:p>
    <w:p w14:paraId="20583C9C" w14:textId="77777777" w:rsidR="00187104" w:rsidRPr="00827B93" w:rsidRDefault="00187104" w:rsidP="0018710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87104" w:rsidRPr="00827B93" w14:paraId="3694E174" w14:textId="77777777" w:rsidTr="00187104">
        <w:trPr>
          <w:trHeight w:val="295"/>
          <w:jc w:val="center"/>
        </w:trPr>
        <w:tc>
          <w:tcPr>
            <w:tcW w:w="923" w:type="dxa"/>
            <w:tcBorders>
              <w:top w:val="nil"/>
              <w:left w:val="nil"/>
              <w:bottom w:val="nil"/>
              <w:right w:val="nil"/>
            </w:tcBorders>
            <w:shd w:val="clear" w:color="auto" w:fill="auto"/>
          </w:tcPr>
          <w:p w14:paraId="7419E6D0" w14:textId="77777777" w:rsidR="00187104" w:rsidRPr="00827B93" w:rsidRDefault="00187104" w:rsidP="00187104">
            <w:pPr>
              <w:jc w:val="both"/>
              <w:rPr>
                <w:rFonts w:ascii="Arial" w:hAnsi="Arial" w:cs="FrankRuehl"/>
                <w:sz w:val="28"/>
                <w:szCs w:val="28"/>
              </w:rPr>
            </w:pPr>
            <w:r w:rsidRPr="00827B93">
              <w:rPr>
                <w:rFonts w:ascii="Arial" w:hAnsi="Arial" w:cs="FrankRuehl" w:hint="cs"/>
                <w:sz w:val="28"/>
                <w:szCs w:val="28"/>
                <w:rtl/>
              </w:rPr>
              <w:t>ב</w:t>
            </w:r>
            <w:r w:rsidRPr="00827B9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0B8B7F8" w14:textId="77777777" w:rsidR="00187104" w:rsidRPr="00827B93" w:rsidRDefault="00187104" w:rsidP="00B42767">
            <w:pPr>
              <w:rPr>
                <w:rFonts w:ascii="Arial" w:hAnsi="Arial"/>
                <w:b/>
                <w:bCs/>
                <w:rtl/>
              </w:rPr>
            </w:pPr>
            <w:r w:rsidRPr="00827B93">
              <w:rPr>
                <w:rFonts w:ascii="Arial" w:hAnsi="Arial" w:hint="cs"/>
                <w:b/>
                <w:bCs/>
                <w:rtl/>
              </w:rPr>
              <w:t>כבוד ה</w:t>
            </w:r>
            <w:r w:rsidRPr="00827B93">
              <w:rPr>
                <w:rFonts w:ascii="Arial" w:hAnsi="Arial"/>
                <w:b/>
                <w:bCs/>
                <w:rtl/>
              </w:rPr>
              <w:t>שופטת, סגנית הנשיאה</w:t>
            </w:r>
            <w:r w:rsidRPr="00827B93">
              <w:rPr>
                <w:rFonts w:ascii="Arial" w:hAnsi="Arial" w:hint="cs"/>
                <w:b/>
                <w:bCs/>
                <w:rtl/>
              </w:rPr>
              <w:t xml:space="preserve">  </w:t>
            </w:r>
            <w:r w:rsidRPr="00827B93">
              <w:rPr>
                <w:rFonts w:ascii="Arial" w:hAnsi="Arial"/>
                <w:b/>
                <w:bCs/>
                <w:rtl/>
              </w:rPr>
              <w:t>אפרת פינק</w:t>
            </w:r>
          </w:p>
          <w:p w14:paraId="6976690D" w14:textId="77777777" w:rsidR="00187104" w:rsidRPr="00827B93" w:rsidRDefault="00187104" w:rsidP="00B42767">
            <w:pPr>
              <w:rPr>
                <w:rtl/>
              </w:rPr>
            </w:pPr>
          </w:p>
          <w:p w14:paraId="7EA90E41" w14:textId="77777777" w:rsidR="00187104" w:rsidRPr="00827B93" w:rsidRDefault="00187104" w:rsidP="00187104">
            <w:pPr>
              <w:jc w:val="both"/>
              <w:rPr>
                <w:rFonts w:ascii="Arial" w:hAnsi="Arial" w:cs="FrankRuehl"/>
                <w:sz w:val="28"/>
                <w:szCs w:val="28"/>
              </w:rPr>
            </w:pPr>
          </w:p>
        </w:tc>
      </w:tr>
      <w:tr w:rsidR="00187104" w:rsidRPr="00827B93" w14:paraId="4553C0B0" w14:textId="77777777" w:rsidTr="00187104">
        <w:trPr>
          <w:trHeight w:val="355"/>
          <w:jc w:val="center"/>
        </w:trPr>
        <w:tc>
          <w:tcPr>
            <w:tcW w:w="923" w:type="dxa"/>
            <w:tcBorders>
              <w:top w:val="nil"/>
              <w:left w:val="nil"/>
              <w:bottom w:val="nil"/>
              <w:right w:val="nil"/>
            </w:tcBorders>
            <w:shd w:val="clear" w:color="auto" w:fill="auto"/>
          </w:tcPr>
          <w:p w14:paraId="0899F324" w14:textId="77777777" w:rsidR="00187104" w:rsidRPr="00827B93" w:rsidRDefault="00187104" w:rsidP="00187104">
            <w:pPr>
              <w:jc w:val="both"/>
              <w:rPr>
                <w:rFonts w:ascii="Arial" w:hAnsi="Arial"/>
                <w:b/>
                <w:bCs/>
                <w:sz w:val="28"/>
                <w:szCs w:val="28"/>
              </w:rPr>
            </w:pPr>
            <w:bookmarkStart w:id="0" w:name="FirstAppellant"/>
            <w:bookmarkStart w:id="1" w:name="LastJudge"/>
            <w:bookmarkEnd w:id="1"/>
            <w:r w:rsidRPr="00827B93">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151150F2" w14:textId="77777777" w:rsidR="00187104" w:rsidRPr="00827B93" w:rsidRDefault="00187104" w:rsidP="00B42767">
            <w:pPr>
              <w:rPr>
                <w:b/>
                <w:bCs/>
              </w:rPr>
            </w:pPr>
            <w:r w:rsidRPr="00827B93">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545B157A" w14:textId="77777777" w:rsidR="00187104" w:rsidRPr="00827B93" w:rsidRDefault="00187104" w:rsidP="00187104">
            <w:pPr>
              <w:jc w:val="both"/>
              <w:rPr>
                <w:rFonts w:ascii="Arial" w:hAnsi="Arial"/>
                <w:b/>
                <w:bCs/>
                <w:sz w:val="28"/>
                <w:szCs w:val="28"/>
              </w:rPr>
            </w:pPr>
          </w:p>
        </w:tc>
      </w:tr>
      <w:tr w:rsidR="00187104" w:rsidRPr="00827B93" w14:paraId="64205EFE" w14:textId="77777777" w:rsidTr="00187104">
        <w:trPr>
          <w:trHeight w:val="355"/>
          <w:jc w:val="center"/>
        </w:trPr>
        <w:tc>
          <w:tcPr>
            <w:tcW w:w="923" w:type="dxa"/>
            <w:tcBorders>
              <w:top w:val="nil"/>
              <w:left w:val="nil"/>
              <w:bottom w:val="nil"/>
              <w:right w:val="nil"/>
            </w:tcBorders>
            <w:shd w:val="clear" w:color="auto" w:fill="auto"/>
          </w:tcPr>
          <w:p w14:paraId="3913F1D6" w14:textId="77777777" w:rsidR="00187104" w:rsidRPr="00827B93" w:rsidRDefault="00187104" w:rsidP="00187104">
            <w:pPr>
              <w:jc w:val="both"/>
              <w:rPr>
                <w:rFonts w:ascii="Arial" w:hAnsi="Arial"/>
                <w:b/>
                <w:bCs/>
                <w:sz w:val="28"/>
                <w:szCs w:val="28"/>
                <w:rtl/>
              </w:rPr>
            </w:pPr>
            <w:bookmarkStart w:id="2" w:name="FirstLawyer"/>
            <w:bookmarkEnd w:id="0"/>
          </w:p>
        </w:tc>
        <w:tc>
          <w:tcPr>
            <w:tcW w:w="4126" w:type="dxa"/>
            <w:tcBorders>
              <w:top w:val="nil"/>
              <w:left w:val="nil"/>
              <w:bottom w:val="nil"/>
              <w:right w:val="nil"/>
            </w:tcBorders>
            <w:shd w:val="clear" w:color="auto" w:fill="auto"/>
          </w:tcPr>
          <w:p w14:paraId="4D3166AC" w14:textId="77777777" w:rsidR="00187104" w:rsidRPr="00827B93" w:rsidRDefault="00187104" w:rsidP="00187104">
            <w:pPr>
              <w:jc w:val="both"/>
              <w:rPr>
                <w:rtl/>
              </w:rPr>
            </w:pPr>
            <w:r w:rsidRPr="00827B93">
              <w:rPr>
                <w:rFonts w:hint="cs"/>
                <w:rtl/>
              </w:rPr>
              <w:t>ע"י ב"כ עו"ד עדי סעדיה ועו"ד שרית כץ</w:t>
            </w:r>
          </w:p>
        </w:tc>
        <w:tc>
          <w:tcPr>
            <w:tcW w:w="3771" w:type="dxa"/>
            <w:tcBorders>
              <w:top w:val="nil"/>
              <w:left w:val="nil"/>
              <w:bottom w:val="nil"/>
              <w:right w:val="nil"/>
            </w:tcBorders>
            <w:shd w:val="clear" w:color="auto" w:fill="auto"/>
          </w:tcPr>
          <w:p w14:paraId="7B3CBCB5" w14:textId="77777777" w:rsidR="00187104" w:rsidRPr="00827B93" w:rsidRDefault="00187104" w:rsidP="00187104">
            <w:pPr>
              <w:jc w:val="right"/>
              <w:rPr>
                <w:rFonts w:ascii="Arial" w:hAnsi="Arial"/>
                <w:b/>
                <w:bCs/>
                <w:sz w:val="28"/>
                <w:szCs w:val="28"/>
                <w:rtl/>
              </w:rPr>
            </w:pPr>
            <w:r w:rsidRPr="00827B93">
              <w:rPr>
                <w:rFonts w:ascii="Arial" w:hAnsi="Arial" w:hint="cs"/>
                <w:b/>
                <w:bCs/>
                <w:sz w:val="28"/>
                <w:szCs w:val="28"/>
                <w:rtl/>
              </w:rPr>
              <w:t>ה</w:t>
            </w:r>
            <w:r w:rsidRPr="00827B93">
              <w:rPr>
                <w:rFonts w:ascii="Arial" w:hAnsi="Arial"/>
                <w:b/>
                <w:bCs/>
                <w:sz w:val="28"/>
                <w:szCs w:val="28"/>
                <w:rtl/>
              </w:rPr>
              <w:t>מאשימה</w:t>
            </w:r>
          </w:p>
        </w:tc>
      </w:tr>
      <w:bookmarkEnd w:id="2"/>
      <w:tr w:rsidR="00187104" w:rsidRPr="00827B93" w14:paraId="14544ABF" w14:textId="77777777" w:rsidTr="00187104">
        <w:trPr>
          <w:trHeight w:val="355"/>
          <w:jc w:val="center"/>
        </w:trPr>
        <w:tc>
          <w:tcPr>
            <w:tcW w:w="923" w:type="dxa"/>
            <w:tcBorders>
              <w:top w:val="nil"/>
              <w:left w:val="nil"/>
              <w:bottom w:val="nil"/>
              <w:right w:val="nil"/>
            </w:tcBorders>
            <w:shd w:val="clear" w:color="auto" w:fill="auto"/>
          </w:tcPr>
          <w:p w14:paraId="48E91E33" w14:textId="77777777" w:rsidR="00187104" w:rsidRPr="00827B93" w:rsidRDefault="00187104" w:rsidP="00187104">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323861E5" w14:textId="77777777" w:rsidR="00187104" w:rsidRPr="00827B93" w:rsidRDefault="00187104" w:rsidP="00187104">
            <w:pPr>
              <w:jc w:val="center"/>
              <w:rPr>
                <w:rFonts w:ascii="Arial" w:hAnsi="Arial"/>
                <w:b/>
                <w:bCs/>
                <w:sz w:val="28"/>
                <w:szCs w:val="28"/>
                <w:rtl/>
              </w:rPr>
            </w:pPr>
          </w:p>
          <w:p w14:paraId="38106017" w14:textId="77777777" w:rsidR="00187104" w:rsidRPr="00827B93" w:rsidRDefault="00187104" w:rsidP="00187104">
            <w:pPr>
              <w:jc w:val="center"/>
              <w:rPr>
                <w:rFonts w:ascii="Arial" w:hAnsi="Arial"/>
                <w:b/>
                <w:bCs/>
                <w:sz w:val="28"/>
                <w:szCs w:val="28"/>
                <w:rtl/>
              </w:rPr>
            </w:pPr>
            <w:r w:rsidRPr="00827B93">
              <w:rPr>
                <w:rFonts w:ascii="Arial" w:hAnsi="Arial"/>
                <w:b/>
                <w:bCs/>
                <w:sz w:val="28"/>
                <w:szCs w:val="28"/>
                <w:rtl/>
              </w:rPr>
              <w:t>נגד</w:t>
            </w:r>
          </w:p>
          <w:p w14:paraId="67431A49" w14:textId="77777777" w:rsidR="00187104" w:rsidRPr="00827B93" w:rsidRDefault="00187104" w:rsidP="00187104">
            <w:pPr>
              <w:jc w:val="both"/>
              <w:rPr>
                <w:rFonts w:ascii="Arial" w:hAnsi="Arial"/>
                <w:b/>
                <w:bCs/>
                <w:sz w:val="28"/>
                <w:szCs w:val="28"/>
              </w:rPr>
            </w:pPr>
          </w:p>
        </w:tc>
      </w:tr>
      <w:tr w:rsidR="00187104" w:rsidRPr="00827B93" w14:paraId="6F842C26" w14:textId="77777777" w:rsidTr="00187104">
        <w:trPr>
          <w:trHeight w:val="355"/>
          <w:jc w:val="center"/>
        </w:trPr>
        <w:tc>
          <w:tcPr>
            <w:tcW w:w="923" w:type="dxa"/>
            <w:tcBorders>
              <w:top w:val="nil"/>
              <w:left w:val="nil"/>
              <w:bottom w:val="nil"/>
              <w:right w:val="nil"/>
            </w:tcBorders>
            <w:shd w:val="clear" w:color="auto" w:fill="auto"/>
          </w:tcPr>
          <w:p w14:paraId="00C44E44" w14:textId="77777777" w:rsidR="00187104" w:rsidRPr="00827B93" w:rsidRDefault="00187104" w:rsidP="00B42767">
            <w:pPr>
              <w:rPr>
                <w:rFonts w:ascii="Arial" w:hAnsi="Arial"/>
                <w:b/>
                <w:bCs/>
                <w:sz w:val="28"/>
                <w:szCs w:val="28"/>
                <w:rtl/>
              </w:rPr>
            </w:pPr>
          </w:p>
        </w:tc>
        <w:tc>
          <w:tcPr>
            <w:tcW w:w="4126" w:type="dxa"/>
            <w:tcBorders>
              <w:top w:val="nil"/>
              <w:left w:val="nil"/>
              <w:bottom w:val="nil"/>
              <w:right w:val="nil"/>
            </w:tcBorders>
            <w:shd w:val="clear" w:color="auto" w:fill="auto"/>
          </w:tcPr>
          <w:p w14:paraId="05FB481F" w14:textId="77777777" w:rsidR="00187104" w:rsidRPr="00827B93" w:rsidRDefault="00187104" w:rsidP="00B42767">
            <w:pPr>
              <w:rPr>
                <w:b/>
                <w:bCs/>
                <w:rtl/>
              </w:rPr>
            </w:pPr>
            <w:r w:rsidRPr="00827B93">
              <w:rPr>
                <w:rFonts w:ascii="Arial" w:hAnsi="Arial"/>
                <w:b/>
                <w:bCs/>
                <w:sz w:val="28"/>
                <w:szCs w:val="28"/>
                <w:rtl/>
              </w:rPr>
              <w:t>חי מוריסון</w:t>
            </w:r>
            <w:r w:rsidRPr="00827B93">
              <w:rPr>
                <w:rFonts w:hint="cs"/>
                <w:b/>
                <w:bCs/>
                <w:rtl/>
              </w:rPr>
              <w:t xml:space="preserve"> - </w:t>
            </w:r>
            <w:r w:rsidRPr="00827B93">
              <w:rPr>
                <w:rFonts w:hint="cs"/>
                <w:rtl/>
              </w:rPr>
              <w:t>בעצמו</w:t>
            </w:r>
          </w:p>
        </w:tc>
        <w:tc>
          <w:tcPr>
            <w:tcW w:w="3771" w:type="dxa"/>
            <w:tcBorders>
              <w:top w:val="nil"/>
              <w:left w:val="nil"/>
              <w:bottom w:val="nil"/>
              <w:right w:val="nil"/>
            </w:tcBorders>
            <w:shd w:val="clear" w:color="auto" w:fill="auto"/>
          </w:tcPr>
          <w:p w14:paraId="140A7055" w14:textId="77777777" w:rsidR="00187104" w:rsidRPr="00827B93" w:rsidRDefault="00187104" w:rsidP="00187104">
            <w:pPr>
              <w:jc w:val="right"/>
              <w:rPr>
                <w:rFonts w:ascii="Arial" w:hAnsi="Arial"/>
                <w:b/>
                <w:bCs/>
                <w:sz w:val="28"/>
                <w:szCs w:val="28"/>
              </w:rPr>
            </w:pPr>
          </w:p>
        </w:tc>
      </w:tr>
      <w:tr w:rsidR="00187104" w:rsidRPr="00827B93" w14:paraId="6AAE9285" w14:textId="77777777" w:rsidTr="00187104">
        <w:trPr>
          <w:trHeight w:val="355"/>
          <w:jc w:val="center"/>
        </w:trPr>
        <w:tc>
          <w:tcPr>
            <w:tcW w:w="923" w:type="dxa"/>
            <w:tcBorders>
              <w:top w:val="nil"/>
              <w:left w:val="nil"/>
              <w:bottom w:val="nil"/>
              <w:right w:val="nil"/>
            </w:tcBorders>
            <w:shd w:val="clear" w:color="auto" w:fill="auto"/>
          </w:tcPr>
          <w:p w14:paraId="3C9EA260" w14:textId="77777777" w:rsidR="00187104" w:rsidRPr="00827B93" w:rsidRDefault="00187104" w:rsidP="00187104">
            <w:pPr>
              <w:jc w:val="both"/>
              <w:rPr>
                <w:rFonts w:ascii="Arial" w:hAnsi="Arial"/>
                <w:b/>
                <w:bCs/>
                <w:sz w:val="28"/>
                <w:szCs w:val="28"/>
                <w:rtl/>
              </w:rPr>
            </w:pPr>
          </w:p>
        </w:tc>
        <w:tc>
          <w:tcPr>
            <w:tcW w:w="4126" w:type="dxa"/>
            <w:tcBorders>
              <w:top w:val="nil"/>
              <w:left w:val="nil"/>
              <w:bottom w:val="nil"/>
              <w:right w:val="nil"/>
            </w:tcBorders>
            <w:shd w:val="clear" w:color="auto" w:fill="auto"/>
          </w:tcPr>
          <w:p w14:paraId="2CC81092" w14:textId="77777777" w:rsidR="00187104" w:rsidRPr="00827B93" w:rsidRDefault="00187104" w:rsidP="00187104">
            <w:pPr>
              <w:jc w:val="both"/>
              <w:rPr>
                <w:rtl/>
              </w:rPr>
            </w:pPr>
            <w:r w:rsidRPr="00827B93">
              <w:rPr>
                <w:rFonts w:hint="cs"/>
                <w:rtl/>
              </w:rPr>
              <w:t>ע"י ב"כ עו"ד אלון קריטי</w:t>
            </w:r>
          </w:p>
        </w:tc>
        <w:tc>
          <w:tcPr>
            <w:tcW w:w="3771" w:type="dxa"/>
            <w:tcBorders>
              <w:top w:val="nil"/>
              <w:left w:val="nil"/>
              <w:bottom w:val="nil"/>
              <w:right w:val="nil"/>
            </w:tcBorders>
            <w:shd w:val="clear" w:color="auto" w:fill="auto"/>
          </w:tcPr>
          <w:p w14:paraId="123086C3" w14:textId="77777777" w:rsidR="00187104" w:rsidRPr="00827B93" w:rsidRDefault="00187104" w:rsidP="00187104">
            <w:pPr>
              <w:jc w:val="right"/>
              <w:rPr>
                <w:rFonts w:ascii="Arial" w:hAnsi="Arial"/>
                <w:b/>
                <w:bCs/>
                <w:sz w:val="28"/>
                <w:szCs w:val="28"/>
              </w:rPr>
            </w:pPr>
            <w:r w:rsidRPr="00827B93">
              <w:rPr>
                <w:rFonts w:ascii="Arial" w:hAnsi="Arial" w:hint="cs"/>
                <w:b/>
                <w:bCs/>
                <w:sz w:val="28"/>
                <w:szCs w:val="28"/>
                <w:rtl/>
              </w:rPr>
              <w:t>ה</w:t>
            </w:r>
            <w:r w:rsidRPr="00827B93">
              <w:rPr>
                <w:rFonts w:ascii="Arial" w:hAnsi="Arial"/>
                <w:b/>
                <w:bCs/>
                <w:sz w:val="28"/>
                <w:szCs w:val="28"/>
                <w:rtl/>
              </w:rPr>
              <w:t>נאשם</w:t>
            </w:r>
          </w:p>
        </w:tc>
      </w:tr>
    </w:tbl>
    <w:p w14:paraId="4637F48C" w14:textId="77777777" w:rsidR="00A26151" w:rsidRDefault="00A26151" w:rsidP="00187104">
      <w:pPr>
        <w:rPr>
          <w:rtl/>
        </w:rPr>
      </w:pPr>
    </w:p>
    <w:p w14:paraId="6BAD7ED7" w14:textId="77777777" w:rsidR="00A26151" w:rsidRPr="00A26151" w:rsidRDefault="00A26151" w:rsidP="00A26151">
      <w:pPr>
        <w:spacing w:after="120" w:line="240" w:lineRule="exact"/>
        <w:ind w:left="283" w:hanging="283"/>
        <w:jc w:val="both"/>
        <w:rPr>
          <w:rFonts w:ascii="FrankRuehl" w:hAnsi="FrankRuehl" w:cs="FrankRuehl"/>
          <w:rtl/>
        </w:rPr>
      </w:pPr>
    </w:p>
    <w:p w14:paraId="79E7F217" w14:textId="77777777" w:rsidR="001B3A43" w:rsidRPr="001B3A43" w:rsidRDefault="001B3A43" w:rsidP="001B3A43">
      <w:pPr>
        <w:spacing w:before="120" w:after="120" w:line="240" w:lineRule="exact"/>
        <w:ind w:left="283" w:hanging="283"/>
        <w:jc w:val="both"/>
        <w:rPr>
          <w:rFonts w:ascii="FrankRuehl" w:hAnsi="FrankRuehl" w:cs="FrankRuehl"/>
          <w:rtl/>
        </w:rPr>
      </w:pPr>
      <w:bookmarkStart w:id="3" w:name="LawTable"/>
      <w:bookmarkEnd w:id="3"/>
    </w:p>
    <w:p w14:paraId="523F6373" w14:textId="77777777" w:rsidR="001B3A43" w:rsidRPr="001B3A43" w:rsidRDefault="001B3A43" w:rsidP="001B3A43">
      <w:pPr>
        <w:spacing w:before="120" w:after="120" w:line="240" w:lineRule="exact"/>
        <w:ind w:left="283" w:hanging="283"/>
        <w:jc w:val="both"/>
        <w:rPr>
          <w:rFonts w:ascii="FrankRuehl" w:hAnsi="FrankRuehl" w:cs="FrankRuehl"/>
          <w:rtl/>
        </w:rPr>
      </w:pPr>
    </w:p>
    <w:p w14:paraId="64D71FCC" w14:textId="77777777" w:rsidR="001B3A43" w:rsidRPr="001B3A43" w:rsidRDefault="001B3A43" w:rsidP="001B3A43">
      <w:pPr>
        <w:spacing w:before="120" w:after="120" w:line="240" w:lineRule="exact"/>
        <w:ind w:left="283" w:hanging="283"/>
        <w:jc w:val="both"/>
        <w:rPr>
          <w:rFonts w:ascii="FrankRuehl" w:hAnsi="FrankRuehl" w:cs="FrankRuehl"/>
          <w:rtl/>
        </w:rPr>
      </w:pPr>
      <w:r w:rsidRPr="001B3A43">
        <w:rPr>
          <w:rFonts w:ascii="FrankRuehl" w:hAnsi="FrankRuehl" w:cs="FrankRuehl"/>
          <w:rtl/>
        </w:rPr>
        <w:t xml:space="preserve">חקיקה שאוזכרה: </w:t>
      </w:r>
    </w:p>
    <w:p w14:paraId="2BEBB9F7" w14:textId="77777777" w:rsidR="001B3A43" w:rsidRPr="001B3A43" w:rsidRDefault="001B3A43" w:rsidP="001B3A43">
      <w:pPr>
        <w:spacing w:before="120" w:after="120" w:line="240" w:lineRule="exact"/>
        <w:ind w:left="283" w:hanging="283"/>
        <w:jc w:val="both"/>
        <w:rPr>
          <w:rFonts w:ascii="FrankRuehl" w:hAnsi="FrankRuehl" w:cs="FrankRuehl"/>
          <w:color w:val="0000FF"/>
          <w:u w:val="single"/>
          <w:rtl/>
        </w:rPr>
      </w:pPr>
      <w:hyperlink r:id="rId7" w:history="1">
        <w:r w:rsidRPr="001B3A43">
          <w:rPr>
            <w:rStyle w:val="Hyperlink"/>
            <w:rFonts w:ascii="FrankRuehl" w:hAnsi="FrankRuehl" w:cs="FrankRuehl"/>
            <w:rtl/>
          </w:rPr>
          <w:t>פקודת הסמים המסוכנים [נוסח חדש], תשל"ג-1973</w:t>
        </w:r>
      </w:hyperlink>
      <w:r w:rsidRPr="001B3A43">
        <w:rPr>
          <w:rFonts w:ascii="FrankRuehl" w:hAnsi="FrankRuehl" w:cs="FrankRuehl"/>
          <w:color w:val="0000FF"/>
          <w:u w:val="single"/>
          <w:rtl/>
        </w:rPr>
        <w:t xml:space="preserve">: סע'  </w:t>
      </w:r>
      <w:hyperlink r:id="rId8" w:history="1">
        <w:r w:rsidRPr="001B3A43">
          <w:rPr>
            <w:rStyle w:val="Hyperlink"/>
            <w:rFonts w:ascii="FrankRuehl" w:hAnsi="FrankRuehl" w:cs="FrankRuehl"/>
          </w:rPr>
          <w:t>13</w:t>
        </w:r>
      </w:hyperlink>
      <w:r w:rsidRPr="001B3A43">
        <w:rPr>
          <w:rFonts w:ascii="FrankRuehl" w:hAnsi="FrankRuehl" w:cs="FrankRuehl"/>
          <w:color w:val="0000FF"/>
          <w:u w:val="single"/>
          <w:rtl/>
        </w:rPr>
        <w:t xml:space="preserve">, </w:t>
      </w:r>
      <w:hyperlink r:id="rId9" w:history="1">
        <w:r w:rsidRPr="001B3A43">
          <w:rPr>
            <w:rStyle w:val="Hyperlink"/>
            <w:rFonts w:ascii="FrankRuehl" w:hAnsi="FrankRuehl" w:cs="FrankRuehl"/>
          </w:rPr>
          <w:t>19</w:t>
        </w:r>
        <w:r w:rsidRPr="001B3A43">
          <w:rPr>
            <w:rStyle w:val="Hyperlink"/>
            <w:rFonts w:ascii="FrankRuehl" w:hAnsi="FrankRuehl" w:cs="FrankRuehl"/>
            <w:rtl/>
          </w:rPr>
          <w:t>א</w:t>
        </w:r>
      </w:hyperlink>
    </w:p>
    <w:p w14:paraId="0D49FEF1" w14:textId="77777777" w:rsidR="001B3A43" w:rsidRPr="001B3A43" w:rsidRDefault="001B3A43" w:rsidP="001B3A43">
      <w:pPr>
        <w:spacing w:before="120" w:after="120" w:line="240" w:lineRule="exact"/>
        <w:ind w:left="283" w:hanging="283"/>
        <w:jc w:val="both"/>
        <w:rPr>
          <w:rFonts w:ascii="FrankRuehl" w:hAnsi="FrankRuehl" w:cs="FrankRuehl"/>
          <w:color w:val="0000FF"/>
          <w:rtl/>
        </w:rPr>
      </w:pPr>
      <w:hyperlink r:id="rId10" w:history="1">
        <w:r w:rsidRPr="001B3A43">
          <w:rPr>
            <w:rStyle w:val="Hyperlink"/>
            <w:rFonts w:ascii="FrankRuehl" w:hAnsi="FrankRuehl" w:cs="FrankRuehl"/>
            <w:rtl/>
          </w:rPr>
          <w:t>חוק העונשין, תשל"ז-1977</w:t>
        </w:r>
      </w:hyperlink>
      <w:r w:rsidRPr="001B3A43">
        <w:rPr>
          <w:rFonts w:ascii="FrankRuehl" w:hAnsi="FrankRuehl" w:cs="FrankRuehl"/>
          <w:color w:val="0000FF"/>
          <w:u w:val="single"/>
          <w:rtl/>
        </w:rPr>
        <w:t xml:space="preserve">: סע'  </w:t>
      </w:r>
      <w:hyperlink r:id="rId11" w:history="1">
        <w:r w:rsidRPr="001B3A43">
          <w:rPr>
            <w:rStyle w:val="Hyperlink"/>
            <w:rFonts w:ascii="FrankRuehl" w:hAnsi="FrankRuehl" w:cs="FrankRuehl"/>
          </w:rPr>
          <w:t>40</w:t>
        </w:r>
        <w:r w:rsidRPr="001B3A43">
          <w:rPr>
            <w:rStyle w:val="Hyperlink"/>
            <w:rFonts w:ascii="FrankRuehl" w:hAnsi="FrankRuehl" w:cs="FrankRuehl"/>
            <w:rtl/>
          </w:rPr>
          <w:t>יא</w:t>
        </w:r>
      </w:hyperlink>
      <w:r w:rsidRPr="001B3A43">
        <w:rPr>
          <w:rFonts w:ascii="FrankRuehl" w:hAnsi="FrankRuehl" w:cs="FrankRuehl"/>
          <w:color w:val="0000FF"/>
          <w:rtl/>
        </w:rPr>
        <w:t>(9)</w:t>
      </w:r>
    </w:p>
    <w:p w14:paraId="6AC61E98" w14:textId="77777777" w:rsidR="00187104" w:rsidRPr="001B3A43" w:rsidRDefault="00187104" w:rsidP="001B3A43">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7104" w:rsidRPr="008C0A02" w14:paraId="49ECAB16" w14:textId="77777777" w:rsidTr="00187104">
        <w:trPr>
          <w:trHeight w:val="355"/>
          <w:jc w:val="center"/>
        </w:trPr>
        <w:tc>
          <w:tcPr>
            <w:tcW w:w="8820" w:type="dxa"/>
            <w:tcBorders>
              <w:top w:val="nil"/>
              <w:left w:val="nil"/>
              <w:bottom w:val="nil"/>
              <w:right w:val="nil"/>
            </w:tcBorders>
            <w:shd w:val="clear" w:color="auto" w:fill="auto"/>
          </w:tcPr>
          <w:p w14:paraId="4D908C27" w14:textId="77777777" w:rsidR="00827B93" w:rsidRPr="00827B93" w:rsidRDefault="00827B93" w:rsidP="00827B93">
            <w:pPr>
              <w:jc w:val="center"/>
              <w:rPr>
                <w:rFonts w:ascii="Arial" w:hAnsi="Arial"/>
                <w:b/>
                <w:bCs/>
                <w:sz w:val="32"/>
                <w:szCs w:val="32"/>
                <w:u w:val="single"/>
                <w:rtl/>
              </w:rPr>
            </w:pPr>
            <w:bookmarkStart w:id="5" w:name="PsakDin" w:colFirst="0" w:colLast="0"/>
            <w:r w:rsidRPr="00827B93">
              <w:rPr>
                <w:rFonts w:ascii="Arial" w:hAnsi="Arial"/>
                <w:b/>
                <w:bCs/>
                <w:sz w:val="32"/>
                <w:szCs w:val="32"/>
                <w:u w:val="single"/>
                <w:rtl/>
              </w:rPr>
              <w:t>גזר - דין</w:t>
            </w:r>
          </w:p>
          <w:p w14:paraId="3D5D9367" w14:textId="77777777" w:rsidR="00187104" w:rsidRPr="00827B93" w:rsidRDefault="00187104" w:rsidP="00827B93">
            <w:pPr>
              <w:jc w:val="center"/>
              <w:rPr>
                <w:rFonts w:ascii="Arial" w:hAnsi="Arial"/>
                <w:b/>
                <w:bCs/>
                <w:sz w:val="32"/>
                <w:szCs w:val="32"/>
                <w:u w:val="single"/>
                <w:rtl/>
              </w:rPr>
            </w:pPr>
          </w:p>
        </w:tc>
      </w:tr>
      <w:bookmarkEnd w:id="5"/>
    </w:tbl>
    <w:p w14:paraId="176C4E93" w14:textId="77777777" w:rsidR="00187104" w:rsidRPr="00B05847" w:rsidRDefault="00187104" w:rsidP="00187104">
      <w:pPr>
        <w:rPr>
          <w:rFonts w:ascii="Arial" w:hAnsi="Arial"/>
          <w:rtl/>
        </w:rPr>
      </w:pPr>
    </w:p>
    <w:p w14:paraId="310F203D" w14:textId="77777777" w:rsidR="00187104" w:rsidRPr="00B05847" w:rsidRDefault="00187104" w:rsidP="00187104">
      <w:pPr>
        <w:rPr>
          <w:rFonts w:ascii="Arial" w:hAnsi="Arial"/>
          <w:rtl/>
        </w:rPr>
      </w:pPr>
    </w:p>
    <w:p w14:paraId="2C549EE6" w14:textId="77777777" w:rsidR="00187104" w:rsidRDefault="00187104" w:rsidP="00187104">
      <w:pPr>
        <w:spacing w:line="360" w:lineRule="auto"/>
        <w:jc w:val="both"/>
        <w:rPr>
          <w:rFonts w:ascii="David" w:hAnsi="David"/>
          <w:b/>
          <w:bCs/>
          <w:u w:val="single"/>
        </w:rPr>
      </w:pPr>
      <w:r>
        <w:rPr>
          <w:rFonts w:ascii="David" w:hAnsi="David" w:hint="cs"/>
          <w:b/>
          <w:bCs/>
          <w:u w:val="single"/>
          <w:rtl/>
        </w:rPr>
        <w:t>מבוא</w:t>
      </w:r>
    </w:p>
    <w:p w14:paraId="4560B61F" w14:textId="77777777" w:rsidR="00187104" w:rsidRDefault="00187104" w:rsidP="00187104">
      <w:pPr>
        <w:pStyle w:val="a9"/>
        <w:numPr>
          <w:ilvl w:val="0"/>
          <w:numId w:val="1"/>
        </w:numPr>
        <w:spacing w:line="360" w:lineRule="auto"/>
        <w:ind w:left="509" w:hanging="509"/>
        <w:jc w:val="both"/>
        <w:rPr>
          <w:rFonts w:ascii="David" w:hAnsi="David" w:cs="David"/>
          <w:sz w:val="24"/>
          <w:szCs w:val="24"/>
          <w:rtl/>
        </w:rPr>
      </w:pPr>
      <w:bookmarkStart w:id="6" w:name="ABSTRACT_START"/>
      <w:bookmarkEnd w:id="6"/>
      <w:r>
        <w:rPr>
          <w:rFonts w:ascii="David" w:hAnsi="David" w:cs="David" w:hint="cs"/>
          <w:sz w:val="24"/>
          <w:szCs w:val="24"/>
          <w:rtl/>
        </w:rPr>
        <w:t>בהכרעת דין מיום 28.2.18, הורשע הנאשם, לפי הודאתו, בעובדות כתב האישום המתוקן, במספר אישומים שעניינם עבירות סמים.</w:t>
      </w:r>
    </w:p>
    <w:p w14:paraId="2A379190"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b/>
          <w:bCs/>
          <w:sz w:val="24"/>
          <w:szCs w:val="24"/>
          <w:rtl/>
        </w:rPr>
        <w:t xml:space="preserve">באישום הראשון, </w:t>
      </w:r>
      <w:r>
        <w:rPr>
          <w:rFonts w:ascii="David" w:hAnsi="David" w:cs="David" w:hint="cs"/>
          <w:sz w:val="24"/>
          <w:szCs w:val="24"/>
          <w:rtl/>
        </w:rPr>
        <w:t xml:space="preserve">הורשע הנאשם בעבירה של סחר בסמים, לפי </w:t>
      </w:r>
      <w:hyperlink r:id="rId12" w:history="1">
        <w:r w:rsidR="00A26151" w:rsidRPr="00A26151">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13" w:history="1">
        <w:r w:rsidR="00A26151" w:rsidRPr="00A26151">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14" w:history="1">
        <w:r w:rsidR="00827B93" w:rsidRPr="00827B93">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תשל"ג – 1973.</w:t>
      </w:r>
    </w:p>
    <w:p w14:paraId="30D81409" w14:textId="77777777" w:rsidR="00187104" w:rsidRDefault="00187104" w:rsidP="00187104">
      <w:pPr>
        <w:pStyle w:val="a9"/>
        <w:spacing w:line="360" w:lineRule="auto"/>
        <w:ind w:left="509"/>
        <w:jc w:val="both"/>
        <w:rPr>
          <w:rFonts w:ascii="David" w:hAnsi="David" w:cs="David"/>
          <w:sz w:val="24"/>
          <w:szCs w:val="24"/>
        </w:rPr>
      </w:pPr>
      <w:r>
        <w:rPr>
          <w:rFonts w:ascii="David" w:hAnsi="David" w:cs="David" w:hint="cs"/>
          <w:sz w:val="24"/>
          <w:szCs w:val="24"/>
          <w:rtl/>
        </w:rPr>
        <w:t>לפי האישום הראשון, ביום 11.8.17 בגן יבנה, מכר הנאשם למקס אפנסייב (להלן – "</w:t>
      </w:r>
      <w:r>
        <w:rPr>
          <w:rFonts w:ascii="David" w:hAnsi="David" w:cs="David" w:hint="cs"/>
          <w:b/>
          <w:bCs/>
          <w:sz w:val="24"/>
          <w:szCs w:val="24"/>
          <w:rtl/>
        </w:rPr>
        <w:t>מקס</w:t>
      </w:r>
      <w:r>
        <w:rPr>
          <w:rFonts w:ascii="David" w:hAnsi="David" w:cs="David" w:hint="cs"/>
          <w:sz w:val="24"/>
          <w:szCs w:val="24"/>
          <w:rtl/>
        </w:rPr>
        <w:t>") סם מסוכן מסוג חשיש במשקל 1.629 גרם בתמורה לסכום של 100 ₪.</w:t>
      </w:r>
    </w:p>
    <w:p w14:paraId="6C856520" w14:textId="77777777" w:rsidR="00187104" w:rsidRDefault="00187104" w:rsidP="00187104">
      <w:pPr>
        <w:pStyle w:val="a9"/>
        <w:numPr>
          <w:ilvl w:val="0"/>
          <w:numId w:val="1"/>
        </w:numPr>
        <w:spacing w:line="360" w:lineRule="auto"/>
        <w:ind w:left="509" w:hanging="509"/>
        <w:jc w:val="both"/>
        <w:rPr>
          <w:rFonts w:ascii="David" w:hAnsi="David" w:cs="David"/>
          <w:b/>
          <w:bCs/>
          <w:sz w:val="24"/>
          <w:szCs w:val="24"/>
          <w:rtl/>
        </w:rPr>
      </w:pPr>
      <w:r>
        <w:rPr>
          <w:rFonts w:ascii="David" w:hAnsi="David" w:cs="David" w:hint="cs"/>
          <w:b/>
          <w:bCs/>
          <w:sz w:val="24"/>
          <w:szCs w:val="24"/>
          <w:rtl/>
        </w:rPr>
        <w:t xml:space="preserve">באישום השני, </w:t>
      </w:r>
      <w:r>
        <w:rPr>
          <w:rFonts w:ascii="David" w:hAnsi="David" w:cs="David" w:hint="cs"/>
          <w:sz w:val="24"/>
          <w:szCs w:val="24"/>
          <w:rtl/>
        </w:rPr>
        <w:t xml:space="preserve">הורשע הנאשם בחמש עבירות של סחר בסמים, לפי </w:t>
      </w:r>
      <w:hyperlink r:id="rId15" w:history="1">
        <w:r w:rsidR="00A26151" w:rsidRPr="00A26151">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16" w:history="1">
        <w:r w:rsidR="00A26151" w:rsidRPr="00A26151">
          <w:rPr>
            <w:rFonts w:ascii="David" w:hAnsi="David" w:cs="David"/>
            <w:color w:val="0000FF"/>
            <w:sz w:val="24"/>
            <w:szCs w:val="24"/>
            <w:u w:val="single"/>
            <w:rtl/>
          </w:rPr>
          <w:t>סעיף 19א</w:t>
        </w:r>
      </w:hyperlink>
      <w:r>
        <w:rPr>
          <w:rFonts w:ascii="David" w:hAnsi="David" w:cs="David" w:hint="cs"/>
          <w:sz w:val="24"/>
          <w:szCs w:val="24"/>
          <w:rtl/>
        </w:rPr>
        <w:t xml:space="preserve"> </w:t>
      </w:r>
      <w:bookmarkStart w:id="7" w:name="ABSTRACT_END"/>
      <w:bookmarkEnd w:id="7"/>
      <w:r>
        <w:rPr>
          <w:rFonts w:ascii="David" w:hAnsi="David" w:cs="David" w:hint="cs"/>
          <w:sz w:val="24"/>
          <w:szCs w:val="24"/>
          <w:rtl/>
        </w:rPr>
        <w:t>ל</w:t>
      </w:r>
      <w:hyperlink r:id="rId17" w:history="1">
        <w:r w:rsidR="00827B93" w:rsidRPr="00827B93">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54855DE2" w14:textId="77777777" w:rsidR="00187104" w:rsidRDefault="00187104" w:rsidP="00187104">
      <w:pPr>
        <w:pStyle w:val="a9"/>
        <w:spacing w:line="360" w:lineRule="auto"/>
        <w:ind w:left="509"/>
        <w:jc w:val="both"/>
        <w:rPr>
          <w:rFonts w:ascii="David" w:hAnsi="David" w:cs="David"/>
          <w:sz w:val="24"/>
          <w:szCs w:val="24"/>
        </w:rPr>
      </w:pPr>
      <w:r>
        <w:rPr>
          <w:rFonts w:ascii="David" w:hAnsi="David" w:cs="David" w:hint="cs"/>
          <w:sz w:val="24"/>
          <w:szCs w:val="24"/>
          <w:rtl/>
        </w:rPr>
        <w:t>לפי האישום השני, לפני יום 11.8.17, בחמישה מועדים שונים, מכר הנאשם למקס ביבנה, סם מסוכן מסוג חשיש במשקל של כגרם בתמורה לסכום של 100 ₪ בכל פעם.</w:t>
      </w:r>
    </w:p>
    <w:p w14:paraId="1B6F7840" w14:textId="77777777" w:rsidR="00187104" w:rsidRDefault="00187104" w:rsidP="00187104">
      <w:pPr>
        <w:pStyle w:val="a9"/>
        <w:numPr>
          <w:ilvl w:val="0"/>
          <w:numId w:val="1"/>
        </w:numPr>
        <w:spacing w:line="360" w:lineRule="auto"/>
        <w:ind w:left="509" w:hanging="509"/>
        <w:jc w:val="both"/>
        <w:rPr>
          <w:rFonts w:ascii="David" w:hAnsi="David" w:cs="David"/>
          <w:b/>
          <w:bCs/>
          <w:sz w:val="24"/>
          <w:szCs w:val="24"/>
        </w:rPr>
      </w:pPr>
      <w:r>
        <w:rPr>
          <w:rFonts w:ascii="David" w:hAnsi="David" w:cs="David" w:hint="cs"/>
          <w:b/>
          <w:bCs/>
          <w:sz w:val="24"/>
          <w:szCs w:val="24"/>
          <w:rtl/>
        </w:rPr>
        <w:lastRenderedPageBreak/>
        <w:t xml:space="preserve">באישום השלישי, </w:t>
      </w:r>
      <w:r>
        <w:rPr>
          <w:rFonts w:ascii="David" w:hAnsi="David" w:cs="David" w:hint="cs"/>
          <w:sz w:val="24"/>
          <w:szCs w:val="24"/>
          <w:rtl/>
        </w:rPr>
        <w:t xml:space="preserve">הורשע הנאשם בעבירה של סחר בסמים, לפי </w:t>
      </w:r>
      <w:hyperlink r:id="rId18" w:history="1">
        <w:r w:rsidR="00A26151" w:rsidRPr="00A26151">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19" w:history="1">
        <w:r w:rsidR="00A26151" w:rsidRPr="00A26151">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20" w:history="1">
        <w:r w:rsidR="00827B93" w:rsidRPr="00827B93">
          <w:rPr>
            <w:rFonts w:ascii="David" w:hAnsi="David" w:cs="David"/>
            <w:color w:val="0000FF"/>
            <w:sz w:val="24"/>
            <w:szCs w:val="24"/>
            <w:u w:val="single"/>
            <w:rtl/>
          </w:rPr>
          <w:t>פקודת הסמים המסוכנים</w:t>
        </w:r>
      </w:hyperlink>
      <w:r>
        <w:rPr>
          <w:rFonts w:ascii="David" w:hAnsi="David" w:cs="David" w:hint="cs"/>
          <w:b/>
          <w:bCs/>
          <w:sz w:val="24"/>
          <w:szCs w:val="24"/>
          <w:rtl/>
        </w:rPr>
        <w:t>.</w:t>
      </w:r>
    </w:p>
    <w:p w14:paraId="1E64FE3A" w14:textId="77777777" w:rsidR="00187104" w:rsidRDefault="00187104" w:rsidP="00187104">
      <w:pPr>
        <w:pStyle w:val="a9"/>
        <w:spacing w:line="360" w:lineRule="auto"/>
        <w:ind w:left="509"/>
        <w:jc w:val="both"/>
        <w:rPr>
          <w:rFonts w:ascii="David" w:hAnsi="David" w:cs="David"/>
          <w:sz w:val="24"/>
          <w:szCs w:val="24"/>
        </w:rPr>
      </w:pPr>
      <w:r>
        <w:rPr>
          <w:rFonts w:ascii="David" w:hAnsi="David" w:cs="David" w:hint="cs"/>
          <w:sz w:val="24"/>
          <w:szCs w:val="24"/>
          <w:rtl/>
        </w:rPr>
        <w:t>לפי האישום השלישי, כשנה לפני אוגוסט 2017 בגן יבנה, מכר הנאשם לארז צבי (הכוונה לארז צבי קורט, להלן – "</w:t>
      </w:r>
      <w:r>
        <w:rPr>
          <w:rFonts w:ascii="David" w:hAnsi="David" w:cs="David" w:hint="cs"/>
          <w:b/>
          <w:bCs/>
          <w:sz w:val="24"/>
          <w:szCs w:val="24"/>
          <w:rtl/>
        </w:rPr>
        <w:t>קורט</w:t>
      </w:r>
      <w:r>
        <w:rPr>
          <w:rFonts w:ascii="David" w:hAnsi="David" w:cs="David" w:hint="cs"/>
          <w:sz w:val="24"/>
          <w:szCs w:val="24"/>
          <w:rtl/>
        </w:rPr>
        <w:t>") סם מסוכן מסוג חשיש במשקל של כגרם בתמורה לסכום של 100₪.</w:t>
      </w:r>
    </w:p>
    <w:p w14:paraId="2379BBC8" w14:textId="77777777" w:rsidR="00187104" w:rsidRDefault="00187104" w:rsidP="00187104">
      <w:pPr>
        <w:pStyle w:val="a9"/>
        <w:numPr>
          <w:ilvl w:val="0"/>
          <w:numId w:val="1"/>
        </w:numPr>
        <w:spacing w:line="360" w:lineRule="auto"/>
        <w:ind w:left="509" w:hanging="509"/>
        <w:jc w:val="both"/>
        <w:rPr>
          <w:rFonts w:ascii="David" w:hAnsi="David" w:cs="David"/>
          <w:b/>
          <w:bCs/>
          <w:sz w:val="24"/>
          <w:szCs w:val="24"/>
        </w:rPr>
      </w:pPr>
      <w:r>
        <w:rPr>
          <w:rFonts w:ascii="David" w:hAnsi="David" w:cs="David" w:hint="cs"/>
          <w:sz w:val="24"/>
          <w:szCs w:val="24"/>
          <w:rtl/>
        </w:rPr>
        <w:t>לפי הסדר טיעון, נשלח הנאשם לעריכת תסקיר שירות מבחן בעניינו, ללא הסכמה עונשית.</w:t>
      </w:r>
    </w:p>
    <w:p w14:paraId="1025B0CA" w14:textId="77777777" w:rsidR="00187104" w:rsidRDefault="00187104" w:rsidP="00187104">
      <w:pPr>
        <w:pStyle w:val="a9"/>
        <w:spacing w:line="360" w:lineRule="auto"/>
        <w:ind w:left="0"/>
        <w:jc w:val="both"/>
        <w:rPr>
          <w:rFonts w:ascii="David" w:hAnsi="David" w:cs="David"/>
          <w:sz w:val="24"/>
          <w:szCs w:val="24"/>
        </w:rPr>
      </w:pPr>
    </w:p>
    <w:p w14:paraId="10FBF3A7" w14:textId="77777777" w:rsidR="00187104" w:rsidRDefault="00187104" w:rsidP="00187104">
      <w:pPr>
        <w:pStyle w:val="a9"/>
        <w:spacing w:line="360" w:lineRule="auto"/>
        <w:ind w:left="0"/>
        <w:jc w:val="both"/>
        <w:rPr>
          <w:rFonts w:ascii="David" w:hAnsi="David" w:cs="David"/>
          <w:b/>
          <w:bCs/>
          <w:sz w:val="24"/>
          <w:szCs w:val="24"/>
          <w:u w:val="single"/>
          <w:rtl/>
        </w:rPr>
      </w:pPr>
    </w:p>
    <w:p w14:paraId="2CBEFEF9" w14:textId="77777777" w:rsidR="00187104" w:rsidRDefault="00187104" w:rsidP="00187104">
      <w:pPr>
        <w:pStyle w:val="a9"/>
        <w:spacing w:line="360" w:lineRule="auto"/>
        <w:ind w:left="0"/>
        <w:jc w:val="both"/>
        <w:rPr>
          <w:rFonts w:ascii="David" w:hAnsi="David" w:cs="David"/>
          <w:b/>
          <w:bCs/>
          <w:sz w:val="24"/>
          <w:szCs w:val="24"/>
          <w:u w:val="single"/>
          <w:rtl/>
        </w:rPr>
      </w:pPr>
    </w:p>
    <w:p w14:paraId="36485DDD" w14:textId="77777777" w:rsidR="00187104" w:rsidRDefault="00187104" w:rsidP="00187104">
      <w:pPr>
        <w:pStyle w:val="a9"/>
        <w:spacing w:line="360" w:lineRule="auto"/>
        <w:ind w:left="0"/>
        <w:jc w:val="both"/>
        <w:rPr>
          <w:rFonts w:ascii="David" w:hAnsi="David" w:cs="David"/>
          <w:b/>
          <w:bCs/>
          <w:sz w:val="24"/>
          <w:szCs w:val="24"/>
          <w:u w:val="single"/>
          <w:rtl/>
        </w:rPr>
      </w:pPr>
      <w:r>
        <w:rPr>
          <w:rFonts w:ascii="David" w:hAnsi="David" w:cs="David" w:hint="cs"/>
          <w:b/>
          <w:bCs/>
          <w:sz w:val="24"/>
          <w:szCs w:val="24"/>
          <w:u w:val="single"/>
          <w:rtl/>
        </w:rPr>
        <w:t>תסקיר שירות מבחן</w:t>
      </w:r>
    </w:p>
    <w:p w14:paraId="1145C519" w14:textId="77777777" w:rsidR="00187104" w:rsidRDefault="00187104" w:rsidP="00187104">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שירות המבחן, בתסקירו מיום 2.9.18, ציין כי הנאשם בן 31, רווק, מתגורר בבית הוריו ומצוי בתנאים מגבילים. הנאשם עסק באמנות, התנדב בעמותה לנזקקים ויזם פתיחה של חדר מוסיקה קהילתי במקום מגוריו. בחודשים האחרונים, החל לעבוד כמחסנאי ברשת מזון. ממכתב ממעסיקו עולה, כי הנאשם בעל מוטיבציה, סבלני, אמין וחרוץ. עוד מסר שירות המבחן, כי הנאשם החל לימודי תואר ראשון בתקשורת במסגרת האוניברסיטה הפתוחה.  הנאשם מסר כי התנסה בסם מסוג קנבוס בגיל 26 במסגרת חברתית ובהמשך הגדיל את תדירות הצריכה. עוד צוין, כי אביו של הנאשם מובטל ומקבל קצבת נכות מביטוח לאומי ואמו סייעת בצהרונים. משפחת הנאשם חוותה קשיים כלכליים שהחמירו עם פציעתו של אביו. בעקבות הפציעה, חש הנאשם צורך לסייע להוריו בפרנסת המשפחה ובנטל הכלכלי.</w:t>
      </w:r>
      <w:r>
        <w:rPr>
          <w:rFonts w:ascii="David" w:hAnsi="David" w:cs="David" w:hint="cs"/>
          <w:b/>
          <w:bCs/>
          <w:sz w:val="24"/>
          <w:szCs w:val="24"/>
          <w:rtl/>
        </w:rPr>
        <w:t xml:space="preserve"> </w:t>
      </w:r>
      <w:r>
        <w:rPr>
          <w:rFonts w:ascii="David" w:hAnsi="David" w:cs="David" w:hint="cs"/>
          <w:sz w:val="24"/>
          <w:szCs w:val="24"/>
          <w:rtl/>
        </w:rPr>
        <w:t>עוד ציין שירות המבחן, כי הנאשם נעדר עבר פלילי</w:t>
      </w:r>
      <w:r>
        <w:rPr>
          <w:rFonts w:ascii="David" w:hAnsi="David" w:cs="David" w:hint="cs"/>
          <w:b/>
          <w:bCs/>
          <w:sz w:val="24"/>
          <w:szCs w:val="24"/>
          <w:rtl/>
        </w:rPr>
        <w:t>.</w:t>
      </w:r>
    </w:p>
    <w:p w14:paraId="3CA71371" w14:textId="77777777" w:rsidR="00187104" w:rsidRDefault="00187104" w:rsidP="00187104">
      <w:pPr>
        <w:pStyle w:val="a9"/>
        <w:spacing w:line="360" w:lineRule="auto"/>
        <w:ind w:left="509"/>
        <w:jc w:val="both"/>
        <w:rPr>
          <w:rFonts w:ascii="David" w:hAnsi="David" w:cs="David"/>
          <w:sz w:val="24"/>
          <w:szCs w:val="24"/>
          <w:rtl/>
        </w:rPr>
      </w:pPr>
      <w:r>
        <w:rPr>
          <w:rFonts w:ascii="David" w:hAnsi="David" w:cs="David" w:hint="cs"/>
          <w:sz w:val="24"/>
          <w:szCs w:val="24"/>
          <w:rtl/>
        </w:rPr>
        <w:t>להערכת שירות המבחן, הנאשם ביטא צער וחרטה, הבין את משמעות מעשיו והליך המעצר היווה עבורו גורם הרתעתי רב משמעות. הנאשם שינה עמדותיו ביחס לסמים, הפסיק לצרוך סמים, חש יציב וממוקד בחייו ובעל יכולת שליטה על חייו. עוד מסר שירות המבחן, כי במסגרת הליך המעצר הנאשם שולב בקבוצת עצורי בית, הגיע בהתמדה למפגשים והפגין אחריות ורצינות במסגרת ההליך</w:t>
      </w:r>
      <w:r>
        <w:rPr>
          <w:rFonts w:ascii="David" w:hAnsi="David" w:cs="David" w:hint="cs"/>
          <w:b/>
          <w:bCs/>
          <w:sz w:val="24"/>
          <w:szCs w:val="24"/>
          <w:rtl/>
        </w:rPr>
        <w:t xml:space="preserve">. </w:t>
      </w:r>
      <w:r>
        <w:rPr>
          <w:rFonts w:ascii="David" w:hAnsi="David" w:cs="David" w:hint="cs"/>
          <w:sz w:val="24"/>
          <w:szCs w:val="24"/>
          <w:rtl/>
        </w:rPr>
        <w:t>תחילה נמצאו שרידי סם בבדיקות שתן שנערכו לנאשם, אולם בהמשך לא נמצאו עוד שרידי סם.</w:t>
      </w:r>
    </w:p>
    <w:p w14:paraId="70A1BB34" w14:textId="77777777" w:rsidR="00187104" w:rsidRDefault="00187104" w:rsidP="00187104">
      <w:pPr>
        <w:pStyle w:val="a9"/>
        <w:spacing w:line="360" w:lineRule="auto"/>
        <w:ind w:left="509"/>
        <w:jc w:val="both"/>
        <w:rPr>
          <w:rFonts w:ascii="David" w:hAnsi="David" w:cs="David"/>
          <w:sz w:val="24"/>
          <w:szCs w:val="24"/>
        </w:rPr>
      </w:pPr>
      <w:r>
        <w:rPr>
          <w:rFonts w:ascii="David" w:hAnsi="David" w:cs="David" w:hint="cs"/>
          <w:sz w:val="24"/>
          <w:szCs w:val="24"/>
          <w:rtl/>
        </w:rPr>
        <w:t>להתרשמות שירות המבחן, הנאשם שינה עמדותיו, מבין את משמעות מעשיו, פעל למען שינוי התנהגותו ושואף לקדם את חייו להישגים נורמטיביים. מכאן המליץ שירות המבחן, להטיל על הנאשם צו מבחן למשך שנה, צו שירות לתועלת הציבור בהיקף של 280 שעות, מאסר על תנאי והתחייבות.</w:t>
      </w:r>
    </w:p>
    <w:p w14:paraId="07979BFA" w14:textId="77777777" w:rsidR="00187104" w:rsidRDefault="00187104" w:rsidP="00187104">
      <w:pPr>
        <w:pStyle w:val="a9"/>
        <w:spacing w:line="360" w:lineRule="auto"/>
        <w:ind w:left="509"/>
        <w:jc w:val="both"/>
        <w:rPr>
          <w:rFonts w:ascii="David" w:hAnsi="David" w:cs="David"/>
          <w:sz w:val="24"/>
          <w:szCs w:val="24"/>
          <w:rtl/>
        </w:rPr>
      </w:pPr>
    </w:p>
    <w:p w14:paraId="5E477074" w14:textId="77777777" w:rsidR="00187104" w:rsidRDefault="00187104" w:rsidP="00187104">
      <w:pPr>
        <w:pStyle w:val="a9"/>
        <w:spacing w:line="360" w:lineRule="auto"/>
        <w:ind w:left="0"/>
        <w:jc w:val="both"/>
        <w:rPr>
          <w:rFonts w:ascii="David" w:hAnsi="David" w:cs="David"/>
          <w:b/>
          <w:bCs/>
          <w:sz w:val="24"/>
          <w:szCs w:val="24"/>
          <w:u w:val="single"/>
          <w:rtl/>
        </w:rPr>
      </w:pPr>
      <w:r>
        <w:rPr>
          <w:rFonts w:ascii="David" w:hAnsi="David" w:cs="David" w:hint="cs"/>
          <w:b/>
          <w:bCs/>
          <w:sz w:val="24"/>
          <w:szCs w:val="24"/>
          <w:u w:val="single"/>
          <w:rtl/>
        </w:rPr>
        <w:t>ראיות לעונש</w:t>
      </w:r>
    </w:p>
    <w:p w14:paraId="75B1F98A" w14:textId="77777777" w:rsidR="00187104" w:rsidRDefault="00187104" w:rsidP="00187104">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על מנת להוכיח טענה לאכיפה בררנית, ביקש בא כוח הנאשם, לאחר הרשעת הנאשם, להביא בפני בית המשפט עדויות וראיות בדבר מעורבותו של אחר, ארז קורט, שנגדו לא הוגש כתב אישום.</w:t>
      </w:r>
    </w:p>
    <w:p w14:paraId="47BF1673"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lastRenderedPageBreak/>
        <w:t>בהחלטה מיום 19.11.18 קבעתי, שאף שמן הראוי היה להסדיר המחלוקת לעניין זה, כחלק מהסדר הטיעון, בשל החלפת הייצוג, ואך על מנת למנוע עיוות דין, אאפשר לשני הצדדים להגיש חומר חקירה שעניינו בטיב הקשר בין הנאשם וקורט, וזאת על מנת להכריע בטענה לאכיפה בררנית, כחלק מגזר הדין.</w:t>
      </w:r>
    </w:p>
    <w:p w14:paraId="08CD023D"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מחומר החקירה שהוגש עולה התמונה הבאה. קורט והנאשם מכירים זה את זה מילדות והוריהם היו חברים. עם זאת, בתקופה הרלוונטית כבר לא היו חברים. כך עולה הן מהודעתו של קורט והן מהודעותיו של הנאשם (עת/1 – עת/3). קורט ביקש מהנאשם ל"ארגן לו סמים" והנאשם מכר לו סמים. קורט גם הפנה את מקס לנאשם ולא היתה היכרות קודמת בין הנאשם ומקס (עת/4). </w:t>
      </w:r>
    </w:p>
    <w:p w14:paraId="3BDB8413"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הנה כי כן, התמונה העולה מתוך חומר חקירה שהוגש לבית המשפט היא שהיתה היכרות מוקדמת בין הנאשם וקורט אולם הם כבר לא היו ביחסי חברות בעת הרלוונטית. עוד עולה, כי לא היתה היכרות מוקדמת בין הנאשם ומקס. </w:t>
      </w:r>
    </w:p>
    <w:p w14:paraId="6F66A34B"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אביו של הנאשם העיד לזכותו. בעדותו מסר, כי הנאשם היה פעיל במועדון לנוער, למד מוסיקה ועסק באמנות. עוד מסר, כי המשפחה חוותה קשיים כלכליים, בין היתר לאור פציעתו בתאונות עבודה בגינם נקבעו לו אחוזי נכות בביטוח לאומי. לדבריו, הנאשם מכיר את קורט מילדות והם גדלו יחדיו. הנאשם אמנם עשה טעות, אולם התגייס לשיקום, חדל לצרוך סמים, למד את הלקח ולא יעבור עוד על החוק.</w:t>
      </w:r>
    </w:p>
    <w:p w14:paraId="4F935EA5"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גם אמו של הנאשם מסרה, כי הנאשם עשה טעות, אינו עושה עוד שימוש בסמים וגם אינו נפגש עם אנשים שוליים. עוד ציינה כי הנאשם מגלה אכפתיות, מכלכל את המשפחה ומשלם את דמי שכירות.</w:t>
      </w:r>
    </w:p>
    <w:p w14:paraId="63A2B715" w14:textId="77777777" w:rsidR="00187104" w:rsidRDefault="00187104" w:rsidP="00187104">
      <w:pPr>
        <w:spacing w:line="360" w:lineRule="auto"/>
        <w:jc w:val="both"/>
        <w:rPr>
          <w:rFonts w:ascii="David" w:hAnsi="David"/>
        </w:rPr>
      </w:pPr>
    </w:p>
    <w:p w14:paraId="745683FB" w14:textId="77777777" w:rsidR="00187104" w:rsidRDefault="00187104" w:rsidP="00187104">
      <w:pPr>
        <w:spacing w:line="360" w:lineRule="auto"/>
        <w:jc w:val="both"/>
        <w:rPr>
          <w:rFonts w:ascii="David" w:hAnsi="David"/>
          <w:b/>
          <w:bCs/>
          <w:u w:val="single"/>
        </w:rPr>
      </w:pPr>
      <w:r>
        <w:rPr>
          <w:rFonts w:ascii="David" w:hAnsi="David" w:hint="cs"/>
          <w:b/>
          <w:bCs/>
          <w:u w:val="single"/>
          <w:rtl/>
        </w:rPr>
        <w:t>טענות הצדדים</w:t>
      </w:r>
    </w:p>
    <w:p w14:paraId="36122ED8"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באת כוח התביעה טענה, שכתוצאה מביצוע העבירות אותן ביצע הנאשם נפגעו הערכים החברתיים של הגנה על שלום הציבור ובריאותו מפני נגע הסמים והעבריינות הנלוות לו.</w:t>
      </w:r>
    </w:p>
    <w:p w14:paraId="729BD547"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טענה, כי יש לקחת בחשבון את הנסיבות הבאות הקשורות בביצוע העבירות: הנאשם  סחר בסמים ב-7 הזדמנויות במשך כשנה. הנאשם מכר סמים לשני רוכשים שונים. עם אחד הרוכשים לא הוכח קשר חברתי או היכרות מוקדמת. התביעה אינה חולקת על כך שיש קשר בין הנאשם וקורט אולם לא מדובר בקשר חברי קרוב. לאור האמור מידת הפגיעה  בערכים המוגנים גבוהה.</w:t>
      </w:r>
    </w:p>
    <w:p w14:paraId="5F520990"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טענה, כי לאור נסיבות ביצוע העבירות ומדיניות הענישה, מתחם העונש ההולם את האישום הראשון והשני, נע בין מאסר לתקופה של 10 חודשים ובין ומאסר לתקופה של 20 חודשים, ואילו מתחם העונש ההולם את האישום השלישי, נע בין מאסר לתקופה של 6 חודשים, שיכול ויבוצע בדרך של עבודות שירות, ובין מאסר לתקופה של 12 חודשים.</w:t>
      </w:r>
    </w:p>
    <w:p w14:paraId="6945D46B"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הוסיפה וטענה, כי יש לקחת בחשבון את הנסיבות הבאות שאינן קשורות בביצוע העבירות: הנאשם צעיר, יליד 1987, נעדר עבר פלילי, הודה במיוחס לו, נטל אחריות על מעשיו וחסך בזמן שיפוטי. מתסקיר שירות המבחן עולה, כי תחילה נמצאו שרידי סם בבדיקות שתן שנערכו לנאשם ובהמשך לא נמצאו עוד שרידי סם.</w:t>
      </w:r>
    </w:p>
    <w:p w14:paraId="36F2F76C"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 באת כוח התביעה, המלצת שירות המבחן לסיים ההליך באפיק שיקומי חורגת משמעותית לקולא ממתחם העונש ההולם מבלי שהנאשם עבר הליך שיקומי משמעותי.</w:t>
      </w:r>
    </w:p>
    <w:p w14:paraId="220AA8F4" w14:textId="77777777" w:rsidR="00187104" w:rsidRDefault="00187104" w:rsidP="00187104">
      <w:pPr>
        <w:pStyle w:val="a9"/>
        <w:numPr>
          <w:ilvl w:val="0"/>
          <w:numId w:val="1"/>
        </w:numPr>
        <w:spacing w:line="360" w:lineRule="auto"/>
        <w:ind w:left="509" w:hanging="509"/>
        <w:jc w:val="both"/>
        <w:rPr>
          <w:rFonts w:ascii="David" w:hAnsi="David" w:cs="David"/>
          <w:b/>
          <w:bCs/>
          <w:sz w:val="24"/>
          <w:szCs w:val="24"/>
          <w:u w:val="single"/>
        </w:rPr>
      </w:pPr>
      <w:r>
        <w:rPr>
          <w:rFonts w:ascii="David" w:hAnsi="David" w:cs="David" w:hint="cs"/>
          <w:sz w:val="24"/>
          <w:szCs w:val="24"/>
          <w:rtl/>
        </w:rPr>
        <w:t xml:space="preserve">מכאן, עתרה באת כוח התביעה להטיל עונש אחד בגין כל האישומים הכולל מאסר לתקופה של 13 חודשים, מאסר על תנאי, קנס, פסילה בפועל ועל תנאי.  </w:t>
      </w:r>
    </w:p>
    <w:p w14:paraId="0E004D65" w14:textId="77777777" w:rsidR="00187104" w:rsidRDefault="00187104" w:rsidP="00187104">
      <w:pPr>
        <w:pStyle w:val="a9"/>
        <w:numPr>
          <w:ilvl w:val="0"/>
          <w:numId w:val="1"/>
        </w:numPr>
        <w:spacing w:line="360" w:lineRule="auto"/>
        <w:ind w:left="509" w:hanging="509"/>
        <w:jc w:val="both"/>
        <w:rPr>
          <w:rFonts w:ascii="David" w:hAnsi="David" w:cs="David"/>
          <w:b/>
          <w:bCs/>
          <w:sz w:val="24"/>
          <w:szCs w:val="24"/>
          <w:u w:val="single"/>
        </w:rPr>
      </w:pPr>
      <w:r>
        <w:rPr>
          <w:rFonts w:ascii="David" w:hAnsi="David" w:cs="David" w:hint="cs"/>
          <w:sz w:val="24"/>
          <w:szCs w:val="24"/>
          <w:rtl/>
        </w:rPr>
        <w:t>לטענת בא כוח הנאשם, יש לקבוע מתחם עונש אחד בגין האישומים הראשון והשני, המהווים אירוע אחד, ובגין האישום השלישי, המהווה אירוע נוסף.</w:t>
      </w:r>
    </w:p>
    <w:p w14:paraId="3CA5CA5F" w14:textId="77777777" w:rsidR="00187104" w:rsidRDefault="00187104" w:rsidP="00187104">
      <w:pPr>
        <w:pStyle w:val="a9"/>
        <w:numPr>
          <w:ilvl w:val="0"/>
          <w:numId w:val="1"/>
        </w:numPr>
        <w:spacing w:line="360" w:lineRule="auto"/>
        <w:ind w:left="509" w:hanging="509"/>
        <w:jc w:val="both"/>
        <w:rPr>
          <w:rFonts w:ascii="David" w:hAnsi="David" w:cs="David"/>
          <w:b/>
          <w:bCs/>
          <w:sz w:val="24"/>
          <w:szCs w:val="24"/>
          <w:u w:val="single"/>
        </w:rPr>
      </w:pPr>
      <w:r>
        <w:rPr>
          <w:rFonts w:ascii="David" w:hAnsi="David" w:cs="David" w:hint="cs"/>
          <w:sz w:val="24"/>
          <w:szCs w:val="24"/>
          <w:rtl/>
        </w:rPr>
        <w:t>עוד טען בא כוח הנאשם, כי קיים הבדל בין סחר בסמים כלפי כולי עלמא ובין סחר בסמים כחלק מ"אחוות מעשנים", ובפרט כאשר מדובר בחברים טובים. לטענתו, הנאשם אמן צעיר, אשר עישן סמים בחברת חבריו, אשר ביקשו ממנו "שיארגן" להם סם.</w:t>
      </w:r>
    </w:p>
    <w:p w14:paraId="3F517E92"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בנסיבות העניין ולאור מדיניות הענישה טען, כי מתחם העונש ההולם, נע בין מאסר על תנאי ובין מאסר לתקופה של 7 חודשים.</w:t>
      </w:r>
    </w:p>
    <w:p w14:paraId="34717BA2"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עוד הוסיף וטען, כי יש לקחת בחשבון את הנסיבות הבאות שאינן קשורות בביצוע העבירות: הנאשם נעדר עבר פלילי, הודה במיוחס לו ונטל אחריות על מעשיו; מתסקיר שירות המבחן עולות נסיבות חייו הקשות של הנאשם; הנאשם הפסיק לעשות שימוש בסמים, כפי שעולה גם מבדיקות הסמים שנערכו לו; הנאשם מצוי משך זמן ממושך בתנאי שחרור והוא לא הפר התנאים שנקבעו; חלף זמן רב מאז ביצוע העבירות והנאשם לא שב להסתבך עם רשויות אכיפת החוק.</w:t>
      </w:r>
    </w:p>
    <w:p w14:paraId="00A0D278"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לטענתו, גם יש להקל עם הנאשם מטעמי אכיפה בררנית והגנה מן הצדק. מחומר החקירה עולה, כי לא הוגש כתב אישום נגד מעורבים אחרים.</w:t>
      </w:r>
    </w:p>
    <w:p w14:paraId="34B6E630"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עתר בא כוח הנאשם, לאמץ את המלצות שירות המבחן. לעמדתו, אף ניתן לסיים ההליך ללא הרשעת הנאשם.</w:t>
      </w:r>
    </w:p>
    <w:p w14:paraId="67A999CD"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בדברו האחרון, מסר הנאשם כי הוא מצוי זמן רב בתנאים מגבילים ובתקופה זו הגיע למסקנות. הנאשם מבין כי עשה טעות וכי הוא יכול ללמוד מהטעויות שעשה. עוד הביע צער על מעשיו ומסר כי הוא מחויב לשינוי. לדבריו, הוא עובד בעבודה קבועה, אינו עושה עוד שימוש בסמים. עוד ציין, כי הגשת כתב האישום "החזירה אותו למסלול" והוא עוזר בכלכלת הוריו. הנאשם ביקש הזדמנות להתפתח ולהתקדם בחייו.</w:t>
      </w:r>
    </w:p>
    <w:p w14:paraId="707E350F" w14:textId="77777777" w:rsidR="00187104" w:rsidRDefault="00187104" w:rsidP="00187104">
      <w:pPr>
        <w:spacing w:line="360" w:lineRule="auto"/>
        <w:jc w:val="both"/>
        <w:rPr>
          <w:rFonts w:ascii="David" w:hAnsi="David"/>
          <w:b/>
          <w:bCs/>
          <w:u w:val="single"/>
        </w:rPr>
      </w:pPr>
    </w:p>
    <w:p w14:paraId="34C6720B" w14:textId="77777777" w:rsidR="00187104" w:rsidRDefault="00187104" w:rsidP="00187104">
      <w:pPr>
        <w:spacing w:line="360" w:lineRule="auto"/>
        <w:jc w:val="both"/>
        <w:rPr>
          <w:rFonts w:ascii="David" w:hAnsi="David"/>
          <w:b/>
          <w:bCs/>
          <w:u w:val="single"/>
          <w:rtl/>
        </w:rPr>
      </w:pPr>
      <w:r>
        <w:rPr>
          <w:rFonts w:ascii="David" w:hAnsi="David" w:hint="cs"/>
          <w:b/>
          <w:bCs/>
          <w:u w:val="single"/>
          <w:rtl/>
        </w:rPr>
        <w:t>דיון והכרעה</w:t>
      </w:r>
    </w:p>
    <w:p w14:paraId="3C11D18F" w14:textId="77777777" w:rsidR="00187104" w:rsidRDefault="00187104" w:rsidP="00187104">
      <w:pPr>
        <w:spacing w:line="360" w:lineRule="auto"/>
        <w:jc w:val="both"/>
        <w:rPr>
          <w:rFonts w:ascii="David" w:hAnsi="David"/>
          <w:u w:val="single"/>
          <w:rtl/>
        </w:rPr>
      </w:pPr>
      <w:r>
        <w:rPr>
          <w:rFonts w:ascii="David" w:hAnsi="David" w:hint="cs"/>
          <w:u w:val="single"/>
          <w:rtl/>
        </w:rPr>
        <w:t>האם מדובר באירוע אחד או מספר אירועים?</w:t>
      </w:r>
    </w:p>
    <w:p w14:paraId="12A13252"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הנאשם הורשע בשלושה אישומים של סחר בסמים. האישום הראשון והשני כוללים 6 עבירות של מכירת סמים לקונה אחד, מקס, בתקופה של מספר חודשים סמוכים. האישום השלישי כולל עבירה אחת של מכירת סמים לקונה אחר, קורט, כשנה לפני אוגוסט 2017 . למעשה, אין מחלוקת של ממש, בדבר חלוקת האירועים. לפיכך, יש לקבוע מתחם אחד בגין האישום הראשון והשני ומתחם עונש אחר בגין האישום השלישי.</w:t>
      </w:r>
    </w:p>
    <w:p w14:paraId="4D141F52" w14:textId="77777777" w:rsidR="00187104" w:rsidRDefault="00187104" w:rsidP="00187104">
      <w:pPr>
        <w:spacing w:line="360" w:lineRule="auto"/>
        <w:jc w:val="both"/>
        <w:rPr>
          <w:rFonts w:ascii="David" w:hAnsi="David"/>
          <w:u w:val="single"/>
          <w:rtl/>
        </w:rPr>
      </w:pPr>
    </w:p>
    <w:p w14:paraId="18027B16" w14:textId="77777777" w:rsidR="00187104" w:rsidRDefault="00187104" w:rsidP="00187104">
      <w:pPr>
        <w:spacing w:line="360" w:lineRule="auto"/>
        <w:jc w:val="both"/>
        <w:rPr>
          <w:rFonts w:ascii="David" w:hAnsi="David"/>
          <w:u w:val="single"/>
          <w:rtl/>
        </w:rPr>
      </w:pPr>
    </w:p>
    <w:p w14:paraId="3238BCDB" w14:textId="77777777" w:rsidR="00187104" w:rsidRDefault="00187104" w:rsidP="00187104">
      <w:pPr>
        <w:spacing w:line="360" w:lineRule="auto"/>
        <w:jc w:val="both"/>
        <w:rPr>
          <w:rFonts w:ascii="David" w:hAnsi="David"/>
          <w:u w:val="single"/>
          <w:rtl/>
        </w:rPr>
      </w:pPr>
    </w:p>
    <w:p w14:paraId="45B1EA6F" w14:textId="77777777" w:rsidR="00187104" w:rsidRDefault="00187104" w:rsidP="00187104">
      <w:pPr>
        <w:spacing w:line="360" w:lineRule="auto"/>
        <w:jc w:val="both"/>
        <w:rPr>
          <w:rFonts w:ascii="David" w:hAnsi="David"/>
          <w:u w:val="single"/>
        </w:rPr>
      </w:pPr>
      <w:r>
        <w:rPr>
          <w:rFonts w:ascii="David" w:hAnsi="David" w:hint="cs"/>
          <w:u w:val="single"/>
          <w:rtl/>
        </w:rPr>
        <w:t>קביעת מתחם העונש ההולם</w:t>
      </w:r>
    </w:p>
    <w:p w14:paraId="557B8C19" w14:textId="77777777" w:rsidR="00187104" w:rsidRDefault="00187104" w:rsidP="00187104">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בקביעת מתחם העונש ההולם את מעשי העבירות אותן ביצע נאשם יתחשב בית המשפט </w:t>
      </w:r>
      <w:r>
        <w:rPr>
          <w:rFonts w:ascii="David" w:hAnsi="David" w:cs="David" w:hint="cs"/>
          <w:b/>
          <w:bCs/>
          <w:sz w:val="24"/>
          <w:szCs w:val="24"/>
          <w:rtl/>
        </w:rPr>
        <w:t>בערך החברתי הנפגע</w:t>
      </w:r>
      <w:r>
        <w:rPr>
          <w:rFonts w:ascii="David" w:hAnsi="David" w:cs="David" w:hint="cs"/>
          <w:sz w:val="24"/>
          <w:szCs w:val="24"/>
          <w:rtl/>
        </w:rPr>
        <w:t xml:space="preserve"> מביצוע העבירות,</w:t>
      </w:r>
      <w:r>
        <w:rPr>
          <w:rFonts w:ascii="David" w:hAnsi="David" w:cs="David" w:hint="cs"/>
          <w:b/>
          <w:bCs/>
          <w:sz w:val="24"/>
          <w:szCs w:val="24"/>
          <w:rtl/>
        </w:rPr>
        <w:t xml:space="preserve"> במידת הפגיעה בו, במדיניות הענישה </w:t>
      </w:r>
      <w:r>
        <w:rPr>
          <w:rFonts w:ascii="David" w:hAnsi="David" w:cs="David" w:hint="cs"/>
          <w:sz w:val="24"/>
          <w:szCs w:val="24"/>
          <w:rtl/>
        </w:rPr>
        <w:t xml:space="preserve">הנהוגה, </w:t>
      </w:r>
      <w:r>
        <w:rPr>
          <w:rFonts w:ascii="David" w:hAnsi="David" w:cs="David" w:hint="cs"/>
          <w:b/>
          <w:bCs/>
          <w:sz w:val="24"/>
          <w:szCs w:val="24"/>
          <w:rtl/>
        </w:rPr>
        <w:t>ובנסיבות הקשורות בביצוע העבירות.</w:t>
      </w:r>
    </w:p>
    <w:p w14:paraId="7FBA8ADF"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21" w:history="1">
        <w:r w:rsidR="00827B93" w:rsidRPr="00827B93">
          <w:rPr>
            <w:rFonts w:ascii="David" w:hAnsi="David" w:cs="David"/>
            <w:color w:val="0000FF"/>
            <w:sz w:val="24"/>
            <w:szCs w:val="24"/>
            <w:u w:val="single"/>
            <w:rtl/>
          </w:rPr>
          <w:t>ע"פ 972/11</w:t>
        </w:r>
      </w:hyperlink>
      <w:r>
        <w:rPr>
          <w:rFonts w:ascii="David" w:hAnsi="David" w:cs="David" w:hint="cs"/>
          <w:sz w:val="24"/>
          <w:szCs w:val="24"/>
          <w:rtl/>
        </w:rPr>
        <w:t xml:space="preserve"> </w:t>
      </w:r>
      <w:r>
        <w:rPr>
          <w:rFonts w:ascii="David" w:hAnsi="David" w:cs="David" w:hint="cs"/>
          <w:b/>
          <w:bCs/>
          <w:sz w:val="24"/>
          <w:szCs w:val="24"/>
          <w:rtl/>
        </w:rPr>
        <w:t>מדינת ישראל נ' יונה</w:t>
      </w:r>
      <w:r>
        <w:rPr>
          <w:rFonts w:ascii="David" w:hAnsi="David" w:cs="David" w:hint="cs"/>
          <w:sz w:val="24"/>
          <w:szCs w:val="24"/>
          <w:rtl/>
        </w:rPr>
        <w:t xml:space="preserve"> (4.7.12); </w:t>
      </w:r>
      <w:hyperlink r:id="rId22" w:history="1">
        <w:r w:rsidR="00827B93" w:rsidRPr="00827B93">
          <w:rPr>
            <w:rFonts w:ascii="David" w:hAnsi="David" w:cs="David"/>
            <w:color w:val="0000FF"/>
            <w:sz w:val="24"/>
            <w:szCs w:val="24"/>
            <w:u w:val="single"/>
            <w:rtl/>
          </w:rPr>
          <w:t>ע"פ 6029/03 מדינת ישראל נ' שמאי (פ"ד נח</w:t>
        </w:r>
      </w:hyperlink>
      <w:r>
        <w:rPr>
          <w:rFonts w:ascii="David" w:hAnsi="David" w:cs="David" w:hint="cs"/>
          <w:sz w:val="24"/>
          <w:szCs w:val="24"/>
          <w:rtl/>
        </w:rPr>
        <w:t xml:space="preserve"> (2) 734 (2004); </w:t>
      </w:r>
      <w:hyperlink r:id="rId23" w:history="1">
        <w:r w:rsidR="00827B93" w:rsidRPr="00827B93">
          <w:rPr>
            <w:rFonts w:ascii="David" w:hAnsi="David" w:cs="David"/>
            <w:color w:val="0000FF"/>
            <w:sz w:val="24"/>
            <w:szCs w:val="24"/>
            <w:u w:val="single"/>
            <w:rtl/>
          </w:rPr>
          <w:t>ע"פ 6021/95</w:t>
        </w:r>
      </w:hyperlink>
      <w:r>
        <w:rPr>
          <w:rFonts w:ascii="David" w:hAnsi="David" w:cs="David" w:hint="cs"/>
          <w:sz w:val="24"/>
          <w:szCs w:val="24"/>
          <w:rtl/>
        </w:rPr>
        <w:t xml:space="preserve">, </w:t>
      </w:r>
      <w:hyperlink r:id="rId24" w:history="1">
        <w:r w:rsidR="001005C9" w:rsidRPr="001005C9">
          <w:rPr>
            <w:rFonts w:ascii="David" w:hAnsi="David" w:cs="David"/>
            <w:color w:val="0000FF"/>
            <w:sz w:val="24"/>
            <w:szCs w:val="24"/>
            <w:u w:val="single"/>
            <w:rtl/>
          </w:rPr>
          <w:t>4998/95</w:t>
        </w:r>
      </w:hyperlink>
      <w:r>
        <w:rPr>
          <w:rFonts w:ascii="David" w:hAnsi="David" w:cs="David" w:hint="cs"/>
          <w:sz w:val="24"/>
          <w:szCs w:val="24"/>
          <w:rtl/>
        </w:rPr>
        <w:t xml:space="preserve">, </w:t>
      </w:r>
      <w:hyperlink r:id="rId25" w:history="1">
        <w:r w:rsidR="001005C9" w:rsidRPr="001005C9">
          <w:rPr>
            <w:rStyle w:val="Hyperlink"/>
            <w:rFonts w:ascii="David" w:hAnsi="David" w:cs="David"/>
            <w:color w:val="0000FF"/>
            <w:sz w:val="24"/>
            <w:szCs w:val="24"/>
            <w:rtl/>
          </w:rPr>
          <w:t>5267/95</w:t>
        </w:r>
      </w:hyperlink>
      <w:r>
        <w:rPr>
          <w:rFonts w:ascii="David" w:hAnsi="David" w:cs="David" w:hint="cs"/>
          <w:sz w:val="24"/>
          <w:szCs w:val="24"/>
          <w:rtl/>
        </w:rPr>
        <w:t xml:space="preserve">, </w:t>
      </w:r>
      <w:hyperlink r:id="rId26" w:history="1">
        <w:r w:rsidR="001005C9" w:rsidRPr="001005C9">
          <w:rPr>
            <w:rStyle w:val="Hyperlink"/>
            <w:rFonts w:ascii="David" w:hAnsi="David" w:cs="David"/>
            <w:color w:val="0000FF"/>
            <w:sz w:val="24"/>
            <w:szCs w:val="24"/>
            <w:rtl/>
          </w:rPr>
          <w:t xml:space="preserve">5313/95 </w:t>
        </w:r>
      </w:hyperlink>
      <w:r>
        <w:rPr>
          <w:rFonts w:ascii="David" w:hAnsi="David" w:cs="David" w:hint="cs"/>
          <w:sz w:val="24"/>
          <w:szCs w:val="24"/>
          <w:rtl/>
        </w:rPr>
        <w:t xml:space="preserve"> </w:t>
      </w:r>
      <w:r>
        <w:rPr>
          <w:rFonts w:ascii="David" w:hAnsi="David" w:cs="David" w:hint="cs"/>
          <w:b/>
          <w:bCs/>
          <w:sz w:val="24"/>
          <w:szCs w:val="24"/>
          <w:rtl/>
        </w:rPr>
        <w:t>מדינת ישראל נ' גומז</w:t>
      </w:r>
      <w:r>
        <w:rPr>
          <w:rFonts w:ascii="David" w:hAnsi="David" w:cs="David" w:hint="cs"/>
          <w:sz w:val="24"/>
          <w:szCs w:val="24"/>
          <w:rtl/>
        </w:rPr>
        <w:t xml:space="preserve"> (31.7.97); </w:t>
      </w:r>
      <w:hyperlink r:id="rId27" w:history="1">
        <w:r w:rsidR="00827B93" w:rsidRPr="00827B93">
          <w:rPr>
            <w:rFonts w:ascii="David" w:hAnsi="David" w:cs="David"/>
            <w:color w:val="0000FF"/>
            <w:sz w:val="24"/>
            <w:szCs w:val="24"/>
            <w:u w:val="single"/>
            <w:rtl/>
          </w:rPr>
          <w:t>ע"פ 575/88 עודה נ' מדינת ישראל, פ"ד מב</w:t>
        </w:r>
      </w:hyperlink>
      <w:r>
        <w:rPr>
          <w:rFonts w:ascii="David" w:hAnsi="David" w:cs="David" w:hint="cs"/>
          <w:sz w:val="24"/>
          <w:szCs w:val="24"/>
          <w:rtl/>
        </w:rPr>
        <w:t xml:space="preserve"> (4) 242 (1988)).</w:t>
      </w:r>
    </w:p>
    <w:p w14:paraId="326E8D84" w14:textId="77777777" w:rsidR="00187104" w:rsidRDefault="00187104" w:rsidP="00187104">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בקביעת מתחם העונש ההולם, לקחתי בחשבון את נסיבות ביצוע העבירות, כדלקמן: הנאשם מכר סמים בשש הזדמנויות לקונה אחד, מקס, ומכר סמים בהזדמנות אחרת לקונה אחר, קורט. העבירות בוצעו במשך כשנה באזור יבנה וגן יבנה. הנאשם מכר סם מסוכן מסוג חשיש במשקלים של כגרם בכל פעם ובסך הכל כ- 8 גרם וקיבל תמורת כל מכירה כ-100 ₪.</w:t>
      </w:r>
    </w:p>
    <w:p w14:paraId="5637C835"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מחומר החקירה שהוגש עולה, כי בין הנאשם וקורט היכרות מוקדמת ואף חברות בין בני המשפחה, אולם בתקופה הרלוונטית לא היו חברים. כן עולה, כי קורט הוא שהפנה את מקס לנאשם ולא היתה היכרות מוקדמת ביניהם. בנסיבות אלו, באישום הראשון והשני מדובר במכירת סמים למכר של מכר, ובאישום השלישי מדובר במכירת סמים למכר, שהיו עמו בעבר קשרי חברות.  </w:t>
      </w:r>
    </w:p>
    <w:p w14:paraId="35088F7E"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על מדיניות הענישה המקובלת והנוהגת לריבוי עבירות של סחר בסמים מסוג חשיש, ניתן ללמוד מהפסיקה שלהלן:</w:t>
      </w:r>
    </w:p>
    <w:p w14:paraId="2475A061" w14:textId="77777777" w:rsidR="00187104" w:rsidRDefault="00827B93" w:rsidP="00187104">
      <w:pPr>
        <w:pStyle w:val="a9"/>
        <w:numPr>
          <w:ilvl w:val="0"/>
          <w:numId w:val="2"/>
        </w:numPr>
        <w:spacing w:line="360" w:lineRule="auto"/>
        <w:ind w:left="935" w:hanging="426"/>
        <w:jc w:val="both"/>
        <w:rPr>
          <w:rFonts w:ascii="David" w:hAnsi="David" w:cs="David"/>
          <w:sz w:val="24"/>
          <w:szCs w:val="24"/>
        </w:rPr>
      </w:pPr>
      <w:hyperlink r:id="rId28" w:history="1">
        <w:r w:rsidRPr="00827B93">
          <w:rPr>
            <w:rFonts w:ascii="David" w:hAnsi="David" w:cs="David"/>
            <w:color w:val="0000FF"/>
            <w:sz w:val="24"/>
            <w:szCs w:val="24"/>
            <w:u w:val="single"/>
            <w:rtl/>
          </w:rPr>
          <w:t>רע"פ 5712-16</w:t>
        </w:r>
      </w:hyperlink>
      <w:r w:rsidR="00187104">
        <w:rPr>
          <w:rFonts w:ascii="David" w:hAnsi="David" w:cs="David" w:hint="cs"/>
          <w:b/>
          <w:bCs/>
          <w:sz w:val="24"/>
          <w:szCs w:val="24"/>
          <w:rtl/>
        </w:rPr>
        <w:t xml:space="preserve"> אייזנבאך נ' מדינת ישראל</w:t>
      </w:r>
      <w:r w:rsidR="00187104">
        <w:rPr>
          <w:rFonts w:ascii="David" w:hAnsi="David" w:cs="David" w:hint="cs"/>
          <w:sz w:val="24"/>
          <w:szCs w:val="24"/>
          <w:rtl/>
        </w:rPr>
        <w:t xml:space="preserve"> (17.8.16): בית משפט השלום הרשיע את הנאשם, לפי הודאתו, בארבע עבירות של סחר בסמים מסוג קנבוס בסכומים של כמה מאות שקלים. בית המשפט הטיל על הנאשם מאסר לתקופה של 8 חודשים, מאסר על תנאי וקנס בסכום של 1,500 ₪. בית המשפט המחוזי דחה את ערעורו של הנאשם. בית משפט העליון דחה את בקשו של הנאשם להרשות ערעור;</w:t>
      </w:r>
    </w:p>
    <w:p w14:paraId="4F966747" w14:textId="77777777" w:rsidR="00187104" w:rsidRDefault="00827B93" w:rsidP="00187104">
      <w:pPr>
        <w:pStyle w:val="a9"/>
        <w:numPr>
          <w:ilvl w:val="0"/>
          <w:numId w:val="2"/>
        </w:numPr>
        <w:spacing w:line="360" w:lineRule="auto"/>
        <w:ind w:left="935" w:hanging="426"/>
        <w:jc w:val="both"/>
        <w:rPr>
          <w:rFonts w:ascii="David" w:hAnsi="David" w:cs="David"/>
          <w:sz w:val="24"/>
          <w:szCs w:val="24"/>
        </w:rPr>
      </w:pPr>
      <w:hyperlink r:id="rId29" w:history="1">
        <w:r w:rsidRPr="00827B93">
          <w:rPr>
            <w:rFonts w:ascii="David" w:hAnsi="David" w:cs="David"/>
            <w:color w:val="0000FF"/>
            <w:sz w:val="24"/>
            <w:szCs w:val="24"/>
            <w:u w:val="single"/>
            <w:rtl/>
          </w:rPr>
          <w:t>רע"פ 1626/12</w:t>
        </w:r>
      </w:hyperlink>
      <w:r w:rsidR="00187104">
        <w:rPr>
          <w:rFonts w:ascii="David" w:hAnsi="David" w:cs="David" w:hint="cs"/>
          <w:b/>
          <w:bCs/>
          <w:sz w:val="24"/>
          <w:szCs w:val="24"/>
          <w:rtl/>
        </w:rPr>
        <w:t xml:space="preserve"> מלכה נ' מדינת ישראל</w:t>
      </w:r>
      <w:r w:rsidR="00187104">
        <w:rPr>
          <w:rFonts w:ascii="David" w:hAnsi="David" w:cs="David" w:hint="cs"/>
          <w:sz w:val="24"/>
          <w:szCs w:val="24"/>
          <w:rtl/>
        </w:rPr>
        <w:t xml:space="preserve"> (7.5.12): בית משפט השלום הרשיע את הנאשם, לפי הודאתו, בארבע עבירות של סחר בסמים. בית המשפט הטיל על הנאשם מאסר לתקופה של 9 חודשים ומאסר על תנאי. בית המשפט המחוזי דחה את ערעורו של הנאשם, בית המשפט העליון דחה את בקשתו של הנאשם להרשות ערעור;</w:t>
      </w:r>
    </w:p>
    <w:p w14:paraId="5804F7EB" w14:textId="77777777" w:rsidR="00187104" w:rsidRDefault="00827B93" w:rsidP="00187104">
      <w:pPr>
        <w:pStyle w:val="a9"/>
        <w:numPr>
          <w:ilvl w:val="0"/>
          <w:numId w:val="2"/>
        </w:numPr>
        <w:spacing w:line="360" w:lineRule="auto"/>
        <w:ind w:left="935" w:hanging="426"/>
        <w:jc w:val="both"/>
        <w:rPr>
          <w:rFonts w:ascii="David" w:hAnsi="David" w:cs="David"/>
          <w:sz w:val="24"/>
          <w:szCs w:val="24"/>
        </w:rPr>
      </w:pPr>
      <w:hyperlink r:id="rId30" w:history="1">
        <w:r w:rsidRPr="00827B93">
          <w:rPr>
            <w:rFonts w:ascii="David" w:hAnsi="David" w:cs="David"/>
            <w:color w:val="0000FF"/>
            <w:sz w:val="24"/>
            <w:szCs w:val="24"/>
            <w:u w:val="single"/>
            <w:rtl/>
          </w:rPr>
          <w:t>עפ"ג (מרכז) 13964-09-17</w:t>
        </w:r>
      </w:hyperlink>
      <w:r w:rsidR="00187104">
        <w:rPr>
          <w:rFonts w:ascii="David" w:hAnsi="David" w:cs="David" w:hint="cs"/>
          <w:b/>
          <w:bCs/>
          <w:sz w:val="24"/>
          <w:szCs w:val="24"/>
          <w:rtl/>
        </w:rPr>
        <w:t xml:space="preserve"> זסלבסקי נ' מדינת ישראל</w:t>
      </w:r>
      <w:r w:rsidR="00187104">
        <w:rPr>
          <w:rFonts w:ascii="David" w:hAnsi="David" w:cs="David" w:hint="cs"/>
          <w:sz w:val="24"/>
          <w:szCs w:val="24"/>
          <w:rtl/>
        </w:rPr>
        <w:t xml:space="preserve"> (18.3.18): בית משפט השלום הרשיע את הנאשם, לפי הודאתו, בשבע עבירות של סחר בסמים מסוג קנבוס. בית המשפט הטיל על הנאשם מאסר לתקופה של 6 חודשים בדרך של עבודות שירות, מאסר על תנאי, קנס בסכום של 3,000 ₪ ופסילה על תנאי. בית המשפט המחוזי דחה את ערעורו של הנאשם; </w:t>
      </w:r>
    </w:p>
    <w:p w14:paraId="51A7C624" w14:textId="77777777" w:rsidR="00187104" w:rsidRDefault="00827B93" w:rsidP="00187104">
      <w:pPr>
        <w:pStyle w:val="a9"/>
        <w:numPr>
          <w:ilvl w:val="0"/>
          <w:numId w:val="2"/>
        </w:numPr>
        <w:spacing w:line="360" w:lineRule="auto"/>
        <w:ind w:left="935" w:hanging="426"/>
        <w:jc w:val="both"/>
        <w:rPr>
          <w:rFonts w:ascii="David" w:hAnsi="David" w:cs="David"/>
          <w:sz w:val="24"/>
          <w:szCs w:val="24"/>
        </w:rPr>
      </w:pPr>
      <w:hyperlink r:id="rId31" w:history="1">
        <w:r w:rsidRPr="00827B93">
          <w:rPr>
            <w:rFonts w:ascii="David" w:hAnsi="David" w:cs="David"/>
            <w:color w:val="0000FF"/>
            <w:sz w:val="24"/>
            <w:szCs w:val="24"/>
            <w:u w:val="single"/>
            <w:rtl/>
          </w:rPr>
          <w:t>עפ"ג (י-ם) 19763-12-16</w:t>
        </w:r>
      </w:hyperlink>
      <w:r w:rsidR="00187104">
        <w:rPr>
          <w:rFonts w:ascii="David" w:hAnsi="David" w:cs="David" w:hint="cs"/>
          <w:b/>
          <w:bCs/>
          <w:sz w:val="24"/>
          <w:szCs w:val="24"/>
          <w:rtl/>
        </w:rPr>
        <w:t xml:space="preserve"> מדינת ישראל נ' בשארי </w:t>
      </w:r>
      <w:r w:rsidR="00187104">
        <w:rPr>
          <w:rFonts w:ascii="David" w:hAnsi="David" w:cs="David" w:hint="cs"/>
          <w:sz w:val="24"/>
          <w:szCs w:val="24"/>
          <w:rtl/>
        </w:rPr>
        <w:t>(8.1.17): בית משפט השלום הרשיע את הנאשם, לפי הודאתו, בשלוש עבירות של סחר בסמים, החזקת סמים שלא לצריכה עצמית והחזקת כלים  להכנת  סם לצריכה עצמית. בית משפט השלום הטיל על הנאשם מאסר לתקופה של 8 חודשים, מאסר על תנאי וקנס בסכום של 5,000 ₪. בית משפט המחוזי דחה את ערעור המדינה;</w:t>
      </w:r>
    </w:p>
    <w:p w14:paraId="2C692FC4" w14:textId="77777777" w:rsidR="00187104" w:rsidRDefault="00827B93" w:rsidP="00187104">
      <w:pPr>
        <w:pStyle w:val="a9"/>
        <w:numPr>
          <w:ilvl w:val="0"/>
          <w:numId w:val="2"/>
        </w:numPr>
        <w:spacing w:line="360" w:lineRule="auto"/>
        <w:ind w:left="935" w:hanging="426"/>
        <w:jc w:val="both"/>
        <w:rPr>
          <w:rFonts w:ascii="David" w:hAnsi="David" w:cs="David"/>
          <w:sz w:val="24"/>
          <w:szCs w:val="24"/>
        </w:rPr>
      </w:pPr>
      <w:hyperlink r:id="rId32" w:history="1">
        <w:r w:rsidRPr="00827B93">
          <w:rPr>
            <w:rFonts w:ascii="David" w:hAnsi="David" w:cs="David"/>
            <w:color w:val="0000FF"/>
            <w:sz w:val="24"/>
            <w:szCs w:val="24"/>
            <w:u w:val="single"/>
            <w:rtl/>
          </w:rPr>
          <w:t>ע"פ (מרכז) 22310-12-12</w:t>
        </w:r>
      </w:hyperlink>
      <w:r w:rsidR="00187104">
        <w:rPr>
          <w:rFonts w:ascii="David" w:hAnsi="David" w:cs="David" w:hint="cs"/>
          <w:sz w:val="24"/>
          <w:szCs w:val="24"/>
          <w:rtl/>
        </w:rPr>
        <w:t xml:space="preserve"> </w:t>
      </w:r>
      <w:r w:rsidR="00187104">
        <w:rPr>
          <w:rFonts w:ascii="David" w:hAnsi="David" w:cs="David" w:hint="cs"/>
          <w:b/>
          <w:bCs/>
          <w:sz w:val="24"/>
          <w:szCs w:val="24"/>
          <w:rtl/>
        </w:rPr>
        <w:t>עובדיה נ' מדינת ישראל</w:t>
      </w:r>
      <w:r w:rsidR="00187104">
        <w:rPr>
          <w:rFonts w:ascii="David" w:hAnsi="David" w:cs="David" w:hint="cs"/>
          <w:sz w:val="24"/>
          <w:szCs w:val="24"/>
          <w:rtl/>
        </w:rPr>
        <w:t xml:space="preserve"> (24.2.13): בית משפט השלום הרשיע את הנאשם, לפי הודאתו, בעבירה של סחר בסמים. הנאשם מכר סם מסוג חשיש במשקל של כ-100 גרם. בית המשפט הטיל על הנאשם מאסר לתקופה של 3 חודשים בדרך של עבודות שירות, מאסר על תנאי וקנס בסכום של 3,000 ₪. בית המשפט המחוזי דחה את ערעורו של הנאשם;</w:t>
      </w:r>
    </w:p>
    <w:p w14:paraId="5A5A4021" w14:textId="77777777" w:rsidR="00187104" w:rsidRDefault="00827B93" w:rsidP="00187104">
      <w:pPr>
        <w:pStyle w:val="a9"/>
        <w:numPr>
          <w:ilvl w:val="0"/>
          <w:numId w:val="2"/>
        </w:numPr>
        <w:spacing w:line="360" w:lineRule="auto"/>
        <w:ind w:left="935" w:hanging="426"/>
        <w:jc w:val="both"/>
        <w:rPr>
          <w:rFonts w:ascii="David" w:hAnsi="David" w:cs="David"/>
          <w:sz w:val="24"/>
          <w:szCs w:val="24"/>
        </w:rPr>
      </w:pPr>
      <w:hyperlink r:id="rId33" w:history="1">
        <w:r w:rsidRPr="00827B93">
          <w:rPr>
            <w:rFonts w:ascii="David" w:hAnsi="David" w:cs="David"/>
            <w:color w:val="0000FF"/>
            <w:sz w:val="24"/>
            <w:szCs w:val="24"/>
            <w:u w:val="single"/>
            <w:rtl/>
          </w:rPr>
          <w:t>ת"פ (י-ם) 29550-06-13</w:t>
        </w:r>
      </w:hyperlink>
      <w:r w:rsidR="00187104">
        <w:rPr>
          <w:rFonts w:ascii="David" w:hAnsi="David" w:cs="David" w:hint="cs"/>
          <w:sz w:val="24"/>
          <w:szCs w:val="24"/>
          <w:rtl/>
        </w:rPr>
        <w:t xml:space="preserve"> </w:t>
      </w:r>
      <w:r w:rsidR="00187104">
        <w:rPr>
          <w:rFonts w:ascii="David" w:hAnsi="David" w:cs="David" w:hint="cs"/>
          <w:b/>
          <w:bCs/>
          <w:sz w:val="24"/>
          <w:szCs w:val="24"/>
          <w:rtl/>
        </w:rPr>
        <w:t>מדינת ישראל נ' סעידה</w:t>
      </w:r>
      <w:r w:rsidR="00187104">
        <w:rPr>
          <w:rFonts w:ascii="David" w:hAnsi="David" w:cs="David" w:hint="cs"/>
          <w:sz w:val="24"/>
          <w:szCs w:val="24"/>
          <w:rtl/>
        </w:rPr>
        <w:t xml:space="preserve"> (1.4.15): בית משפט השלום הרשיע את נאשם, לאחר הודאתו, בשתי עבירות של סחר בסמים. הנאשם מכר סם מסוג חשיש במשקל של כ-150 גרם. בית המשפט הטיל על הנאשם מאסר לתקופה של 7 חודשים ומאסר על תנאי.</w:t>
      </w:r>
    </w:p>
    <w:p w14:paraId="535B083B"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בשקלול מדיניות הענישה בפסיקה ונסיבות ביצוע העבירות, הגעתי למסקנה, כי מתחם העונש ההולם את העבירות מושא האישום הראשון והשני, נע בין מאסר קצר, שיכול ויבוצע בדרך של עבודות שירות, ובין מאסר לתקופה של 10 חודשים, לצד ענישה נלווית. מתחם העונש ההולם את העבירה מושא האישום השלישי נע בין מאסר על תנאי ובין מאסר לתקופה של מספר חודשים, לצד ענישה נלווית.</w:t>
      </w:r>
    </w:p>
    <w:p w14:paraId="66579BE5" w14:textId="77777777" w:rsidR="00187104" w:rsidRDefault="00187104" w:rsidP="00187104">
      <w:pPr>
        <w:spacing w:line="360" w:lineRule="auto"/>
        <w:jc w:val="both"/>
        <w:rPr>
          <w:rFonts w:ascii="David" w:hAnsi="David"/>
          <w:u w:val="single"/>
        </w:rPr>
      </w:pPr>
      <w:r>
        <w:rPr>
          <w:rFonts w:ascii="David" w:hAnsi="David" w:hint="cs"/>
          <w:u w:val="single"/>
          <w:rtl/>
        </w:rPr>
        <w:t>העונש ההולם בתוך המתחם</w:t>
      </w:r>
    </w:p>
    <w:p w14:paraId="4A047F93" w14:textId="77777777" w:rsidR="00187104" w:rsidRDefault="00187104" w:rsidP="00187104">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בקביעת העונש ההולם בתוך המתחם לקחתי בחשבון את הנסיבות הבאות שאינן קשורות בביצוע העבירות:</w:t>
      </w:r>
    </w:p>
    <w:p w14:paraId="299F0D02" w14:textId="77777777" w:rsidR="00187104" w:rsidRDefault="00187104" w:rsidP="00187104">
      <w:pPr>
        <w:pStyle w:val="a9"/>
        <w:spacing w:line="360" w:lineRule="auto"/>
        <w:ind w:left="509"/>
        <w:jc w:val="both"/>
        <w:rPr>
          <w:rFonts w:ascii="David" w:hAnsi="David" w:cs="David"/>
          <w:sz w:val="24"/>
          <w:szCs w:val="24"/>
        </w:rPr>
      </w:pPr>
      <w:r>
        <w:rPr>
          <w:rFonts w:ascii="David" w:hAnsi="David" w:cs="David" w:hint="cs"/>
          <w:sz w:val="24"/>
          <w:szCs w:val="24"/>
          <w:rtl/>
        </w:rPr>
        <w:t>הנאשם בן 31, רווק, מתגורר עם הוריו ומסייע להם בכלכלת הבית, לרבות תשלום השכירות על דירתם; הנאשם עוסק באמנות, מתנדב בקהילה ולאחרונה החל לעבוד כמחסנאי ברשת מזון; הנאשם נעדר עבר פלילי וזו הסתבכותו הראשונה עם רשויות אכיפת החוק; הנאשם הודה במיוחס לו, לקח אחריות על מעשיו והביע עליהם צער וחרטה; הנאשם הפסיק לצרוך סמים, כפי שעולה מבדיקות השתן האחרונות שנערכו לו בהן לא נמצאו שרידי סם; הנאשם היה עצור משך כ- 3 שבועות והיה נתון בתנאים מגבילים משך תקופה בלתי מבוטלת.</w:t>
      </w:r>
    </w:p>
    <w:p w14:paraId="55C2E110" w14:textId="77777777" w:rsidR="00187104" w:rsidRDefault="00187104" w:rsidP="00187104">
      <w:pPr>
        <w:pStyle w:val="a9"/>
        <w:spacing w:line="360" w:lineRule="auto"/>
        <w:ind w:left="509"/>
        <w:jc w:val="both"/>
        <w:rPr>
          <w:rFonts w:ascii="David" w:hAnsi="David" w:cs="David"/>
          <w:sz w:val="24"/>
          <w:szCs w:val="24"/>
          <w:rtl/>
        </w:rPr>
      </w:pPr>
      <w:r>
        <w:rPr>
          <w:rFonts w:ascii="David" w:hAnsi="David" w:cs="David" w:hint="cs"/>
          <w:sz w:val="24"/>
          <w:szCs w:val="24"/>
          <w:rtl/>
        </w:rPr>
        <w:t>מתסקיר שירות המבחן עולה, כי הנאשם החל לימודי תואר ראשון בתקשורת במסגרת האוניברסיטה הפתוחה. עוד עולה מהתסקיר כי הנאשם שינה עמדותיו ביחס לצריכת סמים. הנאשם שולב בקבוצה לעצורי בית, הגיע בהתמדה, ביטא אחריות ורצינות כלפי ההליך הטיפולי. מכאן העריך שירות המבחן, כי הנאשם שינה את עמדותיו, מבין את משמעות מעשיו ושואף לקדם את חייו להישגים נורמטיביים. שירות המבחן המליץ לסיים ההליך באפיק שיקומי. גם מעדויות הוריו של הנאשם ניתן ללמוד על השינוי שערך בחייו.</w:t>
      </w:r>
    </w:p>
    <w:p w14:paraId="30410CC3" w14:textId="77777777" w:rsidR="00187104" w:rsidRDefault="00187104" w:rsidP="00187104">
      <w:pPr>
        <w:pStyle w:val="a9"/>
        <w:spacing w:line="360" w:lineRule="auto"/>
        <w:ind w:left="509"/>
        <w:jc w:val="both"/>
        <w:rPr>
          <w:rFonts w:ascii="David" w:hAnsi="David" w:cs="David"/>
          <w:sz w:val="24"/>
          <w:szCs w:val="24"/>
          <w:rtl/>
        </w:rPr>
      </w:pPr>
      <w:r>
        <w:rPr>
          <w:rFonts w:ascii="David" w:hAnsi="David" w:cs="David" w:hint="cs"/>
          <w:sz w:val="24"/>
          <w:szCs w:val="24"/>
          <w:rtl/>
        </w:rPr>
        <w:t>מכאן כי מכלול נסיבותיו האישיות של הנאשם עומדות לזכותו.</w:t>
      </w:r>
    </w:p>
    <w:p w14:paraId="4A936889" w14:textId="77777777" w:rsidR="00187104" w:rsidRDefault="00187104" w:rsidP="00187104">
      <w:pPr>
        <w:pStyle w:val="a9"/>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 xml:space="preserve">כאן המקום להתייחס לטענת בא כוח הנאשם בדבר אכיפה בררנית. </w:t>
      </w:r>
    </w:p>
    <w:p w14:paraId="141E257E" w14:textId="77777777" w:rsidR="00187104" w:rsidRDefault="00A26151" w:rsidP="00187104">
      <w:pPr>
        <w:pStyle w:val="a9"/>
        <w:numPr>
          <w:ilvl w:val="0"/>
          <w:numId w:val="1"/>
        </w:numPr>
        <w:spacing w:line="360" w:lineRule="auto"/>
        <w:ind w:left="509" w:hanging="509"/>
        <w:jc w:val="both"/>
        <w:rPr>
          <w:rFonts w:ascii="David" w:hAnsi="David" w:cs="David"/>
          <w:sz w:val="24"/>
          <w:szCs w:val="24"/>
        </w:rPr>
      </w:pPr>
      <w:hyperlink r:id="rId34" w:history="1">
        <w:r w:rsidRPr="00A26151">
          <w:rPr>
            <w:rFonts w:ascii="David" w:hAnsi="David" w:cs="David"/>
            <w:color w:val="0000FF"/>
            <w:sz w:val="24"/>
            <w:szCs w:val="24"/>
            <w:u w:val="single"/>
            <w:rtl/>
          </w:rPr>
          <w:t>סעיף 40יא(9)</w:t>
        </w:r>
      </w:hyperlink>
      <w:r w:rsidR="00187104">
        <w:rPr>
          <w:rFonts w:ascii="David" w:hAnsi="David" w:cs="David" w:hint="cs"/>
          <w:sz w:val="24"/>
          <w:szCs w:val="24"/>
          <w:rtl/>
        </w:rPr>
        <w:t xml:space="preserve"> ל</w:t>
      </w:r>
      <w:hyperlink r:id="rId35" w:history="1">
        <w:r w:rsidR="00827B93" w:rsidRPr="00827B93">
          <w:rPr>
            <w:rFonts w:ascii="David" w:hAnsi="David" w:cs="David"/>
            <w:color w:val="0000FF"/>
            <w:sz w:val="24"/>
            <w:szCs w:val="24"/>
            <w:u w:val="single"/>
            <w:rtl/>
          </w:rPr>
          <w:t>חוק העונשין</w:t>
        </w:r>
      </w:hyperlink>
      <w:r w:rsidR="00187104">
        <w:rPr>
          <w:rFonts w:ascii="David" w:hAnsi="David" w:cs="David" w:hint="cs"/>
          <w:sz w:val="24"/>
          <w:szCs w:val="24"/>
          <w:rtl/>
        </w:rPr>
        <w:t>, התשל"ז – 1977 אמנם מאפשר לבית המשפט להתחשב, בקביעת העונש ההולם בתוך המתחם, בהתנהגות רשויות החוק. שיקול של אכיפה בררנית עשוי להצדיק הקלה בעונשו של הנאשם (</w:t>
      </w:r>
      <w:hyperlink r:id="rId36" w:history="1">
        <w:r w:rsidR="00827B93" w:rsidRPr="00827B93">
          <w:rPr>
            <w:rFonts w:ascii="David" w:hAnsi="David" w:cs="David"/>
            <w:color w:val="0000FF"/>
            <w:sz w:val="24"/>
            <w:szCs w:val="24"/>
            <w:u w:val="single"/>
            <w:rtl/>
          </w:rPr>
          <w:t>רע"פ 1611/16</w:t>
        </w:r>
      </w:hyperlink>
      <w:r w:rsidR="00187104">
        <w:rPr>
          <w:rFonts w:ascii="David" w:hAnsi="David" w:cs="David" w:hint="cs"/>
          <w:b/>
          <w:bCs/>
          <w:sz w:val="24"/>
          <w:szCs w:val="24"/>
          <w:rtl/>
        </w:rPr>
        <w:t xml:space="preserve"> מדינת ישראל נ' ורדי</w:t>
      </w:r>
      <w:r w:rsidR="00187104">
        <w:rPr>
          <w:rFonts w:ascii="David" w:hAnsi="David" w:cs="David" w:hint="cs"/>
          <w:sz w:val="24"/>
          <w:szCs w:val="24"/>
          <w:rtl/>
        </w:rPr>
        <w:t xml:space="preserve"> (31.10.18)).</w:t>
      </w:r>
    </w:p>
    <w:p w14:paraId="6390FE74"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עם זאת, לא מצאתי כי מתקיימות כאן הנסיבות להקלה בעונש מטעמי אכיפה בררנית, וזאת משום שאין כאן הפליה בין שווים. שיקולים הנוגעים להעמדה לדין של מי שמכר סמים שונים מהשיקולים הנוגעים למי שרכש סמים. יתר על כן, הנאשם מכר סמים לשני רוכשים ב-7 הזדמנויות. גם לא נחשפו שיקולי התביעה במלואם בכל הנוגע לסגירת תיקי החקירה של  האחרים ויש להניח כי נסיבותיהם הכלליות שונות מנסיבותיו של הנאשם. מכאן, שלא השתכנעתי כי הנאשם הופלה ביחס לאחרים. </w:t>
      </w:r>
    </w:p>
    <w:p w14:paraId="4C7EA45F"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בשקלול מכלול הנסיבות, יש מקום אמנם להטיל על הנאשם עונש שהוא בתחתית מתחמי העונש ההולם, אולם לא השתכנעתי כי מתקיימות נסיבות לחריגה ממתחם העונש ההולם, כהמלצת שירות המבחן. גם לא מתקיימים התנאים לסיים ההליך ללא הרשעה כעתירת בא כוח הנאשם, וזאת משום שלא הונחה כל תשתית לפגיעה קונקרטית בנאשם.</w:t>
      </w:r>
    </w:p>
    <w:p w14:paraId="3174B07F"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מכאן, יש להטיל על הנאשם מאסר קצר בדרך של עבודות שירות, מאסר על תנאי, קנס  ופסילת רישיון על תנאי.</w:t>
      </w:r>
    </w:p>
    <w:p w14:paraId="64A3C5C3"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לפי חוות דעת הממונה על עבודות שירות מיום 17.2.19, נמצא הנאשם מתאים לביצוע עבודות שירות.</w:t>
      </w:r>
    </w:p>
    <w:p w14:paraId="79E6AA92" w14:textId="77777777" w:rsidR="00187104" w:rsidRDefault="00187104" w:rsidP="00187104">
      <w:pPr>
        <w:spacing w:line="360" w:lineRule="auto"/>
        <w:jc w:val="both"/>
        <w:rPr>
          <w:rFonts w:ascii="David" w:hAnsi="David"/>
          <w:b/>
          <w:bCs/>
          <w:u w:val="single"/>
        </w:rPr>
      </w:pPr>
      <w:r>
        <w:rPr>
          <w:rFonts w:ascii="David" w:hAnsi="David" w:hint="cs"/>
          <w:b/>
          <w:bCs/>
          <w:u w:val="single"/>
          <w:rtl/>
        </w:rPr>
        <w:t>סוף דבר</w:t>
      </w:r>
    </w:p>
    <w:p w14:paraId="212A8FFD" w14:textId="77777777" w:rsidR="00187104" w:rsidRDefault="00187104" w:rsidP="00187104">
      <w:pPr>
        <w:pStyle w:val="a9"/>
        <w:numPr>
          <w:ilvl w:val="0"/>
          <w:numId w:val="1"/>
        </w:numPr>
        <w:spacing w:line="360" w:lineRule="auto"/>
        <w:ind w:left="509" w:hanging="509"/>
        <w:jc w:val="both"/>
        <w:rPr>
          <w:rFonts w:ascii="David" w:hAnsi="David" w:cs="David"/>
          <w:sz w:val="24"/>
          <w:szCs w:val="24"/>
        </w:rPr>
      </w:pPr>
      <w:r>
        <w:rPr>
          <w:rFonts w:ascii="David" w:hAnsi="David" w:cs="David" w:hint="cs"/>
          <w:sz w:val="24"/>
          <w:szCs w:val="24"/>
          <w:rtl/>
        </w:rPr>
        <w:t xml:space="preserve">לפיכך, </w:t>
      </w:r>
      <w:r>
        <w:rPr>
          <w:rFonts w:ascii="David" w:hAnsi="David" w:cs="David" w:hint="cs"/>
          <w:b/>
          <w:bCs/>
          <w:sz w:val="24"/>
          <w:szCs w:val="24"/>
          <w:rtl/>
        </w:rPr>
        <w:t>אני גוזרת על הנאשם את העונשים הבאים:</w:t>
      </w:r>
    </w:p>
    <w:p w14:paraId="78E29494" w14:textId="77777777" w:rsidR="00187104" w:rsidRDefault="00187104" w:rsidP="00187104">
      <w:pPr>
        <w:pStyle w:val="a9"/>
        <w:numPr>
          <w:ilvl w:val="0"/>
          <w:numId w:val="3"/>
        </w:numPr>
        <w:spacing w:line="360" w:lineRule="auto"/>
        <w:ind w:left="935" w:hanging="426"/>
        <w:jc w:val="both"/>
        <w:rPr>
          <w:rFonts w:ascii="David" w:hAnsi="David" w:cs="David"/>
          <w:sz w:val="24"/>
          <w:szCs w:val="24"/>
        </w:rPr>
      </w:pPr>
      <w:r>
        <w:rPr>
          <w:rFonts w:ascii="David" w:hAnsi="David" w:cs="David" w:hint="cs"/>
          <w:sz w:val="24"/>
          <w:szCs w:val="24"/>
          <w:rtl/>
        </w:rPr>
        <w:t>מאסר לתקופה של 3 חודשים שיבוצע בדרך של עבודות שירות, בניכוי ימי מעצרו מיום 15.8.17 ועד יום 6.9.17. הנאשם יבצע את עבודות השירות בהתאם לחוות דעת הממונה מיום 17.2.19. את העבודות יחל ביום 19.5.19. מובהר לנאשם, כי כל חריגה מהוראות הממונה עלולה להוביל לנשיאת המאסר בפועל;</w:t>
      </w:r>
    </w:p>
    <w:p w14:paraId="276AF065" w14:textId="77777777" w:rsidR="00187104" w:rsidRDefault="00187104" w:rsidP="00187104">
      <w:pPr>
        <w:pStyle w:val="a9"/>
        <w:numPr>
          <w:ilvl w:val="0"/>
          <w:numId w:val="3"/>
        </w:numPr>
        <w:spacing w:line="360" w:lineRule="auto"/>
        <w:ind w:left="935" w:hanging="426"/>
        <w:jc w:val="both"/>
        <w:rPr>
          <w:rFonts w:ascii="David" w:hAnsi="David" w:cs="David"/>
          <w:sz w:val="24"/>
          <w:szCs w:val="24"/>
          <w:rtl/>
        </w:rPr>
      </w:pPr>
      <w:r>
        <w:rPr>
          <w:rFonts w:ascii="David" w:hAnsi="David" w:cs="David" w:hint="cs"/>
          <w:sz w:val="24"/>
          <w:szCs w:val="24"/>
          <w:rtl/>
        </w:rPr>
        <w:t xml:space="preserve">מאסר על תנאי לתקופה של 6 חודשים, והתנאי הוא שבמשך 3 שנים מהיום לא יעבור כל עבירה מסוג פשע לפי </w:t>
      </w:r>
      <w:hyperlink r:id="rId37" w:history="1">
        <w:r w:rsidR="00827B93" w:rsidRPr="00827B93">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4C952BA1" w14:textId="77777777" w:rsidR="00187104" w:rsidRDefault="00187104" w:rsidP="00187104">
      <w:pPr>
        <w:pStyle w:val="a9"/>
        <w:numPr>
          <w:ilvl w:val="0"/>
          <w:numId w:val="3"/>
        </w:numPr>
        <w:spacing w:line="360" w:lineRule="auto"/>
        <w:ind w:left="935" w:hanging="426"/>
        <w:jc w:val="both"/>
        <w:rPr>
          <w:rFonts w:ascii="David" w:hAnsi="David" w:cs="David"/>
          <w:sz w:val="24"/>
          <w:szCs w:val="24"/>
        </w:rPr>
      </w:pPr>
      <w:r>
        <w:rPr>
          <w:rFonts w:ascii="David" w:hAnsi="David" w:cs="David" w:hint="cs"/>
          <w:sz w:val="24"/>
          <w:szCs w:val="24"/>
          <w:rtl/>
        </w:rPr>
        <w:t xml:space="preserve">מאסר על תנאי לתקופה של 2 חודשים, והתנאי הוא שבמשך 24 חודשים מהיום לא יעבור כל עבירה מסוג עוון לפי </w:t>
      </w:r>
      <w:hyperlink r:id="rId38" w:history="1">
        <w:r w:rsidR="00827B93" w:rsidRPr="00827B93">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11B7B0A2" w14:textId="77777777" w:rsidR="00187104" w:rsidRDefault="00187104" w:rsidP="00187104">
      <w:pPr>
        <w:pStyle w:val="a9"/>
        <w:numPr>
          <w:ilvl w:val="0"/>
          <w:numId w:val="3"/>
        </w:numPr>
        <w:spacing w:line="360" w:lineRule="auto"/>
        <w:ind w:left="935" w:hanging="426"/>
        <w:jc w:val="both"/>
        <w:rPr>
          <w:rFonts w:ascii="David" w:hAnsi="David" w:cs="David"/>
          <w:sz w:val="24"/>
          <w:szCs w:val="24"/>
        </w:rPr>
      </w:pPr>
      <w:r>
        <w:rPr>
          <w:rFonts w:ascii="David" w:hAnsi="David" w:cs="David" w:hint="cs"/>
          <w:sz w:val="24"/>
          <w:szCs w:val="24"/>
          <w:rtl/>
        </w:rPr>
        <w:t>צו מבחן למשך שנה.</w:t>
      </w:r>
    </w:p>
    <w:p w14:paraId="4EFFF4F7" w14:textId="77777777" w:rsidR="00187104" w:rsidRDefault="00187104" w:rsidP="00187104">
      <w:pPr>
        <w:pStyle w:val="a9"/>
        <w:spacing w:line="360" w:lineRule="auto"/>
        <w:ind w:left="935"/>
        <w:jc w:val="both"/>
        <w:rPr>
          <w:rFonts w:ascii="David" w:hAnsi="David" w:cs="David"/>
          <w:sz w:val="24"/>
          <w:szCs w:val="24"/>
        </w:rPr>
      </w:pPr>
      <w:r>
        <w:rPr>
          <w:rFonts w:ascii="David" w:hAnsi="David" w:cs="David" w:hint="cs"/>
          <w:sz w:val="24"/>
          <w:szCs w:val="24"/>
          <w:rtl/>
        </w:rPr>
        <w:t>רשמתי לפני נכונות הנאשם לבצע את צו המבחן. מובהר בזאת, כי כל חריגה מהוראות שירות המבחן עלולה להוביל לביטול גזר דינו וגזירת דינו מחדש;</w:t>
      </w:r>
    </w:p>
    <w:p w14:paraId="4C6597D3" w14:textId="77777777" w:rsidR="00187104" w:rsidRDefault="00187104" w:rsidP="00187104">
      <w:pPr>
        <w:pStyle w:val="a9"/>
        <w:numPr>
          <w:ilvl w:val="0"/>
          <w:numId w:val="3"/>
        </w:numPr>
        <w:spacing w:line="360" w:lineRule="auto"/>
        <w:ind w:left="935" w:hanging="426"/>
        <w:jc w:val="both"/>
        <w:rPr>
          <w:rFonts w:ascii="David" w:hAnsi="David" w:cs="David"/>
          <w:sz w:val="24"/>
          <w:szCs w:val="24"/>
          <w:rtl/>
        </w:rPr>
      </w:pPr>
      <w:r>
        <w:rPr>
          <w:rFonts w:ascii="David" w:hAnsi="David" w:cs="David" w:hint="cs"/>
          <w:sz w:val="24"/>
          <w:szCs w:val="24"/>
          <w:rtl/>
        </w:rPr>
        <w:t>קנס בסכום של 2,000 ₪ או 20 ימי מאסר תמורתו. את הקנס ישלם הנאשם ב-5 תשלומים שווים, הראשון לא יאוחר מיום 1.4.19 והיתרה ב- 1 לכל חודש קלנדרי שלאחר מכן.</w:t>
      </w:r>
    </w:p>
    <w:p w14:paraId="707E494C" w14:textId="77777777" w:rsidR="00187104" w:rsidRDefault="00187104" w:rsidP="00187104">
      <w:pPr>
        <w:spacing w:line="360" w:lineRule="auto"/>
        <w:jc w:val="both"/>
        <w:rPr>
          <w:rFonts w:ascii="David" w:hAnsi="David"/>
        </w:rPr>
      </w:pPr>
      <w:r>
        <w:rPr>
          <w:rFonts w:ascii="David" w:hAnsi="David" w:hint="cs"/>
          <w:rtl/>
        </w:rPr>
        <w:t>ניתן בזאת צו להשמדת הסמים.</w:t>
      </w:r>
    </w:p>
    <w:p w14:paraId="37CEEC09" w14:textId="77777777" w:rsidR="00187104" w:rsidRDefault="00187104" w:rsidP="00187104">
      <w:pPr>
        <w:spacing w:line="360" w:lineRule="auto"/>
        <w:jc w:val="both"/>
        <w:rPr>
          <w:rFonts w:ascii="David" w:hAnsi="David"/>
          <w:b/>
          <w:bCs/>
          <w:rtl/>
        </w:rPr>
      </w:pPr>
    </w:p>
    <w:p w14:paraId="1841DFD3" w14:textId="77777777" w:rsidR="00187104" w:rsidRDefault="00187104" w:rsidP="00187104">
      <w:pPr>
        <w:spacing w:line="360" w:lineRule="auto"/>
        <w:jc w:val="both"/>
        <w:rPr>
          <w:rFonts w:ascii="David" w:hAnsi="David"/>
          <w:b/>
          <w:bCs/>
          <w:rtl/>
        </w:rPr>
      </w:pPr>
      <w:r>
        <w:rPr>
          <w:rFonts w:ascii="David" w:hAnsi="David" w:hint="cs"/>
          <w:b/>
          <w:bCs/>
          <w:rtl/>
        </w:rPr>
        <w:t>עותק גזר הדין יועבר לממונה על עבודות שירות ושירות המבחן.</w:t>
      </w:r>
    </w:p>
    <w:p w14:paraId="3234713A" w14:textId="77777777" w:rsidR="00187104" w:rsidRDefault="00187104" w:rsidP="00187104">
      <w:pPr>
        <w:spacing w:line="360" w:lineRule="auto"/>
        <w:jc w:val="both"/>
        <w:rPr>
          <w:rFonts w:ascii="David" w:hAnsi="David"/>
          <w:b/>
          <w:bCs/>
          <w:rtl/>
        </w:rPr>
      </w:pPr>
    </w:p>
    <w:p w14:paraId="20E8942A" w14:textId="77777777" w:rsidR="00187104" w:rsidRDefault="00187104" w:rsidP="00187104">
      <w:pPr>
        <w:spacing w:line="360" w:lineRule="auto"/>
        <w:jc w:val="both"/>
        <w:rPr>
          <w:rFonts w:ascii="David" w:hAnsi="David"/>
          <w:b/>
          <w:bCs/>
          <w:rtl/>
        </w:rPr>
      </w:pPr>
      <w:r>
        <w:rPr>
          <w:rFonts w:ascii="David" w:hAnsi="David" w:hint="cs"/>
          <w:b/>
          <w:bCs/>
          <w:rtl/>
        </w:rPr>
        <w:t>זכות ערעור כחוק תוך 45 ימים.</w:t>
      </w:r>
    </w:p>
    <w:p w14:paraId="1588DDC9" w14:textId="77777777" w:rsidR="00187104" w:rsidRPr="00B05847" w:rsidRDefault="00187104" w:rsidP="00187104">
      <w:pPr>
        <w:rPr>
          <w:rtl/>
        </w:rPr>
      </w:pPr>
    </w:p>
    <w:p w14:paraId="3EB12948" w14:textId="77777777" w:rsidR="00187104" w:rsidRPr="00827B93" w:rsidRDefault="00827B93" w:rsidP="00187104">
      <w:pPr>
        <w:rPr>
          <w:color w:val="FFFFFF"/>
          <w:sz w:val="2"/>
          <w:szCs w:val="2"/>
          <w:rtl/>
        </w:rPr>
      </w:pPr>
      <w:r w:rsidRPr="00827B93">
        <w:rPr>
          <w:color w:val="FFFFFF"/>
          <w:sz w:val="2"/>
          <w:szCs w:val="2"/>
          <w:rtl/>
        </w:rPr>
        <w:t>5129371</w:t>
      </w:r>
    </w:p>
    <w:p w14:paraId="2D899104" w14:textId="77777777" w:rsidR="00187104" w:rsidRDefault="00827B93" w:rsidP="00187104">
      <w:pPr>
        <w:rPr>
          <w:rFonts w:cs="FrankRuehl"/>
          <w:sz w:val="28"/>
          <w:szCs w:val="28"/>
          <w:rtl/>
        </w:rPr>
      </w:pPr>
      <w:r w:rsidRPr="00827B93">
        <w:rPr>
          <w:rFonts w:ascii="Arial" w:hAnsi="Arial"/>
          <w:color w:val="FFFFFF"/>
          <w:sz w:val="2"/>
          <w:szCs w:val="2"/>
          <w:rtl/>
        </w:rPr>
        <w:t>54678313</w:t>
      </w:r>
      <w:r>
        <w:rPr>
          <w:rFonts w:ascii="Arial" w:hAnsi="Arial"/>
          <w:rtl/>
        </w:rPr>
        <w:t xml:space="preserve">ניתן היום,  כ' אדר א' תשע"ט, 25 פברואר 2019, במעמד הצדדים. </w:t>
      </w:r>
    </w:p>
    <w:p w14:paraId="118D0279" w14:textId="77777777" w:rsidR="00187104" w:rsidRDefault="00187104" w:rsidP="0018710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9A4A263" w14:textId="77777777" w:rsidR="00187104" w:rsidRDefault="00187104" w:rsidP="00187104">
      <w:pPr>
        <w:jc w:val="center"/>
        <w:rPr>
          <w:rFonts w:ascii="Arial" w:hAnsi="Arial" w:cs="FrankRuehl"/>
          <w:sz w:val="28"/>
          <w:szCs w:val="28"/>
          <w:rtl/>
        </w:rPr>
      </w:pPr>
    </w:p>
    <w:p w14:paraId="6BF6A646" w14:textId="77777777" w:rsidR="00827B93" w:rsidRDefault="00827B93" w:rsidP="00827B93">
      <w:pPr>
        <w:rPr>
          <w:rtl/>
        </w:rPr>
      </w:pPr>
    </w:p>
    <w:p w14:paraId="7055C45D" w14:textId="77777777" w:rsidR="00827B93" w:rsidRDefault="00827B93" w:rsidP="00827B93">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55B0438" w14:textId="77777777" w:rsidR="00A26151" w:rsidRPr="00A26151" w:rsidRDefault="001005C9" w:rsidP="00A26151">
      <w:pPr>
        <w:keepNext/>
        <w:rPr>
          <w:rFonts w:ascii="David" w:hAnsi="David"/>
          <w:color w:val="000000"/>
          <w:sz w:val="22"/>
          <w:szCs w:val="22"/>
          <w:rtl/>
        </w:rPr>
      </w:pPr>
      <w:r>
        <w:rPr>
          <w:rFonts w:ascii="David" w:hAnsi="David" w:hint="cs"/>
          <w:color w:val="000000"/>
          <w:sz w:val="22"/>
          <w:szCs w:val="22"/>
          <w:rtl/>
        </w:rPr>
        <w:t xml:space="preserve">                </w:t>
      </w:r>
    </w:p>
    <w:p w14:paraId="2FBDA97E" w14:textId="77777777" w:rsidR="00A26151" w:rsidRPr="00A26151" w:rsidRDefault="00A26151" w:rsidP="00A26151">
      <w:pPr>
        <w:keepNext/>
        <w:rPr>
          <w:rFonts w:ascii="David" w:hAnsi="David"/>
          <w:color w:val="000000"/>
          <w:sz w:val="22"/>
          <w:szCs w:val="22"/>
          <w:rtl/>
        </w:rPr>
      </w:pPr>
      <w:r w:rsidRPr="00A26151">
        <w:rPr>
          <w:rFonts w:ascii="David" w:hAnsi="David"/>
          <w:color w:val="000000"/>
          <w:sz w:val="22"/>
          <w:szCs w:val="22"/>
          <w:rtl/>
        </w:rPr>
        <w:t>אפרת פינק 54678313-/</w:t>
      </w:r>
    </w:p>
    <w:p w14:paraId="1A1C15C0" w14:textId="77777777" w:rsidR="00827B93" w:rsidRPr="00827B93" w:rsidRDefault="00A26151" w:rsidP="00A26151">
      <w:pPr>
        <w:rPr>
          <w:color w:val="0000FF"/>
          <w:u w:val="single"/>
        </w:rPr>
      </w:pPr>
      <w:r w:rsidRPr="00A26151">
        <w:rPr>
          <w:color w:val="000000"/>
          <w:u w:val="single"/>
          <w:rtl/>
        </w:rPr>
        <w:t>נוסח מסמך זה כפוף לשינויי ניסוח ועריכה</w:t>
      </w:r>
    </w:p>
    <w:sectPr w:rsidR="00827B93" w:rsidRPr="00827B93" w:rsidSect="00A26151">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1F12E" w14:textId="77777777" w:rsidR="00763819" w:rsidRDefault="00763819" w:rsidP="00882CE1">
      <w:r>
        <w:separator/>
      </w:r>
    </w:p>
  </w:endnote>
  <w:endnote w:type="continuationSeparator" w:id="0">
    <w:p w14:paraId="2236967B" w14:textId="77777777" w:rsidR="00763819" w:rsidRDefault="00763819" w:rsidP="0088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816AC" w14:textId="77777777" w:rsidR="00A26151" w:rsidRDefault="00A26151" w:rsidP="00A261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9A8D3E" w14:textId="77777777" w:rsidR="00B42767" w:rsidRPr="00A26151" w:rsidRDefault="00A26151" w:rsidP="00A26151">
    <w:pPr>
      <w:pStyle w:val="a5"/>
      <w:pBdr>
        <w:top w:val="single" w:sz="4" w:space="1" w:color="auto"/>
        <w:between w:val="single" w:sz="4" w:space="0" w:color="auto"/>
      </w:pBdr>
      <w:spacing w:after="60"/>
      <w:jc w:val="center"/>
      <w:rPr>
        <w:rFonts w:ascii="FrankRuehl" w:hAnsi="FrankRuehl" w:cs="FrankRuehl"/>
        <w:color w:val="000000"/>
      </w:rPr>
    </w:pPr>
    <w:r w:rsidRPr="00A2615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4D3F9" w14:textId="77777777" w:rsidR="00A26151" w:rsidRDefault="00A26151" w:rsidP="00A2615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26E7">
      <w:rPr>
        <w:rFonts w:ascii="FrankRuehl" w:hAnsi="FrankRuehl" w:cs="FrankRuehl"/>
        <w:noProof/>
        <w:rtl/>
      </w:rPr>
      <w:t>1</w:t>
    </w:r>
    <w:r>
      <w:rPr>
        <w:rFonts w:ascii="FrankRuehl" w:hAnsi="FrankRuehl" w:cs="FrankRuehl"/>
        <w:rtl/>
      </w:rPr>
      <w:fldChar w:fldCharType="end"/>
    </w:r>
  </w:p>
  <w:p w14:paraId="7154BCFD" w14:textId="77777777" w:rsidR="00B42767" w:rsidRPr="00A26151" w:rsidRDefault="00A26151" w:rsidP="00A26151">
    <w:pPr>
      <w:pStyle w:val="a5"/>
      <w:pBdr>
        <w:top w:val="single" w:sz="4" w:space="1" w:color="auto"/>
        <w:between w:val="single" w:sz="4" w:space="0" w:color="auto"/>
      </w:pBdr>
      <w:spacing w:after="60"/>
      <w:jc w:val="center"/>
      <w:rPr>
        <w:rFonts w:ascii="FrankRuehl" w:hAnsi="FrankRuehl" w:cs="FrankRuehl"/>
        <w:color w:val="000000"/>
      </w:rPr>
    </w:pPr>
    <w:r w:rsidRPr="00A26151">
      <w:rPr>
        <w:rFonts w:ascii="FrankRuehl" w:hAnsi="FrankRuehl" w:cs="FrankRuehl"/>
        <w:color w:val="000000"/>
      </w:rPr>
      <w:pict w14:anchorId="6436AB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F1700" w14:textId="77777777" w:rsidR="00763819" w:rsidRDefault="00763819" w:rsidP="00882CE1">
      <w:r>
        <w:separator/>
      </w:r>
    </w:p>
  </w:footnote>
  <w:footnote w:type="continuationSeparator" w:id="0">
    <w:p w14:paraId="1B701D5F" w14:textId="77777777" w:rsidR="00763819" w:rsidRDefault="00763819" w:rsidP="00882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44858" w14:textId="77777777" w:rsidR="00827B93" w:rsidRPr="00A26151" w:rsidRDefault="00A26151" w:rsidP="00A261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43875-08-17</w:t>
    </w:r>
    <w:r>
      <w:rPr>
        <w:rFonts w:ascii="David" w:hAnsi="David"/>
        <w:color w:val="000000"/>
        <w:sz w:val="22"/>
        <w:szCs w:val="22"/>
        <w:rtl/>
      </w:rPr>
      <w:tab/>
      <w:t xml:space="preserve"> מדינת ישראל נ' חי מוריסון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8DAB4" w14:textId="77777777" w:rsidR="00827B93" w:rsidRPr="00A26151" w:rsidRDefault="00A26151" w:rsidP="00A2615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43875-08-17</w:t>
    </w:r>
    <w:r>
      <w:rPr>
        <w:rFonts w:ascii="David" w:hAnsi="David"/>
        <w:color w:val="000000"/>
        <w:sz w:val="22"/>
        <w:szCs w:val="22"/>
        <w:rtl/>
      </w:rPr>
      <w:tab/>
      <w:t xml:space="preserve"> מדינת ישראל נ' חי מוריסון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27F5A"/>
    <w:multiLevelType w:val="hybridMultilevel"/>
    <w:tmpl w:val="5682326C"/>
    <w:lvl w:ilvl="0" w:tplc="24345084">
      <w:numFmt w:val="bullet"/>
      <w:lvlText w:val="-"/>
      <w:lvlJc w:val="left"/>
      <w:pPr>
        <w:ind w:left="720" w:hanging="360"/>
      </w:pPr>
      <w:rPr>
        <w:rFonts w:ascii="David" w:eastAsia="Calibri" w:hAnsi="David" w:cs="David" w:hint="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B5A6EDE"/>
    <w:multiLevelType w:val="hybridMultilevel"/>
    <w:tmpl w:val="CEECF3FA"/>
    <w:lvl w:ilvl="0" w:tplc="1E2CCE2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9B65C2E"/>
    <w:multiLevelType w:val="hybridMultilevel"/>
    <w:tmpl w:val="6452F6DE"/>
    <w:lvl w:ilvl="0" w:tplc="3064E46C">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8435466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5001681">
    <w:abstractNumId w:val="0"/>
  </w:num>
  <w:num w:numId="3" w16cid:durableId="15423960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7104"/>
    <w:rsid w:val="001005C9"/>
    <w:rsid w:val="001064BF"/>
    <w:rsid w:val="00140F2C"/>
    <w:rsid w:val="00187104"/>
    <w:rsid w:val="001B3A43"/>
    <w:rsid w:val="00381020"/>
    <w:rsid w:val="005826E7"/>
    <w:rsid w:val="00763819"/>
    <w:rsid w:val="00827B93"/>
    <w:rsid w:val="00842AA6"/>
    <w:rsid w:val="00882CE1"/>
    <w:rsid w:val="00A26151"/>
    <w:rsid w:val="00B42767"/>
    <w:rsid w:val="00BF11B7"/>
    <w:rsid w:val="00DD4B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F4904EB"/>
  <w15:chartTrackingRefBased/>
  <w15:docId w15:val="{EC7A9126-18B2-4E61-8D0B-C748EF27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710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7104"/>
    <w:pPr>
      <w:tabs>
        <w:tab w:val="center" w:pos="4153"/>
        <w:tab w:val="right" w:pos="8306"/>
      </w:tabs>
    </w:pPr>
  </w:style>
  <w:style w:type="character" w:customStyle="1" w:styleId="a4">
    <w:name w:val="כותרת עליונה תו"/>
    <w:link w:val="a3"/>
    <w:rsid w:val="00187104"/>
    <w:rPr>
      <w:rFonts w:ascii="Times New Roman" w:eastAsia="Times New Roman" w:hAnsi="Times New Roman" w:cs="David"/>
      <w:sz w:val="24"/>
      <w:szCs w:val="24"/>
    </w:rPr>
  </w:style>
  <w:style w:type="paragraph" w:styleId="a5">
    <w:name w:val="footer"/>
    <w:basedOn w:val="a"/>
    <w:link w:val="a6"/>
    <w:rsid w:val="00187104"/>
    <w:pPr>
      <w:tabs>
        <w:tab w:val="center" w:pos="4153"/>
        <w:tab w:val="right" w:pos="8306"/>
      </w:tabs>
    </w:pPr>
  </w:style>
  <w:style w:type="character" w:customStyle="1" w:styleId="a6">
    <w:name w:val="כותרת תחתונה תו"/>
    <w:link w:val="a5"/>
    <w:rsid w:val="00187104"/>
    <w:rPr>
      <w:rFonts w:ascii="Times New Roman" w:eastAsia="Times New Roman" w:hAnsi="Times New Roman" w:cs="David"/>
      <w:sz w:val="24"/>
      <w:szCs w:val="24"/>
    </w:rPr>
  </w:style>
  <w:style w:type="table" w:styleId="a7">
    <w:name w:val="Table Grid"/>
    <w:basedOn w:val="a1"/>
    <w:rsid w:val="001871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7104"/>
  </w:style>
  <w:style w:type="paragraph" w:styleId="a9">
    <w:name w:val="List Paragraph"/>
    <w:basedOn w:val="a"/>
    <w:qFormat/>
    <w:rsid w:val="00187104"/>
    <w:pPr>
      <w:spacing w:after="160" w:line="256" w:lineRule="auto"/>
      <w:ind w:left="720"/>
      <w:contextualSpacing/>
    </w:pPr>
    <w:rPr>
      <w:rFonts w:ascii="Calibri" w:eastAsia="Calibri" w:hAnsi="Calibri" w:cs="Arial"/>
      <w:sz w:val="22"/>
      <w:szCs w:val="22"/>
    </w:rPr>
  </w:style>
  <w:style w:type="character" w:styleId="Hyperlink">
    <w:name w:val="Hyperlink"/>
    <w:rsid w:val="00827B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5988308"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5738608" TargetMode="External"/><Relationship Id="rId34" Type="http://schemas.openxmlformats.org/officeDocument/2006/relationships/hyperlink" Target="http://www.nevo.co.il/law/70301/40ja.9"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55765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9" TargetMode="External"/><Relationship Id="rId24" Type="http://schemas.openxmlformats.org/officeDocument/2006/relationships/hyperlink" Target="http://www.nevo.co.il/case/5988308" TargetMode="External"/><Relationship Id="rId32" Type="http://schemas.openxmlformats.org/officeDocument/2006/relationships/hyperlink" Target="http://www.nevo.co.il/case/4097599" TargetMode="External"/><Relationship Id="rId37" Type="http://schemas.openxmlformats.org/officeDocument/2006/relationships/hyperlink" Target="http://www.nevo.co.il/law/4216"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6045416" TargetMode="External"/><Relationship Id="rId28" Type="http://schemas.openxmlformats.org/officeDocument/2006/relationships/hyperlink" Target="http://www.nevo.co.il/case/21477472" TargetMode="External"/><Relationship Id="rId36" Type="http://schemas.openxmlformats.org/officeDocument/2006/relationships/hyperlink" Target="http://www.nevo.co.il/case/21024461"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2175366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786821" TargetMode="External"/><Relationship Id="rId27" Type="http://schemas.openxmlformats.org/officeDocument/2006/relationships/hyperlink" Target="http://www.nevo.co.il/case/17939812" TargetMode="External"/><Relationship Id="rId30" Type="http://schemas.openxmlformats.org/officeDocument/2006/relationships/hyperlink" Target="http://www.nevo.co.il/case/22963299"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988308" TargetMode="External"/><Relationship Id="rId33" Type="http://schemas.openxmlformats.org/officeDocument/2006/relationships/hyperlink" Target="http://www.nevo.co.il/case/7840060" TargetMode="External"/><Relationship Id="rId38"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2687</Words>
  <Characters>13437</Characters>
  <Application>Microsoft Office Word</Application>
  <DocSecurity>0</DocSecurity>
  <Lines>111</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16092</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3145843</vt:i4>
      </vt:variant>
      <vt:variant>
        <vt:i4>87</vt:i4>
      </vt:variant>
      <vt:variant>
        <vt:i4>0</vt:i4>
      </vt:variant>
      <vt:variant>
        <vt:i4>5</vt:i4>
      </vt:variant>
      <vt:variant>
        <vt:lpwstr>http://www.nevo.co.il/case/21024461</vt:lpwstr>
      </vt:variant>
      <vt:variant>
        <vt:lpwstr/>
      </vt:variant>
      <vt:variant>
        <vt:i4>7995492</vt:i4>
      </vt:variant>
      <vt:variant>
        <vt:i4>84</vt:i4>
      </vt:variant>
      <vt:variant>
        <vt:i4>0</vt:i4>
      </vt:variant>
      <vt:variant>
        <vt:i4>5</vt:i4>
      </vt:variant>
      <vt:variant>
        <vt:lpwstr>http://www.nevo.co.il/law/70301</vt:lpwstr>
      </vt:variant>
      <vt:variant>
        <vt:lpwstr/>
      </vt:variant>
      <vt:variant>
        <vt:i4>3997733</vt:i4>
      </vt:variant>
      <vt:variant>
        <vt:i4>81</vt:i4>
      </vt:variant>
      <vt:variant>
        <vt:i4>0</vt:i4>
      </vt:variant>
      <vt:variant>
        <vt:i4>5</vt:i4>
      </vt:variant>
      <vt:variant>
        <vt:lpwstr>http://www.nevo.co.il/law/70301/40ja.9</vt:lpwstr>
      </vt:variant>
      <vt:variant>
        <vt:lpwstr/>
      </vt:variant>
      <vt:variant>
        <vt:i4>3342458</vt:i4>
      </vt:variant>
      <vt:variant>
        <vt:i4>78</vt:i4>
      </vt:variant>
      <vt:variant>
        <vt:i4>0</vt:i4>
      </vt:variant>
      <vt:variant>
        <vt:i4>5</vt:i4>
      </vt:variant>
      <vt:variant>
        <vt:lpwstr>http://www.nevo.co.il/case/7840060</vt:lpwstr>
      </vt:variant>
      <vt:variant>
        <vt:lpwstr/>
      </vt:variant>
      <vt:variant>
        <vt:i4>3211386</vt:i4>
      </vt:variant>
      <vt:variant>
        <vt:i4>75</vt:i4>
      </vt:variant>
      <vt:variant>
        <vt:i4>0</vt:i4>
      </vt:variant>
      <vt:variant>
        <vt:i4>5</vt:i4>
      </vt:variant>
      <vt:variant>
        <vt:lpwstr>http://www.nevo.co.il/case/4097599</vt:lpwstr>
      </vt:variant>
      <vt:variant>
        <vt:lpwstr/>
      </vt:variant>
      <vt:variant>
        <vt:i4>3145846</vt:i4>
      </vt:variant>
      <vt:variant>
        <vt:i4>72</vt:i4>
      </vt:variant>
      <vt:variant>
        <vt:i4>0</vt:i4>
      </vt:variant>
      <vt:variant>
        <vt:i4>5</vt:i4>
      </vt:variant>
      <vt:variant>
        <vt:lpwstr>http://www.nevo.co.il/case/21753662</vt:lpwstr>
      </vt:variant>
      <vt:variant>
        <vt:lpwstr/>
      </vt:variant>
      <vt:variant>
        <vt:i4>3211378</vt:i4>
      </vt:variant>
      <vt:variant>
        <vt:i4>69</vt:i4>
      </vt:variant>
      <vt:variant>
        <vt:i4>0</vt:i4>
      </vt:variant>
      <vt:variant>
        <vt:i4>5</vt:i4>
      </vt:variant>
      <vt:variant>
        <vt:lpwstr>http://www.nevo.co.il/case/22963299</vt:lpwstr>
      </vt:variant>
      <vt:variant>
        <vt:lpwstr/>
      </vt:variant>
      <vt:variant>
        <vt:i4>3342450</vt:i4>
      </vt:variant>
      <vt:variant>
        <vt:i4>66</vt:i4>
      </vt:variant>
      <vt:variant>
        <vt:i4>0</vt:i4>
      </vt:variant>
      <vt:variant>
        <vt:i4>5</vt:i4>
      </vt:variant>
      <vt:variant>
        <vt:lpwstr>http://www.nevo.co.il/case/5576554</vt:lpwstr>
      </vt:variant>
      <vt:variant>
        <vt:lpwstr/>
      </vt:variant>
      <vt:variant>
        <vt:i4>3539062</vt:i4>
      </vt:variant>
      <vt:variant>
        <vt:i4>63</vt:i4>
      </vt:variant>
      <vt:variant>
        <vt:i4>0</vt:i4>
      </vt:variant>
      <vt:variant>
        <vt:i4>5</vt:i4>
      </vt:variant>
      <vt:variant>
        <vt:lpwstr>http://www.nevo.co.il/case/21477472</vt:lpwstr>
      </vt:variant>
      <vt:variant>
        <vt:lpwstr/>
      </vt:variant>
      <vt:variant>
        <vt:i4>3145848</vt:i4>
      </vt:variant>
      <vt:variant>
        <vt:i4>60</vt:i4>
      </vt:variant>
      <vt:variant>
        <vt:i4>0</vt:i4>
      </vt:variant>
      <vt:variant>
        <vt:i4>5</vt:i4>
      </vt:variant>
      <vt:variant>
        <vt:lpwstr>http://www.nevo.co.il/case/17939812</vt:lpwstr>
      </vt:variant>
      <vt:variant>
        <vt:lpwstr/>
      </vt:variant>
      <vt:variant>
        <vt:i4>3539061</vt:i4>
      </vt:variant>
      <vt:variant>
        <vt:i4>57</vt:i4>
      </vt:variant>
      <vt:variant>
        <vt:i4>0</vt:i4>
      </vt:variant>
      <vt:variant>
        <vt:i4>5</vt:i4>
      </vt:variant>
      <vt:variant>
        <vt:lpwstr>http://www.nevo.co.il/case/5988308</vt:lpwstr>
      </vt:variant>
      <vt:variant>
        <vt:lpwstr/>
      </vt:variant>
      <vt:variant>
        <vt:i4>3539061</vt:i4>
      </vt:variant>
      <vt:variant>
        <vt:i4>54</vt:i4>
      </vt:variant>
      <vt:variant>
        <vt:i4>0</vt:i4>
      </vt:variant>
      <vt:variant>
        <vt:i4>5</vt:i4>
      </vt:variant>
      <vt:variant>
        <vt:lpwstr>http://www.nevo.co.il/case/5988308</vt:lpwstr>
      </vt:variant>
      <vt:variant>
        <vt:lpwstr/>
      </vt:variant>
      <vt:variant>
        <vt:i4>3539061</vt:i4>
      </vt:variant>
      <vt:variant>
        <vt:i4>51</vt:i4>
      </vt:variant>
      <vt:variant>
        <vt:i4>0</vt:i4>
      </vt:variant>
      <vt:variant>
        <vt:i4>5</vt:i4>
      </vt:variant>
      <vt:variant>
        <vt:lpwstr>http://www.nevo.co.il/case/5988308</vt:lpwstr>
      </vt:variant>
      <vt:variant>
        <vt:lpwstr/>
      </vt:variant>
      <vt:variant>
        <vt:i4>3145840</vt:i4>
      </vt:variant>
      <vt:variant>
        <vt:i4>48</vt:i4>
      </vt:variant>
      <vt:variant>
        <vt:i4>0</vt:i4>
      </vt:variant>
      <vt:variant>
        <vt:i4>5</vt:i4>
      </vt:variant>
      <vt:variant>
        <vt:lpwstr>http://www.nevo.co.il/case/6045416</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3997733</vt:i4>
      </vt:variant>
      <vt:variant>
        <vt:i4>12</vt:i4>
      </vt:variant>
      <vt:variant>
        <vt:i4>0</vt:i4>
      </vt:variant>
      <vt:variant>
        <vt:i4>5</vt:i4>
      </vt:variant>
      <vt:variant>
        <vt:lpwstr>http://www.nevo.co.il/law/70301/40ja.9</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2025-04-22T23:31:00Z</dcterms:created>
  <dcterms:modified xsi:type="dcterms:W3CDTF">2025-04-22T23:31:00Z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43875</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חי מוריסון</vt:lpwstr>
  </property>
  <property fmtid="{D5CDD505-2E9C-101B-9397-08002B2CF9AE}" pid="10" name="LAWYER">
    <vt:lpwstr>עדי סעדיה;שרית כץ;אלון קריטי</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20190225</vt:lpwstr>
  </property>
  <property fmtid="{D5CDD505-2E9C-101B-9397-08002B2CF9AE}" pid="14" name="TYPE_N_DATE">
    <vt:lpwstr>38020190225</vt:lpwstr>
  </property>
  <property fmtid="{D5CDD505-2E9C-101B-9397-08002B2CF9AE}" pid="15" name="WORDNUMPAGES">
    <vt:lpwstr>8</vt:lpwstr>
  </property>
  <property fmtid="{D5CDD505-2E9C-101B-9397-08002B2CF9AE}" pid="16" name="TYPE_ABS_DATE">
    <vt:lpwstr>380020190225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5738608;5786821;6045416;5988308:3;17939812;21477472;5576554;22963299;21753662;4097599;7840060;21024461</vt:lpwstr>
  </property>
  <property fmtid="{D5CDD505-2E9C-101B-9397-08002B2CF9AE}" pid="36" name="LAWLISTTMP1">
    <vt:lpwstr>4216/013:3;019a:3</vt:lpwstr>
  </property>
  <property fmtid="{D5CDD505-2E9C-101B-9397-08002B2CF9AE}" pid="37" name="LAWLISTTMP2">
    <vt:lpwstr>70301/40ja.9</vt:lpwstr>
  </property>
</Properties>
</file>