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E523A9" w:rsidRPr="001730FD" w14:paraId="2AAB966F" w14:textId="77777777" w:rsidTr="0044679A">
        <w:trPr>
          <w:trHeight w:hRule="exact" w:val="418"/>
          <w:jc w:val="center"/>
        </w:trPr>
        <w:tc>
          <w:tcPr>
            <w:tcW w:w="8721" w:type="dxa"/>
            <w:gridSpan w:val="2"/>
          </w:tcPr>
          <w:p w14:paraId="350C0F16" w14:textId="77777777" w:rsidR="00E523A9" w:rsidRPr="001730FD" w:rsidRDefault="00E523A9" w:rsidP="004E6577">
            <w:pPr>
              <w:pStyle w:val="a3"/>
              <w:jc w:val="center"/>
              <w:rPr>
                <w:rFonts w:ascii="Tahoma" w:hAnsi="Tahoma" w:cs="FrankRuehl"/>
                <w:color w:val="000080"/>
                <w:rtl/>
              </w:rPr>
            </w:pPr>
            <w:bookmarkStart w:id="0" w:name="LastJudge"/>
            <w:r w:rsidRPr="001730FD">
              <w:rPr>
                <w:rFonts w:ascii="Tahoma" w:hAnsi="Tahoma" w:cs="FrankRuehl"/>
                <w:b/>
                <w:bCs/>
                <w:color w:val="000080"/>
                <w:sz w:val="28"/>
                <w:szCs w:val="28"/>
                <w:rtl/>
              </w:rPr>
              <w:t>בית משפט השלום בירושלים</w:t>
            </w:r>
          </w:p>
        </w:tc>
      </w:tr>
      <w:tr w:rsidR="00E523A9" w:rsidRPr="001730FD" w14:paraId="29EEDBC9" w14:textId="77777777" w:rsidTr="0044679A">
        <w:trPr>
          <w:trHeight w:val="337"/>
          <w:jc w:val="center"/>
        </w:trPr>
        <w:tc>
          <w:tcPr>
            <w:tcW w:w="5060" w:type="dxa"/>
          </w:tcPr>
          <w:p w14:paraId="13B6F931" w14:textId="77777777" w:rsidR="00E523A9" w:rsidRPr="001730FD" w:rsidRDefault="00E523A9" w:rsidP="004E6577">
            <w:pPr>
              <w:rPr>
                <w:rFonts w:cs="FrankRuehl"/>
                <w:rtl/>
              </w:rPr>
            </w:pPr>
            <w:r w:rsidRPr="001730FD">
              <w:rPr>
                <w:rFonts w:cs="FrankRuehl"/>
                <w:rtl/>
              </w:rPr>
              <w:t>ת"פ</w:t>
            </w:r>
            <w:r w:rsidRPr="001730FD">
              <w:rPr>
                <w:rFonts w:cs="FrankRuehl" w:hint="cs"/>
                <w:rtl/>
              </w:rPr>
              <w:t xml:space="preserve"> </w:t>
            </w:r>
            <w:r w:rsidRPr="001730FD">
              <w:rPr>
                <w:rFonts w:cs="FrankRuehl"/>
                <w:rtl/>
              </w:rPr>
              <w:t>13667-09-17</w:t>
            </w:r>
            <w:r w:rsidRPr="001730FD">
              <w:rPr>
                <w:rFonts w:cs="FrankRuehl" w:hint="cs"/>
                <w:rtl/>
              </w:rPr>
              <w:t xml:space="preserve"> </w:t>
            </w:r>
            <w:r w:rsidRPr="001730FD">
              <w:rPr>
                <w:rFonts w:cs="FrankRuehl"/>
                <w:rtl/>
              </w:rPr>
              <w:t>מדינת ישראל נ' אלבז(אחר/נוסף)</w:t>
            </w:r>
          </w:p>
          <w:p w14:paraId="6D82909C" w14:textId="77777777" w:rsidR="00E523A9" w:rsidRPr="001730FD" w:rsidRDefault="00E523A9" w:rsidP="004E6577">
            <w:pPr>
              <w:pStyle w:val="a3"/>
              <w:rPr>
                <w:rFonts w:cs="FrankRuehl"/>
                <w:rtl/>
              </w:rPr>
            </w:pPr>
          </w:p>
        </w:tc>
        <w:tc>
          <w:tcPr>
            <w:tcW w:w="3661" w:type="dxa"/>
          </w:tcPr>
          <w:p w14:paraId="44F29946" w14:textId="77777777" w:rsidR="00E523A9" w:rsidRPr="001730FD" w:rsidRDefault="00E523A9" w:rsidP="004E6577">
            <w:pPr>
              <w:pStyle w:val="a3"/>
              <w:jc w:val="right"/>
              <w:rPr>
                <w:rFonts w:cs="FrankRuehl"/>
                <w:rtl/>
              </w:rPr>
            </w:pPr>
          </w:p>
        </w:tc>
      </w:tr>
    </w:tbl>
    <w:p w14:paraId="4B728131" w14:textId="77777777" w:rsidR="00E523A9" w:rsidRPr="001730FD" w:rsidRDefault="00E523A9" w:rsidP="00E523A9">
      <w:pPr>
        <w:pStyle w:val="a3"/>
        <w:rPr>
          <w:rFonts w:cs="FrankRuehl"/>
          <w:rtl/>
        </w:rPr>
      </w:pPr>
      <w:r w:rsidRPr="001730FD">
        <w:rPr>
          <w:rFonts w:cs="FrankRuehl" w:hint="cs"/>
          <w:rtl/>
        </w:rPr>
        <w:t xml:space="preserve"> </w:t>
      </w:r>
    </w:p>
    <w:p w14:paraId="02D3001C" w14:textId="77777777" w:rsidR="00E523A9" w:rsidRPr="001730FD" w:rsidRDefault="00E523A9" w:rsidP="00E523A9">
      <w:pPr>
        <w:rPr>
          <w:rtl/>
        </w:rPr>
      </w:pPr>
    </w:p>
    <w:p w14:paraId="73B7D456" w14:textId="77777777" w:rsidR="00E523A9" w:rsidRPr="001730FD" w:rsidRDefault="00E523A9" w:rsidP="00E523A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523A9" w:rsidRPr="001730FD" w14:paraId="5699B06F" w14:textId="77777777" w:rsidTr="00E523A9">
        <w:trPr>
          <w:trHeight w:val="295"/>
          <w:jc w:val="center"/>
        </w:trPr>
        <w:tc>
          <w:tcPr>
            <w:tcW w:w="923" w:type="dxa"/>
            <w:tcBorders>
              <w:top w:val="nil"/>
              <w:left w:val="nil"/>
              <w:bottom w:val="nil"/>
              <w:right w:val="nil"/>
            </w:tcBorders>
            <w:shd w:val="clear" w:color="auto" w:fill="auto"/>
          </w:tcPr>
          <w:p w14:paraId="6E59E0DA" w14:textId="77777777" w:rsidR="00E523A9" w:rsidRPr="001730FD" w:rsidRDefault="00E523A9" w:rsidP="00E523A9">
            <w:pPr>
              <w:jc w:val="both"/>
              <w:rPr>
                <w:rFonts w:ascii="Arial" w:hAnsi="Arial" w:cs="FrankRuehl"/>
                <w:sz w:val="28"/>
                <w:szCs w:val="28"/>
              </w:rPr>
            </w:pPr>
            <w:r w:rsidRPr="001730FD">
              <w:rPr>
                <w:rFonts w:ascii="Arial" w:hAnsi="Arial" w:cs="FrankRuehl" w:hint="cs"/>
                <w:sz w:val="28"/>
                <w:szCs w:val="28"/>
                <w:rtl/>
              </w:rPr>
              <w:t>ב</w:t>
            </w:r>
            <w:r w:rsidRPr="001730FD">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913F479" w14:textId="77777777" w:rsidR="00E523A9" w:rsidRPr="001730FD" w:rsidRDefault="00E523A9" w:rsidP="004E6577">
            <w:pPr>
              <w:rPr>
                <w:rFonts w:ascii="Arial" w:hAnsi="Arial" w:cs="FrankRuehl"/>
                <w:b/>
                <w:bCs/>
                <w:sz w:val="28"/>
                <w:szCs w:val="28"/>
                <w:rtl/>
              </w:rPr>
            </w:pPr>
            <w:r w:rsidRPr="001730FD">
              <w:rPr>
                <w:rFonts w:ascii="Arial" w:hAnsi="Arial" w:cs="FrankRuehl" w:hint="cs"/>
                <w:b/>
                <w:bCs/>
                <w:sz w:val="28"/>
                <w:szCs w:val="28"/>
                <w:rtl/>
              </w:rPr>
              <w:t>כבוד ה</w:t>
            </w:r>
            <w:r w:rsidRPr="001730FD">
              <w:rPr>
                <w:rFonts w:ascii="Arial" w:hAnsi="Arial" w:cs="FrankRuehl"/>
                <w:b/>
                <w:bCs/>
                <w:sz w:val="28"/>
                <w:szCs w:val="28"/>
                <w:rtl/>
              </w:rPr>
              <w:t>שופט</w:t>
            </w:r>
            <w:r w:rsidRPr="001730FD">
              <w:rPr>
                <w:rFonts w:ascii="Arial" w:hAnsi="Arial" w:cs="FrankRuehl" w:hint="cs"/>
                <w:b/>
                <w:bCs/>
                <w:sz w:val="28"/>
                <w:szCs w:val="28"/>
                <w:rtl/>
              </w:rPr>
              <w:t xml:space="preserve">  </w:t>
            </w:r>
            <w:r w:rsidRPr="001730FD">
              <w:rPr>
                <w:rFonts w:ascii="Arial" w:hAnsi="Arial" w:cs="FrankRuehl"/>
                <w:b/>
                <w:bCs/>
                <w:sz w:val="28"/>
                <w:szCs w:val="28"/>
                <w:rtl/>
              </w:rPr>
              <w:t>דוד שאול גבאי ריכטר</w:t>
            </w:r>
          </w:p>
          <w:p w14:paraId="5D968160" w14:textId="77777777" w:rsidR="00E523A9" w:rsidRPr="001730FD" w:rsidRDefault="00E523A9" w:rsidP="004E6577">
            <w:pPr>
              <w:rPr>
                <w:rFonts w:cs="FrankRuehl"/>
                <w:sz w:val="28"/>
                <w:szCs w:val="28"/>
                <w:rtl/>
              </w:rPr>
            </w:pPr>
          </w:p>
          <w:p w14:paraId="71EE1B49" w14:textId="77777777" w:rsidR="00E523A9" w:rsidRPr="001730FD" w:rsidRDefault="00E523A9" w:rsidP="00E523A9">
            <w:pPr>
              <w:jc w:val="both"/>
              <w:rPr>
                <w:rFonts w:ascii="Arial" w:hAnsi="Arial" w:cs="FrankRuehl"/>
                <w:sz w:val="28"/>
                <w:szCs w:val="28"/>
              </w:rPr>
            </w:pPr>
          </w:p>
        </w:tc>
      </w:tr>
      <w:tr w:rsidR="00E523A9" w:rsidRPr="001730FD" w14:paraId="16BDF4AA" w14:textId="77777777" w:rsidTr="00E523A9">
        <w:trPr>
          <w:trHeight w:val="355"/>
          <w:jc w:val="center"/>
        </w:trPr>
        <w:tc>
          <w:tcPr>
            <w:tcW w:w="923" w:type="dxa"/>
            <w:tcBorders>
              <w:top w:val="nil"/>
              <w:left w:val="nil"/>
              <w:bottom w:val="nil"/>
              <w:right w:val="nil"/>
            </w:tcBorders>
            <w:shd w:val="clear" w:color="auto" w:fill="auto"/>
          </w:tcPr>
          <w:p w14:paraId="61128856" w14:textId="77777777" w:rsidR="00E523A9" w:rsidRPr="001730FD" w:rsidRDefault="00E523A9" w:rsidP="00E523A9">
            <w:pPr>
              <w:jc w:val="both"/>
              <w:rPr>
                <w:rFonts w:ascii="Arial" w:hAnsi="Arial" w:cs="FrankRuehl"/>
                <w:sz w:val="28"/>
                <w:szCs w:val="28"/>
              </w:rPr>
            </w:pPr>
            <w:bookmarkStart w:id="1" w:name="FirstAppellant"/>
            <w:r w:rsidRPr="001730FD">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F05284E" w14:textId="77777777" w:rsidR="00E523A9" w:rsidRPr="001730FD" w:rsidRDefault="00E523A9" w:rsidP="004E6577">
            <w:pPr>
              <w:rPr>
                <w:rFonts w:cs="FrankRuehl"/>
                <w:b/>
                <w:bCs/>
              </w:rPr>
            </w:pPr>
            <w:r w:rsidRPr="001730FD">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23E802BE" w14:textId="77777777" w:rsidR="00E523A9" w:rsidRPr="001730FD" w:rsidRDefault="00E523A9" w:rsidP="00E523A9">
            <w:pPr>
              <w:jc w:val="both"/>
              <w:rPr>
                <w:rFonts w:ascii="Arial" w:hAnsi="Arial" w:cs="FrankRuehl"/>
                <w:sz w:val="28"/>
                <w:szCs w:val="28"/>
              </w:rPr>
            </w:pPr>
          </w:p>
        </w:tc>
      </w:tr>
      <w:bookmarkEnd w:id="1"/>
      <w:tr w:rsidR="00E523A9" w:rsidRPr="001730FD" w14:paraId="0DD9FDF1" w14:textId="77777777" w:rsidTr="00E523A9">
        <w:trPr>
          <w:trHeight w:val="355"/>
          <w:jc w:val="center"/>
        </w:trPr>
        <w:tc>
          <w:tcPr>
            <w:tcW w:w="923" w:type="dxa"/>
            <w:tcBorders>
              <w:top w:val="nil"/>
              <w:left w:val="nil"/>
              <w:bottom w:val="nil"/>
              <w:right w:val="nil"/>
            </w:tcBorders>
            <w:shd w:val="clear" w:color="auto" w:fill="auto"/>
          </w:tcPr>
          <w:p w14:paraId="105FD5BC" w14:textId="77777777" w:rsidR="00E523A9" w:rsidRPr="001730FD" w:rsidRDefault="00E523A9" w:rsidP="00E523A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79734B6" w14:textId="77777777" w:rsidR="00E523A9" w:rsidRPr="001730FD" w:rsidRDefault="00E523A9" w:rsidP="00E523A9">
            <w:pPr>
              <w:jc w:val="both"/>
              <w:rPr>
                <w:rFonts w:cs="FrankRuehl"/>
                <w:rtl/>
              </w:rPr>
            </w:pPr>
            <w:r w:rsidRPr="001730FD">
              <w:rPr>
                <w:rFonts w:cs="FrankRuehl" w:hint="cs"/>
                <w:rtl/>
              </w:rPr>
              <w:t>ע"י תביעות מחוז ירושלים</w:t>
            </w:r>
          </w:p>
        </w:tc>
        <w:tc>
          <w:tcPr>
            <w:tcW w:w="3771" w:type="dxa"/>
            <w:tcBorders>
              <w:top w:val="nil"/>
              <w:left w:val="nil"/>
              <w:bottom w:val="nil"/>
              <w:right w:val="nil"/>
            </w:tcBorders>
            <w:shd w:val="clear" w:color="auto" w:fill="auto"/>
          </w:tcPr>
          <w:p w14:paraId="0ECDF26D" w14:textId="77777777" w:rsidR="00E523A9" w:rsidRPr="001730FD" w:rsidRDefault="00E523A9" w:rsidP="00E523A9">
            <w:pPr>
              <w:jc w:val="right"/>
              <w:rPr>
                <w:rFonts w:ascii="Arial" w:hAnsi="Arial" w:cs="FrankRuehl"/>
                <w:sz w:val="28"/>
                <w:szCs w:val="28"/>
                <w:rtl/>
              </w:rPr>
            </w:pPr>
            <w:r w:rsidRPr="001730FD">
              <w:rPr>
                <w:rFonts w:ascii="Arial" w:hAnsi="Arial" w:cs="FrankRuehl" w:hint="cs"/>
                <w:sz w:val="28"/>
                <w:szCs w:val="28"/>
                <w:rtl/>
              </w:rPr>
              <w:t>ה</w:t>
            </w:r>
            <w:r w:rsidRPr="001730FD">
              <w:rPr>
                <w:rFonts w:ascii="Arial" w:hAnsi="Arial" w:cs="FrankRuehl"/>
                <w:sz w:val="28"/>
                <w:szCs w:val="28"/>
                <w:rtl/>
              </w:rPr>
              <w:t>מאשימה</w:t>
            </w:r>
          </w:p>
        </w:tc>
      </w:tr>
      <w:tr w:rsidR="00E523A9" w:rsidRPr="001730FD" w14:paraId="2706AAF6" w14:textId="77777777" w:rsidTr="00E523A9">
        <w:trPr>
          <w:trHeight w:val="355"/>
          <w:jc w:val="center"/>
        </w:trPr>
        <w:tc>
          <w:tcPr>
            <w:tcW w:w="923" w:type="dxa"/>
            <w:tcBorders>
              <w:top w:val="nil"/>
              <w:left w:val="nil"/>
              <w:bottom w:val="nil"/>
              <w:right w:val="nil"/>
            </w:tcBorders>
            <w:shd w:val="clear" w:color="auto" w:fill="auto"/>
          </w:tcPr>
          <w:p w14:paraId="7EEFBED2" w14:textId="77777777" w:rsidR="00E523A9" w:rsidRPr="001730FD" w:rsidRDefault="00E523A9" w:rsidP="00E523A9">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E7867F0" w14:textId="77777777" w:rsidR="00E523A9" w:rsidRPr="001730FD" w:rsidRDefault="00E523A9" w:rsidP="00E523A9">
            <w:pPr>
              <w:jc w:val="center"/>
              <w:rPr>
                <w:rFonts w:ascii="Arial" w:hAnsi="Arial" w:cs="FrankRuehl"/>
                <w:b/>
                <w:bCs/>
                <w:sz w:val="28"/>
                <w:szCs w:val="28"/>
                <w:rtl/>
              </w:rPr>
            </w:pPr>
          </w:p>
          <w:p w14:paraId="7C384085" w14:textId="77777777" w:rsidR="00E523A9" w:rsidRPr="001730FD" w:rsidRDefault="00E523A9" w:rsidP="00E523A9">
            <w:pPr>
              <w:jc w:val="center"/>
              <w:rPr>
                <w:rFonts w:ascii="Arial" w:hAnsi="Arial" w:cs="FrankRuehl"/>
                <w:b/>
                <w:bCs/>
                <w:sz w:val="28"/>
                <w:szCs w:val="28"/>
                <w:rtl/>
              </w:rPr>
            </w:pPr>
            <w:r w:rsidRPr="001730FD">
              <w:rPr>
                <w:rFonts w:ascii="Arial" w:hAnsi="Arial" w:cs="FrankRuehl"/>
                <w:b/>
                <w:bCs/>
                <w:sz w:val="28"/>
                <w:szCs w:val="28"/>
                <w:rtl/>
              </w:rPr>
              <w:t>נגד</w:t>
            </w:r>
          </w:p>
          <w:p w14:paraId="15102275" w14:textId="77777777" w:rsidR="00E523A9" w:rsidRPr="001730FD" w:rsidRDefault="00E523A9" w:rsidP="00E523A9">
            <w:pPr>
              <w:jc w:val="both"/>
              <w:rPr>
                <w:rFonts w:ascii="Arial" w:hAnsi="Arial" w:cs="FrankRuehl"/>
                <w:sz w:val="28"/>
                <w:szCs w:val="28"/>
              </w:rPr>
            </w:pPr>
          </w:p>
        </w:tc>
      </w:tr>
      <w:tr w:rsidR="00E523A9" w:rsidRPr="001730FD" w14:paraId="27D84CF0" w14:textId="77777777" w:rsidTr="00E523A9">
        <w:trPr>
          <w:trHeight w:val="355"/>
          <w:jc w:val="center"/>
        </w:trPr>
        <w:tc>
          <w:tcPr>
            <w:tcW w:w="923" w:type="dxa"/>
            <w:tcBorders>
              <w:top w:val="nil"/>
              <w:left w:val="nil"/>
              <w:bottom w:val="nil"/>
              <w:right w:val="nil"/>
            </w:tcBorders>
            <w:shd w:val="clear" w:color="auto" w:fill="auto"/>
          </w:tcPr>
          <w:p w14:paraId="45D96BA5" w14:textId="77777777" w:rsidR="00E523A9" w:rsidRPr="001730FD" w:rsidRDefault="00E523A9" w:rsidP="004E6577">
            <w:pPr>
              <w:rPr>
                <w:rFonts w:ascii="Arial" w:hAnsi="Arial" w:cs="FrankRuehl"/>
                <w:sz w:val="28"/>
                <w:szCs w:val="28"/>
                <w:rtl/>
              </w:rPr>
            </w:pPr>
          </w:p>
        </w:tc>
        <w:tc>
          <w:tcPr>
            <w:tcW w:w="4126" w:type="dxa"/>
            <w:tcBorders>
              <w:top w:val="nil"/>
              <w:left w:val="nil"/>
              <w:bottom w:val="nil"/>
              <w:right w:val="nil"/>
            </w:tcBorders>
            <w:shd w:val="clear" w:color="auto" w:fill="auto"/>
          </w:tcPr>
          <w:p w14:paraId="41036F56" w14:textId="77777777" w:rsidR="00E523A9" w:rsidRPr="001730FD" w:rsidRDefault="00E523A9" w:rsidP="004E6577">
            <w:pPr>
              <w:rPr>
                <w:rFonts w:cs="FrankRuehl"/>
                <w:rtl/>
              </w:rPr>
            </w:pPr>
            <w:r w:rsidRPr="001730FD">
              <w:rPr>
                <w:rFonts w:ascii="Arial" w:hAnsi="Arial" w:cs="FrankRuehl"/>
                <w:b/>
                <w:bCs/>
                <w:sz w:val="28"/>
                <w:szCs w:val="28"/>
                <w:rtl/>
              </w:rPr>
              <w:t>מאור מאיר אלבז</w:t>
            </w:r>
            <w:r w:rsidRPr="001730FD">
              <w:rPr>
                <w:rFonts w:ascii="Arial" w:hAnsi="Arial" w:cs="FrankRuehl" w:hint="cs"/>
                <w:b/>
                <w:bCs/>
                <w:sz w:val="28"/>
                <w:szCs w:val="28"/>
                <w:rtl/>
              </w:rPr>
              <w:t xml:space="preserve">, ת"ז </w:t>
            </w:r>
            <w:r w:rsidR="001730FD">
              <w:rPr>
                <w:rFonts w:ascii="Arial" w:hAnsi="Arial" w:cs="FrankRuehl"/>
                <w:b/>
                <w:bCs/>
                <w:sz w:val="28"/>
                <w:szCs w:val="28"/>
              </w:rPr>
              <w:t>xxxxxxxxx</w:t>
            </w:r>
          </w:p>
        </w:tc>
        <w:tc>
          <w:tcPr>
            <w:tcW w:w="3771" w:type="dxa"/>
            <w:tcBorders>
              <w:top w:val="nil"/>
              <w:left w:val="nil"/>
              <w:bottom w:val="nil"/>
              <w:right w:val="nil"/>
            </w:tcBorders>
            <w:shd w:val="clear" w:color="auto" w:fill="auto"/>
          </w:tcPr>
          <w:p w14:paraId="3BD2FA47" w14:textId="77777777" w:rsidR="00E523A9" w:rsidRPr="001730FD" w:rsidRDefault="00E523A9" w:rsidP="00E523A9">
            <w:pPr>
              <w:jc w:val="right"/>
              <w:rPr>
                <w:rFonts w:ascii="Arial" w:hAnsi="Arial" w:cs="FrankRuehl"/>
                <w:sz w:val="28"/>
                <w:szCs w:val="28"/>
              </w:rPr>
            </w:pPr>
          </w:p>
        </w:tc>
      </w:tr>
      <w:tr w:rsidR="00E523A9" w:rsidRPr="001730FD" w14:paraId="369936AC" w14:textId="77777777" w:rsidTr="00E523A9">
        <w:trPr>
          <w:trHeight w:val="355"/>
          <w:jc w:val="center"/>
        </w:trPr>
        <w:tc>
          <w:tcPr>
            <w:tcW w:w="923" w:type="dxa"/>
            <w:tcBorders>
              <w:top w:val="nil"/>
              <w:left w:val="nil"/>
              <w:bottom w:val="nil"/>
              <w:right w:val="nil"/>
            </w:tcBorders>
            <w:shd w:val="clear" w:color="auto" w:fill="auto"/>
          </w:tcPr>
          <w:p w14:paraId="300C502E" w14:textId="77777777" w:rsidR="00E523A9" w:rsidRPr="001730FD" w:rsidRDefault="00E523A9" w:rsidP="00E523A9">
            <w:pPr>
              <w:jc w:val="both"/>
              <w:rPr>
                <w:rFonts w:ascii="Arial" w:hAnsi="Arial" w:cs="FrankRuehl"/>
                <w:sz w:val="28"/>
                <w:szCs w:val="28"/>
                <w:rtl/>
              </w:rPr>
            </w:pPr>
            <w:bookmarkStart w:id="2" w:name="FirstLawyer"/>
          </w:p>
        </w:tc>
        <w:tc>
          <w:tcPr>
            <w:tcW w:w="4126" w:type="dxa"/>
            <w:tcBorders>
              <w:top w:val="nil"/>
              <w:left w:val="nil"/>
              <w:bottom w:val="nil"/>
              <w:right w:val="nil"/>
            </w:tcBorders>
            <w:shd w:val="clear" w:color="auto" w:fill="auto"/>
          </w:tcPr>
          <w:p w14:paraId="636CC901" w14:textId="77777777" w:rsidR="00E523A9" w:rsidRPr="001730FD" w:rsidRDefault="00E523A9" w:rsidP="00E523A9">
            <w:pPr>
              <w:jc w:val="both"/>
              <w:rPr>
                <w:rFonts w:cs="FrankRuehl"/>
                <w:rtl/>
              </w:rPr>
            </w:pPr>
            <w:r w:rsidRPr="001730FD">
              <w:rPr>
                <w:rFonts w:cs="FrankRuehl" w:hint="cs"/>
                <w:rtl/>
              </w:rPr>
              <w:t>ע"י ב"כ עו"ד מיכאל עירוני</w:t>
            </w:r>
          </w:p>
        </w:tc>
        <w:tc>
          <w:tcPr>
            <w:tcW w:w="3771" w:type="dxa"/>
            <w:tcBorders>
              <w:top w:val="nil"/>
              <w:left w:val="nil"/>
              <w:bottom w:val="nil"/>
              <w:right w:val="nil"/>
            </w:tcBorders>
            <w:shd w:val="clear" w:color="auto" w:fill="auto"/>
          </w:tcPr>
          <w:p w14:paraId="5F681277" w14:textId="77777777" w:rsidR="00E523A9" w:rsidRPr="001730FD" w:rsidRDefault="00E523A9" w:rsidP="00E523A9">
            <w:pPr>
              <w:jc w:val="right"/>
              <w:rPr>
                <w:rFonts w:ascii="Arial" w:hAnsi="Arial" w:cs="FrankRuehl"/>
                <w:sz w:val="28"/>
                <w:szCs w:val="28"/>
              </w:rPr>
            </w:pPr>
            <w:r w:rsidRPr="001730FD">
              <w:rPr>
                <w:rFonts w:ascii="Arial" w:hAnsi="Arial" w:cs="FrankRuehl" w:hint="cs"/>
                <w:sz w:val="28"/>
                <w:szCs w:val="28"/>
                <w:rtl/>
              </w:rPr>
              <w:t>ה</w:t>
            </w:r>
            <w:r w:rsidRPr="001730FD">
              <w:rPr>
                <w:rFonts w:ascii="Arial" w:hAnsi="Arial" w:cs="FrankRuehl"/>
                <w:sz w:val="28"/>
                <w:szCs w:val="28"/>
                <w:rtl/>
              </w:rPr>
              <w:t>נאשם</w:t>
            </w:r>
          </w:p>
        </w:tc>
      </w:tr>
    </w:tbl>
    <w:p w14:paraId="2ED33D5A" w14:textId="77777777" w:rsidR="0044679A" w:rsidRDefault="0044679A" w:rsidP="00E523A9">
      <w:pPr>
        <w:rPr>
          <w:rFonts w:cs="FrankRuehl"/>
          <w:rtl/>
        </w:rPr>
      </w:pPr>
      <w:bookmarkStart w:id="3" w:name="LawTable"/>
      <w:bookmarkEnd w:id="2"/>
      <w:bookmarkEnd w:id="3"/>
    </w:p>
    <w:p w14:paraId="78E56981" w14:textId="77777777" w:rsidR="0044679A" w:rsidRPr="0044679A" w:rsidRDefault="0044679A" w:rsidP="0044679A">
      <w:pPr>
        <w:spacing w:after="120" w:line="240" w:lineRule="exact"/>
        <w:ind w:left="283" w:hanging="283"/>
        <w:jc w:val="both"/>
        <w:rPr>
          <w:rFonts w:ascii="FrankRuehl" w:hAnsi="FrankRuehl" w:cs="FrankRuehl"/>
          <w:rtl/>
        </w:rPr>
      </w:pPr>
    </w:p>
    <w:p w14:paraId="140D6277" w14:textId="77777777" w:rsidR="0044679A" w:rsidRPr="0044679A" w:rsidRDefault="0044679A" w:rsidP="0044679A">
      <w:pPr>
        <w:spacing w:after="120" w:line="240" w:lineRule="exact"/>
        <w:ind w:left="283" w:hanging="283"/>
        <w:jc w:val="both"/>
        <w:rPr>
          <w:rFonts w:ascii="FrankRuehl" w:hAnsi="FrankRuehl" w:cs="FrankRuehl"/>
          <w:rtl/>
        </w:rPr>
      </w:pPr>
      <w:r w:rsidRPr="0044679A">
        <w:rPr>
          <w:rFonts w:ascii="FrankRuehl" w:hAnsi="FrankRuehl" w:cs="FrankRuehl"/>
          <w:rtl/>
        </w:rPr>
        <w:t xml:space="preserve">חקיקה שאוזכרה: </w:t>
      </w:r>
    </w:p>
    <w:p w14:paraId="60873895" w14:textId="77777777" w:rsidR="0044679A" w:rsidRPr="0044679A" w:rsidRDefault="0044679A" w:rsidP="0044679A">
      <w:pPr>
        <w:spacing w:after="120" w:line="240" w:lineRule="exact"/>
        <w:ind w:left="283" w:hanging="283"/>
        <w:jc w:val="both"/>
        <w:rPr>
          <w:rFonts w:ascii="FrankRuehl" w:hAnsi="FrankRuehl" w:cs="FrankRuehl"/>
          <w:rtl/>
        </w:rPr>
      </w:pPr>
      <w:hyperlink r:id="rId7" w:history="1">
        <w:r w:rsidRPr="0044679A">
          <w:rPr>
            <w:rFonts w:ascii="FrankRuehl" w:hAnsi="FrankRuehl" w:cs="FrankRuehl"/>
            <w:color w:val="0000FF"/>
            <w:u w:val="single"/>
            <w:rtl/>
          </w:rPr>
          <w:t>פקודת הסמים המסוכנים [נוסח חדש], תשל"ג-1973</w:t>
        </w:r>
      </w:hyperlink>
      <w:r w:rsidRPr="0044679A">
        <w:rPr>
          <w:rFonts w:ascii="FrankRuehl" w:hAnsi="FrankRuehl" w:cs="FrankRuehl"/>
          <w:rtl/>
        </w:rPr>
        <w:t xml:space="preserve">: סע'  </w:t>
      </w:r>
      <w:hyperlink r:id="rId8" w:history="1">
        <w:r w:rsidRPr="0044679A">
          <w:rPr>
            <w:rFonts w:ascii="FrankRuehl" w:hAnsi="FrankRuehl" w:cs="FrankRuehl"/>
            <w:color w:val="0000FF"/>
            <w:u w:val="single"/>
            <w:rtl/>
          </w:rPr>
          <w:t>7(א)</w:t>
        </w:r>
      </w:hyperlink>
      <w:r w:rsidRPr="0044679A">
        <w:rPr>
          <w:rFonts w:ascii="FrankRuehl" w:hAnsi="FrankRuehl" w:cs="FrankRuehl"/>
          <w:rtl/>
        </w:rPr>
        <w:t xml:space="preserve">, </w:t>
      </w:r>
      <w:hyperlink r:id="rId9" w:history="1">
        <w:r w:rsidRPr="0044679A">
          <w:rPr>
            <w:rFonts w:ascii="FrankRuehl" w:hAnsi="FrankRuehl" w:cs="FrankRuehl"/>
            <w:color w:val="0000FF"/>
            <w:u w:val="single"/>
            <w:rtl/>
          </w:rPr>
          <w:t>7(ג)</w:t>
        </w:r>
      </w:hyperlink>
      <w:r w:rsidRPr="0044679A">
        <w:rPr>
          <w:rFonts w:ascii="FrankRuehl" w:hAnsi="FrankRuehl" w:cs="FrankRuehl"/>
          <w:rtl/>
        </w:rPr>
        <w:t xml:space="preserve">, </w:t>
      </w:r>
      <w:hyperlink r:id="rId10" w:history="1">
        <w:r w:rsidRPr="0044679A">
          <w:rPr>
            <w:rFonts w:ascii="FrankRuehl" w:hAnsi="FrankRuehl" w:cs="FrankRuehl"/>
            <w:color w:val="0000FF"/>
            <w:u w:val="single"/>
            <w:rtl/>
          </w:rPr>
          <w:t>13</w:t>
        </w:r>
      </w:hyperlink>
      <w:r w:rsidRPr="0044679A">
        <w:rPr>
          <w:rFonts w:ascii="FrankRuehl" w:hAnsi="FrankRuehl" w:cs="FrankRuehl"/>
          <w:rtl/>
        </w:rPr>
        <w:t xml:space="preserve">, </w:t>
      </w:r>
      <w:hyperlink r:id="rId11" w:history="1">
        <w:r w:rsidRPr="0044679A">
          <w:rPr>
            <w:rFonts w:ascii="FrankRuehl" w:hAnsi="FrankRuehl" w:cs="FrankRuehl"/>
            <w:color w:val="0000FF"/>
            <w:u w:val="single"/>
            <w:rtl/>
          </w:rPr>
          <w:t>19א</w:t>
        </w:r>
      </w:hyperlink>
    </w:p>
    <w:p w14:paraId="3E92A5AA" w14:textId="77777777" w:rsidR="0044679A" w:rsidRPr="0044679A" w:rsidRDefault="0044679A" w:rsidP="0044679A">
      <w:pPr>
        <w:spacing w:after="120" w:line="240" w:lineRule="exact"/>
        <w:ind w:left="283" w:hanging="283"/>
        <w:jc w:val="both"/>
        <w:rPr>
          <w:rFonts w:ascii="FrankRuehl" w:hAnsi="FrankRuehl" w:cs="FrankRuehl"/>
          <w:rtl/>
        </w:rPr>
      </w:pPr>
      <w:hyperlink r:id="rId12" w:history="1">
        <w:r w:rsidRPr="0044679A">
          <w:rPr>
            <w:rFonts w:ascii="FrankRuehl" w:hAnsi="FrankRuehl" w:cs="FrankRuehl"/>
            <w:color w:val="0000FF"/>
            <w:u w:val="single"/>
            <w:rtl/>
          </w:rPr>
          <w:t>חוק העונשין, תשל"ז-1977</w:t>
        </w:r>
      </w:hyperlink>
      <w:r w:rsidRPr="0044679A">
        <w:rPr>
          <w:rFonts w:ascii="FrankRuehl" w:hAnsi="FrankRuehl" w:cs="FrankRuehl"/>
          <w:rtl/>
        </w:rPr>
        <w:t xml:space="preserve">: סע'  </w:t>
      </w:r>
      <w:hyperlink r:id="rId13" w:history="1">
        <w:r w:rsidRPr="0044679A">
          <w:rPr>
            <w:rFonts w:ascii="FrankRuehl" w:hAnsi="FrankRuehl" w:cs="FrankRuehl"/>
            <w:color w:val="0000FF"/>
            <w:u w:val="single"/>
            <w:rtl/>
          </w:rPr>
          <w:t>29</w:t>
        </w:r>
      </w:hyperlink>
      <w:r w:rsidRPr="0044679A">
        <w:rPr>
          <w:rFonts w:ascii="FrankRuehl" w:hAnsi="FrankRuehl" w:cs="FrankRuehl"/>
          <w:rtl/>
        </w:rPr>
        <w:t xml:space="preserve">, </w:t>
      </w:r>
      <w:hyperlink r:id="rId14" w:history="1">
        <w:r w:rsidRPr="0044679A">
          <w:rPr>
            <w:rFonts w:ascii="FrankRuehl" w:hAnsi="FrankRuehl" w:cs="FrankRuehl"/>
            <w:color w:val="0000FF"/>
            <w:u w:val="single"/>
            <w:rtl/>
          </w:rPr>
          <w:t>40ד'</w:t>
        </w:r>
      </w:hyperlink>
      <w:r w:rsidRPr="0044679A">
        <w:rPr>
          <w:rFonts w:ascii="FrankRuehl" w:hAnsi="FrankRuehl" w:cs="FrankRuehl"/>
          <w:rtl/>
        </w:rPr>
        <w:t xml:space="preserve">, </w:t>
      </w:r>
      <w:hyperlink r:id="rId15" w:history="1">
        <w:r w:rsidRPr="0044679A">
          <w:rPr>
            <w:rFonts w:ascii="FrankRuehl" w:hAnsi="FrankRuehl" w:cs="FrankRuehl"/>
            <w:color w:val="0000FF"/>
            <w:u w:val="single"/>
            <w:rtl/>
          </w:rPr>
          <w:t>40ט'</w:t>
        </w:r>
      </w:hyperlink>
      <w:r w:rsidRPr="0044679A">
        <w:rPr>
          <w:rFonts w:ascii="FrankRuehl" w:hAnsi="FrankRuehl" w:cs="FrankRuehl"/>
          <w:rtl/>
        </w:rPr>
        <w:t xml:space="preserve">, </w:t>
      </w:r>
      <w:hyperlink r:id="rId16" w:history="1">
        <w:r w:rsidRPr="0044679A">
          <w:rPr>
            <w:rFonts w:ascii="FrankRuehl" w:hAnsi="FrankRuehl" w:cs="FrankRuehl"/>
            <w:color w:val="0000FF"/>
            <w:u w:val="single"/>
            <w:rtl/>
          </w:rPr>
          <w:t>40יא</w:t>
        </w:r>
      </w:hyperlink>
    </w:p>
    <w:p w14:paraId="1AEA3610" w14:textId="77777777" w:rsidR="0044679A" w:rsidRPr="0044679A" w:rsidRDefault="0044679A" w:rsidP="0044679A">
      <w:pPr>
        <w:spacing w:after="120" w:line="240" w:lineRule="exact"/>
        <w:ind w:left="283" w:hanging="283"/>
        <w:jc w:val="both"/>
        <w:rPr>
          <w:rFonts w:ascii="FrankRuehl" w:hAnsi="FrankRuehl" w:cs="FrankRuehl"/>
          <w:rtl/>
        </w:rPr>
      </w:pPr>
      <w:hyperlink r:id="rId17" w:history="1">
        <w:r w:rsidRPr="0044679A">
          <w:rPr>
            <w:rFonts w:ascii="FrankRuehl" w:hAnsi="FrankRuehl" w:cs="FrankRuehl"/>
            <w:color w:val="0000FF"/>
            <w:u w:val="single"/>
            <w:rtl/>
          </w:rPr>
          <w:t>פקודת המבחן [נוסח חדש], תשכ"ט-1969</w:t>
        </w:r>
      </w:hyperlink>
    </w:p>
    <w:p w14:paraId="2628CC58" w14:textId="77777777" w:rsidR="001730FD" w:rsidRPr="001730FD" w:rsidRDefault="001730FD" w:rsidP="00E523A9">
      <w:pPr>
        <w:rPr>
          <w:rFonts w:cs="FrankRuehl"/>
          <w:rtl/>
        </w:rPr>
      </w:pPr>
    </w:p>
    <w:p w14:paraId="06341F38" w14:textId="77777777" w:rsidR="00E523A9" w:rsidRPr="001730FD" w:rsidRDefault="00E523A9" w:rsidP="00E523A9">
      <w:pPr>
        <w:rPr>
          <w:rFonts w:cs="FrankRueh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523A9" w14:paraId="6E1D1ECC" w14:textId="77777777" w:rsidTr="00E523A9">
        <w:trPr>
          <w:trHeight w:val="355"/>
          <w:jc w:val="center"/>
        </w:trPr>
        <w:tc>
          <w:tcPr>
            <w:tcW w:w="8820" w:type="dxa"/>
            <w:tcBorders>
              <w:top w:val="nil"/>
              <w:left w:val="nil"/>
              <w:bottom w:val="nil"/>
              <w:right w:val="nil"/>
            </w:tcBorders>
            <w:shd w:val="clear" w:color="auto" w:fill="auto"/>
          </w:tcPr>
          <w:p w14:paraId="189E5341" w14:textId="77777777" w:rsidR="001730FD" w:rsidRPr="001730FD" w:rsidRDefault="001730FD" w:rsidP="001730FD">
            <w:pPr>
              <w:jc w:val="center"/>
              <w:rPr>
                <w:rFonts w:ascii="Arial" w:hAnsi="Arial" w:cs="FrankRuehl"/>
                <w:b/>
                <w:bCs/>
                <w:sz w:val="32"/>
                <w:szCs w:val="32"/>
                <w:u w:val="single"/>
                <w:rtl/>
              </w:rPr>
            </w:pPr>
            <w:bookmarkStart w:id="4" w:name="PsakDin" w:colFirst="0" w:colLast="0"/>
            <w:bookmarkEnd w:id="0"/>
            <w:r w:rsidRPr="001730FD">
              <w:rPr>
                <w:rFonts w:ascii="Arial" w:hAnsi="Arial" w:cs="FrankRuehl"/>
                <w:b/>
                <w:bCs/>
                <w:sz w:val="32"/>
                <w:szCs w:val="32"/>
                <w:u w:val="single"/>
                <w:rtl/>
              </w:rPr>
              <w:t>גזר דין</w:t>
            </w:r>
          </w:p>
          <w:p w14:paraId="0CECA907" w14:textId="77777777" w:rsidR="00E523A9" w:rsidRPr="001730FD" w:rsidRDefault="00E523A9" w:rsidP="001730FD">
            <w:pPr>
              <w:jc w:val="center"/>
              <w:rPr>
                <w:rFonts w:ascii="Arial" w:hAnsi="Arial" w:cs="FrankRuehl"/>
                <w:bCs/>
                <w:sz w:val="32"/>
                <w:szCs w:val="32"/>
                <w:u w:val="single"/>
                <w:rtl/>
              </w:rPr>
            </w:pPr>
          </w:p>
        </w:tc>
      </w:tr>
      <w:bookmarkEnd w:id="4"/>
    </w:tbl>
    <w:p w14:paraId="6E336D38" w14:textId="77777777" w:rsidR="00E523A9" w:rsidRPr="00B05847" w:rsidRDefault="00E523A9" w:rsidP="00E523A9">
      <w:pPr>
        <w:rPr>
          <w:rFonts w:ascii="Arial" w:hAnsi="Arial"/>
          <w:rtl/>
        </w:rPr>
      </w:pPr>
    </w:p>
    <w:p w14:paraId="45F1F9F3" w14:textId="77777777" w:rsidR="00E523A9" w:rsidRPr="00B05847" w:rsidRDefault="00E523A9" w:rsidP="00E523A9">
      <w:pPr>
        <w:rPr>
          <w:rFonts w:ascii="Arial" w:hAnsi="Arial"/>
          <w:rtl/>
        </w:rPr>
      </w:pPr>
    </w:p>
    <w:p w14:paraId="6F0EBBD0" w14:textId="77777777" w:rsidR="00E523A9" w:rsidRPr="00DC47C6" w:rsidRDefault="00E523A9" w:rsidP="00E523A9">
      <w:pPr>
        <w:spacing w:line="360" w:lineRule="auto"/>
        <w:rPr>
          <w:rFonts w:cs="FrankRuehl"/>
          <w:b/>
          <w:bCs/>
          <w:sz w:val="26"/>
          <w:szCs w:val="26"/>
          <w:u w:val="single"/>
        </w:rPr>
      </w:pPr>
      <w:r w:rsidRPr="00DC47C6">
        <w:rPr>
          <w:rFonts w:cs="FrankRuehl" w:hint="cs"/>
          <w:b/>
          <w:bCs/>
          <w:sz w:val="26"/>
          <w:szCs w:val="26"/>
          <w:u w:val="single"/>
          <w:rtl/>
        </w:rPr>
        <w:t>כתב האישום</w:t>
      </w:r>
    </w:p>
    <w:p w14:paraId="234800EB" w14:textId="77777777" w:rsidR="00E523A9" w:rsidRPr="00E523A9" w:rsidRDefault="00E523A9" w:rsidP="00E523A9">
      <w:pPr>
        <w:spacing w:after="160" w:line="360" w:lineRule="auto"/>
        <w:jc w:val="both"/>
        <w:rPr>
          <w:rFonts w:ascii="Calibri" w:hAnsi="Calibri" w:cs="FrankRuehl"/>
          <w:sz w:val="26"/>
          <w:szCs w:val="26"/>
          <w:rtl/>
        </w:rPr>
      </w:pPr>
      <w:bookmarkStart w:id="5" w:name="ABSTRACT_START"/>
      <w:bookmarkEnd w:id="5"/>
      <w:r w:rsidRPr="00E523A9">
        <w:rPr>
          <w:rFonts w:ascii="Calibri" w:hAnsi="Calibri" w:cs="FrankRuehl" w:hint="cs"/>
          <w:sz w:val="26"/>
          <w:szCs w:val="26"/>
          <w:rtl/>
        </w:rPr>
        <w:t>נגד הנאשם הוגש כתב אישום המייחס לו ביצוע עבירות סמים.</w:t>
      </w:r>
    </w:p>
    <w:p w14:paraId="1C57EFA5" w14:textId="77777777" w:rsidR="00E523A9" w:rsidRPr="00E523A9" w:rsidRDefault="00E523A9" w:rsidP="00E523A9">
      <w:pPr>
        <w:spacing w:after="160" w:line="360" w:lineRule="auto"/>
        <w:jc w:val="both"/>
        <w:rPr>
          <w:rFonts w:ascii="Calibri" w:hAnsi="Calibri" w:cs="FrankRuehl"/>
          <w:sz w:val="26"/>
          <w:szCs w:val="26"/>
          <w:rtl/>
        </w:rPr>
      </w:pPr>
      <w:r w:rsidRPr="00E523A9">
        <w:rPr>
          <w:rFonts w:ascii="Calibri" w:hAnsi="Calibri" w:cs="FrankRuehl" w:hint="cs"/>
          <w:b/>
          <w:bCs/>
          <w:sz w:val="26"/>
          <w:szCs w:val="26"/>
          <w:rtl/>
        </w:rPr>
        <w:t>על-פי האישום הראשון</w:t>
      </w:r>
      <w:r w:rsidRPr="00E523A9">
        <w:rPr>
          <w:rFonts w:ascii="Calibri" w:hAnsi="Calibri" w:cs="FrankRuehl" w:hint="cs"/>
          <w:sz w:val="26"/>
          <w:szCs w:val="26"/>
          <w:rtl/>
        </w:rPr>
        <w:t xml:space="preserve">, ביום 28.6.2017 מכר הנאשם לשוטר סמוי שאין ביניהם היכרות מוקדמת, סם מסוכן מסוג חשיש במשקל 1.67 גרם נטו תמורת 100 </w:t>
      </w:r>
      <w:r w:rsidRPr="00E523A9">
        <w:rPr>
          <w:rFonts w:ascii="Calibri" w:hAnsi="Calibri" w:cs="FrankRuehl" w:hint="eastAsia"/>
          <w:sz w:val="26"/>
          <w:szCs w:val="26"/>
          <w:rtl/>
        </w:rPr>
        <w:t>₪</w:t>
      </w:r>
      <w:r w:rsidRPr="00E523A9">
        <w:rPr>
          <w:rFonts w:ascii="Calibri" w:hAnsi="Calibri" w:cs="FrankRuehl" w:hint="cs"/>
          <w:sz w:val="26"/>
          <w:szCs w:val="26"/>
          <w:rtl/>
        </w:rPr>
        <w:t>, לאחר שהשוטר פנה לנאשם בטלפון ותיאם עסקה.</w:t>
      </w:r>
    </w:p>
    <w:p w14:paraId="74915039" w14:textId="77777777" w:rsidR="00E523A9" w:rsidRPr="00E523A9" w:rsidRDefault="00E523A9" w:rsidP="00E523A9">
      <w:pPr>
        <w:spacing w:after="160" w:line="360" w:lineRule="auto"/>
        <w:jc w:val="both"/>
        <w:rPr>
          <w:rFonts w:ascii="Calibri" w:hAnsi="Calibri" w:cs="FrankRuehl"/>
          <w:sz w:val="26"/>
          <w:szCs w:val="26"/>
          <w:rtl/>
        </w:rPr>
      </w:pPr>
      <w:r w:rsidRPr="00E523A9">
        <w:rPr>
          <w:rFonts w:ascii="Calibri" w:hAnsi="Calibri" w:cs="FrankRuehl" w:hint="cs"/>
          <w:b/>
          <w:bCs/>
          <w:sz w:val="26"/>
          <w:szCs w:val="26"/>
          <w:rtl/>
        </w:rPr>
        <w:t>על-פי האישום השני</w:t>
      </w:r>
      <w:r w:rsidRPr="00E523A9">
        <w:rPr>
          <w:rFonts w:ascii="Calibri" w:hAnsi="Calibri" w:cs="FrankRuehl" w:hint="cs"/>
          <w:sz w:val="26"/>
          <w:szCs w:val="26"/>
          <w:rtl/>
        </w:rPr>
        <w:t xml:space="preserve">, ביום 20.7.2017 מכר  הנאשם לאותו שוטר חשיש במשקל 1.80 גרם נטו תמורת 100 </w:t>
      </w:r>
      <w:r w:rsidRPr="00E523A9">
        <w:rPr>
          <w:rFonts w:ascii="Calibri" w:hAnsi="Calibri" w:cs="FrankRuehl" w:hint="eastAsia"/>
          <w:sz w:val="26"/>
          <w:szCs w:val="26"/>
          <w:rtl/>
        </w:rPr>
        <w:t>₪</w:t>
      </w:r>
      <w:r w:rsidRPr="00E523A9">
        <w:rPr>
          <w:rFonts w:ascii="Calibri" w:hAnsi="Calibri" w:cs="FrankRuehl" w:hint="cs"/>
          <w:sz w:val="26"/>
          <w:szCs w:val="26"/>
          <w:rtl/>
        </w:rPr>
        <w:t>, כאשר את הסם מסר לשוטר אדם אחר בהתאם לסיכום מוקדם ביניהם.</w:t>
      </w:r>
    </w:p>
    <w:p w14:paraId="05BF9F42" w14:textId="77777777" w:rsidR="00E523A9" w:rsidRPr="00E523A9" w:rsidRDefault="00E523A9" w:rsidP="00E523A9">
      <w:pPr>
        <w:spacing w:after="160" w:line="360" w:lineRule="auto"/>
        <w:jc w:val="both"/>
        <w:rPr>
          <w:rFonts w:ascii="Calibri" w:hAnsi="Calibri" w:cs="FrankRuehl"/>
          <w:sz w:val="26"/>
          <w:szCs w:val="26"/>
          <w:rtl/>
        </w:rPr>
      </w:pPr>
      <w:r w:rsidRPr="00E523A9">
        <w:rPr>
          <w:rFonts w:ascii="Calibri" w:hAnsi="Calibri" w:cs="FrankRuehl" w:hint="cs"/>
          <w:b/>
          <w:bCs/>
          <w:sz w:val="26"/>
          <w:szCs w:val="26"/>
          <w:rtl/>
        </w:rPr>
        <w:t>על-פי האישום השלישי</w:t>
      </w:r>
      <w:r w:rsidRPr="00E523A9">
        <w:rPr>
          <w:rFonts w:ascii="Calibri" w:hAnsi="Calibri" w:cs="FrankRuehl" w:hint="cs"/>
          <w:sz w:val="26"/>
          <w:szCs w:val="26"/>
          <w:rtl/>
        </w:rPr>
        <w:t xml:space="preserve">, ביום 2.8.2017 מכר  הנאשם לאותו שוטר חשיש במשקל 1.73 גרם נטו תמורת 100 </w:t>
      </w:r>
      <w:r w:rsidRPr="00E523A9">
        <w:rPr>
          <w:rFonts w:ascii="Calibri" w:hAnsi="Calibri" w:cs="FrankRuehl" w:hint="eastAsia"/>
          <w:sz w:val="26"/>
          <w:szCs w:val="26"/>
          <w:rtl/>
        </w:rPr>
        <w:t>₪</w:t>
      </w:r>
      <w:r w:rsidRPr="00E523A9">
        <w:rPr>
          <w:rFonts w:ascii="Calibri" w:hAnsi="Calibri" w:cs="FrankRuehl" w:hint="cs"/>
          <w:sz w:val="26"/>
          <w:szCs w:val="26"/>
          <w:rtl/>
        </w:rPr>
        <w:t xml:space="preserve"> ע"פ תיאום מוקדם.</w:t>
      </w:r>
    </w:p>
    <w:p w14:paraId="234D66E4" w14:textId="77777777" w:rsidR="00E523A9" w:rsidRPr="00E523A9" w:rsidRDefault="00E523A9" w:rsidP="00E523A9">
      <w:pPr>
        <w:spacing w:after="160" w:line="360" w:lineRule="auto"/>
        <w:jc w:val="both"/>
        <w:rPr>
          <w:rFonts w:ascii="Calibri" w:hAnsi="Calibri" w:cs="FrankRuehl"/>
          <w:sz w:val="26"/>
          <w:szCs w:val="26"/>
          <w:rtl/>
        </w:rPr>
      </w:pPr>
      <w:r w:rsidRPr="00E523A9">
        <w:rPr>
          <w:rFonts w:ascii="Calibri" w:hAnsi="Calibri" w:cs="FrankRuehl" w:hint="cs"/>
          <w:b/>
          <w:bCs/>
          <w:sz w:val="26"/>
          <w:szCs w:val="26"/>
          <w:rtl/>
        </w:rPr>
        <w:lastRenderedPageBreak/>
        <w:t>על-פי האישום הרביעי</w:t>
      </w:r>
      <w:r w:rsidRPr="00E523A9">
        <w:rPr>
          <w:rFonts w:ascii="Calibri" w:hAnsi="Calibri" w:cs="FrankRuehl" w:hint="cs"/>
          <w:sz w:val="26"/>
          <w:szCs w:val="26"/>
          <w:rtl/>
        </w:rPr>
        <w:t>, ביום 9.8.2017 מכר הנאשם לאותו שוטר חשיש במשקל 1.78 גרם נטו תמורת</w:t>
      </w:r>
      <w:r w:rsidRPr="00E523A9">
        <w:rPr>
          <w:rFonts w:ascii="Calibri" w:hAnsi="Calibri" w:cs="FrankRuehl"/>
          <w:sz w:val="26"/>
          <w:szCs w:val="26"/>
          <w:rtl/>
        </w:rPr>
        <w:br/>
      </w:r>
      <w:r w:rsidRPr="00E523A9">
        <w:rPr>
          <w:rFonts w:ascii="Calibri" w:hAnsi="Calibri" w:cs="FrankRuehl" w:hint="cs"/>
          <w:sz w:val="26"/>
          <w:szCs w:val="26"/>
          <w:rtl/>
        </w:rPr>
        <w:t xml:space="preserve">100 </w:t>
      </w:r>
      <w:r w:rsidRPr="00E523A9">
        <w:rPr>
          <w:rFonts w:ascii="Calibri" w:hAnsi="Calibri" w:cs="FrankRuehl" w:hint="eastAsia"/>
          <w:sz w:val="26"/>
          <w:szCs w:val="26"/>
          <w:rtl/>
        </w:rPr>
        <w:t>₪</w:t>
      </w:r>
      <w:r w:rsidRPr="00E523A9">
        <w:rPr>
          <w:rFonts w:ascii="Calibri" w:hAnsi="Calibri" w:cs="FrankRuehl" w:hint="cs"/>
          <w:sz w:val="26"/>
          <w:szCs w:val="26"/>
          <w:rtl/>
        </w:rPr>
        <w:t xml:space="preserve"> וכן קנביס במשקל 0.72 </w:t>
      </w:r>
      <w:r w:rsidRPr="00E523A9">
        <w:rPr>
          <w:rFonts w:ascii="Calibri" w:hAnsi="Calibri" w:cs="FrankRuehl" w:hint="eastAsia"/>
          <w:sz w:val="26"/>
          <w:szCs w:val="26"/>
          <w:rtl/>
        </w:rPr>
        <w:t>₪</w:t>
      </w:r>
      <w:r w:rsidRPr="00E523A9">
        <w:rPr>
          <w:rFonts w:ascii="Calibri" w:hAnsi="Calibri" w:cs="FrankRuehl" w:hint="cs"/>
          <w:sz w:val="26"/>
          <w:szCs w:val="26"/>
          <w:rtl/>
        </w:rPr>
        <w:t xml:space="preserve"> תמורת 120 </w:t>
      </w:r>
      <w:r w:rsidRPr="00E523A9">
        <w:rPr>
          <w:rFonts w:ascii="Calibri" w:hAnsi="Calibri" w:cs="FrankRuehl" w:hint="eastAsia"/>
          <w:sz w:val="26"/>
          <w:szCs w:val="26"/>
          <w:rtl/>
        </w:rPr>
        <w:t>₪</w:t>
      </w:r>
      <w:r w:rsidRPr="00E523A9">
        <w:rPr>
          <w:rFonts w:ascii="Calibri" w:hAnsi="Calibri" w:cs="FrankRuehl" w:hint="cs"/>
          <w:sz w:val="26"/>
          <w:szCs w:val="26"/>
          <w:rtl/>
        </w:rPr>
        <w:t>. מכירת שני סוגי הסמים נעשתה לאחר דין ודברים מקודד בין הצדדים, כששניהם הבינו שמדובר בחשיש ובקנביס.</w:t>
      </w:r>
    </w:p>
    <w:p w14:paraId="6B711058" w14:textId="77777777" w:rsidR="00E523A9" w:rsidRPr="00E523A9" w:rsidRDefault="00E523A9" w:rsidP="00E523A9">
      <w:pPr>
        <w:spacing w:after="160" w:line="360" w:lineRule="auto"/>
        <w:jc w:val="both"/>
        <w:rPr>
          <w:rFonts w:ascii="Calibri" w:hAnsi="Calibri" w:cs="FrankRuehl"/>
          <w:sz w:val="26"/>
          <w:szCs w:val="26"/>
          <w:rtl/>
        </w:rPr>
      </w:pPr>
      <w:r w:rsidRPr="00E523A9">
        <w:rPr>
          <w:rFonts w:ascii="Calibri" w:hAnsi="Calibri" w:cs="FrankRuehl" w:hint="cs"/>
          <w:b/>
          <w:bCs/>
          <w:sz w:val="26"/>
          <w:szCs w:val="26"/>
          <w:rtl/>
        </w:rPr>
        <w:t>על-פי האישום החמישי</w:t>
      </w:r>
      <w:r w:rsidRPr="00E523A9">
        <w:rPr>
          <w:rFonts w:ascii="Calibri" w:hAnsi="Calibri" w:cs="FrankRuehl" w:hint="cs"/>
          <w:sz w:val="26"/>
          <w:szCs w:val="26"/>
          <w:rtl/>
        </w:rPr>
        <w:t xml:space="preserve"> , ביום 22.8.2019 מכר הנאשם לשוטר חשיש במשקל 1.70 גרם נטו תמורת </w:t>
      </w:r>
      <w:r w:rsidRPr="00E523A9">
        <w:rPr>
          <w:rFonts w:ascii="Calibri" w:hAnsi="Calibri" w:cs="FrankRuehl"/>
          <w:sz w:val="26"/>
          <w:szCs w:val="26"/>
          <w:rtl/>
        </w:rPr>
        <w:br/>
      </w:r>
      <w:r w:rsidRPr="00E523A9">
        <w:rPr>
          <w:rFonts w:ascii="Calibri" w:hAnsi="Calibri" w:cs="FrankRuehl" w:hint="cs"/>
          <w:sz w:val="26"/>
          <w:szCs w:val="26"/>
          <w:rtl/>
        </w:rPr>
        <w:t xml:space="preserve">100 </w:t>
      </w:r>
      <w:r w:rsidRPr="00E523A9">
        <w:rPr>
          <w:rFonts w:ascii="Calibri" w:hAnsi="Calibri" w:cs="FrankRuehl" w:hint="eastAsia"/>
          <w:sz w:val="26"/>
          <w:szCs w:val="26"/>
          <w:rtl/>
        </w:rPr>
        <w:t>₪</w:t>
      </w:r>
      <w:r w:rsidRPr="00E523A9">
        <w:rPr>
          <w:rFonts w:ascii="Calibri" w:hAnsi="Calibri" w:cs="FrankRuehl" w:hint="cs"/>
          <w:sz w:val="26"/>
          <w:szCs w:val="26"/>
          <w:rtl/>
        </w:rPr>
        <w:t>, וזאת כאשר הנאשם שלח אחר כדי למסור לשוטר את הסם ולקבל ממנו את הכסף, הואיל ולטענת הנאשם, שהה באילת.</w:t>
      </w:r>
    </w:p>
    <w:p w14:paraId="6B8CDFCD" w14:textId="77777777" w:rsidR="00E523A9" w:rsidRPr="00E523A9" w:rsidRDefault="00E523A9" w:rsidP="00E523A9">
      <w:pPr>
        <w:spacing w:after="160" w:line="360" w:lineRule="auto"/>
        <w:jc w:val="both"/>
        <w:rPr>
          <w:rFonts w:ascii="Calibri" w:hAnsi="Calibri" w:cs="FrankRuehl"/>
          <w:sz w:val="26"/>
          <w:szCs w:val="26"/>
          <w:rtl/>
        </w:rPr>
      </w:pPr>
      <w:r w:rsidRPr="00E523A9">
        <w:rPr>
          <w:rFonts w:ascii="Calibri" w:hAnsi="Calibri" w:cs="FrankRuehl" w:hint="cs"/>
          <w:b/>
          <w:bCs/>
          <w:sz w:val="26"/>
          <w:szCs w:val="26"/>
          <w:rtl/>
        </w:rPr>
        <w:t>על-פי האישום השישי</w:t>
      </w:r>
      <w:r w:rsidRPr="00E523A9">
        <w:rPr>
          <w:rFonts w:ascii="Calibri" w:hAnsi="Calibri" w:cs="FrankRuehl" w:hint="cs"/>
          <w:sz w:val="26"/>
          <w:szCs w:val="26"/>
          <w:rtl/>
        </w:rPr>
        <w:t>, ביום 29.8.2017, במסגרת חיפוש על הנאשם וביצוע צו מעצר נגדו, נתפסו עליו ג'וינט של סם מסוג קנבוס לצריכתו העצמית.</w:t>
      </w:r>
    </w:p>
    <w:p w14:paraId="1672A19A" w14:textId="77777777" w:rsidR="00E523A9" w:rsidRPr="00E523A9" w:rsidRDefault="00E523A9" w:rsidP="00E523A9">
      <w:pPr>
        <w:spacing w:after="160" w:line="360" w:lineRule="auto"/>
        <w:jc w:val="both"/>
        <w:rPr>
          <w:rFonts w:ascii="Calibri" w:hAnsi="Calibri" w:cs="FrankRuehl"/>
          <w:sz w:val="26"/>
          <w:szCs w:val="26"/>
          <w:rtl/>
        </w:rPr>
      </w:pPr>
      <w:r w:rsidRPr="00E523A9">
        <w:rPr>
          <w:rFonts w:ascii="Calibri" w:hAnsi="Calibri" w:cs="FrankRuehl" w:hint="cs"/>
          <w:sz w:val="26"/>
          <w:szCs w:val="26"/>
          <w:rtl/>
        </w:rPr>
        <w:t xml:space="preserve">בגין כל אלה, יוחס לנאשם ביצוע 5 עבירות של </w:t>
      </w:r>
      <w:r w:rsidRPr="00E523A9">
        <w:rPr>
          <w:rFonts w:ascii="Calibri" w:hAnsi="Calibri" w:cs="FrankRuehl" w:hint="cs"/>
          <w:b/>
          <w:bCs/>
          <w:sz w:val="26"/>
          <w:szCs w:val="26"/>
          <w:rtl/>
        </w:rPr>
        <w:t>סחר סם מסוכן</w:t>
      </w:r>
      <w:r w:rsidRPr="00E523A9">
        <w:rPr>
          <w:rFonts w:ascii="Calibri" w:hAnsi="Calibri" w:cs="FrankRuehl" w:hint="cs"/>
          <w:sz w:val="26"/>
          <w:szCs w:val="26"/>
          <w:rtl/>
        </w:rPr>
        <w:t xml:space="preserve"> , לפי </w:t>
      </w:r>
      <w:hyperlink r:id="rId18" w:history="1">
        <w:r w:rsidR="0044679A" w:rsidRPr="0044679A">
          <w:rPr>
            <w:rFonts w:ascii="Calibri" w:hAnsi="Calibri" w:cs="FrankRuehl" w:hint="eastAsia"/>
            <w:color w:val="0000FF"/>
            <w:sz w:val="26"/>
            <w:szCs w:val="26"/>
            <w:u w:val="single"/>
            <w:rtl/>
          </w:rPr>
          <w:t>סעיפים</w:t>
        </w:r>
        <w:r w:rsidR="0044679A" w:rsidRPr="0044679A">
          <w:rPr>
            <w:rFonts w:ascii="Calibri" w:hAnsi="Calibri" w:cs="FrankRuehl"/>
            <w:color w:val="0000FF"/>
            <w:sz w:val="26"/>
            <w:szCs w:val="26"/>
            <w:u w:val="single"/>
            <w:rtl/>
          </w:rPr>
          <w:t xml:space="preserve"> 13</w:t>
        </w:r>
      </w:hyperlink>
      <w:r w:rsidRPr="00E523A9">
        <w:rPr>
          <w:rFonts w:ascii="Calibri" w:hAnsi="Calibri" w:cs="FrankRuehl" w:hint="cs"/>
          <w:sz w:val="26"/>
          <w:szCs w:val="26"/>
          <w:rtl/>
        </w:rPr>
        <w:t xml:space="preserve"> ו-</w:t>
      </w:r>
      <w:hyperlink r:id="rId19" w:history="1">
        <w:r w:rsidR="0044679A" w:rsidRPr="0044679A">
          <w:rPr>
            <w:rFonts w:ascii="Calibri" w:hAnsi="Calibri" w:cs="FrankRuehl"/>
            <w:color w:val="0000FF"/>
            <w:sz w:val="26"/>
            <w:szCs w:val="26"/>
            <w:u w:val="single"/>
            <w:rtl/>
          </w:rPr>
          <w:t>19</w:t>
        </w:r>
        <w:r w:rsidR="0044679A" w:rsidRPr="0044679A">
          <w:rPr>
            <w:rFonts w:ascii="Calibri" w:hAnsi="Calibri" w:cs="FrankRuehl" w:hint="eastAsia"/>
            <w:color w:val="0000FF"/>
            <w:sz w:val="26"/>
            <w:szCs w:val="26"/>
            <w:u w:val="single"/>
            <w:rtl/>
          </w:rPr>
          <w:t>א</w:t>
        </w:r>
      </w:hyperlink>
      <w:r w:rsidRPr="00E523A9">
        <w:rPr>
          <w:rFonts w:ascii="Calibri" w:hAnsi="Calibri" w:cs="FrankRuehl" w:hint="cs"/>
          <w:sz w:val="26"/>
          <w:szCs w:val="26"/>
          <w:rtl/>
        </w:rPr>
        <w:t xml:space="preserve"> לפקודת הסמים, כאשר בשני מקרים דובר גם </w:t>
      </w:r>
      <w:r w:rsidRPr="00E523A9">
        <w:rPr>
          <w:rFonts w:ascii="Calibri" w:hAnsi="Calibri" w:cs="FrankRuehl" w:hint="cs"/>
          <w:b/>
          <w:bCs/>
          <w:sz w:val="26"/>
          <w:szCs w:val="26"/>
          <w:rtl/>
        </w:rPr>
        <w:t>בסחר בצוותא</w:t>
      </w:r>
      <w:r w:rsidRPr="00E523A9">
        <w:rPr>
          <w:rFonts w:ascii="Calibri" w:hAnsi="Calibri" w:cs="FrankRuehl" w:hint="cs"/>
          <w:sz w:val="26"/>
          <w:szCs w:val="26"/>
          <w:rtl/>
        </w:rPr>
        <w:t xml:space="preserve">, לפי </w:t>
      </w:r>
      <w:hyperlink r:id="rId20" w:history="1">
        <w:r w:rsidR="0044679A" w:rsidRPr="0044679A">
          <w:rPr>
            <w:rFonts w:ascii="Calibri" w:hAnsi="Calibri" w:cs="FrankRuehl" w:hint="eastAsia"/>
            <w:color w:val="0000FF"/>
            <w:sz w:val="26"/>
            <w:szCs w:val="26"/>
            <w:u w:val="single"/>
            <w:rtl/>
          </w:rPr>
          <w:t>סעיף</w:t>
        </w:r>
        <w:r w:rsidR="0044679A" w:rsidRPr="0044679A">
          <w:rPr>
            <w:rFonts w:ascii="Calibri" w:hAnsi="Calibri" w:cs="FrankRuehl"/>
            <w:color w:val="0000FF"/>
            <w:sz w:val="26"/>
            <w:szCs w:val="26"/>
            <w:u w:val="single"/>
            <w:rtl/>
          </w:rPr>
          <w:t xml:space="preserve"> 29</w:t>
        </w:r>
      </w:hyperlink>
      <w:r w:rsidRPr="00E523A9">
        <w:rPr>
          <w:rFonts w:ascii="Calibri" w:hAnsi="Calibri" w:cs="FrankRuehl" w:hint="cs"/>
          <w:sz w:val="26"/>
          <w:szCs w:val="26"/>
          <w:rtl/>
        </w:rPr>
        <w:t xml:space="preserve"> ל</w:t>
      </w:r>
      <w:hyperlink r:id="rId21" w:history="1">
        <w:r w:rsidR="001730FD" w:rsidRPr="001730FD">
          <w:rPr>
            <w:rFonts w:ascii="Calibri" w:hAnsi="Calibri" w:cs="FrankRuehl" w:hint="eastAsia"/>
            <w:color w:val="0000FF"/>
            <w:sz w:val="26"/>
            <w:szCs w:val="26"/>
            <w:u w:val="single"/>
            <w:rtl/>
          </w:rPr>
          <w:t>חוק</w:t>
        </w:r>
        <w:r w:rsidR="001730FD" w:rsidRPr="001730FD">
          <w:rPr>
            <w:rFonts w:ascii="Calibri" w:hAnsi="Calibri" w:cs="FrankRuehl"/>
            <w:color w:val="0000FF"/>
            <w:sz w:val="26"/>
            <w:szCs w:val="26"/>
            <w:u w:val="single"/>
            <w:rtl/>
          </w:rPr>
          <w:t xml:space="preserve"> </w:t>
        </w:r>
        <w:r w:rsidR="001730FD" w:rsidRPr="001730FD">
          <w:rPr>
            <w:rFonts w:ascii="Calibri" w:hAnsi="Calibri" w:cs="FrankRuehl" w:hint="eastAsia"/>
            <w:color w:val="0000FF"/>
            <w:sz w:val="26"/>
            <w:szCs w:val="26"/>
            <w:u w:val="single"/>
            <w:rtl/>
          </w:rPr>
          <w:t>העונשין</w:t>
        </w:r>
      </w:hyperlink>
      <w:r w:rsidRPr="00E523A9">
        <w:rPr>
          <w:rFonts w:ascii="Calibri" w:hAnsi="Calibri" w:cs="FrankRuehl" w:hint="cs"/>
          <w:sz w:val="26"/>
          <w:szCs w:val="26"/>
          <w:rtl/>
        </w:rPr>
        <w:t xml:space="preserve">, התשל"ז-1977 (להלן </w:t>
      </w:r>
      <w:r w:rsidRPr="00E523A9">
        <w:rPr>
          <w:rFonts w:ascii="Calibri" w:hAnsi="Calibri" w:cs="FrankRuehl"/>
          <w:sz w:val="26"/>
          <w:szCs w:val="26"/>
          <w:rtl/>
        </w:rPr>
        <w:t>–</w:t>
      </w:r>
      <w:r w:rsidRPr="00E523A9">
        <w:rPr>
          <w:rFonts w:ascii="Calibri" w:hAnsi="Calibri" w:cs="FrankRuehl" w:hint="cs"/>
          <w:sz w:val="26"/>
          <w:szCs w:val="26"/>
          <w:rtl/>
        </w:rPr>
        <w:t xml:space="preserve"> </w:t>
      </w:r>
      <w:r w:rsidRPr="00E523A9">
        <w:rPr>
          <w:rFonts w:ascii="Calibri" w:hAnsi="Calibri" w:cs="FrankRuehl" w:hint="cs"/>
          <w:b/>
          <w:bCs/>
          <w:sz w:val="26"/>
          <w:szCs w:val="26"/>
          <w:rtl/>
        </w:rPr>
        <w:t>חוק העונשין</w:t>
      </w:r>
      <w:r w:rsidRPr="00E523A9">
        <w:rPr>
          <w:rFonts w:ascii="Calibri" w:hAnsi="Calibri" w:cs="FrankRuehl" w:hint="cs"/>
          <w:sz w:val="26"/>
          <w:szCs w:val="26"/>
          <w:rtl/>
        </w:rPr>
        <w:t xml:space="preserve">). כמו כן יוחס לו ביצוע עבירה של </w:t>
      </w:r>
      <w:r w:rsidRPr="00E523A9">
        <w:rPr>
          <w:rFonts w:ascii="Calibri" w:hAnsi="Calibri" w:cs="FrankRuehl" w:hint="cs"/>
          <w:b/>
          <w:bCs/>
          <w:sz w:val="26"/>
          <w:szCs w:val="26"/>
          <w:rtl/>
        </w:rPr>
        <w:t>החזקת סמים לשימושו העצמי</w:t>
      </w:r>
      <w:r w:rsidRPr="00E523A9">
        <w:rPr>
          <w:rFonts w:ascii="Calibri" w:hAnsi="Calibri" w:cs="FrankRuehl" w:hint="cs"/>
          <w:sz w:val="26"/>
          <w:szCs w:val="26"/>
          <w:rtl/>
        </w:rPr>
        <w:t xml:space="preserve">, לפי </w:t>
      </w:r>
      <w:hyperlink r:id="rId22" w:history="1">
        <w:r w:rsidR="0044679A" w:rsidRPr="0044679A">
          <w:rPr>
            <w:rFonts w:ascii="Calibri" w:hAnsi="Calibri" w:cs="FrankRuehl" w:hint="eastAsia"/>
            <w:color w:val="0000FF"/>
            <w:sz w:val="26"/>
            <w:szCs w:val="26"/>
            <w:u w:val="single"/>
            <w:rtl/>
          </w:rPr>
          <w:t>סעיפי</w:t>
        </w:r>
        <w:r w:rsidR="0044679A" w:rsidRPr="0044679A">
          <w:rPr>
            <w:rFonts w:ascii="Calibri" w:hAnsi="Calibri" w:cs="FrankRuehl"/>
            <w:color w:val="0000FF"/>
            <w:sz w:val="26"/>
            <w:szCs w:val="26"/>
            <w:u w:val="single"/>
            <w:rtl/>
          </w:rPr>
          <w:t xml:space="preserve"> 7(</w:t>
        </w:r>
        <w:r w:rsidR="0044679A" w:rsidRPr="0044679A">
          <w:rPr>
            <w:rFonts w:ascii="Calibri" w:hAnsi="Calibri" w:cs="FrankRuehl" w:hint="eastAsia"/>
            <w:color w:val="0000FF"/>
            <w:sz w:val="26"/>
            <w:szCs w:val="26"/>
            <w:u w:val="single"/>
            <w:rtl/>
          </w:rPr>
          <w:t>א</w:t>
        </w:r>
        <w:r w:rsidR="0044679A" w:rsidRPr="0044679A">
          <w:rPr>
            <w:rFonts w:ascii="Calibri" w:hAnsi="Calibri" w:cs="FrankRuehl"/>
            <w:color w:val="0000FF"/>
            <w:sz w:val="26"/>
            <w:szCs w:val="26"/>
            <w:u w:val="single"/>
            <w:rtl/>
          </w:rPr>
          <w:t>)</w:t>
        </w:r>
      </w:hyperlink>
      <w:r w:rsidRPr="00E523A9">
        <w:rPr>
          <w:rFonts w:ascii="Calibri" w:hAnsi="Calibri" w:cs="FrankRuehl" w:hint="cs"/>
          <w:sz w:val="26"/>
          <w:szCs w:val="26"/>
          <w:rtl/>
        </w:rPr>
        <w:t xml:space="preserve"> ו-</w:t>
      </w:r>
      <w:hyperlink r:id="rId23" w:history="1">
        <w:r w:rsidR="0044679A" w:rsidRPr="0044679A">
          <w:rPr>
            <w:rFonts w:ascii="Calibri" w:hAnsi="Calibri" w:cs="FrankRuehl"/>
            <w:color w:val="0000FF"/>
            <w:sz w:val="26"/>
            <w:szCs w:val="26"/>
            <w:u w:val="single"/>
            <w:rtl/>
          </w:rPr>
          <w:t>7(</w:t>
        </w:r>
        <w:r w:rsidR="0044679A" w:rsidRPr="0044679A">
          <w:rPr>
            <w:rFonts w:ascii="Calibri" w:hAnsi="Calibri" w:cs="FrankRuehl" w:hint="eastAsia"/>
            <w:color w:val="0000FF"/>
            <w:sz w:val="26"/>
            <w:szCs w:val="26"/>
            <w:u w:val="single"/>
            <w:rtl/>
          </w:rPr>
          <w:t>ג</w:t>
        </w:r>
        <w:r w:rsidR="0044679A" w:rsidRPr="0044679A">
          <w:rPr>
            <w:rFonts w:ascii="Calibri" w:hAnsi="Calibri" w:cs="FrankRuehl"/>
            <w:color w:val="0000FF"/>
            <w:sz w:val="26"/>
            <w:szCs w:val="26"/>
            <w:u w:val="single"/>
            <w:rtl/>
          </w:rPr>
          <w:t>)</w:t>
        </w:r>
      </w:hyperlink>
      <w:r w:rsidRPr="00E523A9">
        <w:rPr>
          <w:rFonts w:ascii="Calibri" w:hAnsi="Calibri" w:cs="FrankRuehl" w:hint="cs"/>
          <w:sz w:val="26"/>
          <w:szCs w:val="26"/>
          <w:rtl/>
        </w:rPr>
        <w:t xml:space="preserve"> סיפא לפקודת הסמים. </w:t>
      </w:r>
    </w:p>
    <w:p w14:paraId="46AE5A9A" w14:textId="77777777" w:rsidR="00E523A9" w:rsidRPr="00E523A9" w:rsidRDefault="00E523A9" w:rsidP="00E523A9">
      <w:pPr>
        <w:spacing w:after="160" w:line="360" w:lineRule="auto"/>
        <w:jc w:val="both"/>
        <w:rPr>
          <w:rFonts w:ascii="Calibri" w:hAnsi="Calibri" w:cs="FrankRuehl"/>
          <w:sz w:val="26"/>
          <w:szCs w:val="26"/>
          <w:rtl/>
        </w:rPr>
      </w:pPr>
      <w:bookmarkStart w:id="6" w:name="ABSTRACT_END"/>
      <w:bookmarkEnd w:id="6"/>
      <w:r w:rsidRPr="00E523A9">
        <w:rPr>
          <w:rFonts w:ascii="Calibri" w:hAnsi="Calibri" w:cs="FrankRuehl" w:hint="cs"/>
          <w:sz w:val="26"/>
          <w:szCs w:val="26"/>
          <w:rtl/>
        </w:rPr>
        <w:t>הנאשם הורשע בכל האמור על-פי הודאתו ללא כל הסדר טיעון.</w:t>
      </w:r>
    </w:p>
    <w:p w14:paraId="29D68EA1" w14:textId="77777777" w:rsidR="00E523A9" w:rsidRPr="00E523A9" w:rsidRDefault="00E523A9" w:rsidP="00E523A9">
      <w:pPr>
        <w:spacing w:after="160" w:line="360" w:lineRule="auto"/>
        <w:jc w:val="both"/>
        <w:rPr>
          <w:rFonts w:ascii="Calibri" w:hAnsi="Calibri" w:cs="FrankRuehl"/>
          <w:b/>
          <w:bCs/>
          <w:sz w:val="26"/>
          <w:szCs w:val="26"/>
          <w:u w:val="single"/>
          <w:rtl/>
        </w:rPr>
      </w:pPr>
    </w:p>
    <w:p w14:paraId="272A714F" w14:textId="77777777" w:rsidR="00E523A9" w:rsidRPr="00E523A9" w:rsidRDefault="00E523A9" w:rsidP="00E523A9">
      <w:pPr>
        <w:spacing w:after="160" w:line="360" w:lineRule="auto"/>
        <w:jc w:val="both"/>
        <w:rPr>
          <w:rFonts w:ascii="Calibri" w:hAnsi="Calibri" w:cs="FrankRuehl"/>
          <w:b/>
          <w:bCs/>
          <w:sz w:val="26"/>
          <w:szCs w:val="26"/>
          <w:u w:val="single"/>
          <w:rtl/>
        </w:rPr>
      </w:pPr>
      <w:r w:rsidRPr="00E523A9">
        <w:rPr>
          <w:rFonts w:ascii="Calibri" w:hAnsi="Calibri" w:cs="FrankRuehl" w:hint="cs"/>
          <w:b/>
          <w:bCs/>
          <w:sz w:val="26"/>
          <w:szCs w:val="26"/>
          <w:u w:val="single"/>
          <w:rtl/>
        </w:rPr>
        <w:t>מהלך הדיון</w:t>
      </w:r>
    </w:p>
    <w:p w14:paraId="2249ADBB" w14:textId="77777777" w:rsidR="00E523A9" w:rsidRPr="00E523A9" w:rsidRDefault="00E523A9" w:rsidP="00E523A9">
      <w:pPr>
        <w:spacing w:after="160" w:line="360" w:lineRule="auto"/>
        <w:jc w:val="both"/>
        <w:rPr>
          <w:rFonts w:ascii="Calibri" w:hAnsi="Calibri" w:cs="FrankRuehl"/>
          <w:sz w:val="26"/>
          <w:szCs w:val="26"/>
          <w:rtl/>
        </w:rPr>
      </w:pPr>
      <w:r w:rsidRPr="00E523A9">
        <w:rPr>
          <w:rFonts w:ascii="Calibri" w:hAnsi="Calibri" w:cs="FrankRuehl" w:hint="cs"/>
          <w:sz w:val="26"/>
          <w:szCs w:val="26"/>
          <w:rtl/>
        </w:rPr>
        <w:t>הנאשם הגיע אלי במסגרת תיק מעצר עד לתום ההליכים. לאחר קבלת תסקירים בעניינו והודאתו, הוריתי ביום 9.11.2017 על שחרורו למעצר  בית מלא תוך שילובו במרכז יום, על-פי המלצת שירות המבחן (</w:t>
      </w:r>
      <w:r w:rsidRPr="00E523A9">
        <w:rPr>
          <w:rFonts w:ascii="Calibri" w:hAnsi="Calibri" w:cs="FrankRuehl" w:hint="cs"/>
          <w:b/>
          <w:bCs/>
          <w:sz w:val="26"/>
          <w:szCs w:val="26"/>
          <w:rtl/>
        </w:rPr>
        <w:t>לאחר שהנאשם היה עצור מסוף חודש אוגוסט ועד תחילת חודש נובמבר 2017, כחודשיים וחצי</w:t>
      </w:r>
      <w:r w:rsidRPr="00E523A9">
        <w:rPr>
          <w:rFonts w:ascii="Calibri" w:hAnsi="Calibri" w:cs="FrankRuehl" w:hint="cs"/>
          <w:sz w:val="26"/>
          <w:szCs w:val="26"/>
          <w:rtl/>
        </w:rPr>
        <w:t xml:space="preserve">). על החלטה אחרונה זו לא הוגש ערר (לא מצאתי למקם לפרט הליכים קודמים בהקשר זה). ביום 4.2.2018, לנוכח התקדמות בתהליך הטיפולי הוריתי על דחיית הדיון בעניינו במספר  חודשים נוספים, תוך שתנאי השחרור נותרו על כנם. בשל התרופפות שיתוף הפעולה של הנאשם עם הטיפול, הזהרתיו בדיון מיום 20.6.2018 מפני תוצאת האמור, וההשלכות העונשיות שיהיו לכך, והדיון נדחה פעם נוספת. תמונה מעודדת יותר התקבלה בתסקיר מאוחר שהוגש, וביום 16.7.2018, אז דחיתי את המשך הדיון תוך שהקלתי במידת מה בתנאי השחרור, והסרתי את הצורך בליווי אל הטיפול וממנו. ביום 17.9.2018 לנוכח התמדת הנאשם בטיפול ושיפור רב במידת שיתוף הפעולה שלו עם השירות, אפשרתי לו לצאת לעבודה בפיקוח ודחיתי את המשך הדיון לקבלת תסקיר משלים. בדיון מיום 12.11.2018 הוריתי על הקלה נוספת בתנאי שחרורו של הנאשם  והותרתי אותו במעצר בית לילי, לנוכח התקדמות הטיפול. בדיון שהתקיים ביום 20.2.2019 התברר כי הנאשם ממשיך בשיתוף פעולה חיובי עם שירות המבחן, מתמיד בטיפול </w:t>
      </w:r>
      <w:r w:rsidRPr="00E523A9">
        <w:rPr>
          <w:rFonts w:ascii="Calibri" w:hAnsi="Calibri" w:cs="FrankRuehl" w:hint="cs"/>
          <w:sz w:val="26"/>
          <w:szCs w:val="26"/>
          <w:rtl/>
        </w:rPr>
        <w:lastRenderedPageBreak/>
        <w:t xml:space="preserve">פרטני, ממשיך למסור בדיקות שתן נקיות, ובאופן כללי, מתפקד כראוי. הוסכם על דחיה נוספת לצורך מיצוי התהליך הטיפולי, אם כי המדינה חזרה על עמדתה העונשית למאסר בפועל. </w:t>
      </w:r>
    </w:p>
    <w:p w14:paraId="7F9AA417" w14:textId="77777777" w:rsidR="00E523A9" w:rsidRPr="00E523A9" w:rsidRDefault="00E523A9" w:rsidP="00E523A9">
      <w:pPr>
        <w:spacing w:after="160" w:line="360" w:lineRule="auto"/>
        <w:jc w:val="both"/>
        <w:rPr>
          <w:rFonts w:ascii="Calibri" w:hAnsi="Calibri" w:cs="FrankRuehl"/>
          <w:b/>
          <w:bCs/>
          <w:sz w:val="26"/>
          <w:szCs w:val="26"/>
          <w:u w:val="single"/>
          <w:rtl/>
        </w:rPr>
      </w:pPr>
    </w:p>
    <w:p w14:paraId="6A95F94B" w14:textId="77777777" w:rsidR="00E523A9" w:rsidRPr="00E523A9" w:rsidRDefault="00E523A9" w:rsidP="00E523A9">
      <w:pPr>
        <w:spacing w:after="160" w:line="360" w:lineRule="auto"/>
        <w:jc w:val="both"/>
        <w:rPr>
          <w:rFonts w:ascii="Calibri" w:hAnsi="Calibri" w:cs="FrankRuehl"/>
          <w:b/>
          <w:bCs/>
          <w:sz w:val="26"/>
          <w:szCs w:val="26"/>
          <w:u w:val="single"/>
        </w:rPr>
      </w:pPr>
      <w:r w:rsidRPr="00E523A9">
        <w:rPr>
          <w:rFonts w:ascii="Calibri" w:hAnsi="Calibri" w:cs="FrankRuehl" w:hint="cs"/>
          <w:b/>
          <w:bCs/>
          <w:sz w:val="26"/>
          <w:szCs w:val="26"/>
          <w:u w:val="single"/>
          <w:rtl/>
        </w:rPr>
        <w:t>טיעונים לעונש</w:t>
      </w:r>
    </w:p>
    <w:p w14:paraId="1689A4AA" w14:textId="77777777" w:rsidR="00E523A9" w:rsidRPr="00E523A9" w:rsidRDefault="00E523A9" w:rsidP="00E523A9">
      <w:pPr>
        <w:spacing w:after="160" w:line="360" w:lineRule="auto"/>
        <w:jc w:val="both"/>
        <w:rPr>
          <w:rFonts w:ascii="Calibri" w:hAnsi="Calibri" w:cs="FrankRuehl"/>
          <w:sz w:val="26"/>
          <w:szCs w:val="26"/>
          <w:rtl/>
        </w:rPr>
      </w:pPr>
      <w:r w:rsidRPr="00E523A9">
        <w:rPr>
          <w:rFonts w:ascii="Calibri" w:hAnsi="Calibri" w:cs="FrankRuehl" w:hint="cs"/>
          <w:sz w:val="26"/>
          <w:szCs w:val="26"/>
          <w:rtl/>
        </w:rPr>
        <w:t xml:space="preserve">הצדדים לא הגיעו להסכמה עונשית. </w:t>
      </w:r>
    </w:p>
    <w:p w14:paraId="397ECF3F" w14:textId="77777777" w:rsidR="00E523A9" w:rsidRPr="00E523A9" w:rsidRDefault="00E523A9" w:rsidP="00E523A9">
      <w:pPr>
        <w:spacing w:after="160" w:line="360" w:lineRule="auto"/>
        <w:jc w:val="both"/>
        <w:rPr>
          <w:rFonts w:ascii="Calibri" w:hAnsi="Calibri" w:cs="FrankRuehl"/>
          <w:sz w:val="26"/>
          <w:szCs w:val="26"/>
          <w:rtl/>
        </w:rPr>
      </w:pPr>
      <w:r w:rsidRPr="00E523A9">
        <w:rPr>
          <w:rFonts w:ascii="Calibri" w:hAnsi="Calibri" w:cs="FrankRuehl" w:hint="cs"/>
          <w:sz w:val="26"/>
          <w:szCs w:val="26"/>
          <w:rtl/>
        </w:rPr>
        <w:t xml:space="preserve">מחד, המאשימה טוענת, כי יש להטיל על הנאשם 24 חודשי מאסר לנוכח חומרת העבירות, ומתחמי הענישה הנטענים על-ידה וכן ענישה נלווית. המאשימה סבורה כי הנאשם לא עבר תהליך שיקומי מעמיק שמצדיק חריגה ממתחמי הענישה הנטענים. </w:t>
      </w:r>
    </w:p>
    <w:p w14:paraId="50E17449" w14:textId="77777777" w:rsidR="00E523A9" w:rsidRPr="00E523A9" w:rsidRDefault="00E523A9" w:rsidP="00E523A9">
      <w:pPr>
        <w:spacing w:after="160" w:line="360" w:lineRule="auto"/>
        <w:jc w:val="both"/>
        <w:rPr>
          <w:rFonts w:ascii="Calibri" w:hAnsi="Calibri" w:cs="FrankRuehl"/>
          <w:sz w:val="26"/>
          <w:szCs w:val="26"/>
          <w:rtl/>
        </w:rPr>
      </w:pPr>
      <w:r w:rsidRPr="00E523A9">
        <w:rPr>
          <w:rFonts w:ascii="Calibri" w:hAnsi="Calibri" w:cs="FrankRuehl" w:hint="cs"/>
          <w:sz w:val="26"/>
          <w:szCs w:val="26"/>
          <w:rtl/>
        </w:rPr>
        <w:t xml:space="preserve">מאידך, הסניגור טוען כי יש לאמץ את המלצת שירות המבחן לנוכח התהליך הטיפולי והשיקומי שעבר הנאשם. </w:t>
      </w:r>
    </w:p>
    <w:p w14:paraId="7436EA89" w14:textId="77777777" w:rsidR="00E523A9" w:rsidRPr="00E523A9" w:rsidRDefault="00E523A9" w:rsidP="00E523A9">
      <w:pPr>
        <w:spacing w:after="160" w:line="360" w:lineRule="auto"/>
        <w:jc w:val="both"/>
        <w:rPr>
          <w:rFonts w:ascii="Calibri" w:hAnsi="Calibri" w:cs="FrankRuehl"/>
          <w:b/>
          <w:bCs/>
          <w:sz w:val="26"/>
          <w:szCs w:val="26"/>
          <w:u w:val="single"/>
          <w:rtl/>
        </w:rPr>
      </w:pPr>
    </w:p>
    <w:p w14:paraId="79D077B0" w14:textId="77777777" w:rsidR="00E523A9" w:rsidRPr="00E523A9" w:rsidRDefault="00E523A9" w:rsidP="00E523A9">
      <w:pPr>
        <w:spacing w:after="160" w:line="360" w:lineRule="auto"/>
        <w:jc w:val="both"/>
        <w:rPr>
          <w:rFonts w:ascii="Calibri" w:hAnsi="Calibri" w:cs="FrankRuehl"/>
          <w:b/>
          <w:bCs/>
          <w:sz w:val="26"/>
          <w:szCs w:val="26"/>
          <w:u w:val="single"/>
          <w:rtl/>
        </w:rPr>
      </w:pPr>
      <w:r w:rsidRPr="00E523A9">
        <w:rPr>
          <w:rFonts w:ascii="Calibri" w:hAnsi="Calibri" w:cs="FrankRuehl" w:hint="cs"/>
          <w:b/>
          <w:bCs/>
          <w:sz w:val="26"/>
          <w:szCs w:val="26"/>
          <w:u w:val="single"/>
          <w:rtl/>
        </w:rPr>
        <w:t>תסקיר</w:t>
      </w:r>
    </w:p>
    <w:p w14:paraId="4D8C86C2" w14:textId="77777777" w:rsidR="00E523A9" w:rsidRPr="00E523A9" w:rsidRDefault="00E523A9" w:rsidP="00E523A9">
      <w:pPr>
        <w:spacing w:after="160" w:line="360" w:lineRule="auto"/>
        <w:jc w:val="both"/>
        <w:rPr>
          <w:rFonts w:ascii="Calibri" w:hAnsi="Calibri" w:cs="FrankRuehl"/>
          <w:sz w:val="26"/>
          <w:szCs w:val="26"/>
          <w:rtl/>
        </w:rPr>
      </w:pPr>
      <w:r w:rsidRPr="00E523A9">
        <w:rPr>
          <w:rFonts w:ascii="Calibri" w:hAnsi="Calibri" w:cs="FrankRuehl" w:hint="cs"/>
          <w:sz w:val="26"/>
          <w:szCs w:val="26"/>
          <w:rtl/>
        </w:rPr>
        <w:t>בעניינו של הנאשם הוגשו מספר תסקירים.</w:t>
      </w:r>
    </w:p>
    <w:p w14:paraId="231AA901" w14:textId="77777777" w:rsidR="00E523A9" w:rsidRPr="00E523A9" w:rsidRDefault="00E523A9" w:rsidP="00E523A9">
      <w:pPr>
        <w:spacing w:after="160" w:line="360" w:lineRule="auto"/>
        <w:jc w:val="both"/>
        <w:rPr>
          <w:rFonts w:ascii="Calibri" w:hAnsi="Calibri" w:cs="FrankRuehl"/>
          <w:sz w:val="26"/>
          <w:szCs w:val="26"/>
          <w:rtl/>
        </w:rPr>
      </w:pPr>
      <w:r w:rsidRPr="00E523A9">
        <w:rPr>
          <w:rFonts w:ascii="Calibri" w:hAnsi="Calibri" w:cs="FrankRuehl" w:hint="cs"/>
          <w:sz w:val="26"/>
          <w:szCs w:val="26"/>
          <w:rtl/>
        </w:rPr>
        <w:t xml:space="preserve">מהתסקירים עולה כי הנאשם כבן 23, בקשר זוגי, ואב לשתי בנות פעוטות. טרם מעצרו עבד כמדביר. שנה וחצי לפני שנעצר בתיק זה, הוא שוחרר מריצוי מאסר קודם בן 7 חודשים, ותלוי ועומד נגדו עונש מאסר על-תנאי של 6 חודשים, בר-הפעלה בתיק זה. שירות המבחן עמד על קורות משפחתו וקורותיו של הנאשם. הנאשם סיים 11 שנות לימוד, בין היתר, הודות לשילובו בפרוייקט "הילה", אך בד בבד החל להתרועע עם חברה עבריינית, הסתבך בפלילים והחל לצרוך סמים. הוא הופטר משירות צבאי על רקע זה. הוא עבר ניסיונות טיפוליים ב"מלכישוע" וב"רטורנו" ללא הצלחה. שירות המבחן עמד על הטיפול שעבר הנאשם. גם אם הטיפול ידע עליות ומורדות, בעיקר מבחינת מידת הישמעות הנאשם לכללי מרכז היום, הרי שבסך הכל, שירות המבחן מתרשם כי הנאשם עבר תהליך טיפולי ושיקומי חיובי אליו נתרם בכנות ובמרץ, ומידת שיתוף הפעולה שלו טובה. ביחס לנטילת אחריות, שירות המבחן התרשם מנטילת אחריות חלקית, במובן זה שהנאשם הבין כי פעל באופן בעייתי ובלתי חוקי, ואף הביע צער על מעשיו. עם זאת, השירות סבר כי הנאשם התקשה לבחון את המניעים לביצוע מעשיו, והוא מרוכז בעיקר  בנזקים שנגרמו לו. שירות המבחן העריך כי העבירות בוצעו על רקע השתרשות דפוסים עברייניים והתמכרותיים בנאשם. שירות המבחן התרשם, כי לצד מוקדי סיכון בדמות האימפולסיביות המאפיינת את הנאשם ומעשיו בעבר על רקע התמכרותי, רצונו בשינוי דפוסי מחשבתו והתנהגותו הוא אמיתי והוא נרתם לטיפול שבו הוא מתמיד תקופה ארוכה יחסית, תוך מסירת בדיקות שתן נקיות. </w:t>
      </w:r>
    </w:p>
    <w:p w14:paraId="50D24DC0" w14:textId="77777777" w:rsidR="00E523A9" w:rsidRPr="00E523A9" w:rsidRDefault="00E523A9" w:rsidP="00E523A9">
      <w:pPr>
        <w:spacing w:after="160" w:line="360" w:lineRule="auto"/>
        <w:jc w:val="both"/>
        <w:rPr>
          <w:rFonts w:ascii="Calibri" w:hAnsi="Calibri" w:cs="FrankRuehl"/>
          <w:sz w:val="26"/>
          <w:szCs w:val="26"/>
          <w:rtl/>
        </w:rPr>
      </w:pPr>
      <w:r w:rsidRPr="00E523A9">
        <w:rPr>
          <w:rFonts w:ascii="Calibri" w:hAnsi="Calibri" w:cs="FrankRuehl" w:hint="cs"/>
          <w:sz w:val="26"/>
          <w:szCs w:val="26"/>
          <w:rtl/>
        </w:rPr>
        <w:t>בתסקיר האחרון מחודש יוני 2019, שירות המבחן מציין כי לאורך ההליך הפלילי, הנאשם הצליח, במקביל לתהליך הטיפולי, לבסס לעצמו שגרת חיים סדורה שבה הוא גאה, שהיוותה גורם מסייע בטיפול. נכון ליוני 2019, הוא חי עם בת זוגו ובנותיו, נוטל חלק משמעותי בגידול הבנות ועתיד להינשא בסוף חודש אוגוסט. הוא הביע חשש מגזר דין שיקטע את המהלך החיובי של חייו ויוריד לטימיון את הישגיו עד היום. שירות המבחן שוחח עם המעסיק, וזה שיבח את הנאשם על היותו עובד מסור רציני ואחראי, שאף הוחלט לשלבו בקורס מקצועי במסגרת מקצוע המנופאות, כחלק מראייה ביחס לקידומו המקצועי בעתיד.  הוגשה על אסמכתא במהלך הטיעונים לעונש (נ/1).</w:t>
      </w:r>
    </w:p>
    <w:p w14:paraId="2EFD960B" w14:textId="77777777" w:rsidR="00E523A9" w:rsidRPr="00E523A9" w:rsidRDefault="00E523A9" w:rsidP="00E523A9">
      <w:pPr>
        <w:spacing w:after="160" w:line="360" w:lineRule="auto"/>
        <w:jc w:val="both"/>
        <w:rPr>
          <w:rFonts w:ascii="Calibri" w:hAnsi="Calibri" w:cs="FrankRuehl"/>
          <w:sz w:val="26"/>
          <w:szCs w:val="26"/>
          <w:rtl/>
        </w:rPr>
      </w:pPr>
      <w:r w:rsidRPr="00E523A9">
        <w:rPr>
          <w:rFonts w:ascii="Calibri" w:hAnsi="Calibri" w:cs="FrankRuehl" w:hint="cs"/>
          <w:sz w:val="26"/>
          <w:szCs w:val="26"/>
          <w:rtl/>
        </w:rPr>
        <w:t xml:space="preserve">לנוכח ההישגים הרבים אליהם הגיע הנאשם ברמה הטיפולית, השיקומית, המשפחתית ומקצועית, אגב הליך זה, וכן  נוכח גילו הצעיר, המליץ שירות המבחן על הארכת המאסר המותנה, על הטלת של"ץ בהיקף 380 שעות ועל הטלת צו מבחן. </w:t>
      </w:r>
    </w:p>
    <w:p w14:paraId="5171EEEC" w14:textId="77777777" w:rsidR="00E523A9" w:rsidRPr="00E523A9" w:rsidRDefault="00E523A9" w:rsidP="00E523A9">
      <w:pPr>
        <w:spacing w:after="160" w:line="360" w:lineRule="auto"/>
        <w:jc w:val="both"/>
        <w:rPr>
          <w:rFonts w:ascii="Calibri" w:hAnsi="Calibri" w:cs="FrankRuehl"/>
          <w:b/>
          <w:bCs/>
          <w:sz w:val="26"/>
          <w:szCs w:val="26"/>
          <w:u w:val="single"/>
          <w:rtl/>
        </w:rPr>
      </w:pPr>
    </w:p>
    <w:p w14:paraId="1AE7C627" w14:textId="77777777" w:rsidR="00E523A9" w:rsidRPr="00E523A9" w:rsidRDefault="00E523A9" w:rsidP="00E523A9">
      <w:pPr>
        <w:spacing w:after="160" w:line="360" w:lineRule="auto"/>
        <w:jc w:val="both"/>
        <w:rPr>
          <w:rFonts w:ascii="Calibri" w:hAnsi="Calibri" w:cs="FrankRuehl"/>
          <w:b/>
          <w:bCs/>
          <w:sz w:val="26"/>
          <w:szCs w:val="26"/>
          <w:u w:val="single"/>
          <w:rtl/>
        </w:rPr>
      </w:pPr>
      <w:r w:rsidRPr="00E523A9">
        <w:rPr>
          <w:rFonts w:ascii="Calibri" w:hAnsi="Calibri" w:cs="FrankRuehl" w:hint="cs"/>
          <w:b/>
          <w:bCs/>
          <w:sz w:val="26"/>
          <w:szCs w:val="26"/>
          <w:u w:val="single"/>
          <w:rtl/>
        </w:rPr>
        <w:t>חוות דעת של הממונה על עבודות השירות</w:t>
      </w:r>
    </w:p>
    <w:p w14:paraId="48A987A8" w14:textId="77777777" w:rsidR="00E523A9" w:rsidRPr="00E523A9" w:rsidRDefault="00E523A9" w:rsidP="00E523A9">
      <w:pPr>
        <w:spacing w:after="160" w:line="360" w:lineRule="auto"/>
        <w:jc w:val="both"/>
        <w:rPr>
          <w:rFonts w:ascii="Calibri" w:hAnsi="Calibri" w:cs="FrankRuehl"/>
          <w:sz w:val="26"/>
          <w:szCs w:val="26"/>
          <w:rtl/>
        </w:rPr>
      </w:pPr>
      <w:r w:rsidRPr="00E523A9">
        <w:rPr>
          <w:rFonts w:ascii="Calibri" w:hAnsi="Calibri" w:cs="FrankRuehl" w:hint="cs"/>
          <w:sz w:val="26"/>
          <w:szCs w:val="26"/>
          <w:rtl/>
        </w:rPr>
        <w:t xml:space="preserve">למרות שהנאשם נשלח לממונה וככל הנראה הוא התייצב אצלו, לא הוגשה חוות דעת בטענה כי הנאשם לא התייצב. </w:t>
      </w:r>
    </w:p>
    <w:p w14:paraId="2AC6086E" w14:textId="77777777" w:rsidR="00E523A9" w:rsidRPr="00E523A9" w:rsidRDefault="00E523A9" w:rsidP="00E523A9">
      <w:pPr>
        <w:spacing w:after="160" w:line="360" w:lineRule="auto"/>
        <w:jc w:val="both"/>
        <w:rPr>
          <w:rFonts w:ascii="Calibri" w:hAnsi="Calibri" w:cs="FrankRuehl"/>
          <w:sz w:val="26"/>
          <w:szCs w:val="26"/>
          <w:rtl/>
        </w:rPr>
      </w:pPr>
    </w:p>
    <w:p w14:paraId="0A3E39FB" w14:textId="77777777" w:rsidR="00E523A9" w:rsidRPr="00E523A9" w:rsidRDefault="00E523A9" w:rsidP="00E523A9">
      <w:pPr>
        <w:spacing w:after="160" w:line="360" w:lineRule="auto"/>
        <w:jc w:val="both"/>
        <w:rPr>
          <w:rFonts w:ascii="Calibri" w:hAnsi="Calibri" w:cs="FrankRuehl"/>
          <w:b/>
          <w:bCs/>
          <w:sz w:val="26"/>
          <w:szCs w:val="26"/>
          <w:u w:val="single"/>
          <w:rtl/>
        </w:rPr>
      </w:pPr>
      <w:r w:rsidRPr="00E523A9">
        <w:rPr>
          <w:rFonts w:ascii="Calibri" w:hAnsi="Calibri" w:cs="FrankRuehl" w:hint="cs"/>
          <w:b/>
          <w:bCs/>
          <w:sz w:val="26"/>
          <w:szCs w:val="26"/>
          <w:u w:val="single"/>
          <w:rtl/>
        </w:rPr>
        <w:t xml:space="preserve">קביעת מתחם הענישה </w:t>
      </w:r>
      <w:r w:rsidRPr="00E523A9">
        <w:rPr>
          <w:rFonts w:ascii="Calibri" w:hAnsi="Calibri" w:cs="FrankRuehl" w:hint="cs"/>
          <w:sz w:val="26"/>
          <w:szCs w:val="26"/>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104319BE" w14:textId="77777777" w:rsidR="00E523A9" w:rsidRPr="00E523A9" w:rsidRDefault="00E523A9" w:rsidP="00E523A9">
      <w:pPr>
        <w:spacing w:after="160" w:line="360" w:lineRule="auto"/>
        <w:jc w:val="both"/>
        <w:rPr>
          <w:rFonts w:ascii="Calibri" w:hAnsi="Calibri" w:cs="FrankRuehl"/>
          <w:b/>
          <w:bCs/>
          <w:sz w:val="26"/>
          <w:szCs w:val="26"/>
          <w:u w:val="single"/>
          <w:rtl/>
        </w:rPr>
      </w:pPr>
    </w:p>
    <w:p w14:paraId="793F5367" w14:textId="77777777" w:rsidR="00E523A9" w:rsidRPr="00E523A9" w:rsidRDefault="00E523A9" w:rsidP="00E523A9">
      <w:pPr>
        <w:spacing w:after="160" w:line="360" w:lineRule="auto"/>
        <w:jc w:val="both"/>
        <w:rPr>
          <w:rFonts w:ascii="Calibri" w:hAnsi="Calibri" w:cs="FrankRuehl"/>
          <w:sz w:val="26"/>
          <w:szCs w:val="26"/>
          <w:rtl/>
        </w:rPr>
      </w:pPr>
      <w:r w:rsidRPr="00E523A9">
        <w:rPr>
          <w:rFonts w:ascii="Calibri" w:hAnsi="Calibri" w:cs="FrankRuehl" w:hint="cs"/>
          <w:b/>
          <w:bCs/>
          <w:sz w:val="26"/>
          <w:szCs w:val="26"/>
          <w:u w:val="single"/>
          <w:rtl/>
        </w:rPr>
        <w:t xml:space="preserve">אשר לערך המוגן </w:t>
      </w:r>
      <w:r w:rsidRPr="00E523A9">
        <w:rPr>
          <w:rFonts w:ascii="Calibri" w:hAnsi="Calibri" w:cs="FrankRuehl" w:hint="cs"/>
          <w:sz w:val="26"/>
          <w:szCs w:val="26"/>
          <w:rtl/>
        </w:rPr>
        <w:t xml:space="preserve">– העבירות אותן עבר הנאשם פוגעות בערך המוגן של שמירה על שלום הציבור ובריאותו מפני נגע הסמים, שאינו מבחין בין "סמים קלים" ל"סמים קשים", שתוצאות השימוש בהם וההתמכרות אליהם קשות, ארוכות טווח ורחבות היקף וחורגות מעניינו של אדם אחד, ונוגעות לכלל החברה. בהקשר לסחר בסמים, בתי המשפט נוטים להחמיר בענישה, ולעתים קרובות, מדובר בענישה של מאסר בפועל ואף לתקופות לא קצרות. </w:t>
      </w:r>
    </w:p>
    <w:p w14:paraId="0D6F9E44" w14:textId="77777777" w:rsidR="00E523A9" w:rsidRPr="00E523A9" w:rsidRDefault="00E523A9" w:rsidP="00E523A9">
      <w:pPr>
        <w:spacing w:after="160" w:line="360" w:lineRule="auto"/>
        <w:jc w:val="both"/>
        <w:rPr>
          <w:rFonts w:ascii="Calibri" w:hAnsi="Calibri" w:cs="FrankRuehl"/>
          <w:b/>
          <w:bCs/>
          <w:sz w:val="26"/>
          <w:szCs w:val="26"/>
          <w:u w:val="single"/>
          <w:rtl/>
        </w:rPr>
      </w:pPr>
    </w:p>
    <w:p w14:paraId="0E175652" w14:textId="77777777" w:rsidR="00E523A9" w:rsidRPr="00E523A9" w:rsidRDefault="00E523A9" w:rsidP="00E523A9">
      <w:pPr>
        <w:spacing w:after="160" w:line="360" w:lineRule="auto"/>
        <w:jc w:val="both"/>
        <w:rPr>
          <w:rFonts w:ascii="Calibri" w:hAnsi="Calibri" w:cs="FrankRuehl"/>
          <w:sz w:val="26"/>
          <w:szCs w:val="26"/>
          <w:rtl/>
        </w:rPr>
      </w:pPr>
      <w:r w:rsidRPr="00E523A9">
        <w:rPr>
          <w:rFonts w:ascii="Calibri" w:hAnsi="Calibri" w:cs="FrankRuehl" w:hint="cs"/>
          <w:b/>
          <w:bCs/>
          <w:sz w:val="26"/>
          <w:szCs w:val="26"/>
          <w:u w:val="single"/>
          <w:rtl/>
        </w:rPr>
        <w:t xml:space="preserve">נסיבות הקשורות בביצוע העבירה, לפי </w:t>
      </w:r>
      <w:hyperlink r:id="rId24" w:history="1">
        <w:r w:rsidR="0044679A" w:rsidRPr="0044679A">
          <w:rPr>
            <w:rFonts w:ascii="Calibri" w:hAnsi="Calibri" w:cs="FrankRuehl" w:hint="eastAsia"/>
            <w:b/>
            <w:bCs/>
            <w:color w:val="0000FF"/>
            <w:sz w:val="26"/>
            <w:szCs w:val="26"/>
            <w:u w:val="single"/>
            <w:rtl/>
          </w:rPr>
          <w:t>סעיף</w:t>
        </w:r>
        <w:r w:rsidR="0044679A" w:rsidRPr="0044679A">
          <w:rPr>
            <w:rFonts w:ascii="Calibri" w:hAnsi="Calibri" w:cs="FrankRuehl"/>
            <w:b/>
            <w:bCs/>
            <w:color w:val="0000FF"/>
            <w:sz w:val="26"/>
            <w:szCs w:val="26"/>
            <w:u w:val="single"/>
            <w:rtl/>
          </w:rPr>
          <w:t xml:space="preserve"> 40</w:t>
        </w:r>
        <w:r w:rsidR="0044679A" w:rsidRPr="0044679A">
          <w:rPr>
            <w:rFonts w:ascii="Calibri" w:hAnsi="Calibri" w:cs="FrankRuehl" w:hint="eastAsia"/>
            <w:b/>
            <w:bCs/>
            <w:color w:val="0000FF"/>
            <w:sz w:val="26"/>
            <w:szCs w:val="26"/>
            <w:u w:val="single"/>
            <w:rtl/>
          </w:rPr>
          <w:t>ט</w:t>
        </w:r>
        <w:r w:rsidR="0044679A" w:rsidRPr="0044679A">
          <w:rPr>
            <w:rFonts w:ascii="Calibri" w:hAnsi="Calibri" w:cs="FrankRuehl"/>
            <w:b/>
            <w:bCs/>
            <w:color w:val="0000FF"/>
            <w:sz w:val="26"/>
            <w:szCs w:val="26"/>
            <w:u w:val="single"/>
            <w:rtl/>
          </w:rPr>
          <w:t>'</w:t>
        </w:r>
      </w:hyperlink>
      <w:r w:rsidRPr="00E523A9">
        <w:rPr>
          <w:rFonts w:ascii="Calibri" w:hAnsi="Calibri" w:cs="FrankRuehl" w:hint="cs"/>
          <w:b/>
          <w:bCs/>
          <w:sz w:val="26"/>
          <w:szCs w:val="26"/>
          <w:u w:val="single"/>
          <w:rtl/>
        </w:rPr>
        <w:t xml:space="preserve"> ל</w:t>
      </w:r>
      <w:hyperlink r:id="rId25" w:history="1">
        <w:r w:rsidR="001730FD" w:rsidRPr="001730FD">
          <w:rPr>
            <w:rFonts w:ascii="Calibri" w:hAnsi="Calibri" w:cs="FrankRuehl" w:hint="eastAsia"/>
            <w:b/>
            <w:bCs/>
            <w:color w:val="0000FF"/>
            <w:sz w:val="26"/>
            <w:szCs w:val="26"/>
            <w:u w:val="single"/>
            <w:rtl/>
          </w:rPr>
          <w:t>חוק</w:t>
        </w:r>
        <w:r w:rsidR="001730FD" w:rsidRPr="001730FD">
          <w:rPr>
            <w:rFonts w:ascii="Calibri" w:hAnsi="Calibri" w:cs="FrankRuehl"/>
            <w:b/>
            <w:bCs/>
            <w:color w:val="0000FF"/>
            <w:sz w:val="26"/>
            <w:szCs w:val="26"/>
            <w:u w:val="single"/>
            <w:rtl/>
          </w:rPr>
          <w:t xml:space="preserve"> </w:t>
        </w:r>
        <w:r w:rsidR="001730FD" w:rsidRPr="001730FD">
          <w:rPr>
            <w:rFonts w:ascii="Calibri" w:hAnsi="Calibri" w:cs="FrankRuehl" w:hint="eastAsia"/>
            <w:b/>
            <w:bCs/>
            <w:color w:val="0000FF"/>
            <w:sz w:val="26"/>
            <w:szCs w:val="26"/>
            <w:u w:val="single"/>
            <w:rtl/>
          </w:rPr>
          <w:t>העונשין</w:t>
        </w:r>
      </w:hyperlink>
      <w:r w:rsidRPr="00E523A9">
        <w:rPr>
          <w:rFonts w:ascii="Calibri" w:hAnsi="Calibri" w:cs="FrankRuehl" w:hint="cs"/>
          <w:b/>
          <w:bCs/>
          <w:sz w:val="26"/>
          <w:szCs w:val="26"/>
          <w:rtl/>
        </w:rPr>
        <w:t xml:space="preserve"> – </w:t>
      </w:r>
      <w:r w:rsidRPr="00E523A9">
        <w:rPr>
          <w:rFonts w:ascii="Calibri" w:hAnsi="Calibri" w:cs="FrankRuehl" w:hint="cs"/>
          <w:sz w:val="26"/>
          <w:szCs w:val="26"/>
          <w:rtl/>
        </w:rPr>
        <w:t xml:space="preserve">בין הנסיבות הקשורות בביצוע העבירה יש לשקול את אלה, לעניין קביעת המתחם: מדובר בעבירות שבוצעו בתכנון ובאמצעות תיאום מוקדם טלפוני, שימוש בקודים ואף שימוש בנוספים על-מנת להשלים ביצוע מקצת מהעסקאות, כאשר לנאשם אין היכרות מוקדמת עם הסוכן, דבר המהווה נסיבה לחומרה; הנאשם אחראי באופן בלעדי לביצוע העבירות ויכול היה להימנע מביצוען; על הנזק שבעבירות סמים עמדתי בסוקרי את הערך המוגן </w:t>
      </w:r>
      <w:r w:rsidRPr="00E523A9">
        <w:rPr>
          <w:rFonts w:ascii="Calibri" w:hAnsi="Calibri" w:cs="FrankRuehl"/>
          <w:sz w:val="26"/>
          <w:szCs w:val="26"/>
          <w:rtl/>
        </w:rPr>
        <w:t>–</w:t>
      </w:r>
      <w:r w:rsidRPr="00E523A9">
        <w:rPr>
          <w:rFonts w:ascii="Calibri" w:hAnsi="Calibri" w:cs="FrankRuehl" w:hint="cs"/>
          <w:sz w:val="26"/>
          <w:szCs w:val="26"/>
          <w:rtl/>
        </w:rPr>
        <w:t xml:space="preserve"> במקרנו לא נגרם נזק ממשי לנוכח זהות הקונה, שהנו שוטר סמוי; ההתרשמות היא כי לנוכח אופן ביצוע העבירות, המניע לביצוען היה בצע כסף ודפוסי אישיותו של הנאשם, כפי שעמד עליהם שירות המבחן.</w:t>
      </w:r>
    </w:p>
    <w:p w14:paraId="3057436F" w14:textId="77777777" w:rsidR="00E523A9" w:rsidRPr="00E523A9" w:rsidRDefault="00E523A9" w:rsidP="00E523A9">
      <w:pPr>
        <w:spacing w:after="160" w:line="360" w:lineRule="auto"/>
        <w:jc w:val="both"/>
        <w:rPr>
          <w:rFonts w:ascii="Calibri" w:hAnsi="Calibri" w:cs="FrankRuehl"/>
          <w:sz w:val="26"/>
          <w:szCs w:val="26"/>
          <w:rtl/>
        </w:rPr>
      </w:pPr>
    </w:p>
    <w:p w14:paraId="1EC2C348" w14:textId="77777777" w:rsidR="00E523A9" w:rsidRPr="00DC47C6" w:rsidRDefault="00E523A9" w:rsidP="00E523A9">
      <w:pPr>
        <w:spacing w:after="160" w:line="360" w:lineRule="auto"/>
        <w:jc w:val="both"/>
        <w:rPr>
          <w:rFonts w:ascii="Arial" w:hAnsi="Arial" w:cs="FrankRuehl"/>
          <w:sz w:val="26"/>
          <w:szCs w:val="26"/>
        </w:rPr>
      </w:pPr>
      <w:r w:rsidRPr="00E523A9">
        <w:rPr>
          <w:rFonts w:ascii="Calibri" w:hAnsi="Calibri" w:cs="FrankRuehl" w:hint="cs"/>
          <w:b/>
          <w:bCs/>
          <w:sz w:val="26"/>
          <w:szCs w:val="26"/>
          <w:u w:val="single"/>
          <w:rtl/>
        </w:rPr>
        <w:t>מדיניות הענישה הנוהגת</w:t>
      </w:r>
      <w:r w:rsidRPr="00E523A9">
        <w:rPr>
          <w:rFonts w:ascii="Calibri" w:hAnsi="Calibri" w:cs="FrankRuehl" w:hint="cs"/>
          <w:b/>
          <w:bCs/>
          <w:sz w:val="26"/>
          <w:szCs w:val="26"/>
          <w:rtl/>
        </w:rPr>
        <w:t xml:space="preserve"> – </w:t>
      </w:r>
      <w:r w:rsidRPr="00DC47C6">
        <w:rPr>
          <w:rFonts w:ascii="Arial" w:hAnsi="Arial" w:cs="FrankRuehl" w:hint="cs"/>
          <w:sz w:val="26"/>
          <w:szCs w:val="26"/>
          <w:rtl/>
        </w:rPr>
        <w:t>הכלל בסחר בסמים הוא מאסר בפועל כפי שניתן להתרשם מהפסיקה. עם זאת, בנסיבות של סחר בחשיש או קנביס בכמויות קטנות ייתכן גם סיום הליכים בדרך של עבודות שירות. ב</w:t>
      </w:r>
      <w:hyperlink r:id="rId26" w:history="1">
        <w:r w:rsidR="001730FD" w:rsidRPr="001730FD">
          <w:rPr>
            <w:rFonts w:ascii="Arial" w:hAnsi="Arial" w:cs="FrankRuehl"/>
            <w:color w:val="0000FF"/>
            <w:sz w:val="26"/>
            <w:szCs w:val="26"/>
            <w:u w:val="single"/>
            <w:rtl/>
          </w:rPr>
          <w:t>רע"פ 2139/16</w:t>
        </w:r>
      </w:hyperlink>
      <w:r w:rsidRPr="00DC47C6">
        <w:rPr>
          <w:rFonts w:ascii="Arial" w:hAnsi="Arial" w:cs="FrankRuehl" w:hint="cs"/>
          <w:sz w:val="26"/>
          <w:szCs w:val="26"/>
          <w:rtl/>
        </w:rPr>
        <w:t xml:space="preserve"> </w:t>
      </w:r>
      <w:r w:rsidRPr="001B32F2">
        <w:rPr>
          <w:rFonts w:ascii="Arial" w:hAnsi="Arial" w:cs="FrankRuehl" w:hint="cs"/>
          <w:b/>
          <w:bCs/>
          <w:sz w:val="26"/>
          <w:szCs w:val="26"/>
          <w:u w:val="single"/>
          <w:rtl/>
        </w:rPr>
        <w:t>אברמס</w:t>
      </w:r>
      <w:r w:rsidRPr="00DC47C6">
        <w:rPr>
          <w:rFonts w:ascii="Arial" w:hAnsi="Arial" w:cs="FrankRuehl" w:hint="cs"/>
          <w:sz w:val="26"/>
          <w:szCs w:val="26"/>
          <w:rtl/>
        </w:rPr>
        <w:t xml:space="preserve"> נ' </w:t>
      </w:r>
      <w:r w:rsidRPr="001B32F2">
        <w:rPr>
          <w:rFonts w:ascii="Arial" w:hAnsi="Arial" w:cs="FrankRuehl" w:hint="cs"/>
          <w:b/>
          <w:bCs/>
          <w:sz w:val="26"/>
          <w:szCs w:val="26"/>
          <w:u w:val="single"/>
          <w:rtl/>
        </w:rPr>
        <w:t>מ"י</w:t>
      </w:r>
      <w:r w:rsidRPr="00DC47C6">
        <w:rPr>
          <w:rFonts w:ascii="Arial" w:hAnsi="Arial" w:cs="FrankRuehl" w:hint="cs"/>
          <w:sz w:val="26"/>
          <w:szCs w:val="26"/>
          <w:rtl/>
        </w:rPr>
        <w:t xml:space="preserve"> קבע ביהמ"ש העליון ביחס לנאשם שסחר בסמים ב-3 הזדמנויות תמורת אלפי שקלים, מתחם ענישה שבין 8 חודשים ל-27 חודשים. מכאן יש לגזור לקולא בהתחשב ברמת הענישה הנוהגת ובמתחמי הענישה שנקבעו.  ב</w:t>
      </w:r>
      <w:hyperlink r:id="rId27" w:history="1">
        <w:r w:rsidR="001730FD" w:rsidRPr="001730FD">
          <w:rPr>
            <w:rFonts w:ascii="Arial" w:hAnsi="Arial" w:cs="FrankRuehl"/>
            <w:color w:val="0000FF"/>
            <w:sz w:val="26"/>
            <w:szCs w:val="26"/>
            <w:u w:val="single"/>
            <w:rtl/>
          </w:rPr>
          <w:t>ת"פ (ירושלים) 726-01-14</w:t>
        </w:r>
      </w:hyperlink>
      <w:r w:rsidRPr="00DC47C6">
        <w:rPr>
          <w:rFonts w:ascii="Arial" w:hAnsi="Arial" w:cs="FrankRuehl" w:hint="cs"/>
          <w:sz w:val="26"/>
          <w:szCs w:val="26"/>
          <w:rtl/>
        </w:rPr>
        <w:t xml:space="preserve"> </w:t>
      </w:r>
      <w:r w:rsidRPr="001B32F2">
        <w:rPr>
          <w:rFonts w:ascii="Arial" w:hAnsi="Arial" w:cs="FrankRuehl" w:hint="cs"/>
          <w:b/>
          <w:bCs/>
          <w:sz w:val="26"/>
          <w:szCs w:val="26"/>
          <w:u w:val="single"/>
          <w:rtl/>
        </w:rPr>
        <w:t>מ"י</w:t>
      </w:r>
      <w:r w:rsidRPr="001B32F2">
        <w:rPr>
          <w:rFonts w:ascii="Arial" w:hAnsi="Arial" w:cs="FrankRuehl" w:hint="cs"/>
          <w:b/>
          <w:bCs/>
          <w:sz w:val="26"/>
          <w:szCs w:val="26"/>
          <w:rtl/>
        </w:rPr>
        <w:t xml:space="preserve"> נ'</w:t>
      </w:r>
      <w:r>
        <w:rPr>
          <w:rFonts w:ascii="Arial" w:hAnsi="Arial" w:cs="FrankRuehl" w:hint="cs"/>
          <w:sz w:val="26"/>
          <w:szCs w:val="26"/>
          <w:rtl/>
        </w:rPr>
        <w:t xml:space="preserve"> </w:t>
      </w:r>
      <w:r w:rsidRPr="001B32F2">
        <w:rPr>
          <w:rFonts w:ascii="Arial" w:hAnsi="Arial" w:cs="FrankRuehl" w:hint="cs"/>
          <w:b/>
          <w:bCs/>
          <w:sz w:val="26"/>
          <w:szCs w:val="26"/>
          <w:u w:val="single"/>
          <w:rtl/>
        </w:rPr>
        <w:t>זייתון</w:t>
      </w:r>
      <w:r w:rsidRPr="00DC47C6">
        <w:rPr>
          <w:rFonts w:ascii="Arial" w:hAnsi="Arial" w:cs="FrankRuehl" w:hint="cs"/>
          <w:sz w:val="26"/>
          <w:szCs w:val="26"/>
          <w:rtl/>
        </w:rPr>
        <w:t xml:space="preserve"> (מיום 21.7.14) נקבע מתחם ענישה של בין 3 חודשים ל-10 חודשים בנסיבות דומות; ב</w:t>
      </w:r>
      <w:hyperlink r:id="rId28" w:history="1">
        <w:r w:rsidR="001730FD" w:rsidRPr="001730FD">
          <w:rPr>
            <w:rFonts w:ascii="Arial" w:hAnsi="Arial" w:cs="FrankRuehl"/>
            <w:color w:val="0000FF"/>
            <w:sz w:val="26"/>
            <w:szCs w:val="26"/>
            <w:u w:val="single"/>
            <w:rtl/>
          </w:rPr>
          <w:t>ת"פ (ירושלים) 17400-02-14</w:t>
        </w:r>
      </w:hyperlink>
      <w:r w:rsidRPr="00DC47C6">
        <w:rPr>
          <w:rFonts w:ascii="Arial" w:hAnsi="Arial" w:cs="FrankRuehl" w:hint="cs"/>
          <w:sz w:val="26"/>
          <w:szCs w:val="26"/>
          <w:rtl/>
        </w:rPr>
        <w:t xml:space="preserve"> </w:t>
      </w:r>
      <w:r w:rsidRPr="001B32F2">
        <w:rPr>
          <w:rFonts w:ascii="Arial" w:hAnsi="Arial" w:cs="FrankRuehl" w:hint="cs"/>
          <w:b/>
          <w:bCs/>
          <w:sz w:val="26"/>
          <w:szCs w:val="26"/>
          <w:u w:val="single"/>
          <w:rtl/>
        </w:rPr>
        <w:t>מ"י</w:t>
      </w:r>
      <w:r w:rsidRPr="001B32F2">
        <w:rPr>
          <w:rFonts w:ascii="Arial" w:hAnsi="Arial" w:cs="FrankRuehl" w:hint="cs"/>
          <w:b/>
          <w:bCs/>
          <w:sz w:val="26"/>
          <w:szCs w:val="26"/>
          <w:rtl/>
        </w:rPr>
        <w:t xml:space="preserve"> נ'</w:t>
      </w:r>
      <w:r>
        <w:rPr>
          <w:rFonts w:ascii="Arial" w:hAnsi="Arial" w:cs="FrankRuehl" w:hint="cs"/>
          <w:sz w:val="26"/>
          <w:szCs w:val="26"/>
          <w:rtl/>
        </w:rPr>
        <w:t xml:space="preserve"> </w:t>
      </w:r>
      <w:r w:rsidRPr="001B32F2">
        <w:rPr>
          <w:rFonts w:ascii="Arial" w:hAnsi="Arial" w:cs="FrankRuehl" w:hint="cs"/>
          <w:b/>
          <w:bCs/>
          <w:sz w:val="26"/>
          <w:szCs w:val="26"/>
          <w:u w:val="single"/>
          <w:rtl/>
        </w:rPr>
        <w:t>גובראן</w:t>
      </w:r>
      <w:r w:rsidRPr="00DC47C6">
        <w:rPr>
          <w:rFonts w:ascii="Arial" w:hAnsi="Arial" w:cs="FrankRuehl" w:hint="cs"/>
          <w:sz w:val="26"/>
          <w:szCs w:val="26"/>
          <w:rtl/>
        </w:rPr>
        <w:t xml:space="preserve"> (מיום 2.7.14) נקבע מתחם ענישה שבין חודש לשישה חודשים. </w:t>
      </w:r>
    </w:p>
    <w:p w14:paraId="30CA5F59" w14:textId="77777777" w:rsidR="00E523A9" w:rsidRPr="00DC47C6" w:rsidRDefault="00E523A9" w:rsidP="00E523A9">
      <w:pPr>
        <w:spacing w:line="360" w:lineRule="auto"/>
        <w:jc w:val="both"/>
        <w:rPr>
          <w:rFonts w:ascii="Arial" w:hAnsi="Arial" w:cs="FrankRuehl"/>
          <w:sz w:val="26"/>
          <w:szCs w:val="26"/>
          <w:rtl/>
        </w:rPr>
      </w:pPr>
    </w:p>
    <w:p w14:paraId="5EB8AA07" w14:textId="77777777" w:rsidR="00E523A9" w:rsidRPr="00DC47C6" w:rsidRDefault="00E523A9" w:rsidP="00E523A9">
      <w:pPr>
        <w:spacing w:line="360" w:lineRule="auto"/>
        <w:jc w:val="both"/>
        <w:rPr>
          <w:rFonts w:ascii="Arial" w:hAnsi="Arial" w:cs="FrankRuehl"/>
          <w:sz w:val="26"/>
          <w:szCs w:val="26"/>
          <w:rtl/>
        </w:rPr>
      </w:pPr>
      <w:r w:rsidRPr="00DC47C6">
        <w:rPr>
          <w:rFonts w:ascii="Arial" w:hAnsi="Arial" w:cs="FrankRuehl" w:hint="cs"/>
          <w:sz w:val="26"/>
          <w:szCs w:val="26"/>
          <w:rtl/>
        </w:rPr>
        <w:t>אשר לקביעת מתחם כולל או נפרד לכל עבירה אני קובע כי ניתן לראות את העבירות כאירוע אחד וזאת עלפי מבחן הקשר ההדוק – מדובר באירועים סמוכים זה לזה כאשר הם בוצעו בין אותם משתתפים (</w:t>
      </w:r>
      <w:hyperlink r:id="rId29" w:history="1">
        <w:r w:rsidR="001730FD" w:rsidRPr="001730FD">
          <w:rPr>
            <w:rFonts w:ascii="Arial" w:hAnsi="Arial" w:cs="FrankRuehl"/>
            <w:color w:val="0000FF"/>
            <w:sz w:val="26"/>
            <w:szCs w:val="26"/>
            <w:u w:val="single"/>
            <w:rtl/>
          </w:rPr>
          <w:t>ע"פ 4910/13</w:t>
        </w:r>
      </w:hyperlink>
      <w:r w:rsidRPr="00DC47C6">
        <w:rPr>
          <w:rFonts w:ascii="Arial" w:hAnsi="Arial" w:cs="FrankRuehl" w:hint="cs"/>
          <w:sz w:val="26"/>
          <w:szCs w:val="26"/>
          <w:rtl/>
        </w:rPr>
        <w:t xml:space="preserve"> </w:t>
      </w:r>
      <w:r w:rsidRPr="001B32F2">
        <w:rPr>
          <w:rFonts w:ascii="Arial" w:hAnsi="Arial" w:cs="FrankRuehl" w:hint="cs"/>
          <w:b/>
          <w:bCs/>
          <w:sz w:val="26"/>
          <w:szCs w:val="26"/>
          <w:u w:val="single"/>
          <w:rtl/>
        </w:rPr>
        <w:t>בני ג'אבר</w:t>
      </w:r>
      <w:r w:rsidRPr="00DC47C6">
        <w:rPr>
          <w:rFonts w:ascii="Arial" w:hAnsi="Arial" w:cs="FrankRuehl" w:hint="cs"/>
          <w:sz w:val="26"/>
          <w:szCs w:val="26"/>
          <w:rtl/>
        </w:rPr>
        <w:t xml:space="preserve">). </w:t>
      </w:r>
    </w:p>
    <w:p w14:paraId="6D5FC06E" w14:textId="77777777" w:rsidR="00E523A9" w:rsidRPr="00E523A9" w:rsidRDefault="00E523A9" w:rsidP="00E523A9">
      <w:pPr>
        <w:spacing w:after="160" w:line="360" w:lineRule="auto"/>
        <w:jc w:val="both"/>
        <w:rPr>
          <w:rFonts w:ascii="Calibri" w:hAnsi="Calibri" w:cs="FrankRuehl"/>
          <w:b/>
          <w:bCs/>
          <w:sz w:val="26"/>
          <w:szCs w:val="26"/>
          <w:u w:val="single"/>
          <w:rtl/>
        </w:rPr>
      </w:pPr>
    </w:p>
    <w:p w14:paraId="0D663FC3" w14:textId="77777777" w:rsidR="00E523A9" w:rsidRPr="00E523A9" w:rsidRDefault="00E523A9" w:rsidP="00E523A9">
      <w:pPr>
        <w:spacing w:after="160" w:line="360" w:lineRule="auto"/>
        <w:jc w:val="both"/>
        <w:rPr>
          <w:rFonts w:ascii="Calibri" w:hAnsi="Calibri" w:cs="FrankRuehl"/>
          <w:sz w:val="26"/>
          <w:szCs w:val="26"/>
          <w:rtl/>
        </w:rPr>
      </w:pPr>
      <w:r w:rsidRPr="00E523A9">
        <w:rPr>
          <w:rFonts w:ascii="Calibri" w:hAnsi="Calibri" w:cs="FrankRuehl" w:hint="cs"/>
          <w:b/>
          <w:bCs/>
          <w:sz w:val="26"/>
          <w:szCs w:val="26"/>
          <w:u w:val="single"/>
          <w:rtl/>
        </w:rPr>
        <w:t>מתחם הענישה</w:t>
      </w:r>
      <w:r w:rsidRPr="00E523A9">
        <w:rPr>
          <w:rFonts w:ascii="Calibri" w:hAnsi="Calibri" w:cs="FrankRuehl" w:hint="cs"/>
          <w:sz w:val="26"/>
          <w:szCs w:val="26"/>
          <w:rtl/>
        </w:rPr>
        <w:t xml:space="preserve"> – לפיכך, מתחם הכולל צריך לעמוד על בין 3 חודשי מאסר לרבות לריצוי בעבודות שירות, ועד 12 חודשי מאסר וענישה נלווית.</w:t>
      </w:r>
    </w:p>
    <w:p w14:paraId="26A8E2CC" w14:textId="77777777" w:rsidR="00E523A9" w:rsidRPr="00E523A9" w:rsidRDefault="00E523A9" w:rsidP="00E523A9">
      <w:pPr>
        <w:spacing w:after="160" w:line="360" w:lineRule="auto"/>
        <w:jc w:val="both"/>
        <w:rPr>
          <w:rFonts w:ascii="Calibri" w:hAnsi="Calibri" w:cs="FrankRuehl"/>
          <w:b/>
          <w:bCs/>
          <w:sz w:val="26"/>
          <w:szCs w:val="26"/>
          <w:u w:val="single"/>
          <w:rtl/>
        </w:rPr>
      </w:pPr>
    </w:p>
    <w:p w14:paraId="38118679" w14:textId="77777777" w:rsidR="00E523A9" w:rsidRPr="00E523A9" w:rsidRDefault="00E523A9" w:rsidP="00E523A9">
      <w:pPr>
        <w:spacing w:after="160" w:line="360" w:lineRule="auto"/>
        <w:jc w:val="both"/>
        <w:rPr>
          <w:rFonts w:ascii="Calibri" w:hAnsi="Calibri" w:cs="FrankRuehl"/>
          <w:sz w:val="26"/>
          <w:szCs w:val="26"/>
          <w:rtl/>
        </w:rPr>
      </w:pPr>
      <w:r w:rsidRPr="00E523A9">
        <w:rPr>
          <w:rFonts w:ascii="Calibri" w:hAnsi="Calibri" w:cs="FrankRuehl" w:hint="cs"/>
          <w:b/>
          <w:bCs/>
          <w:sz w:val="26"/>
          <w:szCs w:val="26"/>
          <w:u w:val="single"/>
          <w:rtl/>
        </w:rPr>
        <w:t xml:space="preserve">נסיבות שאינן קשורות בביצוע העבירה לפי </w:t>
      </w:r>
      <w:hyperlink r:id="rId30" w:history="1">
        <w:r w:rsidR="0044679A" w:rsidRPr="0044679A">
          <w:rPr>
            <w:rFonts w:ascii="Calibri" w:hAnsi="Calibri" w:cs="FrankRuehl" w:hint="eastAsia"/>
            <w:b/>
            <w:bCs/>
            <w:color w:val="0000FF"/>
            <w:sz w:val="26"/>
            <w:szCs w:val="26"/>
            <w:u w:val="single"/>
            <w:rtl/>
          </w:rPr>
          <w:t>סעיף</w:t>
        </w:r>
        <w:r w:rsidR="0044679A" w:rsidRPr="0044679A">
          <w:rPr>
            <w:rFonts w:ascii="Calibri" w:hAnsi="Calibri" w:cs="FrankRuehl"/>
            <w:b/>
            <w:bCs/>
            <w:color w:val="0000FF"/>
            <w:sz w:val="26"/>
            <w:szCs w:val="26"/>
            <w:u w:val="single"/>
            <w:rtl/>
          </w:rPr>
          <w:t xml:space="preserve"> 40</w:t>
        </w:r>
        <w:r w:rsidR="0044679A" w:rsidRPr="0044679A">
          <w:rPr>
            <w:rFonts w:ascii="Calibri" w:hAnsi="Calibri" w:cs="FrankRuehl" w:hint="eastAsia"/>
            <w:b/>
            <w:bCs/>
            <w:color w:val="0000FF"/>
            <w:sz w:val="26"/>
            <w:szCs w:val="26"/>
            <w:u w:val="single"/>
            <w:rtl/>
          </w:rPr>
          <w:t>י</w:t>
        </w:r>
        <w:r w:rsidR="0044679A" w:rsidRPr="0044679A">
          <w:rPr>
            <w:rFonts w:ascii="Calibri" w:hAnsi="Calibri" w:cs="FrankRuehl"/>
            <w:b/>
            <w:bCs/>
            <w:color w:val="0000FF"/>
            <w:sz w:val="26"/>
            <w:szCs w:val="26"/>
            <w:u w:val="single"/>
            <w:rtl/>
          </w:rPr>
          <w:t>"</w:t>
        </w:r>
        <w:r w:rsidR="0044679A" w:rsidRPr="0044679A">
          <w:rPr>
            <w:rFonts w:ascii="Calibri" w:hAnsi="Calibri" w:cs="FrankRuehl" w:hint="eastAsia"/>
            <w:b/>
            <w:bCs/>
            <w:color w:val="0000FF"/>
            <w:sz w:val="26"/>
            <w:szCs w:val="26"/>
            <w:u w:val="single"/>
            <w:rtl/>
          </w:rPr>
          <w:t>א</w:t>
        </w:r>
      </w:hyperlink>
      <w:r w:rsidRPr="00E523A9">
        <w:rPr>
          <w:rFonts w:ascii="Calibri" w:hAnsi="Calibri" w:cs="FrankRuehl" w:hint="cs"/>
          <w:b/>
          <w:bCs/>
          <w:sz w:val="26"/>
          <w:szCs w:val="26"/>
          <w:u w:val="single"/>
          <w:rtl/>
        </w:rPr>
        <w:t xml:space="preserve"> ל</w:t>
      </w:r>
      <w:hyperlink r:id="rId31" w:history="1">
        <w:r w:rsidR="001730FD" w:rsidRPr="001730FD">
          <w:rPr>
            <w:rFonts w:ascii="Calibri" w:hAnsi="Calibri" w:cs="FrankRuehl" w:hint="eastAsia"/>
            <w:b/>
            <w:bCs/>
            <w:color w:val="0000FF"/>
            <w:sz w:val="26"/>
            <w:szCs w:val="26"/>
            <w:u w:val="single"/>
            <w:rtl/>
          </w:rPr>
          <w:t>חוק</w:t>
        </w:r>
        <w:r w:rsidR="001730FD" w:rsidRPr="001730FD">
          <w:rPr>
            <w:rFonts w:ascii="Calibri" w:hAnsi="Calibri" w:cs="FrankRuehl"/>
            <w:b/>
            <w:bCs/>
            <w:color w:val="0000FF"/>
            <w:sz w:val="26"/>
            <w:szCs w:val="26"/>
            <w:u w:val="single"/>
            <w:rtl/>
          </w:rPr>
          <w:t xml:space="preserve"> </w:t>
        </w:r>
        <w:r w:rsidR="001730FD" w:rsidRPr="001730FD">
          <w:rPr>
            <w:rFonts w:ascii="Calibri" w:hAnsi="Calibri" w:cs="FrankRuehl" w:hint="eastAsia"/>
            <w:b/>
            <w:bCs/>
            <w:color w:val="0000FF"/>
            <w:sz w:val="26"/>
            <w:szCs w:val="26"/>
            <w:u w:val="single"/>
            <w:rtl/>
          </w:rPr>
          <w:t>העונשין</w:t>
        </w:r>
      </w:hyperlink>
      <w:r w:rsidRPr="00E523A9">
        <w:rPr>
          <w:rFonts w:ascii="Calibri" w:hAnsi="Calibri" w:cs="FrankRuehl" w:hint="cs"/>
          <w:b/>
          <w:bCs/>
          <w:sz w:val="26"/>
          <w:szCs w:val="26"/>
          <w:rtl/>
        </w:rPr>
        <w:t xml:space="preserve"> – </w:t>
      </w:r>
      <w:r w:rsidRPr="00E523A9">
        <w:rPr>
          <w:rFonts w:ascii="Calibri" w:hAnsi="Calibri" w:cs="FrankRuehl" w:hint="cs"/>
          <w:sz w:val="26"/>
          <w:szCs w:val="26"/>
          <w:rtl/>
        </w:rPr>
        <w:t xml:space="preserve">ניתן  לתת משקל לנסיבות הבאות שאינן קשורות בביצוע העבירה, במסגרת גזירת העונש בתוך המתחם: הנאשם ריצה מאסר קודם למרות גילו הצעיר, ולאחר כשנה וחצי שב לפשוע. אלא שלטעמי, שליחתו של הנאשם כעת למאסר, כשהוא אב לשתי בנות, שעבר תהליך טיפולי משמעותי, לא תעלה בקנה אחד עם האינטרס הציבורי, ואף לא עם זה הפרטני, משום שהחזרתו לכלא תפגע בו ובמשפחתו ותוריד לטימיון את התהליך הארוך והחיובי שעבר, למרות קשיים לא מעטים עמם התמודד, בסופו של דבר, בהצלחה; הנאשם שהה במעצר ממש תקופה לא קצרה של כחודשיים וחצי, ולאחר מכן שולב בטיפול בתנאי מעצר בית מלא, שהוקלו בהדרגה לאחר חודשים ארוכים; הנאשם הודה ללא הסדר טיעון ופעל לאורך תקופה ארוכה בהתאם להתחייבותו לטיפול. למרות דברי שירות המבחן, מעשיו של הנאשם מעידים כי נטל אחריות מלאה למעשיו; לנאשם עבר פלילי שיחסית לגילו הצעיר, עומד לו לרועץ. בנוסף תלוי ועומד נגדו מאסר מותנה בר-הפעלה של שישה חודשים, שהוטל עליו במסגרת </w:t>
      </w:r>
      <w:hyperlink r:id="rId32" w:history="1">
        <w:r w:rsidR="001730FD" w:rsidRPr="001730FD">
          <w:rPr>
            <w:rFonts w:ascii="Calibri" w:hAnsi="Calibri" w:cs="FrankRuehl" w:hint="eastAsia"/>
            <w:color w:val="0000FF"/>
            <w:sz w:val="26"/>
            <w:szCs w:val="26"/>
            <w:u w:val="single"/>
            <w:rtl/>
          </w:rPr>
          <w:t>ת</w:t>
        </w:r>
        <w:r w:rsidR="001730FD" w:rsidRPr="001730FD">
          <w:rPr>
            <w:rFonts w:ascii="Calibri" w:hAnsi="Calibri" w:cs="FrankRuehl"/>
            <w:color w:val="0000FF"/>
            <w:sz w:val="26"/>
            <w:szCs w:val="26"/>
            <w:u w:val="single"/>
            <w:rtl/>
          </w:rPr>
          <w:t>"</w:t>
        </w:r>
        <w:r w:rsidR="001730FD" w:rsidRPr="001730FD">
          <w:rPr>
            <w:rFonts w:ascii="Calibri" w:hAnsi="Calibri" w:cs="FrankRuehl" w:hint="eastAsia"/>
            <w:color w:val="0000FF"/>
            <w:sz w:val="26"/>
            <w:szCs w:val="26"/>
            <w:u w:val="single"/>
            <w:rtl/>
          </w:rPr>
          <w:t>פ</w:t>
        </w:r>
        <w:r w:rsidR="001730FD" w:rsidRPr="001730FD">
          <w:rPr>
            <w:rFonts w:ascii="Calibri" w:hAnsi="Calibri" w:cs="FrankRuehl"/>
            <w:color w:val="0000FF"/>
            <w:sz w:val="26"/>
            <w:szCs w:val="26"/>
            <w:u w:val="single"/>
            <w:rtl/>
          </w:rPr>
          <w:t xml:space="preserve"> (</w:t>
        </w:r>
        <w:r w:rsidR="001730FD" w:rsidRPr="001730FD">
          <w:rPr>
            <w:rFonts w:ascii="Calibri" w:hAnsi="Calibri" w:cs="FrankRuehl" w:hint="eastAsia"/>
            <w:color w:val="0000FF"/>
            <w:sz w:val="26"/>
            <w:szCs w:val="26"/>
            <w:u w:val="single"/>
            <w:rtl/>
          </w:rPr>
          <w:t>שלום</w:t>
        </w:r>
        <w:r w:rsidR="001730FD" w:rsidRPr="001730FD">
          <w:rPr>
            <w:rFonts w:ascii="Calibri" w:hAnsi="Calibri" w:cs="FrankRuehl"/>
            <w:color w:val="0000FF"/>
            <w:sz w:val="26"/>
            <w:szCs w:val="26"/>
            <w:u w:val="single"/>
            <w:rtl/>
          </w:rPr>
          <w:t xml:space="preserve"> </w:t>
        </w:r>
        <w:r w:rsidR="001730FD" w:rsidRPr="001730FD">
          <w:rPr>
            <w:rFonts w:ascii="Calibri" w:hAnsi="Calibri" w:cs="FrankRuehl" w:hint="eastAsia"/>
            <w:color w:val="0000FF"/>
            <w:sz w:val="26"/>
            <w:szCs w:val="26"/>
            <w:u w:val="single"/>
            <w:rtl/>
          </w:rPr>
          <w:t>י</w:t>
        </w:r>
        <w:r w:rsidR="001730FD" w:rsidRPr="001730FD">
          <w:rPr>
            <w:rFonts w:ascii="Calibri" w:hAnsi="Calibri" w:cs="FrankRuehl"/>
            <w:color w:val="0000FF"/>
            <w:sz w:val="26"/>
            <w:szCs w:val="26"/>
            <w:u w:val="single"/>
            <w:rtl/>
          </w:rPr>
          <w:t>-</w:t>
        </w:r>
        <w:r w:rsidR="001730FD" w:rsidRPr="001730FD">
          <w:rPr>
            <w:rFonts w:ascii="Calibri" w:hAnsi="Calibri" w:cs="FrankRuehl" w:hint="eastAsia"/>
            <w:color w:val="0000FF"/>
            <w:sz w:val="26"/>
            <w:szCs w:val="26"/>
            <w:u w:val="single"/>
            <w:rtl/>
          </w:rPr>
          <w:t>ם</w:t>
        </w:r>
        <w:r w:rsidR="001730FD" w:rsidRPr="001730FD">
          <w:rPr>
            <w:rFonts w:ascii="Calibri" w:hAnsi="Calibri" w:cs="FrankRuehl"/>
            <w:color w:val="0000FF"/>
            <w:sz w:val="26"/>
            <w:szCs w:val="26"/>
            <w:u w:val="single"/>
            <w:rtl/>
          </w:rPr>
          <w:t>) 16347-02-15</w:t>
        </w:r>
      </w:hyperlink>
      <w:r w:rsidRPr="00E523A9">
        <w:rPr>
          <w:rFonts w:ascii="Calibri" w:hAnsi="Calibri" w:cs="FrankRuehl" w:hint="cs"/>
          <w:sz w:val="26"/>
          <w:szCs w:val="26"/>
          <w:rtl/>
        </w:rPr>
        <w:t xml:space="preserve"> </w:t>
      </w:r>
      <w:r w:rsidRPr="00E523A9">
        <w:rPr>
          <w:rFonts w:ascii="Calibri" w:hAnsi="Calibri" w:cs="FrankRuehl" w:hint="cs"/>
          <w:b/>
          <w:bCs/>
          <w:sz w:val="26"/>
          <w:szCs w:val="26"/>
          <w:u w:val="single"/>
          <w:rtl/>
        </w:rPr>
        <w:t>מ"י</w:t>
      </w:r>
      <w:r w:rsidRPr="00E523A9">
        <w:rPr>
          <w:rFonts w:ascii="Calibri" w:hAnsi="Calibri" w:cs="FrankRuehl" w:hint="cs"/>
          <w:sz w:val="26"/>
          <w:szCs w:val="26"/>
          <w:rtl/>
        </w:rPr>
        <w:t xml:space="preserve"> נ' </w:t>
      </w:r>
      <w:r w:rsidRPr="00E523A9">
        <w:rPr>
          <w:rFonts w:ascii="Calibri" w:hAnsi="Calibri" w:cs="FrankRuehl" w:hint="cs"/>
          <w:b/>
          <w:bCs/>
          <w:sz w:val="26"/>
          <w:szCs w:val="26"/>
          <w:u w:val="single"/>
          <w:rtl/>
        </w:rPr>
        <w:t>אלבז</w:t>
      </w:r>
      <w:r w:rsidRPr="00E523A9">
        <w:rPr>
          <w:rFonts w:ascii="Calibri" w:hAnsi="Calibri" w:cs="FrankRuehl" w:hint="cs"/>
          <w:sz w:val="26"/>
          <w:szCs w:val="26"/>
          <w:rtl/>
        </w:rPr>
        <w:t xml:space="preserve"> (מיום 18.6.2015) (להלן </w:t>
      </w:r>
      <w:r w:rsidRPr="00E523A9">
        <w:rPr>
          <w:rFonts w:ascii="Calibri" w:hAnsi="Calibri" w:cs="FrankRuehl"/>
          <w:sz w:val="26"/>
          <w:szCs w:val="26"/>
          <w:rtl/>
        </w:rPr>
        <w:t>–</w:t>
      </w:r>
      <w:r w:rsidRPr="00E523A9">
        <w:rPr>
          <w:rFonts w:ascii="Calibri" w:hAnsi="Calibri" w:cs="FrankRuehl" w:hint="cs"/>
          <w:sz w:val="26"/>
          <w:szCs w:val="26"/>
          <w:rtl/>
        </w:rPr>
        <w:t xml:space="preserve"> </w:t>
      </w:r>
      <w:r w:rsidRPr="00E523A9">
        <w:rPr>
          <w:rFonts w:ascii="Calibri" w:hAnsi="Calibri" w:cs="FrankRuehl" w:hint="cs"/>
          <w:b/>
          <w:bCs/>
          <w:sz w:val="26"/>
          <w:szCs w:val="26"/>
          <w:rtl/>
        </w:rPr>
        <w:t>תיק התנאי</w:t>
      </w:r>
      <w:r w:rsidRPr="00E523A9">
        <w:rPr>
          <w:rFonts w:ascii="Calibri" w:hAnsi="Calibri" w:cs="FrankRuehl" w:hint="cs"/>
          <w:sz w:val="26"/>
          <w:szCs w:val="26"/>
          <w:rtl/>
        </w:rPr>
        <w:t xml:space="preserve">), והדבר מהוה שיקול משמעותי בענישה. עם זאת אציין, כי המאסר המותנה נובע מביצוע עבירה של שימוש עצמי ולא כתוצאה מסחר, ויש לקחת זאת בחשבון השיקולים. אני דוחה את טענת המאשימה כי מדובר במאסר מותנה חב-הפעלה, שכן לשון התנאי ברורה ונוגעת אך ורק לשימוש עצמי בסמים, העבירה בה הורשע בתיק התנאי. </w:t>
      </w:r>
    </w:p>
    <w:p w14:paraId="1360AC0C" w14:textId="77777777" w:rsidR="00E523A9" w:rsidRPr="00E523A9" w:rsidRDefault="00E523A9" w:rsidP="00E523A9">
      <w:pPr>
        <w:spacing w:after="160"/>
        <w:jc w:val="both"/>
        <w:rPr>
          <w:rFonts w:ascii="Calibri" w:hAnsi="Calibri" w:cs="FrankRuehl"/>
          <w:sz w:val="26"/>
          <w:szCs w:val="26"/>
        </w:rPr>
      </w:pPr>
    </w:p>
    <w:p w14:paraId="7EB504E6" w14:textId="77777777" w:rsidR="00E523A9" w:rsidRPr="00E523A9" w:rsidRDefault="00E523A9" w:rsidP="00E523A9">
      <w:pPr>
        <w:spacing w:after="160" w:line="360" w:lineRule="auto"/>
        <w:jc w:val="both"/>
        <w:rPr>
          <w:rFonts w:ascii="Calibri" w:hAnsi="Calibri" w:cs="FrankRuehl"/>
          <w:sz w:val="26"/>
          <w:szCs w:val="26"/>
          <w:rtl/>
        </w:rPr>
      </w:pPr>
      <w:r w:rsidRPr="00E523A9">
        <w:rPr>
          <w:rFonts w:ascii="Calibri" w:hAnsi="Calibri" w:cs="FrankRuehl" w:hint="cs"/>
          <w:b/>
          <w:bCs/>
          <w:sz w:val="26"/>
          <w:szCs w:val="26"/>
          <w:u w:val="single"/>
          <w:rtl/>
        </w:rPr>
        <w:t>המיקום במתחם</w:t>
      </w:r>
      <w:r w:rsidRPr="00E523A9">
        <w:rPr>
          <w:rFonts w:ascii="Calibri" w:hAnsi="Calibri" w:cs="FrankRuehl" w:hint="cs"/>
          <w:sz w:val="26"/>
          <w:szCs w:val="26"/>
          <w:rtl/>
        </w:rPr>
        <w:t xml:space="preserve"> </w:t>
      </w:r>
      <w:r w:rsidRPr="00E523A9">
        <w:rPr>
          <w:rFonts w:ascii="Calibri" w:hAnsi="Calibri" w:cs="FrankRuehl"/>
          <w:sz w:val="26"/>
          <w:szCs w:val="26"/>
          <w:rtl/>
        </w:rPr>
        <w:t>–</w:t>
      </w:r>
      <w:r w:rsidRPr="00E523A9">
        <w:rPr>
          <w:rFonts w:ascii="Calibri" w:hAnsi="Calibri" w:cs="FrankRuehl" w:hint="cs"/>
          <w:sz w:val="26"/>
          <w:szCs w:val="26"/>
          <w:rtl/>
        </w:rPr>
        <w:t xml:space="preserve"> אלמלא הנסיבות שהביאו אותי לחרוג ממתחם הענישה מטעמי שיקום, הייתי מעמיד את הנאשם על אמצע המתחם שקבעתי. </w:t>
      </w:r>
    </w:p>
    <w:p w14:paraId="0189E2C5" w14:textId="77777777" w:rsidR="00E523A9" w:rsidRPr="00E523A9" w:rsidRDefault="00E523A9" w:rsidP="00E523A9">
      <w:pPr>
        <w:spacing w:after="160"/>
        <w:jc w:val="both"/>
        <w:rPr>
          <w:rFonts w:ascii="Calibri" w:hAnsi="Calibri" w:cs="FrankRuehl"/>
          <w:b/>
          <w:bCs/>
          <w:sz w:val="26"/>
          <w:szCs w:val="26"/>
          <w:u w:val="single"/>
          <w:rtl/>
        </w:rPr>
      </w:pPr>
    </w:p>
    <w:p w14:paraId="21CD52BF" w14:textId="77777777" w:rsidR="00E523A9" w:rsidRPr="00E523A9" w:rsidRDefault="00E523A9" w:rsidP="00E523A9">
      <w:pPr>
        <w:spacing w:after="160" w:line="360" w:lineRule="auto"/>
        <w:jc w:val="both"/>
        <w:rPr>
          <w:rFonts w:ascii="Calibri" w:hAnsi="Calibri" w:cs="FrankRuehl"/>
          <w:b/>
          <w:bCs/>
          <w:sz w:val="26"/>
          <w:szCs w:val="26"/>
          <w:u w:val="single"/>
          <w:rtl/>
        </w:rPr>
      </w:pPr>
      <w:r w:rsidRPr="00E523A9">
        <w:rPr>
          <w:rFonts w:ascii="Calibri" w:hAnsi="Calibri" w:cs="FrankRuehl" w:hint="cs"/>
          <w:b/>
          <w:bCs/>
          <w:sz w:val="26"/>
          <w:szCs w:val="26"/>
          <w:u w:val="single"/>
          <w:rtl/>
        </w:rPr>
        <w:t>חריגה מהמתחם מטעמי שיקום וחידוש המאסר המותנה</w:t>
      </w:r>
    </w:p>
    <w:p w14:paraId="5CEC1F2F" w14:textId="77777777" w:rsidR="00E523A9" w:rsidRPr="00E523A9" w:rsidRDefault="0044679A" w:rsidP="00E523A9">
      <w:pPr>
        <w:spacing w:after="160" w:line="360" w:lineRule="auto"/>
        <w:jc w:val="both"/>
        <w:rPr>
          <w:rFonts w:ascii="Calibri" w:hAnsi="Calibri" w:cs="FrankRuehl"/>
          <w:sz w:val="26"/>
          <w:szCs w:val="26"/>
          <w:rtl/>
        </w:rPr>
      </w:pPr>
      <w:hyperlink r:id="rId33" w:history="1">
        <w:r w:rsidRPr="0044679A">
          <w:rPr>
            <w:rFonts w:ascii="Calibri" w:hAnsi="Calibri" w:cs="FrankRuehl" w:hint="eastAsia"/>
            <w:color w:val="0000FF"/>
            <w:sz w:val="26"/>
            <w:szCs w:val="26"/>
            <w:u w:val="single"/>
            <w:rtl/>
          </w:rPr>
          <w:t>סעיף</w:t>
        </w:r>
        <w:r w:rsidRPr="0044679A">
          <w:rPr>
            <w:rFonts w:ascii="Calibri" w:hAnsi="Calibri" w:cs="FrankRuehl"/>
            <w:color w:val="0000FF"/>
            <w:sz w:val="26"/>
            <w:szCs w:val="26"/>
            <w:u w:val="single"/>
            <w:rtl/>
          </w:rPr>
          <w:t xml:space="preserve"> 40</w:t>
        </w:r>
        <w:r w:rsidRPr="0044679A">
          <w:rPr>
            <w:rFonts w:ascii="Calibri" w:hAnsi="Calibri" w:cs="FrankRuehl" w:hint="eastAsia"/>
            <w:color w:val="0000FF"/>
            <w:sz w:val="26"/>
            <w:szCs w:val="26"/>
            <w:u w:val="single"/>
            <w:rtl/>
          </w:rPr>
          <w:t>ד</w:t>
        </w:r>
        <w:r w:rsidRPr="0044679A">
          <w:rPr>
            <w:rFonts w:ascii="Calibri" w:hAnsi="Calibri" w:cs="FrankRuehl"/>
            <w:color w:val="0000FF"/>
            <w:sz w:val="26"/>
            <w:szCs w:val="26"/>
            <w:u w:val="single"/>
            <w:rtl/>
          </w:rPr>
          <w:t>'</w:t>
        </w:r>
      </w:hyperlink>
      <w:r w:rsidR="00E523A9" w:rsidRPr="00E523A9">
        <w:rPr>
          <w:rFonts w:ascii="Calibri" w:hAnsi="Calibri" w:cs="FrankRuehl" w:hint="cs"/>
          <w:sz w:val="26"/>
          <w:szCs w:val="26"/>
          <w:rtl/>
        </w:rPr>
        <w:t xml:space="preserve"> ל</w:t>
      </w:r>
      <w:hyperlink r:id="rId34" w:history="1">
        <w:r w:rsidR="001730FD" w:rsidRPr="001730FD">
          <w:rPr>
            <w:rFonts w:ascii="Calibri" w:hAnsi="Calibri" w:cs="FrankRuehl" w:hint="eastAsia"/>
            <w:color w:val="0000FF"/>
            <w:sz w:val="26"/>
            <w:szCs w:val="26"/>
            <w:u w:val="single"/>
            <w:rtl/>
          </w:rPr>
          <w:t>חוק</w:t>
        </w:r>
        <w:r w:rsidR="001730FD" w:rsidRPr="001730FD">
          <w:rPr>
            <w:rFonts w:ascii="Calibri" w:hAnsi="Calibri" w:cs="FrankRuehl"/>
            <w:color w:val="0000FF"/>
            <w:sz w:val="26"/>
            <w:szCs w:val="26"/>
            <w:u w:val="single"/>
            <w:rtl/>
          </w:rPr>
          <w:t xml:space="preserve"> </w:t>
        </w:r>
        <w:r w:rsidR="001730FD" w:rsidRPr="001730FD">
          <w:rPr>
            <w:rFonts w:ascii="Calibri" w:hAnsi="Calibri" w:cs="FrankRuehl" w:hint="eastAsia"/>
            <w:color w:val="0000FF"/>
            <w:sz w:val="26"/>
            <w:szCs w:val="26"/>
            <w:u w:val="single"/>
            <w:rtl/>
          </w:rPr>
          <w:t>העונשין</w:t>
        </w:r>
      </w:hyperlink>
      <w:r w:rsidR="00E523A9" w:rsidRPr="00E523A9">
        <w:rPr>
          <w:rFonts w:ascii="Calibri" w:hAnsi="Calibri" w:cs="FrankRuehl" w:hint="cs"/>
          <w:sz w:val="26"/>
          <w:szCs w:val="26"/>
          <w:rtl/>
        </w:rPr>
        <w:t xml:space="preserve"> קובע כך:</w:t>
      </w:r>
    </w:p>
    <w:p w14:paraId="69754372" w14:textId="77777777" w:rsidR="00E523A9" w:rsidRPr="00DC47C6" w:rsidRDefault="00E523A9" w:rsidP="00E523A9">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624" w:right="1134"/>
        <w:jc w:val="both"/>
        <w:rPr>
          <w:rFonts w:cs="FrankRuehl"/>
          <w:sz w:val="26"/>
          <w:szCs w:val="26"/>
          <w:rtl/>
          <w:lang w:eastAsia="he-IL"/>
        </w:rPr>
      </w:pPr>
      <w:r w:rsidRPr="00DC47C6">
        <w:rPr>
          <w:rFonts w:cs="Miriam" w:hint="cs"/>
          <w:sz w:val="26"/>
          <w:szCs w:val="26"/>
          <w:rtl/>
          <w:lang w:eastAsia="he-IL"/>
        </w:rPr>
        <w:t>"40</w:t>
      </w:r>
      <w:r w:rsidRPr="00DC47C6">
        <w:rPr>
          <w:rFonts w:cs="FrankRuehl" w:hint="cs"/>
          <w:sz w:val="26"/>
          <w:szCs w:val="26"/>
          <w:rtl/>
          <w:lang w:eastAsia="he-IL"/>
        </w:rPr>
        <w:t>ד.</w:t>
      </w:r>
      <w:r w:rsidRPr="00DC47C6">
        <w:rPr>
          <w:rFonts w:cs="FrankRuehl" w:hint="cs"/>
          <w:sz w:val="26"/>
          <w:szCs w:val="26"/>
          <w:rtl/>
          <w:lang w:eastAsia="he-IL"/>
        </w:rPr>
        <w:tab/>
        <w:t>(א)</w:t>
      </w:r>
      <w:r w:rsidRPr="00DC47C6">
        <w:rPr>
          <w:rFonts w:cs="FrankRuehl" w:hint="cs"/>
          <w:sz w:val="26"/>
          <w:szCs w:val="26"/>
          <w:rtl/>
          <w:lang w:eastAsia="he-IL"/>
        </w:rPr>
        <w:tab/>
        <w:t xml:space="preserve">קבע בית המשפט את מתחם העונש ההולם בהתאם לעיקרון המנחה ומצא </w:t>
      </w:r>
      <w:r w:rsidRPr="00DC47C6">
        <w:rPr>
          <w:rFonts w:cs="FrankRuehl" w:hint="cs"/>
          <w:b/>
          <w:bCs/>
          <w:sz w:val="26"/>
          <w:szCs w:val="26"/>
          <w:rtl/>
          <w:lang w:eastAsia="he-IL"/>
        </w:rPr>
        <w:t>כי הנאשם השתקם או כי יש סיכוי של ממש שישתקם</w:t>
      </w:r>
      <w:r w:rsidRPr="00DC47C6">
        <w:rPr>
          <w:rFonts w:cs="FrankRuehl" w:hint="cs"/>
          <w:sz w:val="26"/>
          <w:szCs w:val="26"/>
          <w:rtl/>
          <w:lang w:eastAsia="he-IL"/>
        </w:rPr>
        <w:t xml:space="preserve">,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35" w:history="1">
        <w:r w:rsidR="001730FD" w:rsidRPr="001730FD">
          <w:rPr>
            <w:rFonts w:cs="FrankRuehl"/>
            <w:color w:val="0000FF"/>
            <w:sz w:val="26"/>
            <w:szCs w:val="26"/>
            <w:u w:val="single"/>
            <w:rtl/>
            <w:lang w:eastAsia="he-IL"/>
          </w:rPr>
          <w:t>פקודת המבחן</w:t>
        </w:r>
      </w:hyperlink>
      <w:r w:rsidRPr="00DC47C6">
        <w:rPr>
          <w:rFonts w:cs="FrankRuehl" w:hint="cs"/>
          <w:sz w:val="26"/>
          <w:szCs w:val="26"/>
          <w:rtl/>
          <w:lang w:eastAsia="he-IL"/>
        </w:rPr>
        <w:t xml:space="preserve"> [נוסח חדש], התשכ"ט-1969.</w:t>
      </w:r>
    </w:p>
    <w:p w14:paraId="52A96E30" w14:textId="77777777" w:rsidR="00E523A9" w:rsidRPr="00DC47C6" w:rsidRDefault="00E523A9" w:rsidP="00E523A9">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624" w:right="1134"/>
        <w:jc w:val="both"/>
        <w:rPr>
          <w:rFonts w:cs="FrankRuehl"/>
          <w:sz w:val="26"/>
          <w:szCs w:val="26"/>
          <w:rtl/>
          <w:lang w:eastAsia="he-IL"/>
        </w:rPr>
      </w:pPr>
      <w:r w:rsidRPr="00DC47C6">
        <w:rPr>
          <w:rFonts w:cs="FrankRuehl" w:hint="cs"/>
          <w:sz w:val="26"/>
          <w:szCs w:val="26"/>
          <w:rtl/>
          <w:lang w:eastAsia="he-IL"/>
        </w:rPr>
        <w:tab/>
        <w:t>(ב)</w:t>
      </w:r>
      <w:r w:rsidRPr="00DC47C6">
        <w:rPr>
          <w:rFonts w:cs="FrankRuehl" w:hint="cs"/>
          <w:sz w:val="26"/>
          <w:szCs w:val="26"/>
          <w:rtl/>
          <w:lang w:eastAsia="he-IL"/>
        </w:rPr>
        <w:tab/>
        <w:t>היו מעשה העבירה ומידת אשמו של הנאשם בעלי חומרה יתרה, לא יחרוג בית המשפט ממתחם העונש ההולם, כאמור בסעיף קטן (א), אף אם הנאשם השתקם או אם יש סיכוי של ממש שישתקם, אלא בנסיבות מיוחדות ויוצאות דופן, לאחר שבית המשפט שוכנע שהן גוברות על הצורך לקבוע את העונש במתחם העונש ההולם בהתאם לעיקרון המנחה, ופירט זאת בגזר הדין".</w:t>
      </w:r>
    </w:p>
    <w:p w14:paraId="48F5185B" w14:textId="77777777" w:rsidR="00E523A9" w:rsidRPr="00E523A9" w:rsidRDefault="00E523A9" w:rsidP="00E523A9">
      <w:pPr>
        <w:spacing w:after="160" w:line="360" w:lineRule="auto"/>
        <w:jc w:val="both"/>
        <w:rPr>
          <w:rFonts w:ascii="Calibri" w:hAnsi="Calibri" w:cs="FrankRuehl"/>
          <w:sz w:val="26"/>
          <w:szCs w:val="26"/>
          <w:rtl/>
        </w:rPr>
      </w:pPr>
    </w:p>
    <w:p w14:paraId="7DB42AA1" w14:textId="77777777" w:rsidR="00E523A9" w:rsidRPr="00E523A9" w:rsidRDefault="00E523A9" w:rsidP="00E523A9">
      <w:pPr>
        <w:spacing w:after="160" w:line="360" w:lineRule="auto"/>
        <w:jc w:val="both"/>
        <w:rPr>
          <w:rFonts w:ascii="Calibri" w:hAnsi="Calibri" w:cs="FrankRuehl"/>
          <w:sz w:val="26"/>
          <w:szCs w:val="26"/>
          <w:rtl/>
        </w:rPr>
      </w:pPr>
      <w:r w:rsidRPr="00E523A9">
        <w:rPr>
          <w:rFonts w:ascii="Calibri" w:hAnsi="Calibri" w:cs="FrankRuehl" w:hint="cs"/>
          <w:sz w:val="26"/>
          <w:szCs w:val="26"/>
          <w:rtl/>
        </w:rPr>
        <w:t>ב</w:t>
      </w:r>
      <w:hyperlink r:id="rId36" w:history="1">
        <w:r w:rsidR="001730FD" w:rsidRPr="001730FD">
          <w:rPr>
            <w:rFonts w:ascii="Calibri" w:hAnsi="Calibri" w:cs="FrankRuehl" w:hint="eastAsia"/>
            <w:color w:val="0000FF"/>
            <w:sz w:val="26"/>
            <w:szCs w:val="26"/>
            <w:u w:val="single"/>
            <w:rtl/>
          </w:rPr>
          <w:t>רע</w:t>
        </w:r>
        <w:r w:rsidR="001730FD" w:rsidRPr="001730FD">
          <w:rPr>
            <w:rFonts w:ascii="Calibri" w:hAnsi="Calibri" w:cs="FrankRuehl"/>
            <w:color w:val="0000FF"/>
            <w:sz w:val="26"/>
            <w:szCs w:val="26"/>
            <w:u w:val="single"/>
            <w:rtl/>
          </w:rPr>
          <w:t>"</w:t>
        </w:r>
        <w:r w:rsidR="001730FD" w:rsidRPr="001730FD">
          <w:rPr>
            <w:rFonts w:ascii="Calibri" w:hAnsi="Calibri" w:cs="FrankRuehl" w:hint="eastAsia"/>
            <w:color w:val="0000FF"/>
            <w:sz w:val="26"/>
            <w:szCs w:val="26"/>
            <w:u w:val="single"/>
            <w:rtl/>
          </w:rPr>
          <w:t>פ</w:t>
        </w:r>
        <w:r w:rsidR="001730FD" w:rsidRPr="001730FD">
          <w:rPr>
            <w:rFonts w:ascii="Calibri" w:hAnsi="Calibri" w:cs="FrankRuehl"/>
            <w:color w:val="0000FF"/>
            <w:sz w:val="26"/>
            <w:szCs w:val="26"/>
            <w:u w:val="single"/>
            <w:rtl/>
          </w:rPr>
          <w:t xml:space="preserve"> 262/14</w:t>
        </w:r>
      </w:hyperlink>
      <w:r w:rsidRPr="00E523A9">
        <w:rPr>
          <w:rFonts w:ascii="Calibri" w:hAnsi="Calibri" w:cs="FrankRuehl" w:hint="cs"/>
          <w:sz w:val="26"/>
          <w:szCs w:val="26"/>
          <w:rtl/>
        </w:rPr>
        <w:t xml:space="preserve"> </w:t>
      </w:r>
      <w:r w:rsidRPr="00E523A9">
        <w:rPr>
          <w:rFonts w:ascii="Calibri" w:hAnsi="Calibri" w:cs="FrankRuehl" w:hint="cs"/>
          <w:b/>
          <w:bCs/>
          <w:sz w:val="26"/>
          <w:szCs w:val="26"/>
          <w:u w:val="single"/>
          <w:rtl/>
        </w:rPr>
        <w:t>נאשף</w:t>
      </w:r>
      <w:r w:rsidRPr="00E523A9">
        <w:rPr>
          <w:rFonts w:ascii="Calibri" w:hAnsi="Calibri" w:cs="FrankRuehl" w:hint="cs"/>
          <w:sz w:val="26"/>
          <w:szCs w:val="26"/>
          <w:rtl/>
        </w:rPr>
        <w:t xml:space="preserve"> נ' </w:t>
      </w:r>
      <w:r w:rsidRPr="00E523A9">
        <w:rPr>
          <w:rFonts w:ascii="Calibri" w:hAnsi="Calibri" w:cs="FrankRuehl" w:hint="cs"/>
          <w:b/>
          <w:bCs/>
          <w:sz w:val="26"/>
          <w:szCs w:val="26"/>
          <w:u w:val="single"/>
          <w:rtl/>
        </w:rPr>
        <w:t>מ"י</w:t>
      </w:r>
      <w:r w:rsidRPr="00E523A9">
        <w:rPr>
          <w:rFonts w:ascii="Calibri" w:hAnsi="Calibri" w:cs="FrankRuehl" w:hint="cs"/>
          <w:sz w:val="26"/>
          <w:szCs w:val="26"/>
          <w:rtl/>
        </w:rPr>
        <w:t xml:space="preserve"> (מיום 22.1.2014) קבע בית המשפט העליון כך:</w:t>
      </w:r>
    </w:p>
    <w:p w14:paraId="03D45EF3" w14:textId="77777777" w:rsidR="00E523A9" w:rsidRPr="00E523A9" w:rsidRDefault="00E523A9" w:rsidP="00E523A9">
      <w:pPr>
        <w:spacing w:after="160"/>
        <w:ind w:left="851" w:right="851"/>
        <w:jc w:val="both"/>
        <w:rPr>
          <w:rFonts w:ascii="Calibri" w:hAnsi="Calibri" w:cs="FrankRuehl"/>
          <w:b/>
          <w:bCs/>
          <w:sz w:val="26"/>
          <w:szCs w:val="26"/>
          <w:rtl/>
        </w:rPr>
      </w:pPr>
      <w:r w:rsidRPr="00E523A9">
        <w:rPr>
          <w:rFonts w:ascii="Calibri" w:hAnsi="Calibri" w:cs="FrankRuehl" w:hint="cs"/>
          <w:sz w:val="26"/>
          <w:szCs w:val="26"/>
          <w:rtl/>
        </w:rPr>
        <w:t>"בהקשר</w:t>
      </w:r>
      <w:r w:rsidRPr="00E523A9">
        <w:rPr>
          <w:rFonts w:ascii="Calibri" w:hAnsi="Calibri" w:cs="FrankRuehl"/>
          <w:sz w:val="26"/>
          <w:szCs w:val="26"/>
        </w:rPr>
        <w:t xml:space="preserve"> </w:t>
      </w:r>
      <w:r w:rsidRPr="00E523A9">
        <w:rPr>
          <w:rFonts w:ascii="Calibri" w:hAnsi="Calibri" w:cs="FrankRuehl" w:hint="cs"/>
          <w:sz w:val="26"/>
          <w:szCs w:val="26"/>
          <w:rtl/>
        </w:rPr>
        <w:t>זה</w:t>
      </w:r>
      <w:r w:rsidRPr="00E523A9">
        <w:rPr>
          <w:rFonts w:ascii="Calibri" w:hAnsi="Calibri" w:cs="FrankRuehl"/>
          <w:sz w:val="26"/>
          <w:szCs w:val="26"/>
        </w:rPr>
        <w:t xml:space="preserve"> </w:t>
      </w:r>
      <w:r w:rsidRPr="00E523A9">
        <w:rPr>
          <w:rFonts w:ascii="Calibri" w:hAnsi="Calibri" w:cs="FrankRuehl" w:hint="cs"/>
          <w:sz w:val="26"/>
          <w:szCs w:val="26"/>
          <w:rtl/>
        </w:rPr>
        <w:t>אני</w:t>
      </w:r>
      <w:r w:rsidRPr="00E523A9">
        <w:rPr>
          <w:rFonts w:ascii="Calibri" w:hAnsi="Calibri" w:cs="FrankRuehl"/>
          <w:sz w:val="26"/>
          <w:szCs w:val="26"/>
        </w:rPr>
        <w:t xml:space="preserve"> </w:t>
      </w:r>
      <w:r w:rsidRPr="00E523A9">
        <w:rPr>
          <w:rFonts w:ascii="Calibri" w:hAnsi="Calibri" w:cs="FrankRuehl" w:hint="cs"/>
          <w:sz w:val="26"/>
          <w:szCs w:val="26"/>
          <w:rtl/>
        </w:rPr>
        <w:t>מוצא</w:t>
      </w:r>
      <w:r w:rsidRPr="00E523A9">
        <w:rPr>
          <w:rFonts w:ascii="Calibri" w:hAnsi="Calibri" w:cs="FrankRuehl"/>
          <w:sz w:val="26"/>
          <w:szCs w:val="26"/>
        </w:rPr>
        <w:t xml:space="preserve"> </w:t>
      </w:r>
      <w:r w:rsidRPr="00E523A9">
        <w:rPr>
          <w:rFonts w:ascii="Calibri" w:hAnsi="Calibri" w:cs="FrankRuehl" w:hint="cs"/>
          <w:sz w:val="26"/>
          <w:szCs w:val="26"/>
          <w:rtl/>
        </w:rPr>
        <w:t>לנכון</w:t>
      </w:r>
      <w:r w:rsidRPr="00E523A9">
        <w:rPr>
          <w:rFonts w:ascii="Calibri" w:hAnsi="Calibri" w:cs="FrankRuehl"/>
          <w:sz w:val="26"/>
          <w:szCs w:val="26"/>
        </w:rPr>
        <w:t xml:space="preserve"> </w:t>
      </w:r>
      <w:r w:rsidRPr="00E523A9">
        <w:rPr>
          <w:rFonts w:ascii="Calibri" w:hAnsi="Calibri" w:cs="FrankRuehl" w:hint="cs"/>
          <w:sz w:val="26"/>
          <w:szCs w:val="26"/>
          <w:rtl/>
        </w:rPr>
        <w:t>להעיר</w:t>
      </w:r>
      <w:r w:rsidRPr="00E523A9">
        <w:rPr>
          <w:rFonts w:ascii="Calibri" w:hAnsi="Calibri" w:cs="FrankRuehl"/>
          <w:sz w:val="26"/>
          <w:szCs w:val="26"/>
        </w:rPr>
        <w:t xml:space="preserve"> </w:t>
      </w:r>
      <w:r w:rsidRPr="00E523A9">
        <w:rPr>
          <w:rFonts w:ascii="Calibri" w:hAnsi="Calibri" w:cs="FrankRuehl" w:hint="cs"/>
          <w:sz w:val="26"/>
          <w:szCs w:val="26"/>
          <w:rtl/>
        </w:rPr>
        <w:t>עוד</w:t>
      </w:r>
      <w:r w:rsidRPr="00E523A9">
        <w:rPr>
          <w:rFonts w:ascii="Calibri" w:hAnsi="Calibri" w:cs="FrankRuehl"/>
          <w:sz w:val="26"/>
          <w:szCs w:val="26"/>
        </w:rPr>
        <w:t xml:space="preserve"> </w:t>
      </w:r>
      <w:r w:rsidRPr="00E523A9">
        <w:rPr>
          <w:rFonts w:ascii="Calibri" w:hAnsi="Calibri" w:cs="FrankRuehl" w:hint="cs"/>
          <w:sz w:val="26"/>
          <w:szCs w:val="26"/>
          <w:rtl/>
        </w:rPr>
        <w:t>כי</w:t>
      </w:r>
      <w:r w:rsidRPr="00E523A9">
        <w:rPr>
          <w:rFonts w:ascii="Calibri" w:hAnsi="Calibri" w:cs="FrankRuehl"/>
          <w:sz w:val="26"/>
          <w:szCs w:val="26"/>
        </w:rPr>
        <w:t xml:space="preserve"> </w:t>
      </w:r>
      <w:r w:rsidRPr="00E523A9">
        <w:rPr>
          <w:rFonts w:ascii="Calibri" w:hAnsi="Calibri" w:cs="FrankRuehl" w:hint="cs"/>
          <w:sz w:val="26"/>
          <w:szCs w:val="26"/>
          <w:rtl/>
        </w:rPr>
        <w:t>שיקולי</w:t>
      </w:r>
      <w:r w:rsidRPr="00E523A9">
        <w:rPr>
          <w:rFonts w:ascii="Calibri" w:hAnsi="Calibri" w:cs="FrankRuehl"/>
          <w:sz w:val="26"/>
          <w:szCs w:val="26"/>
        </w:rPr>
        <w:t xml:space="preserve"> </w:t>
      </w:r>
      <w:r w:rsidRPr="00E523A9">
        <w:rPr>
          <w:rFonts w:ascii="Calibri" w:hAnsi="Calibri" w:cs="FrankRuehl" w:hint="cs"/>
          <w:sz w:val="26"/>
          <w:szCs w:val="26"/>
          <w:rtl/>
        </w:rPr>
        <w:t>שיקום</w:t>
      </w:r>
      <w:r w:rsidRPr="00E523A9">
        <w:rPr>
          <w:rFonts w:ascii="Calibri" w:hAnsi="Calibri" w:cs="FrankRuehl"/>
          <w:sz w:val="26"/>
          <w:szCs w:val="26"/>
        </w:rPr>
        <w:t xml:space="preserve"> </w:t>
      </w:r>
      <w:r w:rsidRPr="00E523A9">
        <w:rPr>
          <w:rFonts w:ascii="Calibri" w:hAnsi="Calibri" w:cs="FrankRuehl" w:hint="cs"/>
          <w:sz w:val="26"/>
          <w:szCs w:val="26"/>
          <w:rtl/>
        </w:rPr>
        <w:t>הם</w:t>
      </w:r>
      <w:r w:rsidRPr="00E523A9">
        <w:rPr>
          <w:rFonts w:ascii="Calibri" w:hAnsi="Calibri" w:cs="FrankRuehl"/>
          <w:sz w:val="26"/>
          <w:szCs w:val="26"/>
        </w:rPr>
        <w:t xml:space="preserve">, </w:t>
      </w:r>
      <w:r w:rsidRPr="00E523A9">
        <w:rPr>
          <w:rFonts w:ascii="Calibri" w:hAnsi="Calibri" w:cs="FrankRuehl" w:hint="cs"/>
          <w:sz w:val="26"/>
          <w:szCs w:val="26"/>
          <w:rtl/>
        </w:rPr>
        <w:t>אמנם</w:t>
      </w:r>
      <w:r w:rsidRPr="00E523A9">
        <w:rPr>
          <w:rFonts w:ascii="Calibri" w:hAnsi="Calibri" w:cs="FrankRuehl"/>
          <w:sz w:val="26"/>
          <w:szCs w:val="26"/>
        </w:rPr>
        <w:t xml:space="preserve">, </w:t>
      </w:r>
      <w:r w:rsidRPr="00E523A9">
        <w:rPr>
          <w:rFonts w:ascii="Calibri" w:hAnsi="Calibri" w:cs="FrankRuehl" w:hint="cs"/>
          <w:sz w:val="26"/>
          <w:szCs w:val="26"/>
          <w:rtl/>
        </w:rPr>
        <w:t>בעלי</w:t>
      </w:r>
      <w:r w:rsidRPr="00E523A9">
        <w:rPr>
          <w:rFonts w:ascii="Calibri" w:hAnsi="Calibri" w:cs="FrankRuehl"/>
          <w:sz w:val="26"/>
          <w:szCs w:val="26"/>
        </w:rPr>
        <w:t xml:space="preserve"> </w:t>
      </w:r>
      <w:r w:rsidRPr="00E523A9">
        <w:rPr>
          <w:rFonts w:ascii="Calibri" w:hAnsi="Calibri" w:cs="FrankRuehl" w:hint="cs"/>
          <w:sz w:val="26"/>
          <w:szCs w:val="26"/>
          <w:rtl/>
        </w:rPr>
        <w:t>מעמד</w:t>
      </w:r>
      <w:r w:rsidRPr="00E523A9">
        <w:rPr>
          <w:rFonts w:ascii="Calibri" w:hAnsi="Calibri" w:cs="FrankRuehl"/>
          <w:sz w:val="26"/>
          <w:szCs w:val="26"/>
        </w:rPr>
        <w:t xml:space="preserve"> </w:t>
      </w:r>
      <w:r w:rsidRPr="00E523A9">
        <w:rPr>
          <w:rFonts w:ascii="Calibri" w:hAnsi="Calibri" w:cs="FrankRuehl" w:hint="cs"/>
          <w:sz w:val="26"/>
          <w:szCs w:val="26"/>
          <w:rtl/>
        </w:rPr>
        <w:t>חשוב</w:t>
      </w:r>
      <w:r w:rsidRPr="00E523A9">
        <w:rPr>
          <w:rFonts w:ascii="Calibri" w:hAnsi="Calibri" w:cs="FrankRuehl"/>
          <w:sz w:val="26"/>
          <w:szCs w:val="26"/>
        </w:rPr>
        <w:t xml:space="preserve"> </w:t>
      </w:r>
      <w:r w:rsidRPr="00E523A9">
        <w:rPr>
          <w:rFonts w:ascii="Calibri" w:hAnsi="Calibri" w:cs="FrankRuehl" w:hint="cs"/>
          <w:sz w:val="26"/>
          <w:szCs w:val="26"/>
          <w:rtl/>
        </w:rPr>
        <w:t>עת</w:t>
      </w:r>
      <w:r w:rsidRPr="00E523A9">
        <w:rPr>
          <w:rFonts w:ascii="Calibri" w:hAnsi="Calibri" w:cs="FrankRuehl"/>
          <w:sz w:val="26"/>
          <w:szCs w:val="26"/>
        </w:rPr>
        <w:t xml:space="preserve"> </w:t>
      </w:r>
      <w:r w:rsidRPr="00E523A9">
        <w:rPr>
          <w:rFonts w:ascii="Calibri" w:hAnsi="Calibri" w:cs="FrankRuehl" w:hint="cs"/>
          <w:sz w:val="26"/>
          <w:szCs w:val="26"/>
          <w:rtl/>
        </w:rPr>
        <w:t>מאזן</w:t>
      </w:r>
      <w:r w:rsidRPr="00E523A9">
        <w:rPr>
          <w:rFonts w:ascii="Calibri" w:hAnsi="Calibri" w:cs="FrankRuehl"/>
          <w:sz w:val="26"/>
          <w:szCs w:val="26"/>
        </w:rPr>
        <w:t xml:space="preserve"> </w:t>
      </w:r>
      <w:r w:rsidRPr="00E523A9">
        <w:rPr>
          <w:rFonts w:ascii="Calibri" w:hAnsi="Calibri" w:cs="FrankRuehl" w:hint="cs"/>
          <w:sz w:val="26"/>
          <w:szCs w:val="26"/>
          <w:rtl/>
        </w:rPr>
        <w:t>בית</w:t>
      </w:r>
      <w:r w:rsidRPr="00E523A9">
        <w:rPr>
          <w:rFonts w:ascii="Calibri" w:hAnsi="Calibri" w:cs="FrankRuehl"/>
          <w:sz w:val="26"/>
          <w:szCs w:val="26"/>
        </w:rPr>
        <w:t xml:space="preserve"> </w:t>
      </w:r>
      <w:r w:rsidRPr="00E523A9">
        <w:rPr>
          <w:rFonts w:ascii="Calibri" w:hAnsi="Calibri" w:cs="FrankRuehl" w:hint="cs"/>
          <w:sz w:val="26"/>
          <w:szCs w:val="26"/>
          <w:rtl/>
        </w:rPr>
        <w:t>המשפט</w:t>
      </w:r>
      <w:r w:rsidRPr="00E523A9">
        <w:rPr>
          <w:rFonts w:ascii="Calibri" w:hAnsi="Calibri" w:cs="FrankRuehl"/>
          <w:sz w:val="26"/>
          <w:szCs w:val="26"/>
        </w:rPr>
        <w:t xml:space="preserve"> </w:t>
      </w:r>
      <w:r w:rsidRPr="00E523A9">
        <w:rPr>
          <w:rFonts w:ascii="Calibri" w:hAnsi="Calibri" w:cs="FrankRuehl" w:hint="cs"/>
          <w:sz w:val="26"/>
          <w:szCs w:val="26"/>
          <w:rtl/>
        </w:rPr>
        <w:t>בין</w:t>
      </w:r>
      <w:r w:rsidRPr="00E523A9">
        <w:rPr>
          <w:rFonts w:ascii="Calibri" w:hAnsi="Calibri" w:cs="FrankRuehl"/>
          <w:sz w:val="26"/>
          <w:szCs w:val="26"/>
        </w:rPr>
        <w:t xml:space="preserve"> </w:t>
      </w:r>
      <w:r w:rsidRPr="00E523A9">
        <w:rPr>
          <w:rFonts w:ascii="Calibri" w:hAnsi="Calibri" w:cs="FrankRuehl" w:hint="cs"/>
          <w:sz w:val="26"/>
          <w:szCs w:val="26"/>
          <w:rtl/>
        </w:rPr>
        <w:t>שיקולי</w:t>
      </w:r>
      <w:r w:rsidRPr="00E523A9">
        <w:rPr>
          <w:rFonts w:ascii="Calibri" w:hAnsi="Calibri" w:cs="FrankRuehl"/>
          <w:sz w:val="26"/>
          <w:szCs w:val="26"/>
        </w:rPr>
        <w:t xml:space="preserve"> </w:t>
      </w:r>
      <w:r w:rsidRPr="00E523A9">
        <w:rPr>
          <w:rFonts w:ascii="Calibri" w:hAnsi="Calibri" w:cs="FrankRuehl" w:hint="cs"/>
          <w:sz w:val="26"/>
          <w:szCs w:val="26"/>
          <w:rtl/>
        </w:rPr>
        <w:t>הענישה</w:t>
      </w:r>
      <w:r w:rsidRPr="00E523A9">
        <w:rPr>
          <w:rFonts w:ascii="Calibri" w:hAnsi="Calibri" w:cs="FrankRuehl"/>
          <w:sz w:val="26"/>
          <w:szCs w:val="26"/>
        </w:rPr>
        <w:t xml:space="preserve">, </w:t>
      </w:r>
      <w:r w:rsidRPr="00E523A9">
        <w:rPr>
          <w:rFonts w:ascii="Calibri" w:hAnsi="Calibri" w:cs="FrankRuehl" w:hint="cs"/>
          <w:sz w:val="26"/>
          <w:szCs w:val="26"/>
          <w:rtl/>
        </w:rPr>
        <w:t>הגמול</w:t>
      </w:r>
      <w:r w:rsidRPr="00E523A9">
        <w:rPr>
          <w:rFonts w:ascii="Calibri" w:hAnsi="Calibri" w:cs="FrankRuehl"/>
          <w:sz w:val="26"/>
          <w:szCs w:val="26"/>
        </w:rPr>
        <w:t xml:space="preserve"> </w:t>
      </w:r>
      <w:r w:rsidRPr="00E523A9">
        <w:rPr>
          <w:rFonts w:ascii="Calibri" w:hAnsi="Calibri" w:cs="FrankRuehl" w:hint="cs"/>
          <w:sz w:val="26"/>
          <w:szCs w:val="26"/>
          <w:rtl/>
        </w:rPr>
        <w:t>וההרתעה</w:t>
      </w:r>
      <w:r w:rsidRPr="00E523A9">
        <w:rPr>
          <w:rFonts w:ascii="Calibri" w:hAnsi="Calibri" w:cs="FrankRuehl"/>
          <w:sz w:val="26"/>
          <w:szCs w:val="26"/>
        </w:rPr>
        <w:t xml:space="preserve">, </w:t>
      </w:r>
      <w:r w:rsidRPr="00E523A9">
        <w:rPr>
          <w:rFonts w:ascii="Calibri" w:hAnsi="Calibri" w:cs="FrankRuehl" w:hint="cs"/>
          <w:sz w:val="26"/>
          <w:szCs w:val="26"/>
          <w:rtl/>
        </w:rPr>
        <w:t>במלאכת</w:t>
      </w:r>
      <w:r w:rsidRPr="00E523A9">
        <w:rPr>
          <w:rFonts w:ascii="Calibri" w:hAnsi="Calibri" w:cs="FrankRuehl"/>
          <w:sz w:val="26"/>
          <w:szCs w:val="26"/>
        </w:rPr>
        <w:t xml:space="preserve"> </w:t>
      </w:r>
      <w:r w:rsidRPr="00E523A9">
        <w:rPr>
          <w:rFonts w:ascii="Calibri" w:hAnsi="Calibri" w:cs="FrankRuehl" w:hint="cs"/>
          <w:sz w:val="26"/>
          <w:szCs w:val="26"/>
          <w:rtl/>
        </w:rPr>
        <w:t>גזירת</w:t>
      </w:r>
      <w:r w:rsidRPr="00E523A9">
        <w:rPr>
          <w:rFonts w:ascii="Calibri" w:hAnsi="Calibri" w:cs="FrankRuehl"/>
          <w:sz w:val="26"/>
          <w:szCs w:val="26"/>
        </w:rPr>
        <w:t xml:space="preserve"> </w:t>
      </w:r>
      <w:r w:rsidRPr="00E523A9">
        <w:rPr>
          <w:rFonts w:ascii="Calibri" w:hAnsi="Calibri" w:cs="FrankRuehl" w:hint="cs"/>
          <w:sz w:val="26"/>
          <w:szCs w:val="26"/>
          <w:rtl/>
        </w:rPr>
        <w:t>הדין</w:t>
      </w:r>
      <w:r w:rsidRPr="00E523A9">
        <w:rPr>
          <w:rFonts w:ascii="Calibri" w:hAnsi="Calibri" w:cs="FrankRuehl"/>
          <w:sz w:val="26"/>
          <w:szCs w:val="26"/>
        </w:rPr>
        <w:t xml:space="preserve">. </w:t>
      </w:r>
      <w:r w:rsidRPr="00E523A9">
        <w:rPr>
          <w:rFonts w:ascii="Calibri" w:hAnsi="Calibri" w:cs="FrankRuehl" w:hint="cs"/>
          <w:sz w:val="26"/>
          <w:szCs w:val="26"/>
          <w:rtl/>
        </w:rPr>
        <w:t>במקרים</w:t>
      </w:r>
      <w:r w:rsidRPr="00E523A9">
        <w:rPr>
          <w:rFonts w:ascii="Calibri" w:hAnsi="Calibri" w:cs="FrankRuehl"/>
          <w:sz w:val="26"/>
          <w:szCs w:val="26"/>
        </w:rPr>
        <w:t xml:space="preserve"> </w:t>
      </w:r>
      <w:r w:rsidRPr="00E523A9">
        <w:rPr>
          <w:rFonts w:ascii="Calibri" w:hAnsi="Calibri" w:cs="FrankRuehl" w:hint="cs"/>
          <w:sz w:val="26"/>
          <w:szCs w:val="26"/>
          <w:rtl/>
        </w:rPr>
        <w:t>שבהם</w:t>
      </w:r>
      <w:r w:rsidRPr="00E523A9">
        <w:rPr>
          <w:rFonts w:ascii="Calibri" w:hAnsi="Calibri" w:cs="FrankRuehl"/>
          <w:sz w:val="26"/>
          <w:szCs w:val="26"/>
        </w:rPr>
        <w:t xml:space="preserve"> </w:t>
      </w:r>
      <w:r w:rsidRPr="00E523A9">
        <w:rPr>
          <w:rFonts w:ascii="Calibri" w:hAnsi="Calibri" w:cs="FrankRuehl" w:hint="cs"/>
          <w:sz w:val="26"/>
          <w:szCs w:val="26"/>
          <w:rtl/>
        </w:rPr>
        <w:t>נרתם</w:t>
      </w:r>
      <w:r w:rsidRPr="00E523A9">
        <w:rPr>
          <w:rFonts w:ascii="Calibri" w:hAnsi="Calibri" w:cs="FrankRuehl"/>
          <w:sz w:val="26"/>
          <w:szCs w:val="26"/>
        </w:rPr>
        <w:t xml:space="preserve"> </w:t>
      </w:r>
      <w:r w:rsidRPr="00E523A9">
        <w:rPr>
          <w:rFonts w:ascii="Calibri" w:hAnsi="Calibri" w:cs="FrankRuehl" w:hint="cs"/>
          <w:sz w:val="26"/>
          <w:szCs w:val="26"/>
          <w:rtl/>
        </w:rPr>
        <w:t>הנאשם</w:t>
      </w:r>
      <w:r w:rsidRPr="00E523A9">
        <w:rPr>
          <w:rFonts w:ascii="Calibri" w:hAnsi="Calibri" w:cs="FrankRuehl"/>
          <w:sz w:val="26"/>
          <w:szCs w:val="26"/>
        </w:rPr>
        <w:t xml:space="preserve"> </w:t>
      </w:r>
      <w:r w:rsidRPr="00E523A9">
        <w:rPr>
          <w:rFonts w:ascii="Calibri" w:hAnsi="Calibri" w:cs="FrankRuehl" w:hint="cs"/>
          <w:sz w:val="26"/>
          <w:szCs w:val="26"/>
          <w:rtl/>
        </w:rPr>
        <w:t>להליך</w:t>
      </w:r>
      <w:r w:rsidRPr="00E523A9">
        <w:rPr>
          <w:rFonts w:ascii="Calibri" w:hAnsi="Calibri" w:cs="FrankRuehl"/>
          <w:sz w:val="26"/>
          <w:szCs w:val="26"/>
        </w:rPr>
        <w:t xml:space="preserve"> </w:t>
      </w:r>
      <w:r w:rsidRPr="00E523A9">
        <w:rPr>
          <w:rFonts w:ascii="Calibri" w:hAnsi="Calibri" w:cs="FrankRuehl" w:hint="cs"/>
          <w:sz w:val="26"/>
          <w:szCs w:val="26"/>
          <w:rtl/>
        </w:rPr>
        <w:t>שיקומי</w:t>
      </w:r>
      <w:r w:rsidRPr="00E523A9">
        <w:rPr>
          <w:rFonts w:ascii="Calibri" w:hAnsi="Calibri" w:cs="FrankRuehl"/>
          <w:sz w:val="26"/>
          <w:szCs w:val="26"/>
        </w:rPr>
        <w:t xml:space="preserve">, </w:t>
      </w:r>
      <w:r w:rsidRPr="00E523A9">
        <w:rPr>
          <w:rFonts w:ascii="Calibri" w:hAnsi="Calibri" w:cs="FrankRuehl" w:hint="cs"/>
          <w:sz w:val="26"/>
          <w:szCs w:val="26"/>
          <w:rtl/>
        </w:rPr>
        <w:t>או</w:t>
      </w:r>
      <w:r w:rsidRPr="00E523A9">
        <w:rPr>
          <w:rFonts w:ascii="Calibri" w:hAnsi="Calibri" w:cs="FrankRuehl"/>
          <w:sz w:val="26"/>
          <w:szCs w:val="26"/>
        </w:rPr>
        <w:t xml:space="preserve"> </w:t>
      </w:r>
      <w:r w:rsidRPr="00E523A9">
        <w:rPr>
          <w:rFonts w:ascii="Calibri" w:hAnsi="Calibri" w:cs="FrankRuehl" w:hint="cs"/>
          <w:sz w:val="26"/>
          <w:szCs w:val="26"/>
          <w:rtl/>
        </w:rPr>
        <w:t>מראה</w:t>
      </w:r>
      <w:r w:rsidRPr="00E523A9">
        <w:rPr>
          <w:rFonts w:ascii="Calibri" w:hAnsi="Calibri" w:cs="FrankRuehl"/>
          <w:sz w:val="26"/>
          <w:szCs w:val="26"/>
        </w:rPr>
        <w:t xml:space="preserve"> </w:t>
      </w:r>
      <w:r w:rsidRPr="00E523A9">
        <w:rPr>
          <w:rFonts w:ascii="Calibri" w:hAnsi="Calibri" w:cs="FrankRuehl" w:hint="cs"/>
          <w:sz w:val="26"/>
          <w:szCs w:val="26"/>
          <w:rtl/>
        </w:rPr>
        <w:t>נכונות</w:t>
      </w:r>
      <w:r w:rsidRPr="00E523A9">
        <w:rPr>
          <w:rFonts w:ascii="Calibri" w:hAnsi="Calibri" w:cs="FrankRuehl"/>
          <w:sz w:val="26"/>
          <w:szCs w:val="26"/>
        </w:rPr>
        <w:t xml:space="preserve"> </w:t>
      </w:r>
      <w:r w:rsidRPr="00E523A9">
        <w:rPr>
          <w:rFonts w:ascii="Calibri" w:hAnsi="Calibri" w:cs="FrankRuehl" w:hint="cs"/>
          <w:sz w:val="26"/>
          <w:szCs w:val="26"/>
          <w:rtl/>
        </w:rPr>
        <w:t>כנה</w:t>
      </w:r>
      <w:r w:rsidRPr="00E523A9">
        <w:rPr>
          <w:rFonts w:ascii="Calibri" w:hAnsi="Calibri" w:cs="FrankRuehl"/>
          <w:sz w:val="26"/>
          <w:szCs w:val="26"/>
        </w:rPr>
        <w:t xml:space="preserve"> </w:t>
      </w:r>
      <w:r w:rsidRPr="00E523A9">
        <w:rPr>
          <w:rFonts w:ascii="Calibri" w:hAnsi="Calibri" w:cs="FrankRuehl" w:hint="cs"/>
          <w:sz w:val="26"/>
          <w:szCs w:val="26"/>
          <w:rtl/>
        </w:rPr>
        <w:t>לעשות</w:t>
      </w:r>
      <w:r w:rsidRPr="00E523A9">
        <w:rPr>
          <w:rFonts w:ascii="Calibri" w:hAnsi="Calibri" w:cs="FrankRuehl"/>
          <w:sz w:val="26"/>
          <w:szCs w:val="26"/>
        </w:rPr>
        <w:t xml:space="preserve"> </w:t>
      </w:r>
      <w:r w:rsidRPr="00E523A9">
        <w:rPr>
          <w:rFonts w:ascii="Calibri" w:hAnsi="Calibri" w:cs="FrankRuehl" w:hint="cs"/>
          <w:sz w:val="26"/>
          <w:szCs w:val="26"/>
          <w:rtl/>
        </w:rPr>
        <w:t>כן</w:t>
      </w:r>
      <w:r w:rsidRPr="00E523A9">
        <w:rPr>
          <w:rFonts w:ascii="Calibri" w:hAnsi="Calibri" w:cs="FrankRuehl"/>
          <w:sz w:val="26"/>
          <w:szCs w:val="26"/>
        </w:rPr>
        <w:t xml:space="preserve"> – </w:t>
      </w:r>
      <w:r w:rsidRPr="00E523A9">
        <w:rPr>
          <w:rFonts w:ascii="Calibri" w:hAnsi="Calibri" w:cs="FrankRuehl" w:hint="cs"/>
          <w:sz w:val="26"/>
          <w:szCs w:val="26"/>
          <w:rtl/>
        </w:rPr>
        <w:t>עשויים</w:t>
      </w:r>
      <w:r w:rsidRPr="00E523A9">
        <w:rPr>
          <w:rFonts w:ascii="Calibri" w:hAnsi="Calibri" w:cs="FrankRuehl"/>
          <w:sz w:val="26"/>
          <w:szCs w:val="26"/>
        </w:rPr>
        <w:t xml:space="preserve"> </w:t>
      </w:r>
      <w:r w:rsidRPr="00E523A9">
        <w:rPr>
          <w:rFonts w:ascii="Calibri" w:hAnsi="Calibri" w:cs="FrankRuehl" w:hint="cs"/>
          <w:sz w:val="26"/>
          <w:szCs w:val="26"/>
          <w:rtl/>
        </w:rPr>
        <w:t>שיקולי</w:t>
      </w:r>
      <w:r w:rsidRPr="00E523A9">
        <w:rPr>
          <w:rFonts w:ascii="Calibri" w:hAnsi="Calibri" w:cs="FrankRuehl"/>
          <w:sz w:val="26"/>
          <w:szCs w:val="26"/>
        </w:rPr>
        <w:t xml:space="preserve"> </w:t>
      </w:r>
      <w:r w:rsidRPr="00E523A9">
        <w:rPr>
          <w:rFonts w:ascii="Calibri" w:hAnsi="Calibri" w:cs="FrankRuehl" w:hint="cs"/>
          <w:sz w:val="26"/>
          <w:szCs w:val="26"/>
          <w:rtl/>
        </w:rPr>
        <w:t>השיקום</w:t>
      </w:r>
      <w:r w:rsidRPr="00E523A9">
        <w:rPr>
          <w:rFonts w:ascii="Calibri" w:hAnsi="Calibri" w:cs="FrankRuehl"/>
          <w:sz w:val="26"/>
          <w:szCs w:val="26"/>
        </w:rPr>
        <w:t xml:space="preserve"> </w:t>
      </w:r>
      <w:r w:rsidRPr="00E523A9">
        <w:rPr>
          <w:rFonts w:ascii="Calibri" w:hAnsi="Calibri" w:cs="FrankRuehl" w:hint="cs"/>
          <w:sz w:val="26"/>
          <w:szCs w:val="26"/>
          <w:rtl/>
        </w:rPr>
        <w:t>אף</w:t>
      </w:r>
      <w:r w:rsidRPr="00E523A9">
        <w:rPr>
          <w:rFonts w:ascii="Calibri" w:hAnsi="Calibri" w:cs="FrankRuehl"/>
          <w:sz w:val="26"/>
          <w:szCs w:val="26"/>
        </w:rPr>
        <w:t xml:space="preserve"> </w:t>
      </w:r>
      <w:r w:rsidRPr="00E523A9">
        <w:rPr>
          <w:rFonts w:ascii="Calibri" w:hAnsi="Calibri" w:cs="FrankRuehl" w:hint="cs"/>
          <w:sz w:val="26"/>
          <w:szCs w:val="26"/>
          <w:rtl/>
        </w:rPr>
        <w:t>לגבור</w:t>
      </w:r>
      <w:r w:rsidRPr="00E523A9">
        <w:rPr>
          <w:rFonts w:ascii="Calibri" w:hAnsi="Calibri" w:cs="FrankRuehl"/>
          <w:sz w:val="26"/>
          <w:szCs w:val="26"/>
        </w:rPr>
        <w:t xml:space="preserve"> </w:t>
      </w:r>
      <w:r w:rsidRPr="00E523A9">
        <w:rPr>
          <w:rFonts w:ascii="Calibri" w:hAnsi="Calibri" w:cs="FrankRuehl" w:hint="cs"/>
          <w:sz w:val="26"/>
          <w:szCs w:val="26"/>
          <w:rtl/>
        </w:rPr>
        <w:t>על</w:t>
      </w:r>
      <w:r w:rsidRPr="00E523A9">
        <w:rPr>
          <w:rFonts w:ascii="Calibri" w:hAnsi="Calibri" w:cs="FrankRuehl"/>
          <w:sz w:val="26"/>
          <w:szCs w:val="26"/>
        </w:rPr>
        <w:t xml:space="preserve"> </w:t>
      </w:r>
      <w:r w:rsidRPr="00E523A9">
        <w:rPr>
          <w:rFonts w:ascii="Calibri" w:hAnsi="Calibri" w:cs="FrankRuehl" w:hint="cs"/>
          <w:sz w:val="26"/>
          <w:szCs w:val="26"/>
          <w:rtl/>
        </w:rPr>
        <w:t>שיקולי</w:t>
      </w:r>
      <w:r w:rsidRPr="00E523A9">
        <w:rPr>
          <w:rFonts w:ascii="Calibri" w:hAnsi="Calibri" w:cs="FrankRuehl"/>
          <w:sz w:val="26"/>
          <w:szCs w:val="26"/>
        </w:rPr>
        <w:t xml:space="preserve"> </w:t>
      </w:r>
      <w:r w:rsidRPr="00E523A9">
        <w:rPr>
          <w:rFonts w:ascii="Calibri" w:hAnsi="Calibri" w:cs="FrankRuehl" w:hint="cs"/>
          <w:sz w:val="26"/>
          <w:szCs w:val="26"/>
          <w:rtl/>
        </w:rPr>
        <w:t>ההרתעה</w:t>
      </w:r>
      <w:r w:rsidRPr="00E523A9">
        <w:rPr>
          <w:rFonts w:ascii="Calibri" w:hAnsi="Calibri" w:cs="FrankRuehl"/>
          <w:sz w:val="26"/>
          <w:szCs w:val="26"/>
        </w:rPr>
        <w:t xml:space="preserve"> </w:t>
      </w:r>
      <w:r w:rsidRPr="00E523A9">
        <w:rPr>
          <w:rFonts w:ascii="Calibri" w:hAnsi="Calibri" w:cs="FrankRuehl" w:hint="cs"/>
          <w:sz w:val="26"/>
          <w:szCs w:val="26"/>
          <w:rtl/>
        </w:rPr>
        <w:t>והגמול...</w:t>
      </w:r>
      <w:r w:rsidRPr="00E523A9">
        <w:rPr>
          <w:rFonts w:ascii="Calibri" w:hAnsi="Calibri" w:cs="FrankRuehl"/>
          <w:sz w:val="26"/>
          <w:szCs w:val="26"/>
        </w:rPr>
        <w:t xml:space="preserve"> </w:t>
      </w:r>
      <w:r w:rsidRPr="00E523A9">
        <w:rPr>
          <w:rFonts w:ascii="Calibri" w:hAnsi="Calibri" w:cs="FrankRuehl" w:hint="cs"/>
          <w:sz w:val="26"/>
          <w:szCs w:val="26"/>
          <w:rtl/>
        </w:rPr>
        <w:t>ואולם</w:t>
      </w:r>
      <w:r w:rsidRPr="00E523A9">
        <w:rPr>
          <w:rFonts w:ascii="Calibri" w:hAnsi="Calibri" w:cs="FrankRuehl"/>
          <w:sz w:val="26"/>
          <w:szCs w:val="26"/>
        </w:rPr>
        <w:t xml:space="preserve">, </w:t>
      </w:r>
      <w:r w:rsidRPr="00E523A9">
        <w:rPr>
          <w:rFonts w:ascii="Calibri" w:hAnsi="Calibri" w:cs="FrankRuehl" w:hint="cs"/>
          <w:sz w:val="26"/>
          <w:szCs w:val="26"/>
          <w:rtl/>
        </w:rPr>
        <w:t>ההתחשבות</w:t>
      </w:r>
      <w:r w:rsidRPr="00E523A9">
        <w:rPr>
          <w:rFonts w:ascii="Calibri" w:hAnsi="Calibri" w:cs="FrankRuehl"/>
          <w:sz w:val="26"/>
          <w:szCs w:val="26"/>
        </w:rPr>
        <w:t xml:space="preserve"> </w:t>
      </w:r>
      <w:r w:rsidRPr="00E523A9">
        <w:rPr>
          <w:rFonts w:ascii="Calibri" w:hAnsi="Calibri" w:cs="FrankRuehl" w:hint="cs"/>
          <w:sz w:val="26"/>
          <w:szCs w:val="26"/>
          <w:rtl/>
        </w:rPr>
        <w:t>בשיקולים</w:t>
      </w:r>
      <w:r w:rsidRPr="00E523A9">
        <w:rPr>
          <w:rFonts w:ascii="Calibri" w:hAnsi="Calibri" w:cs="FrankRuehl"/>
          <w:sz w:val="26"/>
          <w:szCs w:val="26"/>
        </w:rPr>
        <w:t xml:space="preserve"> </w:t>
      </w:r>
      <w:r w:rsidRPr="00E523A9">
        <w:rPr>
          <w:rFonts w:ascii="Calibri" w:hAnsi="Calibri" w:cs="FrankRuehl" w:hint="cs"/>
          <w:sz w:val="26"/>
          <w:szCs w:val="26"/>
          <w:rtl/>
        </w:rPr>
        <w:t>אלה</w:t>
      </w:r>
      <w:r w:rsidRPr="00E523A9">
        <w:rPr>
          <w:rFonts w:ascii="Calibri" w:hAnsi="Calibri" w:cs="FrankRuehl"/>
          <w:sz w:val="26"/>
          <w:szCs w:val="26"/>
        </w:rPr>
        <w:t xml:space="preserve"> </w:t>
      </w:r>
      <w:r w:rsidRPr="00E523A9">
        <w:rPr>
          <w:rFonts w:ascii="Calibri" w:hAnsi="Calibri" w:cs="FrankRuehl" w:hint="cs"/>
          <w:sz w:val="26"/>
          <w:szCs w:val="26"/>
          <w:rtl/>
        </w:rPr>
        <w:t>נתונה</w:t>
      </w:r>
      <w:r w:rsidRPr="00E523A9">
        <w:rPr>
          <w:rFonts w:ascii="Calibri" w:hAnsi="Calibri" w:cs="FrankRuehl"/>
          <w:sz w:val="26"/>
          <w:szCs w:val="26"/>
        </w:rPr>
        <w:t xml:space="preserve"> </w:t>
      </w:r>
      <w:r w:rsidRPr="00E523A9">
        <w:rPr>
          <w:rFonts w:ascii="Calibri" w:hAnsi="Calibri" w:cs="FrankRuehl" w:hint="cs"/>
          <w:sz w:val="26"/>
          <w:szCs w:val="26"/>
          <w:rtl/>
        </w:rPr>
        <w:t>לשיקול</w:t>
      </w:r>
      <w:r w:rsidRPr="00E523A9">
        <w:rPr>
          <w:rFonts w:ascii="Calibri" w:hAnsi="Calibri" w:cs="FrankRuehl"/>
          <w:sz w:val="26"/>
          <w:szCs w:val="26"/>
        </w:rPr>
        <w:t xml:space="preserve"> </w:t>
      </w:r>
      <w:r w:rsidRPr="00E523A9">
        <w:rPr>
          <w:rFonts w:ascii="Calibri" w:hAnsi="Calibri" w:cs="FrankRuehl" w:hint="cs"/>
          <w:sz w:val="26"/>
          <w:szCs w:val="26"/>
          <w:rtl/>
        </w:rPr>
        <w:t>דעתו</w:t>
      </w:r>
      <w:r w:rsidRPr="00E523A9">
        <w:rPr>
          <w:rFonts w:ascii="Calibri" w:hAnsi="Calibri" w:cs="FrankRuehl"/>
          <w:sz w:val="26"/>
          <w:szCs w:val="26"/>
        </w:rPr>
        <w:t xml:space="preserve"> </w:t>
      </w:r>
      <w:r w:rsidRPr="00E523A9">
        <w:rPr>
          <w:rFonts w:ascii="Calibri" w:hAnsi="Calibri" w:cs="FrankRuehl" w:hint="cs"/>
          <w:sz w:val="26"/>
          <w:szCs w:val="26"/>
          <w:rtl/>
        </w:rPr>
        <w:t>של</w:t>
      </w:r>
      <w:r w:rsidRPr="00E523A9">
        <w:rPr>
          <w:rFonts w:ascii="Calibri" w:hAnsi="Calibri" w:cs="FrankRuehl"/>
          <w:sz w:val="26"/>
          <w:szCs w:val="26"/>
        </w:rPr>
        <w:t xml:space="preserve"> </w:t>
      </w:r>
      <w:r w:rsidRPr="00E523A9">
        <w:rPr>
          <w:rFonts w:ascii="Calibri" w:hAnsi="Calibri" w:cs="FrankRuehl" w:hint="cs"/>
          <w:sz w:val="26"/>
          <w:szCs w:val="26"/>
          <w:rtl/>
        </w:rPr>
        <w:t>בית</w:t>
      </w:r>
      <w:r w:rsidRPr="00E523A9">
        <w:rPr>
          <w:rFonts w:ascii="Calibri" w:hAnsi="Calibri" w:cs="FrankRuehl"/>
          <w:sz w:val="26"/>
          <w:szCs w:val="26"/>
        </w:rPr>
        <w:t xml:space="preserve"> </w:t>
      </w:r>
      <w:r w:rsidRPr="00E523A9">
        <w:rPr>
          <w:rFonts w:ascii="Calibri" w:hAnsi="Calibri" w:cs="FrankRuehl" w:hint="cs"/>
          <w:sz w:val="26"/>
          <w:szCs w:val="26"/>
          <w:rtl/>
        </w:rPr>
        <w:t>המשפט</w:t>
      </w:r>
      <w:r w:rsidRPr="00E523A9">
        <w:rPr>
          <w:rFonts w:ascii="Calibri" w:hAnsi="Calibri" w:cs="FrankRuehl"/>
          <w:sz w:val="26"/>
          <w:szCs w:val="26"/>
        </w:rPr>
        <w:t xml:space="preserve"> </w:t>
      </w:r>
      <w:r w:rsidRPr="00E523A9">
        <w:rPr>
          <w:rFonts w:ascii="Calibri" w:hAnsi="Calibri" w:cs="FrankRuehl" w:hint="cs"/>
          <w:sz w:val="26"/>
          <w:szCs w:val="26"/>
          <w:rtl/>
        </w:rPr>
        <w:t>והיא</w:t>
      </w:r>
      <w:r w:rsidRPr="00E523A9">
        <w:rPr>
          <w:rFonts w:ascii="Calibri" w:hAnsi="Calibri" w:cs="FrankRuehl"/>
          <w:sz w:val="26"/>
          <w:szCs w:val="26"/>
        </w:rPr>
        <w:t xml:space="preserve"> </w:t>
      </w:r>
      <w:r w:rsidRPr="00E523A9">
        <w:rPr>
          <w:rFonts w:ascii="Calibri" w:hAnsi="Calibri" w:cs="FrankRuehl" w:hint="cs"/>
          <w:sz w:val="26"/>
          <w:szCs w:val="26"/>
          <w:rtl/>
        </w:rPr>
        <w:t>איננה</w:t>
      </w:r>
      <w:r w:rsidRPr="00E523A9">
        <w:rPr>
          <w:rFonts w:ascii="Calibri" w:hAnsi="Calibri" w:cs="FrankRuehl"/>
          <w:sz w:val="26"/>
          <w:szCs w:val="26"/>
        </w:rPr>
        <w:t xml:space="preserve"> </w:t>
      </w:r>
      <w:r w:rsidRPr="00E523A9">
        <w:rPr>
          <w:rFonts w:ascii="Calibri" w:hAnsi="Calibri" w:cs="FrankRuehl" w:hint="cs"/>
          <w:sz w:val="26"/>
          <w:szCs w:val="26"/>
          <w:rtl/>
        </w:rPr>
        <w:t>בגדר</w:t>
      </w:r>
      <w:r w:rsidRPr="00E523A9">
        <w:rPr>
          <w:rFonts w:ascii="Calibri" w:hAnsi="Calibri" w:cs="FrankRuehl"/>
          <w:sz w:val="26"/>
          <w:szCs w:val="26"/>
        </w:rPr>
        <w:t xml:space="preserve"> </w:t>
      </w:r>
      <w:r w:rsidRPr="00E523A9">
        <w:rPr>
          <w:rFonts w:ascii="Calibri" w:hAnsi="Calibri" w:cs="FrankRuehl" w:hint="cs"/>
          <w:sz w:val="26"/>
          <w:szCs w:val="26"/>
          <w:rtl/>
        </w:rPr>
        <w:t>חובה</w:t>
      </w:r>
      <w:r w:rsidRPr="00E523A9">
        <w:rPr>
          <w:rFonts w:ascii="Calibri" w:hAnsi="Calibri" w:cs="FrankRuehl"/>
          <w:sz w:val="26"/>
          <w:szCs w:val="26"/>
        </w:rPr>
        <w:t xml:space="preserve">, </w:t>
      </w:r>
      <w:r w:rsidRPr="00E523A9">
        <w:rPr>
          <w:rFonts w:ascii="Calibri" w:hAnsi="Calibri" w:cs="FrankRuehl" w:hint="cs"/>
          <w:sz w:val="26"/>
          <w:szCs w:val="26"/>
          <w:rtl/>
        </w:rPr>
        <w:t>גם</w:t>
      </w:r>
      <w:r w:rsidRPr="00E523A9">
        <w:rPr>
          <w:rFonts w:ascii="Calibri" w:hAnsi="Calibri" w:cs="FrankRuehl"/>
          <w:sz w:val="26"/>
          <w:szCs w:val="26"/>
        </w:rPr>
        <w:t xml:space="preserve"> </w:t>
      </w:r>
      <w:r w:rsidRPr="00E523A9">
        <w:rPr>
          <w:rFonts w:ascii="Calibri" w:hAnsi="Calibri" w:cs="FrankRuehl" w:hint="cs"/>
          <w:sz w:val="26"/>
          <w:szCs w:val="26"/>
          <w:rtl/>
        </w:rPr>
        <w:t>לאחר</w:t>
      </w:r>
      <w:r w:rsidRPr="00E523A9">
        <w:rPr>
          <w:rFonts w:ascii="Calibri" w:hAnsi="Calibri" w:cs="FrankRuehl"/>
          <w:sz w:val="26"/>
          <w:szCs w:val="26"/>
        </w:rPr>
        <w:t xml:space="preserve"> </w:t>
      </w:r>
      <w:r w:rsidRPr="00E523A9">
        <w:rPr>
          <w:rFonts w:ascii="Calibri" w:hAnsi="Calibri" w:cs="FrankRuehl" w:hint="cs"/>
          <w:sz w:val="26"/>
          <w:szCs w:val="26"/>
          <w:rtl/>
        </w:rPr>
        <w:t>תיקון</w:t>
      </w:r>
      <w:r w:rsidRPr="00E523A9">
        <w:rPr>
          <w:rFonts w:ascii="Calibri" w:hAnsi="Calibri" w:cs="FrankRuehl"/>
          <w:sz w:val="26"/>
          <w:szCs w:val="26"/>
        </w:rPr>
        <w:t xml:space="preserve"> 113 </w:t>
      </w:r>
      <w:r w:rsidRPr="00E523A9">
        <w:rPr>
          <w:rFonts w:ascii="Calibri" w:hAnsi="Calibri" w:cs="FrankRuehl" w:hint="cs"/>
          <w:sz w:val="26"/>
          <w:szCs w:val="26"/>
          <w:rtl/>
        </w:rPr>
        <w:t>ל</w:t>
      </w:r>
      <w:hyperlink r:id="rId37" w:history="1">
        <w:r w:rsidR="001730FD" w:rsidRPr="001730FD">
          <w:rPr>
            <w:rFonts w:ascii="Calibri" w:hAnsi="Calibri" w:cs="FrankRuehl" w:hint="eastAsia"/>
            <w:color w:val="0000FF"/>
            <w:sz w:val="26"/>
            <w:szCs w:val="26"/>
            <w:u w:val="single"/>
            <w:rtl/>
          </w:rPr>
          <w:t>חוק</w:t>
        </w:r>
        <w:r w:rsidR="001730FD" w:rsidRPr="001730FD">
          <w:rPr>
            <w:rFonts w:ascii="Calibri" w:hAnsi="Calibri" w:cs="FrankRuehl"/>
            <w:color w:val="0000FF"/>
            <w:sz w:val="26"/>
            <w:szCs w:val="26"/>
            <w:u w:val="single"/>
            <w:rtl/>
          </w:rPr>
          <w:t xml:space="preserve"> </w:t>
        </w:r>
        <w:r w:rsidR="001730FD" w:rsidRPr="001730FD">
          <w:rPr>
            <w:rFonts w:ascii="Calibri" w:hAnsi="Calibri" w:cs="FrankRuehl" w:hint="eastAsia"/>
            <w:color w:val="0000FF"/>
            <w:sz w:val="26"/>
            <w:szCs w:val="26"/>
            <w:u w:val="single"/>
            <w:rtl/>
          </w:rPr>
          <w:t>העונשין</w:t>
        </w:r>
      </w:hyperlink>
      <w:r w:rsidRPr="00E523A9">
        <w:rPr>
          <w:rFonts w:ascii="Calibri" w:hAnsi="Calibri" w:cs="FrankRuehl"/>
          <w:sz w:val="26"/>
          <w:szCs w:val="26"/>
        </w:rPr>
        <w:t xml:space="preserve"> </w:t>
      </w:r>
      <w:r w:rsidRPr="00E523A9">
        <w:rPr>
          <w:rFonts w:ascii="Calibri" w:hAnsi="Calibri" w:cs="FrankRuehl" w:hint="cs"/>
          <w:b/>
          <w:bCs/>
          <w:sz w:val="26"/>
          <w:szCs w:val="26"/>
          <w:rtl/>
        </w:rPr>
        <w:t>...</w:t>
      </w:r>
      <w:r w:rsidRPr="00E523A9">
        <w:rPr>
          <w:rFonts w:ascii="Calibri" w:hAnsi="Calibri" w:cs="FrankRuehl"/>
          <w:b/>
          <w:bCs/>
          <w:sz w:val="26"/>
          <w:szCs w:val="26"/>
        </w:rPr>
        <w:t xml:space="preserve"> </w:t>
      </w:r>
      <w:r w:rsidRPr="00E523A9">
        <w:rPr>
          <w:rFonts w:ascii="Calibri" w:hAnsi="Calibri" w:cs="FrankRuehl" w:hint="cs"/>
          <w:b/>
          <w:bCs/>
          <w:sz w:val="26"/>
          <w:szCs w:val="26"/>
          <w:rtl/>
        </w:rPr>
        <w:t>בית</w:t>
      </w:r>
      <w:r w:rsidRPr="00E523A9">
        <w:rPr>
          <w:rFonts w:ascii="Calibri" w:hAnsi="Calibri" w:cs="FrankRuehl"/>
          <w:b/>
          <w:bCs/>
          <w:sz w:val="26"/>
          <w:szCs w:val="26"/>
        </w:rPr>
        <w:t xml:space="preserve"> </w:t>
      </w:r>
      <w:r w:rsidRPr="00E523A9">
        <w:rPr>
          <w:rFonts w:ascii="Calibri" w:hAnsi="Calibri" w:cs="FrankRuehl" w:hint="cs"/>
          <w:b/>
          <w:bCs/>
          <w:sz w:val="26"/>
          <w:szCs w:val="26"/>
          <w:rtl/>
        </w:rPr>
        <w:t>המשפט</w:t>
      </w:r>
      <w:r w:rsidRPr="00E523A9">
        <w:rPr>
          <w:rFonts w:ascii="Calibri" w:hAnsi="Calibri" w:cs="FrankRuehl"/>
          <w:b/>
          <w:bCs/>
          <w:sz w:val="26"/>
          <w:szCs w:val="26"/>
        </w:rPr>
        <w:t xml:space="preserve"> </w:t>
      </w:r>
      <w:r w:rsidRPr="00E523A9">
        <w:rPr>
          <w:rFonts w:ascii="Calibri" w:hAnsi="Calibri" w:cs="FrankRuehl" w:hint="cs"/>
          <w:b/>
          <w:bCs/>
          <w:sz w:val="26"/>
          <w:szCs w:val="26"/>
          <w:rtl/>
        </w:rPr>
        <w:t>יטה</w:t>
      </w:r>
      <w:r w:rsidRPr="00E523A9">
        <w:rPr>
          <w:rFonts w:ascii="Calibri" w:hAnsi="Calibri" w:cs="FrankRuehl"/>
          <w:b/>
          <w:bCs/>
          <w:sz w:val="26"/>
          <w:szCs w:val="26"/>
        </w:rPr>
        <w:t xml:space="preserve"> </w:t>
      </w:r>
      <w:r w:rsidRPr="00E523A9">
        <w:rPr>
          <w:rFonts w:ascii="Calibri" w:hAnsi="Calibri" w:cs="FrankRuehl" w:hint="cs"/>
          <w:b/>
          <w:bCs/>
          <w:sz w:val="26"/>
          <w:szCs w:val="26"/>
          <w:rtl/>
        </w:rPr>
        <w:t>לבכר</w:t>
      </w:r>
      <w:r w:rsidRPr="00E523A9">
        <w:rPr>
          <w:rFonts w:ascii="Calibri" w:hAnsi="Calibri" w:cs="FrankRuehl"/>
          <w:b/>
          <w:bCs/>
          <w:sz w:val="26"/>
          <w:szCs w:val="26"/>
        </w:rPr>
        <w:t xml:space="preserve"> </w:t>
      </w:r>
      <w:r w:rsidRPr="00E523A9">
        <w:rPr>
          <w:rFonts w:ascii="Calibri" w:hAnsi="Calibri" w:cs="FrankRuehl" w:hint="cs"/>
          <w:b/>
          <w:bCs/>
          <w:sz w:val="26"/>
          <w:szCs w:val="26"/>
          <w:rtl/>
        </w:rPr>
        <w:t>את</w:t>
      </w:r>
      <w:r w:rsidRPr="00E523A9">
        <w:rPr>
          <w:rFonts w:ascii="Calibri" w:hAnsi="Calibri" w:cs="FrankRuehl"/>
          <w:b/>
          <w:bCs/>
          <w:sz w:val="26"/>
          <w:szCs w:val="26"/>
        </w:rPr>
        <w:t xml:space="preserve"> </w:t>
      </w:r>
      <w:r w:rsidRPr="00E523A9">
        <w:rPr>
          <w:rFonts w:ascii="Calibri" w:hAnsi="Calibri" w:cs="FrankRuehl" w:hint="cs"/>
          <w:b/>
          <w:bCs/>
          <w:sz w:val="26"/>
          <w:szCs w:val="26"/>
          <w:rtl/>
        </w:rPr>
        <w:t>שיקולי</w:t>
      </w:r>
      <w:r w:rsidRPr="00E523A9">
        <w:rPr>
          <w:rFonts w:ascii="Calibri" w:hAnsi="Calibri" w:cs="FrankRuehl"/>
          <w:b/>
          <w:bCs/>
          <w:sz w:val="26"/>
          <w:szCs w:val="26"/>
        </w:rPr>
        <w:t xml:space="preserve"> </w:t>
      </w:r>
      <w:r w:rsidRPr="00E523A9">
        <w:rPr>
          <w:rFonts w:ascii="Calibri" w:hAnsi="Calibri" w:cs="FrankRuehl" w:hint="cs"/>
          <w:b/>
          <w:bCs/>
          <w:sz w:val="26"/>
          <w:szCs w:val="26"/>
          <w:rtl/>
        </w:rPr>
        <w:t>שיקומו</w:t>
      </w:r>
      <w:r w:rsidRPr="00E523A9">
        <w:rPr>
          <w:rFonts w:ascii="Calibri" w:hAnsi="Calibri" w:cs="FrankRuehl"/>
          <w:b/>
          <w:bCs/>
          <w:sz w:val="26"/>
          <w:szCs w:val="26"/>
        </w:rPr>
        <w:t xml:space="preserve"> </w:t>
      </w:r>
      <w:r w:rsidRPr="00E523A9">
        <w:rPr>
          <w:rFonts w:ascii="Calibri" w:hAnsi="Calibri" w:cs="FrankRuehl" w:hint="cs"/>
          <w:b/>
          <w:bCs/>
          <w:sz w:val="26"/>
          <w:szCs w:val="26"/>
          <w:rtl/>
        </w:rPr>
        <w:t>של</w:t>
      </w:r>
      <w:r w:rsidRPr="00E523A9">
        <w:rPr>
          <w:rFonts w:ascii="Calibri" w:hAnsi="Calibri" w:cs="FrankRuehl"/>
          <w:b/>
          <w:bCs/>
          <w:sz w:val="26"/>
          <w:szCs w:val="26"/>
        </w:rPr>
        <w:t xml:space="preserve"> </w:t>
      </w:r>
      <w:r w:rsidRPr="00E523A9">
        <w:rPr>
          <w:rFonts w:ascii="Calibri" w:hAnsi="Calibri" w:cs="FrankRuehl" w:hint="cs"/>
          <w:b/>
          <w:bCs/>
          <w:sz w:val="26"/>
          <w:szCs w:val="26"/>
          <w:rtl/>
        </w:rPr>
        <w:t>הנאשם</w:t>
      </w:r>
      <w:r w:rsidRPr="00E523A9">
        <w:rPr>
          <w:rFonts w:ascii="Calibri" w:hAnsi="Calibri" w:cs="FrankRuehl"/>
          <w:b/>
          <w:bCs/>
          <w:sz w:val="26"/>
          <w:szCs w:val="26"/>
        </w:rPr>
        <w:t xml:space="preserve"> </w:t>
      </w:r>
      <w:r w:rsidRPr="00E523A9">
        <w:rPr>
          <w:rFonts w:ascii="Calibri" w:hAnsi="Calibri" w:cs="FrankRuehl" w:hint="cs"/>
          <w:b/>
          <w:bCs/>
          <w:sz w:val="26"/>
          <w:szCs w:val="26"/>
          <w:rtl/>
        </w:rPr>
        <w:t>על</w:t>
      </w:r>
      <w:r w:rsidRPr="00E523A9">
        <w:rPr>
          <w:rFonts w:ascii="Calibri" w:hAnsi="Calibri" w:cs="FrankRuehl"/>
          <w:b/>
          <w:bCs/>
          <w:sz w:val="26"/>
          <w:szCs w:val="26"/>
        </w:rPr>
        <w:t xml:space="preserve"> </w:t>
      </w:r>
      <w:r w:rsidRPr="00E523A9">
        <w:rPr>
          <w:rFonts w:ascii="Calibri" w:hAnsi="Calibri" w:cs="FrankRuehl" w:hint="cs"/>
          <w:b/>
          <w:bCs/>
          <w:sz w:val="26"/>
          <w:szCs w:val="26"/>
          <w:rtl/>
        </w:rPr>
        <w:t>פני</w:t>
      </w:r>
      <w:r w:rsidRPr="00E523A9">
        <w:rPr>
          <w:rFonts w:ascii="Calibri" w:hAnsi="Calibri" w:cs="FrankRuehl"/>
          <w:b/>
          <w:bCs/>
          <w:sz w:val="26"/>
          <w:szCs w:val="26"/>
        </w:rPr>
        <w:t xml:space="preserve"> </w:t>
      </w:r>
      <w:r w:rsidRPr="00E523A9">
        <w:rPr>
          <w:rFonts w:ascii="Calibri" w:hAnsi="Calibri" w:cs="FrankRuehl" w:hint="cs"/>
          <w:b/>
          <w:bCs/>
          <w:sz w:val="26"/>
          <w:szCs w:val="26"/>
          <w:rtl/>
        </w:rPr>
        <w:t>שיקולים</w:t>
      </w:r>
      <w:r w:rsidRPr="00E523A9">
        <w:rPr>
          <w:rFonts w:ascii="Calibri" w:hAnsi="Calibri" w:cs="FrankRuehl"/>
          <w:b/>
          <w:bCs/>
          <w:sz w:val="26"/>
          <w:szCs w:val="26"/>
        </w:rPr>
        <w:t xml:space="preserve"> </w:t>
      </w:r>
      <w:r w:rsidRPr="00E523A9">
        <w:rPr>
          <w:rFonts w:ascii="Calibri" w:hAnsi="Calibri" w:cs="FrankRuehl" w:hint="cs"/>
          <w:b/>
          <w:bCs/>
          <w:sz w:val="26"/>
          <w:szCs w:val="26"/>
          <w:rtl/>
        </w:rPr>
        <w:t>אחרים</w:t>
      </w:r>
      <w:r w:rsidRPr="00E523A9">
        <w:rPr>
          <w:rFonts w:ascii="Calibri" w:hAnsi="Calibri" w:cs="FrankRuehl"/>
          <w:b/>
          <w:bCs/>
          <w:sz w:val="26"/>
          <w:szCs w:val="26"/>
        </w:rPr>
        <w:t xml:space="preserve"> </w:t>
      </w:r>
      <w:r w:rsidRPr="00E523A9">
        <w:rPr>
          <w:rFonts w:ascii="Calibri" w:hAnsi="Calibri" w:cs="FrankRuehl" w:hint="cs"/>
          <w:b/>
          <w:bCs/>
          <w:sz w:val="26"/>
          <w:szCs w:val="26"/>
          <w:rtl/>
        </w:rPr>
        <w:t>כאשר</w:t>
      </w:r>
      <w:r w:rsidRPr="00E523A9">
        <w:rPr>
          <w:rFonts w:ascii="Calibri" w:hAnsi="Calibri" w:cs="FrankRuehl"/>
          <w:b/>
          <w:bCs/>
          <w:sz w:val="26"/>
          <w:szCs w:val="26"/>
        </w:rPr>
        <w:t xml:space="preserve"> </w:t>
      </w:r>
      <w:r w:rsidRPr="00E523A9">
        <w:rPr>
          <w:rFonts w:ascii="Calibri" w:hAnsi="Calibri" w:cs="FrankRuehl" w:hint="cs"/>
          <w:b/>
          <w:bCs/>
          <w:sz w:val="26"/>
          <w:szCs w:val="26"/>
          <w:rtl/>
        </w:rPr>
        <w:t>הוא</w:t>
      </w:r>
      <w:r w:rsidRPr="00E523A9">
        <w:rPr>
          <w:rFonts w:ascii="Calibri" w:hAnsi="Calibri" w:cs="FrankRuehl"/>
          <w:b/>
          <w:bCs/>
          <w:sz w:val="26"/>
          <w:szCs w:val="26"/>
        </w:rPr>
        <w:t xml:space="preserve"> </w:t>
      </w:r>
      <w:r w:rsidRPr="00E523A9">
        <w:rPr>
          <w:rFonts w:ascii="Calibri" w:hAnsi="Calibri" w:cs="FrankRuehl" w:hint="cs"/>
          <w:b/>
          <w:bCs/>
          <w:sz w:val="26"/>
          <w:szCs w:val="26"/>
          <w:rtl/>
        </w:rPr>
        <w:t>משתכנע</w:t>
      </w:r>
      <w:r w:rsidRPr="00E523A9">
        <w:rPr>
          <w:rFonts w:ascii="Calibri" w:hAnsi="Calibri" w:cs="FrankRuehl"/>
          <w:b/>
          <w:bCs/>
          <w:sz w:val="26"/>
          <w:szCs w:val="26"/>
        </w:rPr>
        <w:t xml:space="preserve"> </w:t>
      </w:r>
      <w:r w:rsidRPr="00E523A9">
        <w:rPr>
          <w:rFonts w:ascii="Calibri" w:hAnsi="Calibri" w:cs="FrankRuehl" w:hint="cs"/>
          <w:b/>
          <w:bCs/>
          <w:sz w:val="26"/>
          <w:szCs w:val="26"/>
          <w:rtl/>
        </w:rPr>
        <w:t>כי</w:t>
      </w:r>
      <w:r w:rsidRPr="00E523A9">
        <w:rPr>
          <w:rFonts w:ascii="Calibri" w:hAnsi="Calibri" w:cs="FrankRuehl"/>
          <w:b/>
          <w:bCs/>
          <w:sz w:val="26"/>
          <w:szCs w:val="26"/>
        </w:rPr>
        <w:t xml:space="preserve"> </w:t>
      </w:r>
      <w:r w:rsidRPr="00E523A9">
        <w:rPr>
          <w:rFonts w:ascii="Calibri" w:hAnsi="Calibri" w:cs="FrankRuehl" w:hint="cs"/>
          <w:b/>
          <w:bCs/>
          <w:sz w:val="26"/>
          <w:szCs w:val="26"/>
          <w:rtl/>
        </w:rPr>
        <w:t>הנאשם</w:t>
      </w:r>
      <w:r w:rsidRPr="00E523A9">
        <w:rPr>
          <w:rFonts w:ascii="Calibri" w:hAnsi="Calibri" w:cs="FrankRuehl"/>
          <w:b/>
          <w:bCs/>
          <w:sz w:val="26"/>
          <w:szCs w:val="26"/>
        </w:rPr>
        <w:t xml:space="preserve"> </w:t>
      </w:r>
      <w:r w:rsidRPr="00E523A9">
        <w:rPr>
          <w:rFonts w:ascii="Calibri" w:hAnsi="Calibri" w:cs="FrankRuehl" w:hint="cs"/>
          <w:b/>
          <w:bCs/>
          <w:sz w:val="26"/>
          <w:szCs w:val="26"/>
          <w:rtl/>
        </w:rPr>
        <w:t>השתקם</w:t>
      </w:r>
      <w:r w:rsidRPr="00E523A9">
        <w:rPr>
          <w:rFonts w:ascii="Calibri" w:hAnsi="Calibri" w:cs="FrankRuehl"/>
          <w:b/>
          <w:bCs/>
          <w:sz w:val="26"/>
          <w:szCs w:val="26"/>
        </w:rPr>
        <w:t xml:space="preserve"> </w:t>
      </w:r>
      <w:r w:rsidRPr="00E523A9">
        <w:rPr>
          <w:rFonts w:ascii="Calibri" w:hAnsi="Calibri" w:cs="FrankRuehl" w:hint="cs"/>
          <w:b/>
          <w:bCs/>
          <w:sz w:val="26"/>
          <w:szCs w:val="26"/>
          <w:rtl/>
        </w:rPr>
        <w:t>ושינה</w:t>
      </w:r>
      <w:r w:rsidRPr="00E523A9">
        <w:rPr>
          <w:rFonts w:ascii="Calibri" w:hAnsi="Calibri" w:cs="FrankRuehl"/>
          <w:b/>
          <w:bCs/>
          <w:sz w:val="26"/>
          <w:szCs w:val="26"/>
        </w:rPr>
        <w:t xml:space="preserve"> </w:t>
      </w:r>
      <w:r w:rsidRPr="00E523A9">
        <w:rPr>
          <w:rFonts w:ascii="Calibri" w:hAnsi="Calibri" w:cs="FrankRuehl" w:hint="cs"/>
          <w:b/>
          <w:bCs/>
          <w:sz w:val="26"/>
          <w:szCs w:val="26"/>
          <w:rtl/>
        </w:rPr>
        <w:t>את</w:t>
      </w:r>
      <w:r w:rsidRPr="00E523A9">
        <w:rPr>
          <w:rFonts w:ascii="Calibri" w:hAnsi="Calibri" w:cs="FrankRuehl"/>
          <w:b/>
          <w:bCs/>
          <w:sz w:val="26"/>
          <w:szCs w:val="26"/>
        </w:rPr>
        <w:t xml:space="preserve"> </w:t>
      </w:r>
      <w:r w:rsidRPr="00E523A9">
        <w:rPr>
          <w:rFonts w:ascii="Calibri" w:hAnsi="Calibri" w:cs="FrankRuehl" w:hint="cs"/>
          <w:b/>
          <w:bCs/>
          <w:sz w:val="26"/>
          <w:szCs w:val="26"/>
          <w:rtl/>
        </w:rPr>
        <w:t>דרכיו</w:t>
      </w:r>
      <w:r w:rsidRPr="00E523A9">
        <w:rPr>
          <w:rFonts w:ascii="Calibri" w:hAnsi="Calibri" w:cs="FrankRuehl"/>
          <w:b/>
          <w:bCs/>
          <w:sz w:val="26"/>
          <w:szCs w:val="26"/>
        </w:rPr>
        <w:t xml:space="preserve">, </w:t>
      </w:r>
      <w:r w:rsidRPr="00E523A9">
        <w:rPr>
          <w:rFonts w:ascii="Calibri" w:hAnsi="Calibri" w:cs="FrankRuehl" w:hint="cs"/>
          <w:b/>
          <w:bCs/>
          <w:sz w:val="26"/>
          <w:szCs w:val="26"/>
          <w:rtl/>
        </w:rPr>
        <w:t>או</w:t>
      </w:r>
      <w:r w:rsidRPr="00E523A9">
        <w:rPr>
          <w:rFonts w:ascii="Calibri" w:hAnsi="Calibri" w:cs="FrankRuehl"/>
          <w:b/>
          <w:bCs/>
          <w:sz w:val="26"/>
          <w:szCs w:val="26"/>
        </w:rPr>
        <w:t xml:space="preserve"> </w:t>
      </w:r>
      <w:r w:rsidRPr="00E523A9">
        <w:rPr>
          <w:rFonts w:ascii="Calibri" w:hAnsi="Calibri" w:cs="FrankRuehl" w:hint="cs"/>
          <w:b/>
          <w:bCs/>
          <w:sz w:val="26"/>
          <w:szCs w:val="26"/>
          <w:rtl/>
        </w:rPr>
        <w:t>כי</w:t>
      </w:r>
      <w:r w:rsidRPr="00E523A9">
        <w:rPr>
          <w:rFonts w:ascii="Calibri" w:hAnsi="Calibri" w:cs="FrankRuehl"/>
          <w:b/>
          <w:bCs/>
          <w:sz w:val="26"/>
          <w:szCs w:val="26"/>
        </w:rPr>
        <w:t xml:space="preserve"> </w:t>
      </w:r>
      <w:r w:rsidRPr="00E523A9">
        <w:rPr>
          <w:rFonts w:ascii="Calibri" w:hAnsi="Calibri" w:cs="FrankRuehl" w:hint="cs"/>
          <w:b/>
          <w:bCs/>
          <w:sz w:val="26"/>
          <w:szCs w:val="26"/>
          <w:rtl/>
        </w:rPr>
        <w:t>קיים</w:t>
      </w:r>
      <w:r w:rsidRPr="00E523A9">
        <w:rPr>
          <w:rFonts w:ascii="Calibri" w:hAnsi="Calibri" w:cs="FrankRuehl"/>
          <w:b/>
          <w:bCs/>
          <w:sz w:val="26"/>
          <w:szCs w:val="26"/>
        </w:rPr>
        <w:t xml:space="preserve"> </w:t>
      </w:r>
      <w:r w:rsidRPr="00E523A9">
        <w:rPr>
          <w:rFonts w:ascii="Calibri" w:hAnsi="Calibri" w:cs="FrankRuehl" w:hint="cs"/>
          <w:b/>
          <w:bCs/>
          <w:sz w:val="26"/>
          <w:szCs w:val="26"/>
          <w:rtl/>
        </w:rPr>
        <w:t>סיכויי</w:t>
      </w:r>
      <w:r w:rsidRPr="00E523A9">
        <w:rPr>
          <w:rFonts w:ascii="Calibri" w:hAnsi="Calibri" w:cs="FrankRuehl"/>
          <w:b/>
          <w:bCs/>
          <w:sz w:val="26"/>
          <w:szCs w:val="26"/>
        </w:rPr>
        <w:t xml:space="preserve"> </w:t>
      </w:r>
      <w:r w:rsidRPr="00E523A9">
        <w:rPr>
          <w:rFonts w:ascii="Calibri" w:hAnsi="Calibri" w:cs="FrankRuehl" w:hint="cs"/>
          <w:b/>
          <w:bCs/>
          <w:sz w:val="26"/>
          <w:szCs w:val="26"/>
          <w:rtl/>
        </w:rPr>
        <w:t>ממשי</w:t>
      </w:r>
      <w:r w:rsidRPr="00E523A9">
        <w:rPr>
          <w:rFonts w:ascii="Calibri" w:hAnsi="Calibri" w:cs="FrankRuehl"/>
          <w:b/>
          <w:bCs/>
          <w:sz w:val="26"/>
          <w:szCs w:val="26"/>
        </w:rPr>
        <w:t xml:space="preserve"> </w:t>
      </w:r>
      <w:r w:rsidRPr="00E523A9">
        <w:rPr>
          <w:rFonts w:ascii="Calibri" w:hAnsi="Calibri" w:cs="FrankRuehl" w:hint="cs"/>
          <w:b/>
          <w:bCs/>
          <w:sz w:val="26"/>
          <w:szCs w:val="26"/>
          <w:rtl/>
        </w:rPr>
        <w:t>לשיקומו</w:t>
      </w:r>
      <w:r w:rsidRPr="00E523A9">
        <w:rPr>
          <w:rFonts w:ascii="Calibri" w:hAnsi="Calibri" w:cs="FrankRuehl"/>
          <w:b/>
          <w:bCs/>
          <w:sz w:val="26"/>
          <w:szCs w:val="26"/>
        </w:rPr>
        <w:t xml:space="preserve">, </w:t>
      </w:r>
      <w:r w:rsidRPr="00E523A9">
        <w:rPr>
          <w:rFonts w:ascii="Calibri" w:hAnsi="Calibri" w:cs="FrankRuehl" w:hint="cs"/>
          <w:b/>
          <w:bCs/>
          <w:sz w:val="26"/>
          <w:szCs w:val="26"/>
          <w:rtl/>
        </w:rPr>
        <w:t>וכך</w:t>
      </w:r>
      <w:r w:rsidRPr="00E523A9">
        <w:rPr>
          <w:rFonts w:ascii="Calibri" w:hAnsi="Calibri" w:cs="FrankRuehl"/>
          <w:b/>
          <w:bCs/>
          <w:sz w:val="26"/>
          <w:szCs w:val="26"/>
        </w:rPr>
        <w:t xml:space="preserve"> </w:t>
      </w:r>
      <w:r w:rsidRPr="00E523A9">
        <w:rPr>
          <w:rFonts w:ascii="Calibri" w:hAnsi="Calibri" w:cs="FrankRuehl" w:hint="cs"/>
          <w:b/>
          <w:bCs/>
          <w:sz w:val="26"/>
          <w:szCs w:val="26"/>
          <w:rtl/>
        </w:rPr>
        <w:t>הוא</w:t>
      </w:r>
      <w:r w:rsidRPr="00E523A9">
        <w:rPr>
          <w:rFonts w:ascii="Calibri" w:hAnsi="Calibri" w:cs="FrankRuehl"/>
          <w:b/>
          <w:bCs/>
          <w:sz w:val="26"/>
          <w:szCs w:val="26"/>
        </w:rPr>
        <w:t xml:space="preserve"> "</w:t>
      </w:r>
      <w:r w:rsidRPr="00E523A9">
        <w:rPr>
          <w:rFonts w:ascii="Calibri" w:hAnsi="Calibri" w:cs="FrankRuehl" w:hint="cs"/>
          <w:b/>
          <w:bCs/>
          <w:sz w:val="26"/>
          <w:szCs w:val="26"/>
          <w:rtl/>
        </w:rPr>
        <w:t>במקום</w:t>
      </w:r>
      <w:r w:rsidRPr="00E523A9">
        <w:rPr>
          <w:rFonts w:ascii="Calibri" w:hAnsi="Calibri" w:cs="FrankRuehl"/>
          <w:b/>
          <w:bCs/>
          <w:sz w:val="26"/>
          <w:szCs w:val="26"/>
        </w:rPr>
        <w:t xml:space="preserve"> </w:t>
      </w:r>
      <w:r w:rsidRPr="00E523A9">
        <w:rPr>
          <w:rFonts w:ascii="Calibri" w:hAnsi="Calibri" w:cs="FrankRuehl" w:hint="cs"/>
          <w:b/>
          <w:bCs/>
          <w:sz w:val="26"/>
          <w:szCs w:val="26"/>
          <w:rtl/>
        </w:rPr>
        <w:t>שבו</w:t>
      </w:r>
      <w:r w:rsidRPr="00E523A9">
        <w:rPr>
          <w:rFonts w:ascii="Calibri" w:hAnsi="Calibri" w:cs="FrankRuehl"/>
          <w:b/>
          <w:bCs/>
          <w:sz w:val="26"/>
          <w:szCs w:val="26"/>
        </w:rPr>
        <w:t xml:space="preserve"> </w:t>
      </w:r>
      <w:r w:rsidRPr="00E523A9">
        <w:rPr>
          <w:rFonts w:ascii="Calibri" w:hAnsi="Calibri" w:cs="FrankRuehl" w:hint="cs"/>
          <w:b/>
          <w:bCs/>
          <w:sz w:val="26"/>
          <w:szCs w:val="26"/>
          <w:rtl/>
        </w:rPr>
        <w:t>נראה</w:t>
      </w:r>
      <w:r w:rsidRPr="00E523A9">
        <w:rPr>
          <w:rFonts w:ascii="Calibri" w:hAnsi="Calibri" w:cs="FrankRuehl"/>
          <w:b/>
          <w:bCs/>
          <w:sz w:val="26"/>
          <w:szCs w:val="26"/>
        </w:rPr>
        <w:t xml:space="preserve"> </w:t>
      </w:r>
      <w:r w:rsidRPr="00E523A9">
        <w:rPr>
          <w:rFonts w:ascii="Calibri" w:hAnsi="Calibri" w:cs="FrankRuehl" w:hint="cs"/>
          <w:b/>
          <w:bCs/>
          <w:sz w:val="26"/>
          <w:szCs w:val="26"/>
          <w:rtl/>
        </w:rPr>
        <w:t>כעקבי</w:t>
      </w:r>
      <w:r w:rsidRPr="00E523A9">
        <w:rPr>
          <w:rFonts w:ascii="Calibri" w:hAnsi="Calibri" w:cs="FrankRuehl"/>
          <w:b/>
          <w:bCs/>
          <w:sz w:val="26"/>
          <w:szCs w:val="26"/>
        </w:rPr>
        <w:t xml:space="preserve"> </w:t>
      </w:r>
      <w:r w:rsidRPr="00E523A9">
        <w:rPr>
          <w:rFonts w:ascii="Calibri" w:hAnsi="Calibri" w:cs="FrankRuehl" w:hint="cs"/>
          <w:b/>
          <w:bCs/>
          <w:sz w:val="26"/>
          <w:szCs w:val="26"/>
          <w:rtl/>
        </w:rPr>
        <w:t>הליך</w:t>
      </w:r>
      <w:r w:rsidRPr="00E523A9">
        <w:rPr>
          <w:rFonts w:ascii="Calibri" w:hAnsi="Calibri" w:cs="FrankRuehl"/>
          <w:b/>
          <w:bCs/>
          <w:sz w:val="26"/>
          <w:szCs w:val="26"/>
        </w:rPr>
        <w:t xml:space="preserve"> </w:t>
      </w:r>
      <w:r w:rsidRPr="00E523A9">
        <w:rPr>
          <w:rFonts w:ascii="Calibri" w:hAnsi="Calibri" w:cs="FrankRuehl" w:hint="cs"/>
          <w:b/>
          <w:bCs/>
          <w:sz w:val="26"/>
          <w:szCs w:val="26"/>
          <w:rtl/>
        </w:rPr>
        <w:t>השיקום</w:t>
      </w:r>
      <w:r w:rsidRPr="00E523A9">
        <w:rPr>
          <w:rFonts w:ascii="Calibri" w:hAnsi="Calibri" w:cs="FrankRuehl"/>
          <w:b/>
          <w:bCs/>
          <w:sz w:val="26"/>
          <w:szCs w:val="26"/>
        </w:rPr>
        <w:t xml:space="preserve"> </w:t>
      </w:r>
      <w:r w:rsidRPr="00E523A9">
        <w:rPr>
          <w:rFonts w:ascii="Calibri" w:hAnsi="Calibri" w:cs="FrankRuehl" w:hint="cs"/>
          <w:b/>
          <w:bCs/>
          <w:sz w:val="26"/>
          <w:szCs w:val="26"/>
          <w:rtl/>
        </w:rPr>
        <w:t>שבו</w:t>
      </w:r>
      <w:r w:rsidRPr="00E523A9">
        <w:rPr>
          <w:rFonts w:ascii="Calibri" w:hAnsi="Calibri" w:cs="FrankRuehl"/>
          <w:b/>
          <w:bCs/>
          <w:sz w:val="26"/>
          <w:szCs w:val="26"/>
        </w:rPr>
        <w:t xml:space="preserve"> </w:t>
      </w:r>
      <w:r w:rsidRPr="00E523A9">
        <w:rPr>
          <w:rFonts w:ascii="Calibri" w:hAnsi="Calibri" w:cs="FrankRuehl" w:hint="cs"/>
          <w:b/>
          <w:bCs/>
          <w:sz w:val="26"/>
          <w:szCs w:val="26"/>
          <w:rtl/>
        </w:rPr>
        <w:t>מצוי</w:t>
      </w:r>
      <w:r w:rsidRPr="00E523A9">
        <w:rPr>
          <w:rFonts w:ascii="Calibri" w:hAnsi="Calibri" w:cs="FrankRuehl"/>
          <w:b/>
          <w:bCs/>
          <w:sz w:val="26"/>
          <w:szCs w:val="26"/>
        </w:rPr>
        <w:t xml:space="preserve"> </w:t>
      </w:r>
      <w:r w:rsidRPr="00E523A9">
        <w:rPr>
          <w:rFonts w:ascii="Calibri" w:hAnsi="Calibri" w:cs="FrankRuehl" w:hint="cs"/>
          <w:b/>
          <w:bCs/>
          <w:sz w:val="26"/>
          <w:szCs w:val="26"/>
          <w:rtl/>
        </w:rPr>
        <w:t>המבקש</w:t>
      </w:r>
      <w:r w:rsidRPr="00E523A9">
        <w:rPr>
          <w:rFonts w:ascii="Calibri" w:hAnsi="Calibri" w:cs="FrankRuehl"/>
          <w:b/>
          <w:bCs/>
          <w:sz w:val="26"/>
          <w:szCs w:val="26"/>
        </w:rPr>
        <w:t>-</w:t>
      </w:r>
      <w:r w:rsidRPr="00E523A9">
        <w:rPr>
          <w:rFonts w:ascii="Calibri" w:hAnsi="Calibri" w:cs="FrankRuehl" w:hint="cs"/>
          <w:b/>
          <w:bCs/>
          <w:sz w:val="26"/>
          <w:szCs w:val="26"/>
          <w:rtl/>
        </w:rPr>
        <w:t>המערער... אילו</w:t>
      </w:r>
      <w:r w:rsidRPr="00E523A9">
        <w:rPr>
          <w:rFonts w:ascii="Calibri" w:hAnsi="Calibri" w:cs="FrankRuehl"/>
          <w:b/>
          <w:bCs/>
          <w:sz w:val="26"/>
          <w:szCs w:val="26"/>
        </w:rPr>
        <w:t xml:space="preserve"> </w:t>
      </w:r>
      <w:r w:rsidRPr="00E523A9">
        <w:rPr>
          <w:rFonts w:ascii="Calibri" w:hAnsi="Calibri" w:cs="FrankRuehl" w:hint="cs"/>
          <w:b/>
          <w:bCs/>
          <w:sz w:val="26"/>
          <w:szCs w:val="26"/>
          <w:rtl/>
        </w:rPr>
        <w:t>השמתו</w:t>
      </w:r>
      <w:r w:rsidRPr="00E523A9">
        <w:rPr>
          <w:rFonts w:ascii="Calibri" w:hAnsi="Calibri" w:cs="FrankRuehl"/>
          <w:b/>
          <w:bCs/>
          <w:sz w:val="26"/>
          <w:szCs w:val="26"/>
        </w:rPr>
        <w:t xml:space="preserve"> </w:t>
      </w:r>
      <w:r w:rsidRPr="00E523A9">
        <w:rPr>
          <w:rFonts w:ascii="Calibri" w:hAnsi="Calibri" w:cs="FrankRuehl" w:hint="cs"/>
          <w:b/>
          <w:bCs/>
          <w:sz w:val="26"/>
          <w:szCs w:val="26"/>
          <w:rtl/>
        </w:rPr>
        <w:t>של</w:t>
      </w:r>
      <w:r w:rsidRPr="00E523A9">
        <w:rPr>
          <w:rFonts w:ascii="Calibri" w:hAnsi="Calibri" w:cs="FrankRuehl"/>
          <w:b/>
          <w:bCs/>
          <w:sz w:val="26"/>
          <w:szCs w:val="26"/>
        </w:rPr>
        <w:t xml:space="preserve"> </w:t>
      </w:r>
      <w:r w:rsidRPr="00E523A9">
        <w:rPr>
          <w:rFonts w:ascii="Calibri" w:hAnsi="Calibri" w:cs="FrankRuehl" w:hint="cs"/>
          <w:b/>
          <w:bCs/>
          <w:sz w:val="26"/>
          <w:szCs w:val="26"/>
          <w:rtl/>
        </w:rPr>
        <w:t>הנידון</w:t>
      </w:r>
      <w:r w:rsidRPr="00E523A9">
        <w:rPr>
          <w:rFonts w:ascii="Calibri" w:hAnsi="Calibri" w:cs="FrankRuehl"/>
          <w:b/>
          <w:bCs/>
          <w:sz w:val="26"/>
          <w:szCs w:val="26"/>
        </w:rPr>
        <w:t xml:space="preserve"> </w:t>
      </w:r>
      <w:r w:rsidRPr="00E523A9">
        <w:rPr>
          <w:rFonts w:ascii="Calibri" w:hAnsi="Calibri" w:cs="FrankRuehl" w:hint="cs"/>
          <w:b/>
          <w:bCs/>
          <w:sz w:val="26"/>
          <w:szCs w:val="26"/>
          <w:rtl/>
        </w:rPr>
        <w:t>מאחורי</w:t>
      </w:r>
      <w:r w:rsidRPr="00E523A9">
        <w:rPr>
          <w:rFonts w:ascii="Calibri" w:hAnsi="Calibri" w:cs="FrankRuehl"/>
          <w:b/>
          <w:bCs/>
          <w:sz w:val="26"/>
          <w:szCs w:val="26"/>
        </w:rPr>
        <w:t xml:space="preserve"> </w:t>
      </w:r>
      <w:r w:rsidRPr="00E523A9">
        <w:rPr>
          <w:rFonts w:ascii="Calibri" w:hAnsi="Calibri" w:cs="FrankRuehl" w:hint="cs"/>
          <w:b/>
          <w:bCs/>
          <w:sz w:val="26"/>
          <w:szCs w:val="26"/>
          <w:rtl/>
        </w:rPr>
        <w:t>סורג</w:t>
      </w:r>
      <w:r w:rsidRPr="00E523A9">
        <w:rPr>
          <w:rFonts w:ascii="Calibri" w:hAnsi="Calibri" w:cs="FrankRuehl"/>
          <w:b/>
          <w:bCs/>
          <w:sz w:val="26"/>
          <w:szCs w:val="26"/>
        </w:rPr>
        <w:t xml:space="preserve"> </w:t>
      </w:r>
      <w:r w:rsidRPr="00E523A9">
        <w:rPr>
          <w:rFonts w:ascii="Calibri" w:hAnsi="Calibri" w:cs="FrankRuehl" w:hint="cs"/>
          <w:b/>
          <w:bCs/>
          <w:sz w:val="26"/>
          <w:szCs w:val="26"/>
          <w:rtl/>
        </w:rPr>
        <w:t>ובריח</w:t>
      </w:r>
      <w:r w:rsidRPr="00E523A9">
        <w:rPr>
          <w:rFonts w:ascii="Calibri" w:hAnsi="Calibri" w:cs="FrankRuehl"/>
          <w:b/>
          <w:bCs/>
          <w:sz w:val="26"/>
          <w:szCs w:val="26"/>
        </w:rPr>
        <w:t xml:space="preserve"> </w:t>
      </w:r>
      <w:r w:rsidRPr="00E523A9">
        <w:rPr>
          <w:rFonts w:ascii="Calibri" w:hAnsi="Calibri" w:cs="FrankRuehl" w:hint="cs"/>
          <w:b/>
          <w:bCs/>
          <w:sz w:val="26"/>
          <w:szCs w:val="26"/>
          <w:rtl/>
        </w:rPr>
        <w:t>עלולה</w:t>
      </w:r>
      <w:r w:rsidRPr="00E523A9">
        <w:rPr>
          <w:rFonts w:ascii="Calibri" w:hAnsi="Calibri" w:cs="FrankRuehl"/>
          <w:b/>
          <w:bCs/>
          <w:sz w:val="26"/>
          <w:szCs w:val="26"/>
        </w:rPr>
        <w:t xml:space="preserve"> </w:t>
      </w:r>
      <w:r w:rsidRPr="00E523A9">
        <w:rPr>
          <w:rFonts w:ascii="Calibri" w:hAnsi="Calibri" w:cs="FrankRuehl" w:hint="cs"/>
          <w:b/>
          <w:bCs/>
          <w:sz w:val="26"/>
          <w:szCs w:val="26"/>
          <w:rtl/>
        </w:rPr>
        <w:t>לאיין</w:t>
      </w:r>
      <w:r w:rsidRPr="00E523A9">
        <w:rPr>
          <w:rFonts w:ascii="Calibri" w:hAnsi="Calibri" w:cs="FrankRuehl"/>
          <w:b/>
          <w:bCs/>
          <w:sz w:val="26"/>
          <w:szCs w:val="26"/>
        </w:rPr>
        <w:t xml:space="preserve"> </w:t>
      </w:r>
      <w:r w:rsidRPr="00E523A9">
        <w:rPr>
          <w:rFonts w:ascii="Calibri" w:hAnsi="Calibri" w:cs="FrankRuehl" w:hint="cs"/>
          <w:b/>
          <w:bCs/>
          <w:sz w:val="26"/>
          <w:szCs w:val="26"/>
          <w:rtl/>
        </w:rPr>
        <w:t>את</w:t>
      </w:r>
      <w:r w:rsidRPr="00E523A9">
        <w:rPr>
          <w:rFonts w:ascii="Calibri" w:hAnsi="Calibri" w:cs="FrankRuehl"/>
          <w:b/>
          <w:bCs/>
          <w:sz w:val="26"/>
          <w:szCs w:val="26"/>
        </w:rPr>
        <w:t xml:space="preserve"> </w:t>
      </w:r>
      <w:r w:rsidRPr="00E523A9">
        <w:rPr>
          <w:rFonts w:ascii="Calibri" w:hAnsi="Calibri" w:cs="FrankRuehl" w:hint="cs"/>
          <w:b/>
          <w:bCs/>
          <w:sz w:val="26"/>
          <w:szCs w:val="26"/>
          <w:rtl/>
        </w:rPr>
        <w:t>ההליך</w:t>
      </w:r>
      <w:r w:rsidRPr="00E523A9">
        <w:rPr>
          <w:rFonts w:ascii="Calibri" w:hAnsi="Calibri" w:cs="FrankRuehl"/>
          <w:b/>
          <w:bCs/>
          <w:sz w:val="26"/>
          <w:szCs w:val="26"/>
        </w:rPr>
        <w:t xml:space="preserve"> </w:t>
      </w:r>
      <w:r w:rsidRPr="00E523A9">
        <w:rPr>
          <w:rFonts w:ascii="Calibri" w:hAnsi="Calibri" w:cs="FrankRuehl" w:hint="cs"/>
          <w:b/>
          <w:bCs/>
          <w:sz w:val="26"/>
          <w:szCs w:val="26"/>
          <w:rtl/>
        </w:rPr>
        <w:t>השיקומי</w:t>
      </w:r>
      <w:r w:rsidRPr="00E523A9">
        <w:rPr>
          <w:rFonts w:ascii="Calibri" w:hAnsi="Calibri" w:cs="FrankRuehl"/>
          <w:b/>
          <w:bCs/>
          <w:sz w:val="26"/>
          <w:szCs w:val="26"/>
        </w:rPr>
        <w:t xml:space="preserve">, </w:t>
      </w:r>
      <w:r w:rsidRPr="00E523A9">
        <w:rPr>
          <w:rFonts w:ascii="Calibri" w:hAnsi="Calibri" w:cs="FrankRuehl" w:hint="cs"/>
          <w:b/>
          <w:bCs/>
          <w:sz w:val="26"/>
          <w:szCs w:val="26"/>
          <w:rtl/>
        </w:rPr>
        <w:t>או</w:t>
      </w:r>
      <w:r w:rsidRPr="00E523A9">
        <w:rPr>
          <w:rFonts w:ascii="Calibri" w:hAnsi="Calibri" w:cs="FrankRuehl"/>
          <w:b/>
          <w:bCs/>
          <w:sz w:val="26"/>
          <w:szCs w:val="26"/>
        </w:rPr>
        <w:t xml:space="preserve"> </w:t>
      </w:r>
      <w:r w:rsidRPr="00E523A9">
        <w:rPr>
          <w:rFonts w:ascii="Calibri" w:hAnsi="Calibri" w:cs="FrankRuehl" w:hint="cs"/>
          <w:b/>
          <w:bCs/>
          <w:sz w:val="26"/>
          <w:szCs w:val="26"/>
          <w:rtl/>
        </w:rPr>
        <w:t>לפגוע</w:t>
      </w:r>
      <w:r w:rsidRPr="00E523A9">
        <w:rPr>
          <w:rFonts w:ascii="Calibri" w:hAnsi="Calibri" w:cs="FrankRuehl"/>
          <w:b/>
          <w:bCs/>
          <w:sz w:val="26"/>
          <w:szCs w:val="26"/>
        </w:rPr>
        <w:t xml:space="preserve"> </w:t>
      </w:r>
      <w:r w:rsidRPr="00E523A9">
        <w:rPr>
          <w:rFonts w:ascii="Calibri" w:hAnsi="Calibri" w:cs="FrankRuehl" w:hint="cs"/>
          <w:b/>
          <w:bCs/>
          <w:sz w:val="26"/>
          <w:szCs w:val="26"/>
          <w:rtl/>
        </w:rPr>
        <w:t>בו</w:t>
      </w:r>
      <w:r w:rsidRPr="00E523A9">
        <w:rPr>
          <w:rFonts w:ascii="Calibri" w:hAnsi="Calibri" w:cs="FrankRuehl"/>
          <w:b/>
          <w:bCs/>
          <w:sz w:val="26"/>
          <w:szCs w:val="26"/>
        </w:rPr>
        <w:t xml:space="preserve"> </w:t>
      </w:r>
      <w:r w:rsidRPr="00E523A9">
        <w:rPr>
          <w:rFonts w:ascii="Calibri" w:hAnsi="Calibri" w:cs="FrankRuehl" w:hint="cs"/>
          <w:b/>
          <w:bCs/>
          <w:sz w:val="26"/>
          <w:szCs w:val="26"/>
          <w:rtl/>
        </w:rPr>
        <w:t>באופן</w:t>
      </w:r>
      <w:r w:rsidRPr="00E523A9">
        <w:rPr>
          <w:rFonts w:ascii="Calibri" w:hAnsi="Calibri" w:cs="FrankRuehl"/>
          <w:b/>
          <w:bCs/>
          <w:sz w:val="26"/>
          <w:szCs w:val="26"/>
        </w:rPr>
        <w:t xml:space="preserve"> </w:t>
      </w:r>
      <w:r w:rsidRPr="00E523A9">
        <w:rPr>
          <w:rFonts w:ascii="Calibri" w:hAnsi="Calibri" w:cs="FrankRuehl" w:hint="cs"/>
          <w:b/>
          <w:bCs/>
          <w:sz w:val="26"/>
          <w:szCs w:val="26"/>
          <w:rtl/>
        </w:rPr>
        <w:t>ניכר"</w:t>
      </w:r>
      <w:r w:rsidRPr="00E523A9">
        <w:rPr>
          <w:rFonts w:ascii="Calibri" w:hAnsi="Calibri" w:cs="FrankRuehl"/>
          <w:b/>
          <w:bCs/>
          <w:sz w:val="26"/>
          <w:szCs w:val="26"/>
        </w:rPr>
        <w:t xml:space="preserve">. </w:t>
      </w:r>
      <w:r w:rsidRPr="00E523A9">
        <w:rPr>
          <w:rFonts w:ascii="Calibri" w:hAnsi="Calibri" w:cs="FrankRuehl" w:hint="cs"/>
          <w:sz w:val="26"/>
          <w:szCs w:val="26"/>
          <w:rtl/>
        </w:rPr>
        <w:t>(ההדגשה שלי)</w:t>
      </w:r>
    </w:p>
    <w:p w14:paraId="054B3885" w14:textId="77777777" w:rsidR="00E523A9" w:rsidRPr="00E523A9" w:rsidRDefault="00E523A9" w:rsidP="00E523A9">
      <w:pPr>
        <w:spacing w:after="160" w:line="360" w:lineRule="auto"/>
        <w:jc w:val="both"/>
        <w:rPr>
          <w:rFonts w:ascii="Calibri" w:hAnsi="Calibri" w:cs="FrankRuehl"/>
          <w:sz w:val="26"/>
          <w:szCs w:val="26"/>
          <w:rtl/>
        </w:rPr>
      </w:pPr>
    </w:p>
    <w:p w14:paraId="31C3E82F" w14:textId="77777777" w:rsidR="00E523A9" w:rsidRPr="00E523A9" w:rsidRDefault="00E523A9" w:rsidP="00E523A9">
      <w:pPr>
        <w:spacing w:after="160" w:line="360" w:lineRule="auto"/>
        <w:jc w:val="both"/>
        <w:rPr>
          <w:rFonts w:ascii="Calibri" w:hAnsi="Calibri" w:cs="FrankRuehl"/>
          <w:sz w:val="26"/>
          <w:szCs w:val="26"/>
          <w:rtl/>
        </w:rPr>
      </w:pPr>
      <w:r w:rsidRPr="00E523A9">
        <w:rPr>
          <w:rFonts w:ascii="Calibri" w:hAnsi="Calibri" w:cs="FrankRuehl" w:hint="cs"/>
          <w:sz w:val="26"/>
          <w:szCs w:val="26"/>
          <w:rtl/>
        </w:rPr>
        <w:t xml:space="preserve">בנוסף, אינני יכול שלא להפנות לשינוי הניכר כיום אצל רשויות האכיפה, בכל הנוגע לאימוץ דרכי ענישה חלופיות למאסר, במקרים ההולמים, וזאת ברוח מסקנות והמלצות הוועדה הציבורית לבחינת מדיניות הענישה והטיפול בעבריינים (מאוגוסט 2015), ומסקנות צוות התביעה לבחינת יישום דו"ח דורנר בהקשר זה (ר' באתר האינטרנט של משרד המשפטים). לטעמי, זהו המקרה, שבו יש לבכר את האינטרס השיקומי של הנאשם, כביטוי הן לאינטרס הפרטני והן לאינטרס הציבורי – שכן המשך התהליך השיקומי לצד ענישה משמעותית שלא תקטע את התהליך, תבטיח במידה רבה, את אי-הישנות ההתנהגות העבריינית, ואת גדיעת המקורות לאותה התנהגות, הנטועים באישיותו של הנאשם. </w:t>
      </w:r>
    </w:p>
    <w:p w14:paraId="43AF30CF" w14:textId="77777777" w:rsidR="00E523A9" w:rsidRPr="00E523A9" w:rsidRDefault="00E523A9" w:rsidP="00E523A9">
      <w:pPr>
        <w:spacing w:after="160" w:line="360" w:lineRule="auto"/>
        <w:jc w:val="both"/>
        <w:rPr>
          <w:rFonts w:ascii="Calibri" w:hAnsi="Calibri" w:cs="FrankRuehl"/>
          <w:sz w:val="26"/>
          <w:szCs w:val="26"/>
          <w:rtl/>
        </w:rPr>
      </w:pPr>
      <w:r w:rsidRPr="00E523A9">
        <w:rPr>
          <w:rFonts w:ascii="Calibri" w:hAnsi="Calibri" w:cs="FrankRuehl" w:hint="cs"/>
          <w:sz w:val="26"/>
          <w:szCs w:val="26"/>
          <w:rtl/>
        </w:rPr>
        <w:t xml:space="preserve">כפי שציינתי לעיל, שליחת הנאשם לכלא כעת, ואף שליחתו לעבודות שירות, תוריד לטמיון את כל הישגיו, אותם השיג בדי עמל רב, תוך שלמד להתמודד עם קווים בעיתיים באישיותו, עם התמכרותו, ותוך שרכש מקצוע והשתלב בעבודה מסודרת, ונטל אחריות לעצמו, ובעיקר לבת זוגו ולבנותיו הקטנות. אזכיר, כי למרות העבר הפלילי, מדובר באדם צעיר מאוד, כבן 24, ואני סבור שהוא זקוק להזדמנות להוכיח שהוא מסוגל לעמוד באתגרי חייו הבוגרים, תוך שחידוש המאסר המותנה, והידיעה שהפעלתו לא תהא נתונה לשיקול דעת בית המשפט בפעם הבאה, חלילה, מהווה "חרב מתהפכת" מעל ראשו וגורם מרתיע משמעותי. שכן, לנאשם יש הרבה מה להפסיד </w:t>
      </w:r>
      <w:r w:rsidRPr="00E523A9">
        <w:rPr>
          <w:rFonts w:ascii="Calibri" w:hAnsi="Calibri" w:cs="FrankRuehl"/>
          <w:sz w:val="26"/>
          <w:szCs w:val="26"/>
          <w:rtl/>
        </w:rPr>
        <w:t>–</w:t>
      </w:r>
      <w:r w:rsidRPr="00E523A9">
        <w:rPr>
          <w:rFonts w:ascii="Calibri" w:hAnsi="Calibri" w:cs="FrankRuehl" w:hint="cs"/>
          <w:sz w:val="26"/>
          <w:szCs w:val="26"/>
          <w:rtl/>
        </w:rPr>
        <w:t xml:space="preserve"> ובעיקר את עצמו ואת עתידו. שיקולים אלה שציינתי, יפים ונכונים לשיקולים שעל בית המשפט לבחון, בעת שעולה שאלה של הארכה או חידוש של מאסר מותנה.  אציין, כי אני רואה חשיבות רבה בכך שהנאשם השתלב בעבודה לאורך זמן והוא מוערך ע"י מעסיקו (מסמך שסומן נ/1 במהלך הטיעונים לעונש), שכן היות הנאשם עסוק, עובד ודואג לפרנסתו ולפרנסת הסמוכים על שולחנו, היא חלק משמעותי בנטילת האחריות על חייו, ומכאן, שהיא מהווה חלק משמעותי מהתהליך השיקומי והבטחת המשכיותו לעתיד לבוא. </w:t>
      </w:r>
    </w:p>
    <w:p w14:paraId="32F057F5" w14:textId="77777777" w:rsidR="00E523A9" w:rsidRPr="00E523A9" w:rsidRDefault="00E523A9" w:rsidP="00E523A9">
      <w:pPr>
        <w:spacing w:after="160" w:line="360" w:lineRule="auto"/>
        <w:jc w:val="both"/>
        <w:rPr>
          <w:rFonts w:ascii="Calibri" w:hAnsi="Calibri" w:cs="FrankRuehl"/>
          <w:sz w:val="26"/>
          <w:szCs w:val="26"/>
          <w:rtl/>
        </w:rPr>
      </w:pPr>
    </w:p>
    <w:p w14:paraId="496B14EA" w14:textId="77777777" w:rsidR="00E523A9" w:rsidRPr="00E523A9" w:rsidRDefault="00E523A9" w:rsidP="00E523A9">
      <w:pPr>
        <w:spacing w:after="160" w:line="360" w:lineRule="auto"/>
        <w:jc w:val="both"/>
        <w:rPr>
          <w:rFonts w:ascii="Calibri" w:hAnsi="Calibri" w:cs="FrankRuehl"/>
          <w:sz w:val="26"/>
          <w:szCs w:val="26"/>
          <w:rtl/>
        </w:rPr>
      </w:pPr>
      <w:r w:rsidRPr="00E523A9">
        <w:rPr>
          <w:rFonts w:ascii="Calibri" w:hAnsi="Calibri" w:cs="FrankRuehl" w:hint="cs"/>
          <w:b/>
          <w:bCs/>
          <w:sz w:val="26"/>
          <w:szCs w:val="26"/>
          <w:u w:val="single"/>
          <w:rtl/>
        </w:rPr>
        <w:t>גזירת הדין</w:t>
      </w:r>
    </w:p>
    <w:p w14:paraId="2C0E36B7" w14:textId="77777777" w:rsidR="00E523A9" w:rsidRPr="00E523A9" w:rsidRDefault="00E523A9" w:rsidP="00E523A9">
      <w:pPr>
        <w:spacing w:after="160" w:line="360" w:lineRule="auto"/>
        <w:jc w:val="both"/>
        <w:rPr>
          <w:rFonts w:ascii="Calibri" w:hAnsi="Calibri" w:cs="FrankRuehl"/>
          <w:sz w:val="26"/>
          <w:szCs w:val="26"/>
          <w:rtl/>
        </w:rPr>
      </w:pPr>
      <w:r w:rsidRPr="00E523A9">
        <w:rPr>
          <w:rFonts w:ascii="Calibri" w:hAnsi="Calibri" w:cs="FrankRuehl" w:hint="cs"/>
          <w:sz w:val="26"/>
          <w:szCs w:val="26"/>
          <w:rtl/>
        </w:rPr>
        <w:t>לפיכך, אני מחליט לגזור על הנאשם את העונשים הבאים:</w:t>
      </w:r>
    </w:p>
    <w:p w14:paraId="3855DEED" w14:textId="77777777" w:rsidR="00E523A9" w:rsidRPr="00E523A9" w:rsidRDefault="00E523A9" w:rsidP="00E523A9">
      <w:pPr>
        <w:numPr>
          <w:ilvl w:val="0"/>
          <w:numId w:val="1"/>
        </w:numPr>
        <w:spacing w:after="160" w:line="360" w:lineRule="auto"/>
        <w:contextualSpacing/>
        <w:jc w:val="both"/>
        <w:rPr>
          <w:rFonts w:ascii="Calibri" w:hAnsi="Calibri" w:cs="FrankRuehl"/>
          <w:sz w:val="26"/>
          <w:szCs w:val="26"/>
          <w:rtl/>
        </w:rPr>
      </w:pPr>
      <w:r w:rsidRPr="00E523A9">
        <w:rPr>
          <w:rFonts w:ascii="Calibri" w:hAnsi="Calibri" w:cs="FrankRuehl" w:hint="cs"/>
          <w:sz w:val="26"/>
          <w:szCs w:val="26"/>
          <w:rtl/>
        </w:rPr>
        <w:t xml:space="preserve">מחדש את המאסר על תנאי של שישה חודשים, שנגזר על הנאשם </w:t>
      </w:r>
      <w:r w:rsidRPr="00E523A9">
        <w:rPr>
          <w:rFonts w:ascii="Calibri" w:hAnsi="Calibri" w:cs="FrankRuehl" w:hint="cs"/>
          <w:b/>
          <w:bCs/>
          <w:sz w:val="26"/>
          <w:szCs w:val="26"/>
          <w:rtl/>
        </w:rPr>
        <w:t>בתיק התנאי</w:t>
      </w:r>
      <w:r w:rsidRPr="00E523A9">
        <w:rPr>
          <w:rFonts w:ascii="Calibri" w:hAnsi="Calibri" w:cs="FrankRuehl" w:hint="cs"/>
          <w:sz w:val="26"/>
          <w:szCs w:val="26"/>
          <w:rtl/>
        </w:rPr>
        <w:t>, לשנתיים נוספות מהיום. מובהר כי מדובר בשישה חודשי מאסר בגין כל עבירה של שימוש עצמי בסמים;</w:t>
      </w:r>
    </w:p>
    <w:p w14:paraId="5155F8C6" w14:textId="77777777" w:rsidR="00E523A9" w:rsidRPr="00E523A9" w:rsidRDefault="00E523A9" w:rsidP="00E523A9">
      <w:pPr>
        <w:numPr>
          <w:ilvl w:val="0"/>
          <w:numId w:val="1"/>
        </w:numPr>
        <w:spacing w:after="160" w:line="360" w:lineRule="auto"/>
        <w:contextualSpacing/>
        <w:jc w:val="both"/>
        <w:rPr>
          <w:rFonts w:ascii="Calibri" w:hAnsi="Calibri" w:cs="FrankRuehl"/>
          <w:sz w:val="26"/>
          <w:szCs w:val="26"/>
          <w:rtl/>
        </w:rPr>
      </w:pPr>
      <w:r w:rsidRPr="00E523A9">
        <w:rPr>
          <w:rFonts w:ascii="Calibri" w:hAnsi="Calibri" w:cs="FrankRuehl" w:hint="cs"/>
          <w:sz w:val="26"/>
          <w:szCs w:val="26"/>
          <w:rtl/>
        </w:rPr>
        <w:t>קנס בסך  5,000 ₪, אשר ישולם החל מיום 1.9.2019, או שבועיים מאסר תמורתו. הקנס ישולם ב-10 תשלומים שווים ורצופים בכל  1 בחודש. לא ישולם תשלום במועד או לא ישולם כלל, יעמוד הקנס לפירעון מיידי. ככל שקיימת הפקדה בתיק המעצר, היא תקוזז מהקנס, והיתרה תשולם כפי שציינתי;</w:t>
      </w:r>
    </w:p>
    <w:p w14:paraId="6A359320" w14:textId="77777777" w:rsidR="00E523A9" w:rsidRPr="00E523A9" w:rsidRDefault="00E523A9" w:rsidP="00E523A9">
      <w:pPr>
        <w:numPr>
          <w:ilvl w:val="0"/>
          <w:numId w:val="1"/>
        </w:numPr>
        <w:spacing w:after="160" w:line="360" w:lineRule="auto"/>
        <w:contextualSpacing/>
        <w:jc w:val="both"/>
        <w:rPr>
          <w:rFonts w:ascii="Calibri" w:hAnsi="Calibri" w:cs="FrankRuehl"/>
          <w:sz w:val="26"/>
          <w:szCs w:val="26"/>
          <w:rtl/>
        </w:rPr>
      </w:pPr>
      <w:r w:rsidRPr="00E523A9">
        <w:rPr>
          <w:rFonts w:ascii="Calibri" w:hAnsi="Calibri" w:cs="FrankRuehl" w:hint="cs"/>
          <w:sz w:val="26"/>
          <w:szCs w:val="26"/>
          <w:rtl/>
        </w:rPr>
        <w:t xml:space="preserve">400 שעות שירות לתועלת הציבור (של"ץ), אשר ירוצו החל מיום 8.9.2019 במקום שייקבע ע"י שירות המבחן ובפיקוחו. על שירות המבחן להגיש תוכנית  של"ץ עד ליום 1.8.2019. הנאשם הוזהר כי אי-קיום צו השל"ץ באופן משביע רצון עלול להביא להפקעת הצו ולדיון מחודש בשאלת גזר הדין הראוי לרבות הרשעה והטלת מאסר בפועל. </w:t>
      </w:r>
    </w:p>
    <w:p w14:paraId="245A329B" w14:textId="77777777" w:rsidR="00E523A9" w:rsidRPr="00E523A9" w:rsidRDefault="00E523A9" w:rsidP="00E523A9">
      <w:pPr>
        <w:numPr>
          <w:ilvl w:val="0"/>
          <w:numId w:val="1"/>
        </w:numPr>
        <w:spacing w:after="160" w:line="360" w:lineRule="auto"/>
        <w:contextualSpacing/>
        <w:jc w:val="both"/>
        <w:rPr>
          <w:rFonts w:ascii="Calibri" w:hAnsi="Calibri" w:cs="FrankRuehl"/>
          <w:sz w:val="26"/>
          <w:szCs w:val="26"/>
        </w:rPr>
      </w:pPr>
      <w:r w:rsidRPr="00E523A9">
        <w:rPr>
          <w:rFonts w:ascii="Calibri" w:hAnsi="Calibri" w:cs="FrankRuehl" w:hint="cs"/>
          <w:sz w:val="26"/>
          <w:szCs w:val="26"/>
          <w:rtl/>
        </w:rPr>
        <w:t>צו מבחן לתקופה של 18 חודשים. במהלך תקופה זו הנאשם מחויב בשיתוף פעולה עם שירות המבחן, כאשר מובהר כי הפרת  הצו תוכל להביא לפתיחה מחודשת של המשפט וגזירת עונשו של הנאשם, לרבות עונש מאסר.</w:t>
      </w:r>
    </w:p>
    <w:p w14:paraId="33542114" w14:textId="77777777" w:rsidR="00E523A9" w:rsidRPr="00E523A9" w:rsidRDefault="00E523A9" w:rsidP="00E523A9">
      <w:pPr>
        <w:numPr>
          <w:ilvl w:val="0"/>
          <w:numId w:val="1"/>
        </w:numPr>
        <w:spacing w:after="160" w:line="360" w:lineRule="auto"/>
        <w:contextualSpacing/>
        <w:jc w:val="both"/>
        <w:rPr>
          <w:rFonts w:ascii="Calibri" w:hAnsi="Calibri" w:cs="FrankRuehl"/>
          <w:sz w:val="26"/>
          <w:szCs w:val="26"/>
        </w:rPr>
      </w:pPr>
      <w:r w:rsidRPr="00E523A9">
        <w:rPr>
          <w:rFonts w:ascii="Calibri" w:hAnsi="Calibri" w:cs="FrankRuehl" w:hint="cs"/>
          <w:sz w:val="26"/>
          <w:szCs w:val="26"/>
          <w:rtl/>
        </w:rPr>
        <w:t xml:space="preserve">התחייבות בסך 5,000 ₪ שלא לעבור </w:t>
      </w:r>
      <w:r w:rsidRPr="00E523A9">
        <w:rPr>
          <w:rFonts w:ascii="Calibri" w:hAnsi="Calibri" w:cs="FrankRuehl" w:hint="cs"/>
          <w:b/>
          <w:bCs/>
          <w:sz w:val="26"/>
          <w:szCs w:val="26"/>
          <w:u w:val="single"/>
          <w:rtl/>
        </w:rPr>
        <w:t>כל</w:t>
      </w:r>
      <w:r w:rsidRPr="00E523A9">
        <w:rPr>
          <w:rFonts w:ascii="Calibri" w:hAnsi="Calibri" w:cs="FrankRuehl" w:hint="cs"/>
          <w:sz w:val="26"/>
          <w:szCs w:val="26"/>
          <w:rtl/>
        </w:rPr>
        <w:t xml:space="preserve"> עבירה לפי </w:t>
      </w:r>
      <w:hyperlink r:id="rId38" w:history="1">
        <w:r w:rsidR="001730FD" w:rsidRPr="001730FD">
          <w:rPr>
            <w:rFonts w:ascii="Calibri" w:hAnsi="Calibri" w:cs="FrankRuehl" w:hint="eastAsia"/>
            <w:color w:val="0000FF"/>
            <w:sz w:val="26"/>
            <w:szCs w:val="26"/>
            <w:u w:val="single"/>
            <w:rtl/>
          </w:rPr>
          <w:t>פקודת</w:t>
        </w:r>
        <w:r w:rsidR="001730FD" w:rsidRPr="001730FD">
          <w:rPr>
            <w:rFonts w:ascii="Calibri" w:hAnsi="Calibri" w:cs="FrankRuehl"/>
            <w:color w:val="0000FF"/>
            <w:sz w:val="26"/>
            <w:szCs w:val="26"/>
            <w:u w:val="single"/>
            <w:rtl/>
          </w:rPr>
          <w:t xml:space="preserve"> </w:t>
        </w:r>
        <w:r w:rsidR="001730FD" w:rsidRPr="001730FD">
          <w:rPr>
            <w:rFonts w:ascii="Calibri" w:hAnsi="Calibri" w:cs="FrankRuehl" w:hint="eastAsia"/>
            <w:color w:val="0000FF"/>
            <w:sz w:val="26"/>
            <w:szCs w:val="26"/>
            <w:u w:val="single"/>
            <w:rtl/>
          </w:rPr>
          <w:t>הסמים</w:t>
        </w:r>
        <w:r w:rsidR="001730FD" w:rsidRPr="001730FD">
          <w:rPr>
            <w:rFonts w:ascii="Calibri" w:hAnsi="Calibri" w:cs="FrankRuehl"/>
            <w:color w:val="0000FF"/>
            <w:sz w:val="26"/>
            <w:szCs w:val="26"/>
            <w:u w:val="single"/>
            <w:rtl/>
          </w:rPr>
          <w:t xml:space="preserve"> </w:t>
        </w:r>
        <w:r w:rsidR="001730FD" w:rsidRPr="001730FD">
          <w:rPr>
            <w:rFonts w:ascii="Calibri" w:hAnsi="Calibri" w:cs="FrankRuehl" w:hint="eastAsia"/>
            <w:color w:val="0000FF"/>
            <w:sz w:val="26"/>
            <w:szCs w:val="26"/>
            <w:u w:val="single"/>
            <w:rtl/>
          </w:rPr>
          <w:t>המסוכנים</w:t>
        </w:r>
      </w:hyperlink>
      <w:r w:rsidRPr="00E523A9">
        <w:rPr>
          <w:rFonts w:ascii="Calibri" w:hAnsi="Calibri" w:cs="FrankRuehl" w:hint="cs"/>
          <w:sz w:val="26"/>
          <w:szCs w:val="26"/>
          <w:rtl/>
        </w:rPr>
        <w:t xml:space="preserve">  במשך שנתיים מהיום,  או שבועיים מאסר תמורתה אם לא תיחתם. הובהר לנאשם שמשמעות ההתחייבות היא, כי אם יעבור את העבירה בתוך התקופה שצוינה, בית המשפט שיגזור את הדין יהא חייב לחלט את ההתחייבות כקנס.</w:t>
      </w:r>
    </w:p>
    <w:p w14:paraId="3D85BBA8" w14:textId="77777777" w:rsidR="00E523A9" w:rsidRDefault="00E523A9" w:rsidP="00E523A9">
      <w:pPr>
        <w:rPr>
          <w:rtl/>
        </w:rPr>
      </w:pPr>
    </w:p>
    <w:p w14:paraId="4E7CE922" w14:textId="77777777" w:rsidR="00E523A9" w:rsidRPr="008460D4" w:rsidRDefault="00E523A9" w:rsidP="00E523A9">
      <w:pPr>
        <w:rPr>
          <w:rFonts w:cs="FrankRuehl"/>
          <w:b/>
          <w:bCs/>
          <w:sz w:val="28"/>
          <w:szCs w:val="28"/>
          <w:rtl/>
        </w:rPr>
      </w:pPr>
      <w:r w:rsidRPr="008460D4">
        <w:rPr>
          <w:rFonts w:cs="FrankRuehl" w:hint="cs"/>
          <w:b/>
          <w:bCs/>
          <w:sz w:val="28"/>
          <w:szCs w:val="28"/>
          <w:rtl/>
        </w:rPr>
        <w:t>מורה על השמדת הסמים.</w:t>
      </w:r>
    </w:p>
    <w:p w14:paraId="290893AC" w14:textId="77777777" w:rsidR="00E523A9" w:rsidRDefault="00E523A9" w:rsidP="00E523A9">
      <w:pPr>
        <w:rPr>
          <w:rFonts w:cs="FrankRuehl"/>
          <w:sz w:val="26"/>
          <w:szCs w:val="26"/>
          <w:rtl/>
        </w:rPr>
      </w:pPr>
    </w:p>
    <w:p w14:paraId="4915EA8D" w14:textId="77777777" w:rsidR="00E523A9" w:rsidRPr="00A14DDF" w:rsidRDefault="00E523A9" w:rsidP="00E523A9">
      <w:pPr>
        <w:rPr>
          <w:rFonts w:cs="FrankRuehl"/>
          <w:sz w:val="26"/>
          <w:szCs w:val="26"/>
          <w:rtl/>
        </w:rPr>
      </w:pPr>
      <w:r w:rsidRPr="00A14DDF">
        <w:rPr>
          <w:rFonts w:cs="FrankRuehl" w:hint="cs"/>
          <w:sz w:val="26"/>
          <w:szCs w:val="26"/>
          <w:rtl/>
        </w:rPr>
        <w:t>יש לשלוח לשירות המבחן ולממונה על עבודות השירות.</w:t>
      </w:r>
    </w:p>
    <w:p w14:paraId="68D3FE7C" w14:textId="77777777" w:rsidR="00E523A9" w:rsidRPr="00A14DDF" w:rsidRDefault="00E523A9" w:rsidP="00E523A9">
      <w:pPr>
        <w:rPr>
          <w:rFonts w:cs="FrankRuehl"/>
          <w:sz w:val="26"/>
          <w:szCs w:val="26"/>
          <w:rtl/>
        </w:rPr>
      </w:pPr>
    </w:p>
    <w:p w14:paraId="27D6BE07" w14:textId="77777777" w:rsidR="00E523A9" w:rsidRPr="00A14DDF" w:rsidRDefault="00E523A9" w:rsidP="00E523A9">
      <w:pPr>
        <w:rPr>
          <w:rFonts w:cs="FrankRuehl"/>
          <w:sz w:val="26"/>
          <w:szCs w:val="26"/>
          <w:rtl/>
        </w:rPr>
      </w:pPr>
    </w:p>
    <w:p w14:paraId="7444EA5B" w14:textId="77777777" w:rsidR="00E523A9" w:rsidRPr="00A14DDF" w:rsidRDefault="00E523A9" w:rsidP="00E523A9">
      <w:pPr>
        <w:rPr>
          <w:rFonts w:cs="FrankRuehl"/>
          <w:sz w:val="26"/>
          <w:szCs w:val="26"/>
          <w:rtl/>
        </w:rPr>
      </w:pPr>
      <w:r w:rsidRPr="00A14DDF">
        <w:rPr>
          <w:rFonts w:cs="FrankRuehl" w:hint="cs"/>
          <w:sz w:val="26"/>
          <w:szCs w:val="26"/>
          <w:rtl/>
        </w:rPr>
        <w:t>זכות ערעור לבית המשפט המחוזי בתוך 45 יום מהיום.</w:t>
      </w:r>
    </w:p>
    <w:p w14:paraId="12DFA0C5" w14:textId="77777777" w:rsidR="00E523A9" w:rsidRPr="00A14DDF" w:rsidRDefault="00E523A9" w:rsidP="00E523A9">
      <w:pPr>
        <w:rPr>
          <w:rFonts w:cs="FrankRuehl"/>
          <w:sz w:val="26"/>
          <w:szCs w:val="26"/>
          <w:rtl/>
        </w:rPr>
      </w:pPr>
    </w:p>
    <w:p w14:paraId="282754D9" w14:textId="77777777" w:rsidR="00E523A9" w:rsidRPr="00A14DDF" w:rsidRDefault="00E523A9" w:rsidP="00E523A9">
      <w:pPr>
        <w:rPr>
          <w:rFonts w:cs="FrankRuehl"/>
          <w:sz w:val="26"/>
          <w:szCs w:val="26"/>
          <w:rtl/>
        </w:rPr>
      </w:pPr>
    </w:p>
    <w:p w14:paraId="07EED3EA" w14:textId="77777777" w:rsidR="00E523A9" w:rsidRPr="001730FD" w:rsidRDefault="001730FD" w:rsidP="00E523A9">
      <w:pPr>
        <w:rPr>
          <w:rFonts w:cs="FrankRuehl"/>
          <w:color w:val="FFFFFF"/>
          <w:sz w:val="2"/>
          <w:szCs w:val="2"/>
          <w:rtl/>
        </w:rPr>
      </w:pPr>
      <w:r w:rsidRPr="001730FD">
        <w:rPr>
          <w:rFonts w:cs="FrankRuehl"/>
          <w:color w:val="FFFFFF"/>
          <w:sz w:val="2"/>
          <w:szCs w:val="2"/>
          <w:rtl/>
        </w:rPr>
        <w:t>5129371</w:t>
      </w:r>
    </w:p>
    <w:p w14:paraId="70446BA1" w14:textId="77777777" w:rsidR="00E523A9" w:rsidRPr="00A14DDF" w:rsidRDefault="001730FD" w:rsidP="00E523A9">
      <w:pPr>
        <w:rPr>
          <w:rFonts w:cs="FrankRuehl"/>
          <w:sz w:val="26"/>
          <w:szCs w:val="26"/>
          <w:rtl/>
        </w:rPr>
      </w:pPr>
      <w:bookmarkStart w:id="7" w:name="Nitan"/>
      <w:r w:rsidRPr="001730FD">
        <w:rPr>
          <w:rFonts w:ascii="Arial" w:hAnsi="Arial" w:cs="FrankRuehl"/>
          <w:color w:val="FFFFFF"/>
          <w:sz w:val="2"/>
          <w:szCs w:val="2"/>
          <w:rtl/>
        </w:rPr>
        <w:t>54678313</w:t>
      </w:r>
      <w:r>
        <w:rPr>
          <w:rFonts w:ascii="Arial" w:hAnsi="Arial" w:cs="FrankRuehl"/>
          <w:sz w:val="26"/>
          <w:szCs w:val="26"/>
          <w:rtl/>
        </w:rPr>
        <w:t xml:space="preserve">ניתן היום,  ה' תמוז תשע"ט, 08 יולי 2019, במעמד הצדדים. </w:t>
      </w:r>
      <w:bookmarkEnd w:id="7"/>
    </w:p>
    <w:p w14:paraId="0BE20577" w14:textId="77777777" w:rsidR="00E523A9" w:rsidRPr="00A14DDF" w:rsidRDefault="00E523A9" w:rsidP="001730FD">
      <w:pPr>
        <w:jc w:val="center"/>
      </w:pPr>
      <w:r w:rsidRPr="00A14DDF">
        <w:rPr>
          <w:rFonts w:cs="FrankRuehl" w:hint="cs"/>
          <w:sz w:val="26"/>
          <w:szCs w:val="26"/>
          <w:rtl/>
        </w:rPr>
        <w:t xml:space="preserve">   </w:t>
      </w:r>
      <w:r w:rsidRPr="00A14DDF">
        <w:rPr>
          <w:rFonts w:cs="FrankRuehl" w:hint="cs"/>
          <w:sz w:val="26"/>
          <w:szCs w:val="26"/>
          <w:rtl/>
        </w:rPr>
        <w:tab/>
      </w:r>
      <w:r w:rsidRPr="00A14DDF">
        <w:rPr>
          <w:rFonts w:cs="FrankRuehl" w:hint="cs"/>
          <w:sz w:val="26"/>
          <w:szCs w:val="26"/>
          <w:rtl/>
        </w:rPr>
        <w:tab/>
      </w:r>
      <w:r w:rsidRPr="00A14DDF">
        <w:rPr>
          <w:rFonts w:cs="FrankRuehl" w:hint="cs"/>
          <w:sz w:val="26"/>
          <w:szCs w:val="26"/>
          <w:rtl/>
        </w:rPr>
        <w:tab/>
      </w:r>
      <w:r w:rsidRPr="00A14DDF">
        <w:rPr>
          <w:rFonts w:cs="FrankRuehl" w:hint="cs"/>
          <w:sz w:val="26"/>
          <w:szCs w:val="26"/>
          <w:rtl/>
        </w:rPr>
        <w:tab/>
      </w:r>
      <w:r w:rsidRPr="00A14DDF">
        <w:rPr>
          <w:rFonts w:cs="FrankRuehl" w:hint="cs"/>
          <w:sz w:val="26"/>
          <w:szCs w:val="26"/>
          <w:rtl/>
        </w:rPr>
        <w:tab/>
      </w:r>
    </w:p>
    <w:p w14:paraId="78F85103" w14:textId="77777777" w:rsidR="00E523A9" w:rsidRPr="00A14DDF" w:rsidRDefault="00E523A9" w:rsidP="00E523A9">
      <w:pPr>
        <w:jc w:val="center"/>
        <w:rPr>
          <w:rFonts w:ascii="Arial" w:hAnsi="Arial" w:cs="FrankRuehl"/>
          <w:sz w:val="26"/>
          <w:szCs w:val="26"/>
          <w:rtl/>
        </w:rPr>
      </w:pPr>
    </w:p>
    <w:p w14:paraId="6948D56D" w14:textId="77777777" w:rsidR="00E523A9" w:rsidRDefault="00E523A9" w:rsidP="00E523A9">
      <w:pPr>
        <w:rPr>
          <w:rFonts w:cs="FrankRuehl"/>
          <w:sz w:val="28"/>
          <w:szCs w:val="28"/>
          <w:rtl/>
        </w:rPr>
      </w:pPr>
    </w:p>
    <w:p w14:paraId="2A30A1D2" w14:textId="77777777" w:rsidR="00E523A9" w:rsidRPr="0044679A" w:rsidRDefault="0044679A" w:rsidP="00E523A9">
      <w:pPr>
        <w:pStyle w:val="a3"/>
        <w:jc w:val="center"/>
        <w:rPr>
          <w:color w:val="FFFFFF"/>
          <w:sz w:val="2"/>
          <w:szCs w:val="2"/>
          <w:rtl/>
        </w:rPr>
      </w:pPr>
      <w:r w:rsidRPr="0044679A">
        <w:rPr>
          <w:color w:val="FFFFFF"/>
          <w:sz w:val="2"/>
          <w:szCs w:val="2"/>
          <w:rtl/>
        </w:rPr>
        <w:t>5129371</w:t>
      </w:r>
    </w:p>
    <w:p w14:paraId="26BCCC5C" w14:textId="77777777" w:rsidR="008128C3" w:rsidRPr="0044679A" w:rsidRDefault="0044679A" w:rsidP="001730FD">
      <w:pPr>
        <w:keepNext/>
        <w:rPr>
          <w:rFonts w:ascii="David" w:hAnsi="David"/>
          <w:color w:val="FFFFFF"/>
          <w:sz w:val="2"/>
          <w:szCs w:val="2"/>
          <w:rtl/>
        </w:rPr>
      </w:pPr>
      <w:r w:rsidRPr="0044679A">
        <w:rPr>
          <w:rFonts w:ascii="David" w:hAnsi="David"/>
          <w:color w:val="FFFFFF"/>
          <w:sz w:val="2"/>
          <w:szCs w:val="2"/>
          <w:rtl/>
        </w:rPr>
        <w:t>54678313</w:t>
      </w:r>
    </w:p>
    <w:p w14:paraId="33F89B72" w14:textId="77777777" w:rsidR="001730FD" w:rsidRPr="001730FD" w:rsidRDefault="001730FD" w:rsidP="001730FD">
      <w:pPr>
        <w:keepNext/>
        <w:rPr>
          <w:rFonts w:ascii="David" w:hAnsi="David"/>
          <w:color w:val="000000"/>
          <w:sz w:val="22"/>
          <w:szCs w:val="22"/>
          <w:rtl/>
        </w:rPr>
      </w:pPr>
      <w:r w:rsidRPr="001730FD">
        <w:rPr>
          <w:rFonts w:ascii="David" w:hAnsi="David"/>
          <w:color w:val="000000"/>
          <w:sz w:val="22"/>
          <w:szCs w:val="22"/>
          <w:rtl/>
        </w:rPr>
        <w:t>דוד שאול גבאי ריכטר 54678313</w:t>
      </w:r>
    </w:p>
    <w:p w14:paraId="63703CD4" w14:textId="77777777" w:rsidR="001730FD" w:rsidRDefault="001730FD" w:rsidP="001730FD">
      <w:r w:rsidRPr="001730FD">
        <w:rPr>
          <w:color w:val="000000"/>
          <w:rtl/>
        </w:rPr>
        <w:t>נוסח מסמך זה כפוף לשינויי ניסוח ועריכה</w:t>
      </w:r>
    </w:p>
    <w:p w14:paraId="63DA77BE" w14:textId="77777777" w:rsidR="001730FD" w:rsidRDefault="001730FD" w:rsidP="001730FD">
      <w:pPr>
        <w:rPr>
          <w:rtl/>
        </w:rPr>
      </w:pPr>
    </w:p>
    <w:p w14:paraId="4F308EFC" w14:textId="77777777" w:rsidR="001730FD" w:rsidRDefault="001730FD" w:rsidP="001730FD">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14EA4705" w14:textId="77777777" w:rsidR="001730FD" w:rsidRPr="001730FD" w:rsidRDefault="001730FD" w:rsidP="0044679A">
      <w:pPr>
        <w:rPr>
          <w:color w:val="0000FF"/>
          <w:u w:val="single"/>
        </w:rPr>
      </w:pPr>
    </w:p>
    <w:sectPr w:rsidR="001730FD" w:rsidRPr="001730FD" w:rsidSect="0044679A">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A7596" w14:textId="77777777" w:rsidR="00165596" w:rsidRDefault="00165596" w:rsidP="003D1C02">
      <w:r>
        <w:separator/>
      </w:r>
    </w:p>
  </w:endnote>
  <w:endnote w:type="continuationSeparator" w:id="0">
    <w:p w14:paraId="42950FA0" w14:textId="77777777" w:rsidR="00165596" w:rsidRDefault="00165596" w:rsidP="003D1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ECD56" w14:textId="77777777" w:rsidR="0044679A" w:rsidRDefault="0044679A" w:rsidP="0044679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1B85939" w14:textId="77777777" w:rsidR="004E6577" w:rsidRPr="0044679A" w:rsidRDefault="0044679A" w:rsidP="0044679A">
    <w:pPr>
      <w:pStyle w:val="a5"/>
      <w:pBdr>
        <w:top w:val="single" w:sz="4" w:space="1" w:color="auto"/>
        <w:between w:val="single" w:sz="4" w:space="0" w:color="auto"/>
      </w:pBdr>
      <w:spacing w:after="60"/>
      <w:jc w:val="center"/>
      <w:rPr>
        <w:rFonts w:ascii="FrankRuehl" w:hAnsi="FrankRuehl" w:cs="FrankRuehl"/>
        <w:color w:val="000000"/>
      </w:rPr>
    </w:pPr>
    <w:r w:rsidRPr="0044679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F8315" w14:textId="77777777" w:rsidR="0044679A" w:rsidRDefault="0044679A" w:rsidP="0044679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67876">
      <w:rPr>
        <w:rFonts w:ascii="FrankRuehl" w:hAnsi="FrankRuehl" w:cs="FrankRuehl"/>
        <w:noProof/>
        <w:rtl/>
      </w:rPr>
      <w:t>1</w:t>
    </w:r>
    <w:r>
      <w:rPr>
        <w:rFonts w:ascii="FrankRuehl" w:hAnsi="FrankRuehl" w:cs="FrankRuehl"/>
        <w:rtl/>
      </w:rPr>
      <w:fldChar w:fldCharType="end"/>
    </w:r>
  </w:p>
  <w:p w14:paraId="7324A11B" w14:textId="77777777" w:rsidR="004E6577" w:rsidRPr="0044679A" w:rsidRDefault="0044679A" w:rsidP="0044679A">
    <w:pPr>
      <w:pStyle w:val="a5"/>
      <w:pBdr>
        <w:top w:val="single" w:sz="4" w:space="1" w:color="auto"/>
        <w:between w:val="single" w:sz="4" w:space="0" w:color="auto"/>
      </w:pBdr>
      <w:spacing w:after="60"/>
      <w:jc w:val="center"/>
      <w:rPr>
        <w:rFonts w:ascii="FrankRuehl" w:hAnsi="FrankRuehl" w:cs="FrankRuehl"/>
        <w:color w:val="000000"/>
      </w:rPr>
    </w:pPr>
    <w:r w:rsidRPr="0044679A">
      <w:rPr>
        <w:rFonts w:ascii="FrankRuehl" w:hAnsi="FrankRuehl" w:cs="FrankRuehl"/>
        <w:color w:val="000000"/>
      </w:rPr>
      <w:pict w14:anchorId="24AE68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45BF5" w14:textId="77777777" w:rsidR="00165596" w:rsidRDefault="00165596" w:rsidP="003D1C02">
      <w:r>
        <w:separator/>
      </w:r>
    </w:p>
  </w:footnote>
  <w:footnote w:type="continuationSeparator" w:id="0">
    <w:p w14:paraId="1CB46212" w14:textId="77777777" w:rsidR="00165596" w:rsidRDefault="00165596" w:rsidP="003D1C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E1BF9" w14:textId="77777777" w:rsidR="001730FD" w:rsidRPr="0044679A" w:rsidRDefault="0044679A" w:rsidP="0044679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13667-09-17</w:t>
    </w:r>
    <w:r>
      <w:rPr>
        <w:rFonts w:ascii="David" w:hAnsi="David"/>
        <w:color w:val="000000"/>
        <w:sz w:val="22"/>
        <w:szCs w:val="22"/>
        <w:rtl/>
      </w:rPr>
      <w:tab/>
      <w:t xml:space="preserve"> מדינת ישראל נ' מאור מאיר אלבז</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A0FFA" w14:textId="77777777" w:rsidR="001730FD" w:rsidRPr="0044679A" w:rsidRDefault="0044679A" w:rsidP="0044679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13667-09-17</w:t>
    </w:r>
    <w:r>
      <w:rPr>
        <w:rFonts w:ascii="David" w:hAnsi="David"/>
        <w:color w:val="000000"/>
        <w:sz w:val="22"/>
        <w:szCs w:val="22"/>
        <w:rtl/>
      </w:rPr>
      <w:tab/>
      <w:t xml:space="preserve"> מדינת ישראל נ' מאור מאיר אלבז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6961950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523A9"/>
    <w:rsid w:val="00165596"/>
    <w:rsid w:val="001730FD"/>
    <w:rsid w:val="00381020"/>
    <w:rsid w:val="003D1C02"/>
    <w:rsid w:val="0044679A"/>
    <w:rsid w:val="004E6577"/>
    <w:rsid w:val="008128C3"/>
    <w:rsid w:val="00867876"/>
    <w:rsid w:val="008A098F"/>
    <w:rsid w:val="00E523A9"/>
    <w:rsid w:val="00F218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047ED0"/>
  <w15:chartTrackingRefBased/>
  <w15:docId w15:val="{6AB95C5A-BEFB-4379-A96C-D00597CA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523A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523A9"/>
    <w:pPr>
      <w:tabs>
        <w:tab w:val="center" w:pos="4153"/>
        <w:tab w:val="right" w:pos="8306"/>
      </w:tabs>
    </w:pPr>
  </w:style>
  <w:style w:type="character" w:customStyle="1" w:styleId="a4">
    <w:name w:val="כותרת עליונה תו"/>
    <w:link w:val="a3"/>
    <w:rsid w:val="00E523A9"/>
    <w:rPr>
      <w:rFonts w:ascii="Times New Roman" w:eastAsia="Times New Roman" w:hAnsi="Times New Roman" w:cs="David"/>
      <w:sz w:val="24"/>
      <w:szCs w:val="24"/>
    </w:rPr>
  </w:style>
  <w:style w:type="paragraph" w:styleId="a5">
    <w:name w:val="footer"/>
    <w:basedOn w:val="a"/>
    <w:link w:val="a6"/>
    <w:rsid w:val="00E523A9"/>
    <w:pPr>
      <w:tabs>
        <w:tab w:val="center" w:pos="4153"/>
        <w:tab w:val="right" w:pos="8306"/>
      </w:tabs>
    </w:pPr>
  </w:style>
  <w:style w:type="character" w:customStyle="1" w:styleId="a6">
    <w:name w:val="כותרת תחתונה תו"/>
    <w:link w:val="a5"/>
    <w:rsid w:val="00E523A9"/>
    <w:rPr>
      <w:rFonts w:ascii="Times New Roman" w:eastAsia="Times New Roman" w:hAnsi="Times New Roman" w:cs="David"/>
      <w:sz w:val="24"/>
      <w:szCs w:val="24"/>
    </w:rPr>
  </w:style>
  <w:style w:type="table" w:styleId="a7">
    <w:name w:val="Table Grid"/>
    <w:basedOn w:val="a1"/>
    <w:rsid w:val="00E523A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523A9"/>
  </w:style>
  <w:style w:type="character" w:styleId="Hyperlink">
    <w:name w:val="Hyperlink"/>
    <w:rsid w:val="00E523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 TargetMode="External"/><Relationship Id="rId18" Type="http://schemas.openxmlformats.org/officeDocument/2006/relationships/hyperlink" Target="http://www.nevo.co.il/law/4216/13" TargetMode="External"/><Relationship Id="rId26" Type="http://schemas.openxmlformats.org/officeDocument/2006/relationships/hyperlink" Target="http://www.nevo.co.il/case/21035570"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9" Type="http://schemas.openxmlformats.org/officeDocument/2006/relationships/hyperlink" Target="http://www.nevo.co.il/case/130937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70301/40i" TargetMode="External"/><Relationship Id="rId32" Type="http://schemas.openxmlformats.org/officeDocument/2006/relationships/hyperlink" Target="http://www.nevo.co.il/case/20069566" TargetMode="External"/><Relationship Id="rId37" Type="http://schemas.openxmlformats.org/officeDocument/2006/relationships/hyperlink" Target="http://www.nevo.co.il/law/70301"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40i" TargetMode="External"/><Relationship Id="rId23" Type="http://schemas.openxmlformats.org/officeDocument/2006/relationships/hyperlink" Target="http://www.nevo.co.il/law/4216/7.c" TargetMode="External"/><Relationship Id="rId28" Type="http://schemas.openxmlformats.org/officeDocument/2006/relationships/hyperlink" Target="http://www.nevo.co.il/case/11306079" TargetMode="External"/><Relationship Id="rId36" Type="http://schemas.openxmlformats.org/officeDocument/2006/relationships/hyperlink" Target="http://www.nevo.co.il/case/11269647"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19a" TargetMode="External"/><Relationship Id="rId31" Type="http://schemas.openxmlformats.org/officeDocument/2006/relationships/hyperlink" Target="http://www.nevo.co.il/law/70301"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4216/7.a" TargetMode="External"/><Relationship Id="rId27" Type="http://schemas.openxmlformats.org/officeDocument/2006/relationships/hyperlink" Target="http://www.nevo.co.il/case/11213700" TargetMode="External"/><Relationship Id="rId30" Type="http://schemas.openxmlformats.org/officeDocument/2006/relationships/hyperlink" Target="http://www.nevo.co.il/law/70301/40ja" TargetMode="External"/><Relationship Id="rId35" Type="http://schemas.openxmlformats.org/officeDocument/2006/relationships/hyperlink" Target="http://www.nevo.co.il/law/71553" TargetMode="External"/><Relationship Id="rId43"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1553"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40d" TargetMode="External"/><Relationship Id="rId38" Type="http://schemas.openxmlformats.org/officeDocument/2006/relationships/hyperlink" Target="http://www.nevo.co.il/law/4216" TargetMode="External"/><Relationship Id="rId20" Type="http://schemas.openxmlformats.org/officeDocument/2006/relationships/hyperlink" Target="http://www.nevo.co.il/law/70301/29"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2591</Words>
  <Characters>12957</Characters>
  <Application>Microsoft Office Word</Application>
  <DocSecurity>0</DocSecurity>
  <Lines>107</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15517</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8257637</vt:i4>
      </vt:variant>
      <vt:variant>
        <vt:i4>93</vt:i4>
      </vt:variant>
      <vt:variant>
        <vt:i4>0</vt:i4>
      </vt:variant>
      <vt:variant>
        <vt:i4>5</vt:i4>
      </vt:variant>
      <vt:variant>
        <vt:lpwstr>http://www.nevo.co.il/law/4216</vt:lpwstr>
      </vt:variant>
      <vt:variant>
        <vt:lpwstr/>
      </vt:variant>
      <vt:variant>
        <vt:i4>7995492</vt:i4>
      </vt:variant>
      <vt:variant>
        <vt:i4>90</vt:i4>
      </vt:variant>
      <vt:variant>
        <vt:i4>0</vt:i4>
      </vt:variant>
      <vt:variant>
        <vt:i4>5</vt:i4>
      </vt:variant>
      <vt:variant>
        <vt:lpwstr>http://www.nevo.co.il/law/70301</vt:lpwstr>
      </vt:variant>
      <vt:variant>
        <vt:lpwstr/>
      </vt:variant>
      <vt:variant>
        <vt:i4>4063349</vt:i4>
      </vt:variant>
      <vt:variant>
        <vt:i4>87</vt:i4>
      </vt:variant>
      <vt:variant>
        <vt:i4>0</vt:i4>
      </vt:variant>
      <vt:variant>
        <vt:i4>5</vt:i4>
      </vt:variant>
      <vt:variant>
        <vt:lpwstr>http://www.nevo.co.il/case/11269647</vt:lpwstr>
      </vt:variant>
      <vt:variant>
        <vt:lpwstr/>
      </vt:variant>
      <vt:variant>
        <vt:i4>8257634</vt:i4>
      </vt:variant>
      <vt:variant>
        <vt:i4>84</vt:i4>
      </vt:variant>
      <vt:variant>
        <vt:i4>0</vt:i4>
      </vt:variant>
      <vt:variant>
        <vt:i4>5</vt:i4>
      </vt:variant>
      <vt:variant>
        <vt:lpwstr>http://www.nevo.co.il/law/71553</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http://www.nevo.co.il/law/70301/40d</vt:lpwstr>
      </vt:variant>
      <vt:variant>
        <vt:lpwstr/>
      </vt:variant>
      <vt:variant>
        <vt:i4>3997815</vt:i4>
      </vt:variant>
      <vt:variant>
        <vt:i4>75</vt:i4>
      </vt:variant>
      <vt:variant>
        <vt:i4>0</vt:i4>
      </vt:variant>
      <vt:variant>
        <vt:i4>5</vt:i4>
      </vt:variant>
      <vt:variant>
        <vt:lpwstr>http://www.nevo.co.il/case/20069566</vt:lpwstr>
      </vt:variant>
      <vt:variant>
        <vt:lpwstr/>
      </vt:variant>
      <vt:variant>
        <vt:i4>7995492</vt:i4>
      </vt:variant>
      <vt:variant>
        <vt:i4>72</vt:i4>
      </vt:variant>
      <vt:variant>
        <vt:i4>0</vt:i4>
      </vt:variant>
      <vt:variant>
        <vt:i4>5</vt:i4>
      </vt:variant>
      <vt:variant>
        <vt:lpwstr>http://www.nevo.co.il/law/70301</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3145849</vt:i4>
      </vt:variant>
      <vt:variant>
        <vt:i4>66</vt:i4>
      </vt:variant>
      <vt:variant>
        <vt:i4>0</vt:i4>
      </vt:variant>
      <vt:variant>
        <vt:i4>5</vt:i4>
      </vt:variant>
      <vt:variant>
        <vt:lpwstr>http://www.nevo.co.il/case/13093721</vt:lpwstr>
      </vt:variant>
      <vt:variant>
        <vt:lpwstr/>
      </vt:variant>
      <vt:variant>
        <vt:i4>3342453</vt:i4>
      </vt:variant>
      <vt:variant>
        <vt:i4>63</vt:i4>
      </vt:variant>
      <vt:variant>
        <vt:i4>0</vt:i4>
      </vt:variant>
      <vt:variant>
        <vt:i4>5</vt:i4>
      </vt:variant>
      <vt:variant>
        <vt:lpwstr>http://www.nevo.co.il/case/11306079</vt:lpwstr>
      </vt:variant>
      <vt:variant>
        <vt:lpwstr/>
      </vt:variant>
      <vt:variant>
        <vt:i4>3145843</vt:i4>
      </vt:variant>
      <vt:variant>
        <vt:i4>60</vt:i4>
      </vt:variant>
      <vt:variant>
        <vt:i4>0</vt:i4>
      </vt:variant>
      <vt:variant>
        <vt:i4>5</vt:i4>
      </vt:variant>
      <vt:variant>
        <vt:lpwstr>http://www.nevo.co.il/case/11213700</vt:lpwstr>
      </vt:variant>
      <vt:variant>
        <vt:lpwstr/>
      </vt:variant>
      <vt:variant>
        <vt:i4>3145843</vt:i4>
      </vt:variant>
      <vt:variant>
        <vt:i4>57</vt:i4>
      </vt:variant>
      <vt:variant>
        <vt:i4>0</vt:i4>
      </vt:variant>
      <vt:variant>
        <vt:i4>5</vt:i4>
      </vt:variant>
      <vt:variant>
        <vt:lpwstr>http://www.nevo.co.il/case/21035570</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7995492</vt:i4>
      </vt:variant>
      <vt:variant>
        <vt:i4>42</vt:i4>
      </vt:variant>
      <vt:variant>
        <vt:i4>0</vt:i4>
      </vt:variant>
      <vt:variant>
        <vt:i4>5</vt:i4>
      </vt:variant>
      <vt:variant>
        <vt:lpwstr>http://www.nevo.co.il/law/70301</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8257634</vt:i4>
      </vt:variant>
      <vt:variant>
        <vt:i4>30</vt:i4>
      </vt:variant>
      <vt:variant>
        <vt:i4>0</vt:i4>
      </vt:variant>
      <vt:variant>
        <vt:i4>5</vt:i4>
      </vt:variant>
      <vt:variant>
        <vt:lpwstr>http://www.nevo.co.il/law/71553</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2025-04-22T23:31:00Z</dcterms:created>
  <dcterms:modified xsi:type="dcterms:W3CDTF">2025-04-22T23:31:00Z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13667</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מאור מאיר אלבז</vt:lpwstr>
  </property>
  <property fmtid="{D5CDD505-2E9C-101B-9397-08002B2CF9AE}" pid="10" name="LAWYER">
    <vt:lpwstr>מיכאל עירוני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20190708</vt:lpwstr>
  </property>
  <property fmtid="{D5CDD505-2E9C-101B-9397-08002B2CF9AE}" pid="14" name="TYPE_N_DATE">
    <vt:lpwstr>38020190708</vt:lpwstr>
  </property>
  <property fmtid="{D5CDD505-2E9C-101B-9397-08002B2CF9AE}" pid="15" name="CASESLISTTMP1">
    <vt:lpwstr>21035570;11213700;11306079;13093721;20069566;11269647</vt:lpwstr>
  </property>
  <property fmtid="{D5CDD505-2E9C-101B-9397-08002B2CF9AE}" pid="16" name="WORDNUMPAGES">
    <vt:lpwstr>8</vt:lpwstr>
  </property>
  <property fmtid="{D5CDD505-2E9C-101B-9397-08002B2CF9AE}" pid="17" name="TYPE_ABS_DATE">
    <vt:lpwstr>380020190708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4216/013;019a;007.a;007.c</vt:lpwstr>
  </property>
  <property fmtid="{D5CDD505-2E9C-101B-9397-08002B2CF9AE}" pid="37" name="LAWLISTTMP2">
    <vt:lpwstr>70301/029;040i;40ja;040d</vt:lpwstr>
  </property>
  <property fmtid="{D5CDD505-2E9C-101B-9397-08002B2CF9AE}" pid="38" name="LAWLISTTMP3">
    <vt:lpwstr>71553</vt:lpwstr>
  </property>
</Properties>
</file>