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B8081E" w:rsidRPr="004970D2" w14:paraId="02235975" w14:textId="77777777" w:rsidTr="0047592B">
        <w:trPr>
          <w:trHeight w:hRule="exact" w:val="418"/>
          <w:jc w:val="center"/>
        </w:trPr>
        <w:tc>
          <w:tcPr>
            <w:tcW w:w="8861" w:type="dxa"/>
            <w:gridSpan w:val="2"/>
          </w:tcPr>
          <w:p w14:paraId="7D74BA7D" w14:textId="77777777" w:rsidR="00B8081E" w:rsidRPr="004970D2" w:rsidRDefault="00B8081E" w:rsidP="0047592B">
            <w:pPr>
              <w:pStyle w:val="a3"/>
              <w:jc w:val="center"/>
              <w:rPr>
                <w:rFonts w:ascii="Tahoma" w:hAnsi="Tahoma" w:cs="FrankRuehl"/>
                <w:b/>
                <w:bCs/>
                <w:color w:val="000080"/>
                <w:sz w:val="28"/>
                <w:szCs w:val="28"/>
                <w:rtl/>
              </w:rPr>
            </w:pPr>
            <w:bookmarkStart w:id="0" w:name="LastJudge"/>
            <w:r w:rsidRPr="004970D2">
              <w:rPr>
                <w:rFonts w:ascii="Tahoma" w:hAnsi="Tahoma" w:cs="FrankRuehl"/>
                <w:b/>
                <w:bCs/>
                <w:color w:val="000080"/>
                <w:sz w:val="28"/>
                <w:szCs w:val="28"/>
                <w:rtl/>
              </w:rPr>
              <w:t>בית משפט השלום בירושלים</w:t>
            </w:r>
          </w:p>
        </w:tc>
      </w:tr>
      <w:tr w:rsidR="00B8081E" w:rsidRPr="004970D2" w14:paraId="56EF3A5F" w14:textId="77777777" w:rsidTr="0047592B">
        <w:trPr>
          <w:trHeight w:val="337"/>
          <w:jc w:val="center"/>
        </w:trPr>
        <w:tc>
          <w:tcPr>
            <w:tcW w:w="5131" w:type="dxa"/>
          </w:tcPr>
          <w:p w14:paraId="212B7D5A" w14:textId="77777777" w:rsidR="00B8081E" w:rsidRPr="004970D2" w:rsidRDefault="00B8081E" w:rsidP="0047592B">
            <w:pPr>
              <w:rPr>
                <w:rFonts w:cs="FrankRuehl"/>
                <w:b/>
                <w:bCs/>
                <w:sz w:val="28"/>
                <w:szCs w:val="28"/>
                <w:rtl/>
              </w:rPr>
            </w:pPr>
            <w:r w:rsidRPr="004970D2">
              <w:rPr>
                <w:rFonts w:cs="FrankRuehl"/>
                <w:b/>
                <w:bCs/>
                <w:sz w:val="28"/>
                <w:szCs w:val="28"/>
                <w:rtl/>
              </w:rPr>
              <w:t>ת"פ</w:t>
            </w:r>
            <w:r w:rsidRPr="004970D2">
              <w:rPr>
                <w:rFonts w:cs="FrankRuehl" w:hint="cs"/>
                <w:b/>
                <w:bCs/>
                <w:sz w:val="28"/>
                <w:szCs w:val="28"/>
                <w:rtl/>
              </w:rPr>
              <w:t xml:space="preserve"> </w:t>
            </w:r>
            <w:r w:rsidRPr="004970D2">
              <w:rPr>
                <w:rFonts w:cs="FrankRuehl"/>
                <w:b/>
                <w:bCs/>
                <w:sz w:val="28"/>
                <w:szCs w:val="28"/>
                <w:rtl/>
              </w:rPr>
              <w:t>13769-09-17</w:t>
            </w:r>
            <w:r w:rsidRPr="004970D2">
              <w:rPr>
                <w:rFonts w:cs="FrankRuehl" w:hint="cs"/>
                <w:b/>
                <w:bCs/>
                <w:sz w:val="28"/>
                <w:szCs w:val="28"/>
                <w:rtl/>
              </w:rPr>
              <w:t xml:space="preserve"> </w:t>
            </w:r>
            <w:r w:rsidRPr="004970D2">
              <w:rPr>
                <w:rFonts w:cs="FrankRuehl"/>
                <w:b/>
                <w:bCs/>
                <w:sz w:val="28"/>
                <w:szCs w:val="28"/>
                <w:rtl/>
              </w:rPr>
              <w:t>מדינת ישראל נ' נח</w:t>
            </w:r>
            <w:r w:rsidRPr="004970D2">
              <w:rPr>
                <w:rFonts w:cs="FrankRuehl" w:hint="cs"/>
                <w:b/>
                <w:bCs/>
                <w:sz w:val="28"/>
                <w:szCs w:val="28"/>
                <w:rtl/>
              </w:rPr>
              <w:t xml:space="preserve"> </w:t>
            </w:r>
            <w:r w:rsidRPr="004970D2">
              <w:rPr>
                <w:rFonts w:cs="FrankRuehl"/>
                <w:b/>
                <w:bCs/>
                <w:sz w:val="28"/>
                <w:szCs w:val="28"/>
                <w:rtl/>
              </w:rPr>
              <w:br/>
            </w:r>
            <w:r w:rsidRPr="004970D2">
              <w:rPr>
                <w:rFonts w:cs="FrankRuehl" w:hint="cs"/>
                <w:b/>
                <w:bCs/>
                <w:sz w:val="28"/>
                <w:szCs w:val="28"/>
                <w:rtl/>
              </w:rPr>
              <w:t xml:space="preserve">פ"ל 8826-08-17 מדינת ישראל נ' נח </w:t>
            </w:r>
          </w:p>
          <w:p w14:paraId="1C74A0BE" w14:textId="77777777" w:rsidR="00B8081E" w:rsidRPr="004970D2" w:rsidRDefault="00B8081E" w:rsidP="0047592B">
            <w:pPr>
              <w:rPr>
                <w:rFonts w:cs="FrankRuehl"/>
                <w:b/>
                <w:bCs/>
                <w:sz w:val="28"/>
                <w:szCs w:val="28"/>
                <w:rtl/>
              </w:rPr>
            </w:pPr>
            <w:r w:rsidRPr="004970D2">
              <w:rPr>
                <w:rFonts w:cs="FrankRuehl" w:hint="cs"/>
                <w:b/>
                <w:bCs/>
                <w:sz w:val="28"/>
                <w:szCs w:val="28"/>
                <w:rtl/>
              </w:rPr>
              <w:t>ת"פ 41288-05-19 מדינת ישראל נ' נח</w:t>
            </w:r>
          </w:p>
          <w:p w14:paraId="41476899" w14:textId="77777777" w:rsidR="00B8081E" w:rsidRPr="004970D2" w:rsidRDefault="00B8081E" w:rsidP="0047592B">
            <w:pPr>
              <w:pStyle w:val="a3"/>
              <w:rPr>
                <w:rFonts w:cs="FrankRuehl"/>
                <w:b/>
                <w:bCs/>
                <w:sz w:val="28"/>
                <w:szCs w:val="28"/>
                <w:rtl/>
              </w:rPr>
            </w:pPr>
          </w:p>
        </w:tc>
        <w:tc>
          <w:tcPr>
            <w:tcW w:w="3730" w:type="dxa"/>
          </w:tcPr>
          <w:p w14:paraId="6B848BAC" w14:textId="77777777" w:rsidR="00B8081E" w:rsidRPr="004970D2" w:rsidRDefault="00B8081E" w:rsidP="0047592B">
            <w:pPr>
              <w:pStyle w:val="a3"/>
              <w:jc w:val="right"/>
              <w:rPr>
                <w:rFonts w:cs="FrankRuehl"/>
                <w:sz w:val="28"/>
                <w:szCs w:val="28"/>
                <w:rtl/>
              </w:rPr>
            </w:pPr>
          </w:p>
        </w:tc>
      </w:tr>
    </w:tbl>
    <w:p w14:paraId="329F3624" w14:textId="77777777" w:rsidR="00B8081E" w:rsidRPr="004970D2" w:rsidRDefault="00B8081E" w:rsidP="00B8081E">
      <w:pPr>
        <w:pStyle w:val="a3"/>
        <w:rPr>
          <w:rtl/>
        </w:rPr>
      </w:pPr>
      <w:r w:rsidRPr="004970D2">
        <w:rPr>
          <w:rFonts w:hint="cs"/>
          <w:rtl/>
        </w:rPr>
        <w:t xml:space="preserve"> </w:t>
      </w:r>
    </w:p>
    <w:p w14:paraId="20ECBE93" w14:textId="77777777" w:rsidR="00B8081E" w:rsidRPr="004970D2" w:rsidRDefault="00B8081E" w:rsidP="00B8081E">
      <w:pPr>
        <w:rPr>
          <w:rtl/>
        </w:rPr>
      </w:pPr>
    </w:p>
    <w:p w14:paraId="3557C96C" w14:textId="77777777" w:rsidR="00B8081E" w:rsidRPr="004970D2" w:rsidRDefault="00B8081E" w:rsidP="00B8081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8081E" w:rsidRPr="004970D2" w14:paraId="28B68CB7" w14:textId="77777777" w:rsidTr="00B8081E">
        <w:trPr>
          <w:trHeight w:val="295"/>
          <w:jc w:val="center"/>
        </w:trPr>
        <w:tc>
          <w:tcPr>
            <w:tcW w:w="923" w:type="dxa"/>
            <w:tcBorders>
              <w:top w:val="nil"/>
              <w:left w:val="nil"/>
              <w:bottom w:val="nil"/>
              <w:right w:val="nil"/>
            </w:tcBorders>
            <w:shd w:val="clear" w:color="auto" w:fill="auto"/>
          </w:tcPr>
          <w:p w14:paraId="03D6FAAC" w14:textId="77777777" w:rsidR="00B8081E" w:rsidRPr="004970D2" w:rsidRDefault="00B8081E" w:rsidP="00B8081E">
            <w:pPr>
              <w:jc w:val="both"/>
              <w:rPr>
                <w:rFonts w:ascii="Arial" w:hAnsi="Arial" w:cs="FrankRuehl"/>
                <w:b/>
                <w:bCs/>
                <w:sz w:val="28"/>
                <w:szCs w:val="28"/>
              </w:rPr>
            </w:pPr>
            <w:r w:rsidRPr="004970D2">
              <w:rPr>
                <w:rFonts w:ascii="Arial" w:hAnsi="Arial" w:cs="FrankRuehl" w:hint="cs"/>
                <w:b/>
                <w:bCs/>
                <w:sz w:val="28"/>
                <w:szCs w:val="28"/>
                <w:rtl/>
              </w:rPr>
              <w:t>ב</w:t>
            </w:r>
            <w:r w:rsidRPr="004970D2">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695B4211" w14:textId="77777777" w:rsidR="00B8081E" w:rsidRPr="004970D2" w:rsidRDefault="00B8081E" w:rsidP="0047592B">
            <w:pPr>
              <w:rPr>
                <w:rFonts w:ascii="Arial" w:hAnsi="Arial" w:cs="FrankRuehl"/>
                <w:b/>
                <w:bCs/>
                <w:sz w:val="28"/>
                <w:szCs w:val="28"/>
                <w:rtl/>
              </w:rPr>
            </w:pPr>
            <w:r w:rsidRPr="004970D2">
              <w:rPr>
                <w:rFonts w:ascii="Arial" w:hAnsi="Arial" w:cs="FrankRuehl" w:hint="cs"/>
                <w:b/>
                <w:bCs/>
                <w:sz w:val="28"/>
                <w:szCs w:val="28"/>
                <w:rtl/>
              </w:rPr>
              <w:t>כבוד ה</w:t>
            </w:r>
            <w:r w:rsidRPr="004970D2">
              <w:rPr>
                <w:rFonts w:ascii="Arial" w:hAnsi="Arial" w:cs="FrankRuehl"/>
                <w:b/>
                <w:bCs/>
                <w:sz w:val="28"/>
                <w:szCs w:val="28"/>
                <w:rtl/>
              </w:rPr>
              <w:t>שופט</w:t>
            </w:r>
            <w:r w:rsidRPr="004970D2">
              <w:rPr>
                <w:rFonts w:ascii="Arial" w:hAnsi="Arial" w:cs="FrankRuehl" w:hint="cs"/>
                <w:b/>
                <w:bCs/>
                <w:sz w:val="28"/>
                <w:szCs w:val="28"/>
                <w:rtl/>
              </w:rPr>
              <w:t xml:space="preserve">  </w:t>
            </w:r>
            <w:r w:rsidRPr="004970D2">
              <w:rPr>
                <w:rFonts w:ascii="Arial" w:hAnsi="Arial" w:cs="FrankRuehl"/>
                <w:b/>
                <w:bCs/>
                <w:sz w:val="28"/>
                <w:szCs w:val="28"/>
                <w:rtl/>
              </w:rPr>
              <w:t>דוד שאול גבאי ריכטר</w:t>
            </w:r>
          </w:p>
          <w:p w14:paraId="6D027F1C" w14:textId="77777777" w:rsidR="00B8081E" w:rsidRPr="004970D2" w:rsidRDefault="00B8081E" w:rsidP="0047592B">
            <w:pPr>
              <w:rPr>
                <w:rFonts w:cs="FrankRuehl"/>
                <w:b/>
                <w:bCs/>
                <w:sz w:val="28"/>
                <w:szCs w:val="28"/>
                <w:rtl/>
              </w:rPr>
            </w:pPr>
          </w:p>
          <w:p w14:paraId="13D33575" w14:textId="77777777" w:rsidR="00B8081E" w:rsidRPr="004970D2" w:rsidRDefault="00B8081E" w:rsidP="00B8081E">
            <w:pPr>
              <w:jc w:val="both"/>
              <w:rPr>
                <w:rFonts w:ascii="Arial" w:hAnsi="Arial" w:cs="FrankRuehl"/>
                <w:b/>
                <w:bCs/>
                <w:sz w:val="28"/>
                <w:szCs w:val="28"/>
              </w:rPr>
            </w:pPr>
          </w:p>
        </w:tc>
      </w:tr>
      <w:tr w:rsidR="00B8081E" w:rsidRPr="004970D2" w14:paraId="5E6CDFF9" w14:textId="77777777" w:rsidTr="00B8081E">
        <w:trPr>
          <w:trHeight w:val="355"/>
          <w:jc w:val="center"/>
        </w:trPr>
        <w:tc>
          <w:tcPr>
            <w:tcW w:w="923" w:type="dxa"/>
            <w:tcBorders>
              <w:top w:val="nil"/>
              <w:left w:val="nil"/>
              <w:bottom w:val="nil"/>
              <w:right w:val="nil"/>
            </w:tcBorders>
            <w:shd w:val="clear" w:color="auto" w:fill="auto"/>
          </w:tcPr>
          <w:p w14:paraId="7E411FB2" w14:textId="77777777" w:rsidR="00B8081E" w:rsidRPr="004970D2" w:rsidRDefault="00B8081E" w:rsidP="00B8081E">
            <w:pPr>
              <w:jc w:val="both"/>
              <w:rPr>
                <w:rFonts w:ascii="Arial" w:hAnsi="Arial" w:cs="FrankRuehl"/>
                <w:b/>
                <w:bCs/>
                <w:sz w:val="28"/>
                <w:szCs w:val="28"/>
              </w:rPr>
            </w:pPr>
            <w:bookmarkStart w:id="1" w:name="FirstAppellant"/>
            <w:r w:rsidRPr="004970D2">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2369D9FD" w14:textId="77777777" w:rsidR="00B8081E" w:rsidRPr="004970D2" w:rsidRDefault="00B8081E" w:rsidP="0047592B">
            <w:pPr>
              <w:rPr>
                <w:rFonts w:cs="FrankRuehl"/>
                <w:b/>
                <w:bCs/>
                <w:sz w:val="28"/>
                <w:szCs w:val="28"/>
              </w:rPr>
            </w:pPr>
            <w:r w:rsidRPr="004970D2">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2EDC8F29" w14:textId="77777777" w:rsidR="00B8081E" w:rsidRPr="004970D2" w:rsidRDefault="00B8081E" w:rsidP="00B8081E">
            <w:pPr>
              <w:jc w:val="both"/>
              <w:rPr>
                <w:rFonts w:ascii="Arial" w:hAnsi="Arial" w:cs="FrankRuehl"/>
                <w:b/>
                <w:bCs/>
                <w:sz w:val="28"/>
                <w:szCs w:val="28"/>
              </w:rPr>
            </w:pPr>
          </w:p>
        </w:tc>
      </w:tr>
      <w:bookmarkEnd w:id="1"/>
      <w:tr w:rsidR="00B8081E" w:rsidRPr="004970D2" w14:paraId="1F20EABC" w14:textId="77777777" w:rsidTr="00B8081E">
        <w:trPr>
          <w:trHeight w:val="355"/>
          <w:jc w:val="center"/>
        </w:trPr>
        <w:tc>
          <w:tcPr>
            <w:tcW w:w="923" w:type="dxa"/>
            <w:tcBorders>
              <w:top w:val="nil"/>
              <w:left w:val="nil"/>
              <w:bottom w:val="nil"/>
              <w:right w:val="nil"/>
            </w:tcBorders>
            <w:shd w:val="clear" w:color="auto" w:fill="auto"/>
          </w:tcPr>
          <w:p w14:paraId="11D9499F" w14:textId="77777777" w:rsidR="00B8081E" w:rsidRPr="004970D2" w:rsidRDefault="00B8081E" w:rsidP="00B8081E">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57EA1D65" w14:textId="77777777" w:rsidR="00B8081E" w:rsidRPr="004970D2" w:rsidRDefault="00B8081E" w:rsidP="00B8081E">
            <w:pPr>
              <w:jc w:val="both"/>
              <w:rPr>
                <w:rFonts w:cs="FrankRuehl"/>
                <w:b/>
                <w:bCs/>
                <w:sz w:val="28"/>
                <w:szCs w:val="28"/>
                <w:rtl/>
              </w:rPr>
            </w:pPr>
            <w:r w:rsidRPr="004970D2">
              <w:rPr>
                <w:rFonts w:cs="FrankRuehl" w:hint="cs"/>
                <w:b/>
                <w:bCs/>
                <w:sz w:val="28"/>
                <w:szCs w:val="28"/>
                <w:rtl/>
              </w:rPr>
              <w:t>ע"י תביעות ירושלים</w:t>
            </w:r>
          </w:p>
        </w:tc>
        <w:tc>
          <w:tcPr>
            <w:tcW w:w="3771" w:type="dxa"/>
            <w:tcBorders>
              <w:top w:val="nil"/>
              <w:left w:val="nil"/>
              <w:bottom w:val="nil"/>
              <w:right w:val="nil"/>
            </w:tcBorders>
            <w:shd w:val="clear" w:color="auto" w:fill="auto"/>
          </w:tcPr>
          <w:p w14:paraId="4B769437" w14:textId="77777777" w:rsidR="00B8081E" w:rsidRPr="004970D2" w:rsidRDefault="00B8081E" w:rsidP="00B8081E">
            <w:pPr>
              <w:jc w:val="right"/>
              <w:rPr>
                <w:rFonts w:ascii="Arial" w:hAnsi="Arial" w:cs="FrankRuehl"/>
                <w:b/>
                <w:bCs/>
                <w:sz w:val="28"/>
                <w:szCs w:val="28"/>
                <w:rtl/>
              </w:rPr>
            </w:pPr>
            <w:r w:rsidRPr="004970D2">
              <w:rPr>
                <w:rFonts w:ascii="Arial" w:hAnsi="Arial" w:cs="FrankRuehl" w:hint="cs"/>
                <w:b/>
                <w:bCs/>
                <w:sz w:val="28"/>
                <w:szCs w:val="28"/>
                <w:rtl/>
              </w:rPr>
              <w:t>ה</w:t>
            </w:r>
            <w:r w:rsidRPr="004970D2">
              <w:rPr>
                <w:rFonts w:ascii="Arial" w:hAnsi="Arial" w:cs="FrankRuehl"/>
                <w:b/>
                <w:bCs/>
                <w:sz w:val="28"/>
                <w:szCs w:val="28"/>
                <w:rtl/>
              </w:rPr>
              <w:t>מאשימה</w:t>
            </w:r>
          </w:p>
        </w:tc>
      </w:tr>
      <w:tr w:rsidR="00B8081E" w:rsidRPr="004970D2" w14:paraId="526FB0CD" w14:textId="77777777" w:rsidTr="00B8081E">
        <w:trPr>
          <w:trHeight w:val="355"/>
          <w:jc w:val="center"/>
        </w:trPr>
        <w:tc>
          <w:tcPr>
            <w:tcW w:w="923" w:type="dxa"/>
            <w:tcBorders>
              <w:top w:val="nil"/>
              <w:left w:val="nil"/>
              <w:bottom w:val="nil"/>
              <w:right w:val="nil"/>
            </w:tcBorders>
            <w:shd w:val="clear" w:color="auto" w:fill="auto"/>
          </w:tcPr>
          <w:p w14:paraId="4CD9DF39" w14:textId="77777777" w:rsidR="00B8081E" w:rsidRPr="004970D2" w:rsidRDefault="00B8081E" w:rsidP="00B8081E">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5D557EFF" w14:textId="77777777" w:rsidR="00B8081E" w:rsidRPr="004970D2" w:rsidRDefault="00B8081E" w:rsidP="00B8081E">
            <w:pPr>
              <w:jc w:val="center"/>
              <w:rPr>
                <w:rFonts w:ascii="Arial" w:hAnsi="Arial" w:cs="FrankRuehl"/>
                <w:b/>
                <w:bCs/>
                <w:sz w:val="28"/>
                <w:szCs w:val="28"/>
                <w:rtl/>
              </w:rPr>
            </w:pPr>
          </w:p>
          <w:p w14:paraId="33F5EF0E" w14:textId="77777777" w:rsidR="00B8081E" w:rsidRPr="004970D2" w:rsidRDefault="00B8081E" w:rsidP="00B8081E">
            <w:pPr>
              <w:jc w:val="center"/>
              <w:rPr>
                <w:rFonts w:ascii="Arial" w:hAnsi="Arial" w:cs="FrankRuehl"/>
                <w:b/>
                <w:bCs/>
                <w:sz w:val="28"/>
                <w:szCs w:val="28"/>
                <w:rtl/>
              </w:rPr>
            </w:pPr>
            <w:r w:rsidRPr="004970D2">
              <w:rPr>
                <w:rFonts w:ascii="Arial" w:hAnsi="Arial" w:cs="FrankRuehl"/>
                <w:b/>
                <w:bCs/>
                <w:sz w:val="28"/>
                <w:szCs w:val="28"/>
                <w:rtl/>
              </w:rPr>
              <w:t>נגד</w:t>
            </w:r>
          </w:p>
          <w:p w14:paraId="7CE0AD92" w14:textId="77777777" w:rsidR="00B8081E" w:rsidRPr="004970D2" w:rsidRDefault="00B8081E" w:rsidP="00B8081E">
            <w:pPr>
              <w:jc w:val="both"/>
              <w:rPr>
                <w:rFonts w:ascii="Arial" w:hAnsi="Arial" w:cs="FrankRuehl"/>
                <w:b/>
                <w:bCs/>
                <w:sz w:val="28"/>
                <w:szCs w:val="28"/>
              </w:rPr>
            </w:pPr>
          </w:p>
        </w:tc>
      </w:tr>
      <w:tr w:rsidR="00B8081E" w:rsidRPr="004970D2" w14:paraId="585C9D19" w14:textId="77777777" w:rsidTr="00B8081E">
        <w:trPr>
          <w:trHeight w:val="355"/>
          <w:jc w:val="center"/>
        </w:trPr>
        <w:tc>
          <w:tcPr>
            <w:tcW w:w="923" w:type="dxa"/>
            <w:tcBorders>
              <w:top w:val="nil"/>
              <w:left w:val="nil"/>
              <w:bottom w:val="nil"/>
              <w:right w:val="nil"/>
            </w:tcBorders>
            <w:shd w:val="clear" w:color="auto" w:fill="auto"/>
          </w:tcPr>
          <w:p w14:paraId="21DE7E91" w14:textId="77777777" w:rsidR="00B8081E" w:rsidRPr="004970D2" w:rsidRDefault="00B8081E" w:rsidP="0047592B">
            <w:pPr>
              <w:rPr>
                <w:rFonts w:ascii="Arial" w:hAnsi="Arial" w:cs="FrankRuehl"/>
                <w:b/>
                <w:bCs/>
                <w:sz w:val="28"/>
                <w:szCs w:val="28"/>
                <w:rtl/>
              </w:rPr>
            </w:pPr>
          </w:p>
        </w:tc>
        <w:tc>
          <w:tcPr>
            <w:tcW w:w="4126" w:type="dxa"/>
            <w:tcBorders>
              <w:top w:val="nil"/>
              <w:left w:val="nil"/>
              <w:bottom w:val="nil"/>
              <w:right w:val="nil"/>
            </w:tcBorders>
            <w:shd w:val="clear" w:color="auto" w:fill="auto"/>
          </w:tcPr>
          <w:p w14:paraId="6FAA4F33" w14:textId="77777777" w:rsidR="00B8081E" w:rsidRPr="004970D2" w:rsidRDefault="00B8081E" w:rsidP="0047592B">
            <w:pPr>
              <w:rPr>
                <w:rFonts w:cs="FrankRuehl"/>
                <w:b/>
                <w:bCs/>
                <w:sz w:val="28"/>
                <w:szCs w:val="28"/>
                <w:rtl/>
              </w:rPr>
            </w:pPr>
            <w:r w:rsidRPr="004970D2">
              <w:rPr>
                <w:rFonts w:ascii="Arial" w:hAnsi="Arial" w:cs="FrankRuehl"/>
                <w:b/>
                <w:bCs/>
                <w:sz w:val="28"/>
                <w:szCs w:val="28"/>
                <w:rtl/>
              </w:rPr>
              <w:t>רפאל נח</w:t>
            </w:r>
            <w:r w:rsidRPr="004970D2">
              <w:rPr>
                <w:rFonts w:ascii="Arial" w:hAnsi="Arial" w:cs="FrankRuehl" w:hint="cs"/>
                <w:b/>
                <w:bCs/>
                <w:sz w:val="28"/>
                <w:szCs w:val="28"/>
                <w:rtl/>
              </w:rPr>
              <w:t xml:space="preserve">, ת"ז </w:t>
            </w:r>
            <w:r w:rsidR="004970D2">
              <w:rPr>
                <w:rFonts w:ascii="Arial" w:hAnsi="Arial" w:cs="FrankRuehl"/>
                <w:b/>
                <w:bCs/>
                <w:sz w:val="28"/>
                <w:szCs w:val="28"/>
              </w:rPr>
              <w:t>xxxxxxxxxx</w:t>
            </w:r>
          </w:p>
        </w:tc>
        <w:tc>
          <w:tcPr>
            <w:tcW w:w="3771" w:type="dxa"/>
            <w:tcBorders>
              <w:top w:val="nil"/>
              <w:left w:val="nil"/>
              <w:bottom w:val="nil"/>
              <w:right w:val="nil"/>
            </w:tcBorders>
            <w:shd w:val="clear" w:color="auto" w:fill="auto"/>
          </w:tcPr>
          <w:p w14:paraId="73AD3F26" w14:textId="77777777" w:rsidR="00B8081E" w:rsidRPr="004970D2" w:rsidRDefault="00B8081E" w:rsidP="00B8081E">
            <w:pPr>
              <w:jc w:val="right"/>
              <w:rPr>
                <w:rFonts w:ascii="Arial" w:hAnsi="Arial" w:cs="FrankRuehl"/>
                <w:b/>
                <w:bCs/>
                <w:sz w:val="28"/>
                <w:szCs w:val="28"/>
              </w:rPr>
            </w:pPr>
          </w:p>
        </w:tc>
      </w:tr>
      <w:tr w:rsidR="00B8081E" w:rsidRPr="004970D2" w14:paraId="244AAF21" w14:textId="77777777" w:rsidTr="00B8081E">
        <w:trPr>
          <w:trHeight w:val="355"/>
          <w:jc w:val="center"/>
        </w:trPr>
        <w:tc>
          <w:tcPr>
            <w:tcW w:w="923" w:type="dxa"/>
            <w:tcBorders>
              <w:top w:val="nil"/>
              <w:left w:val="nil"/>
              <w:bottom w:val="nil"/>
              <w:right w:val="nil"/>
            </w:tcBorders>
            <w:shd w:val="clear" w:color="auto" w:fill="auto"/>
          </w:tcPr>
          <w:p w14:paraId="7403B181" w14:textId="77777777" w:rsidR="00B8081E" w:rsidRPr="004970D2" w:rsidRDefault="00B8081E" w:rsidP="00B8081E">
            <w:pPr>
              <w:jc w:val="both"/>
              <w:rPr>
                <w:rFonts w:ascii="Arial" w:hAnsi="Arial" w:cs="FrankRuehl"/>
                <w:b/>
                <w:bCs/>
                <w:sz w:val="28"/>
                <w:szCs w:val="28"/>
                <w:rtl/>
              </w:rPr>
            </w:pPr>
            <w:bookmarkStart w:id="2" w:name="FirstLawyer"/>
          </w:p>
        </w:tc>
        <w:tc>
          <w:tcPr>
            <w:tcW w:w="4126" w:type="dxa"/>
            <w:tcBorders>
              <w:top w:val="nil"/>
              <w:left w:val="nil"/>
              <w:bottom w:val="nil"/>
              <w:right w:val="nil"/>
            </w:tcBorders>
            <w:shd w:val="clear" w:color="auto" w:fill="auto"/>
          </w:tcPr>
          <w:p w14:paraId="4CBD9182" w14:textId="77777777" w:rsidR="00B8081E" w:rsidRPr="004970D2" w:rsidRDefault="00B8081E" w:rsidP="00B8081E">
            <w:pPr>
              <w:jc w:val="both"/>
              <w:rPr>
                <w:rFonts w:cs="FrankRuehl"/>
                <w:b/>
                <w:bCs/>
                <w:sz w:val="28"/>
                <w:szCs w:val="28"/>
                <w:rtl/>
              </w:rPr>
            </w:pPr>
            <w:r w:rsidRPr="004970D2">
              <w:rPr>
                <w:rFonts w:cs="FrankRuehl" w:hint="cs"/>
                <w:b/>
                <w:bCs/>
                <w:sz w:val="28"/>
                <w:szCs w:val="28"/>
                <w:rtl/>
              </w:rPr>
              <w:t>ע"י ב"כ עו"ד מיכאל עירוני</w:t>
            </w:r>
          </w:p>
        </w:tc>
        <w:tc>
          <w:tcPr>
            <w:tcW w:w="3771" w:type="dxa"/>
            <w:tcBorders>
              <w:top w:val="nil"/>
              <w:left w:val="nil"/>
              <w:bottom w:val="nil"/>
              <w:right w:val="nil"/>
            </w:tcBorders>
            <w:shd w:val="clear" w:color="auto" w:fill="auto"/>
          </w:tcPr>
          <w:p w14:paraId="1F83F495" w14:textId="77777777" w:rsidR="00B8081E" w:rsidRPr="004970D2" w:rsidRDefault="00B8081E" w:rsidP="00B8081E">
            <w:pPr>
              <w:jc w:val="right"/>
              <w:rPr>
                <w:rFonts w:ascii="Arial" w:hAnsi="Arial" w:cs="FrankRuehl"/>
                <w:b/>
                <w:bCs/>
                <w:sz w:val="28"/>
                <w:szCs w:val="28"/>
              </w:rPr>
            </w:pPr>
            <w:r w:rsidRPr="004970D2">
              <w:rPr>
                <w:rFonts w:ascii="Arial" w:hAnsi="Arial" w:cs="FrankRuehl" w:hint="cs"/>
                <w:b/>
                <w:bCs/>
                <w:sz w:val="28"/>
                <w:szCs w:val="28"/>
                <w:rtl/>
              </w:rPr>
              <w:t>ה</w:t>
            </w:r>
            <w:r w:rsidRPr="004970D2">
              <w:rPr>
                <w:rFonts w:ascii="Arial" w:hAnsi="Arial" w:cs="FrankRuehl"/>
                <w:b/>
                <w:bCs/>
                <w:sz w:val="28"/>
                <w:szCs w:val="28"/>
                <w:rtl/>
              </w:rPr>
              <w:t>נאשם</w:t>
            </w:r>
          </w:p>
        </w:tc>
      </w:tr>
      <w:bookmarkEnd w:id="2"/>
    </w:tbl>
    <w:p w14:paraId="602D44E7" w14:textId="77777777" w:rsidR="004970D2" w:rsidRPr="004970D2" w:rsidRDefault="004970D2" w:rsidP="004970D2">
      <w:pPr>
        <w:rPr>
          <w:sz w:val="28"/>
          <w:szCs w:val="28"/>
          <w:rtl/>
        </w:rPr>
      </w:pPr>
    </w:p>
    <w:p w14:paraId="43B9296F" w14:textId="77777777" w:rsidR="008D28E7" w:rsidRPr="008D28E7" w:rsidRDefault="008D28E7" w:rsidP="008D28E7">
      <w:pPr>
        <w:spacing w:before="120" w:after="120" w:line="240" w:lineRule="exact"/>
        <w:ind w:left="283" w:hanging="283"/>
        <w:jc w:val="both"/>
        <w:rPr>
          <w:rFonts w:ascii="FrankRuehl" w:hAnsi="FrankRuehl" w:cs="FrankRuehl"/>
        </w:rPr>
      </w:pPr>
      <w:bookmarkStart w:id="3" w:name="LawTable"/>
      <w:bookmarkEnd w:id="3"/>
      <w:r w:rsidRPr="008D28E7">
        <w:rPr>
          <w:rFonts w:ascii="FrankRuehl" w:hAnsi="FrankRuehl" w:cs="FrankRuehl"/>
          <w:rtl/>
        </w:rPr>
        <w:t xml:space="preserve">חקיקה שאוזכרה: </w:t>
      </w:r>
    </w:p>
    <w:p w14:paraId="31776729" w14:textId="77777777" w:rsidR="008D28E7" w:rsidRPr="008D28E7" w:rsidRDefault="008D28E7" w:rsidP="008D28E7">
      <w:pPr>
        <w:spacing w:before="120" w:after="120" w:line="240" w:lineRule="exact"/>
        <w:ind w:left="283" w:hanging="283"/>
        <w:jc w:val="both"/>
        <w:rPr>
          <w:rFonts w:ascii="FrankRuehl" w:hAnsi="FrankRuehl" w:cs="FrankRuehl"/>
        </w:rPr>
      </w:pPr>
      <w:hyperlink r:id="rId7" w:history="1">
        <w:r w:rsidRPr="008D28E7">
          <w:rPr>
            <w:rFonts w:ascii="FrankRuehl" w:hAnsi="FrankRuehl" w:cs="FrankRuehl"/>
            <w:color w:val="0000FF"/>
            <w:u w:val="single"/>
            <w:rtl/>
          </w:rPr>
          <w:t>פקודת הסמים המסוכנים [נוסח חדש], תשל"ג-1973</w:t>
        </w:r>
      </w:hyperlink>
      <w:r w:rsidRPr="008D28E7">
        <w:rPr>
          <w:rFonts w:ascii="FrankRuehl" w:hAnsi="FrankRuehl" w:cs="FrankRuehl"/>
        </w:rPr>
        <w:t xml:space="preserve">: </w:t>
      </w:r>
      <w:r w:rsidRPr="008D28E7">
        <w:rPr>
          <w:rFonts w:ascii="FrankRuehl" w:hAnsi="FrankRuehl" w:cs="FrankRuehl"/>
          <w:rtl/>
        </w:rPr>
        <w:t>סע</w:t>
      </w:r>
      <w:r w:rsidRPr="008D28E7">
        <w:rPr>
          <w:rFonts w:ascii="FrankRuehl" w:hAnsi="FrankRuehl" w:cs="FrankRuehl"/>
        </w:rPr>
        <w:t xml:space="preserve">'  </w:t>
      </w:r>
      <w:hyperlink r:id="rId8" w:history="1">
        <w:r w:rsidRPr="008D28E7">
          <w:rPr>
            <w:rFonts w:ascii="FrankRuehl" w:hAnsi="FrankRuehl" w:cs="FrankRuehl"/>
            <w:color w:val="0000FF"/>
            <w:u w:val="single"/>
          </w:rPr>
          <w:t>7(</w:t>
        </w:r>
        <w:r w:rsidRPr="008D28E7">
          <w:rPr>
            <w:rFonts w:ascii="FrankRuehl" w:hAnsi="FrankRuehl" w:cs="FrankRuehl"/>
            <w:color w:val="0000FF"/>
            <w:u w:val="single"/>
            <w:rtl/>
          </w:rPr>
          <w:t>א</w:t>
        </w:r>
        <w:r w:rsidRPr="008D28E7">
          <w:rPr>
            <w:rFonts w:ascii="FrankRuehl" w:hAnsi="FrankRuehl" w:cs="FrankRuehl"/>
            <w:color w:val="0000FF"/>
            <w:u w:val="single"/>
          </w:rPr>
          <w:t>)</w:t>
        </w:r>
      </w:hyperlink>
      <w:r w:rsidRPr="008D28E7">
        <w:rPr>
          <w:rFonts w:ascii="FrankRuehl" w:hAnsi="FrankRuehl" w:cs="FrankRuehl"/>
        </w:rPr>
        <w:t xml:space="preserve">, </w:t>
      </w:r>
      <w:hyperlink r:id="rId9" w:history="1">
        <w:r w:rsidRPr="008D28E7">
          <w:rPr>
            <w:rFonts w:ascii="FrankRuehl" w:hAnsi="FrankRuehl" w:cs="FrankRuehl"/>
            <w:color w:val="0000FF"/>
            <w:u w:val="single"/>
          </w:rPr>
          <w:t>7(</w:t>
        </w:r>
        <w:r w:rsidRPr="008D28E7">
          <w:rPr>
            <w:rFonts w:ascii="FrankRuehl" w:hAnsi="FrankRuehl" w:cs="FrankRuehl"/>
            <w:color w:val="0000FF"/>
            <w:u w:val="single"/>
            <w:rtl/>
          </w:rPr>
          <w:t>ג</w:t>
        </w:r>
        <w:r w:rsidRPr="008D28E7">
          <w:rPr>
            <w:rFonts w:ascii="FrankRuehl" w:hAnsi="FrankRuehl" w:cs="FrankRuehl"/>
            <w:color w:val="0000FF"/>
            <w:u w:val="single"/>
          </w:rPr>
          <w:t>)</w:t>
        </w:r>
      </w:hyperlink>
      <w:r w:rsidRPr="008D28E7">
        <w:rPr>
          <w:rFonts w:ascii="FrankRuehl" w:hAnsi="FrankRuehl" w:cs="FrankRuehl"/>
        </w:rPr>
        <w:t xml:space="preserve">, </w:t>
      </w:r>
      <w:hyperlink r:id="rId10" w:history="1">
        <w:r w:rsidRPr="008D28E7">
          <w:rPr>
            <w:rFonts w:ascii="FrankRuehl" w:hAnsi="FrankRuehl" w:cs="FrankRuehl"/>
            <w:color w:val="0000FF"/>
            <w:u w:val="single"/>
          </w:rPr>
          <w:t>13</w:t>
        </w:r>
      </w:hyperlink>
      <w:r w:rsidRPr="008D28E7">
        <w:rPr>
          <w:rFonts w:ascii="FrankRuehl" w:hAnsi="FrankRuehl" w:cs="FrankRuehl"/>
        </w:rPr>
        <w:t xml:space="preserve">, </w:t>
      </w:r>
      <w:hyperlink r:id="rId11" w:history="1">
        <w:r w:rsidRPr="008D28E7">
          <w:rPr>
            <w:rFonts w:ascii="FrankRuehl" w:hAnsi="FrankRuehl" w:cs="FrankRuehl"/>
            <w:color w:val="0000FF"/>
            <w:u w:val="single"/>
          </w:rPr>
          <w:t>19</w:t>
        </w:r>
        <w:r w:rsidRPr="008D28E7">
          <w:rPr>
            <w:rFonts w:ascii="FrankRuehl" w:hAnsi="FrankRuehl" w:cs="FrankRuehl"/>
            <w:color w:val="0000FF"/>
            <w:u w:val="single"/>
            <w:rtl/>
          </w:rPr>
          <w:t>א</w:t>
        </w:r>
      </w:hyperlink>
    </w:p>
    <w:p w14:paraId="4CBD4F95" w14:textId="77777777" w:rsidR="008D28E7" w:rsidRPr="008D28E7" w:rsidRDefault="008D28E7" w:rsidP="008D28E7">
      <w:pPr>
        <w:spacing w:before="120" w:after="120" w:line="240" w:lineRule="exact"/>
        <w:ind w:left="283" w:hanging="283"/>
        <w:jc w:val="both"/>
        <w:rPr>
          <w:rFonts w:ascii="FrankRuehl" w:hAnsi="FrankRuehl" w:cs="FrankRuehl"/>
        </w:rPr>
      </w:pPr>
      <w:hyperlink r:id="rId12" w:history="1">
        <w:r w:rsidRPr="008D28E7">
          <w:rPr>
            <w:rFonts w:ascii="FrankRuehl" w:hAnsi="FrankRuehl" w:cs="FrankRuehl"/>
            <w:color w:val="0000FF"/>
            <w:u w:val="single"/>
            <w:rtl/>
          </w:rPr>
          <w:t>פקודת ביטוח רכב מנועי [נוסח חדש], תש"ל-1970</w:t>
        </w:r>
      </w:hyperlink>
      <w:r w:rsidRPr="008D28E7">
        <w:rPr>
          <w:rFonts w:ascii="FrankRuehl" w:hAnsi="FrankRuehl" w:cs="FrankRuehl"/>
        </w:rPr>
        <w:t xml:space="preserve">: </w:t>
      </w:r>
      <w:r w:rsidRPr="008D28E7">
        <w:rPr>
          <w:rFonts w:ascii="FrankRuehl" w:hAnsi="FrankRuehl" w:cs="FrankRuehl"/>
          <w:rtl/>
        </w:rPr>
        <w:t>סע</w:t>
      </w:r>
      <w:r w:rsidRPr="008D28E7">
        <w:rPr>
          <w:rFonts w:ascii="FrankRuehl" w:hAnsi="FrankRuehl" w:cs="FrankRuehl"/>
        </w:rPr>
        <w:t xml:space="preserve">'  </w:t>
      </w:r>
      <w:hyperlink r:id="rId13" w:history="1">
        <w:r w:rsidRPr="008D28E7">
          <w:rPr>
            <w:rFonts w:ascii="FrankRuehl" w:hAnsi="FrankRuehl" w:cs="FrankRuehl"/>
            <w:color w:val="0000FF"/>
            <w:u w:val="single"/>
          </w:rPr>
          <w:t>2</w:t>
        </w:r>
        <w:r w:rsidRPr="008D28E7">
          <w:rPr>
            <w:rFonts w:ascii="FrankRuehl" w:hAnsi="FrankRuehl" w:cs="FrankRuehl"/>
            <w:color w:val="0000FF"/>
            <w:u w:val="single"/>
            <w:rtl/>
          </w:rPr>
          <w:t>א</w:t>
        </w:r>
      </w:hyperlink>
    </w:p>
    <w:p w14:paraId="15A2F01B" w14:textId="77777777" w:rsidR="008D28E7" w:rsidRPr="008D28E7" w:rsidRDefault="008D28E7" w:rsidP="008D28E7">
      <w:pPr>
        <w:spacing w:before="120" w:after="120" w:line="240" w:lineRule="exact"/>
        <w:ind w:left="283" w:hanging="283"/>
        <w:jc w:val="both"/>
        <w:rPr>
          <w:rFonts w:ascii="FrankRuehl" w:hAnsi="FrankRuehl" w:cs="FrankRuehl"/>
        </w:rPr>
      </w:pPr>
      <w:hyperlink r:id="rId14" w:history="1">
        <w:r w:rsidRPr="008D28E7">
          <w:rPr>
            <w:rFonts w:ascii="FrankRuehl" w:hAnsi="FrankRuehl" w:cs="FrankRuehl"/>
            <w:color w:val="0000FF"/>
            <w:u w:val="single"/>
            <w:rtl/>
          </w:rPr>
          <w:t>פקודת התעבורה [נוסח חדש]</w:t>
        </w:r>
      </w:hyperlink>
      <w:r w:rsidRPr="008D28E7">
        <w:rPr>
          <w:rFonts w:ascii="FrankRuehl" w:hAnsi="FrankRuehl" w:cs="FrankRuehl"/>
        </w:rPr>
        <w:t xml:space="preserve">: </w:t>
      </w:r>
      <w:r w:rsidRPr="008D28E7">
        <w:rPr>
          <w:rFonts w:ascii="FrankRuehl" w:hAnsi="FrankRuehl" w:cs="FrankRuehl"/>
          <w:rtl/>
        </w:rPr>
        <w:t>סע</w:t>
      </w:r>
      <w:r w:rsidRPr="008D28E7">
        <w:rPr>
          <w:rFonts w:ascii="FrankRuehl" w:hAnsi="FrankRuehl" w:cs="FrankRuehl"/>
        </w:rPr>
        <w:t xml:space="preserve">'  </w:t>
      </w:r>
      <w:hyperlink r:id="rId15" w:history="1">
        <w:r w:rsidRPr="008D28E7">
          <w:rPr>
            <w:rFonts w:ascii="FrankRuehl" w:hAnsi="FrankRuehl" w:cs="FrankRuehl"/>
            <w:color w:val="0000FF"/>
            <w:u w:val="single"/>
          </w:rPr>
          <w:t>40</w:t>
        </w:r>
        <w:r w:rsidRPr="008D28E7">
          <w:rPr>
            <w:rFonts w:ascii="FrankRuehl" w:hAnsi="FrankRuehl" w:cs="FrankRuehl"/>
            <w:color w:val="0000FF"/>
            <w:u w:val="single"/>
            <w:rtl/>
          </w:rPr>
          <w:t>א(ב)(1</w:t>
        </w:r>
        <w:r w:rsidRPr="008D28E7">
          <w:rPr>
            <w:rFonts w:ascii="FrankRuehl" w:hAnsi="FrankRuehl" w:cs="FrankRuehl"/>
            <w:color w:val="0000FF"/>
            <w:u w:val="single"/>
          </w:rPr>
          <w:t>)</w:t>
        </w:r>
      </w:hyperlink>
      <w:r w:rsidRPr="008D28E7">
        <w:rPr>
          <w:rFonts w:ascii="FrankRuehl" w:hAnsi="FrankRuehl" w:cs="FrankRuehl"/>
        </w:rPr>
        <w:t xml:space="preserve">, </w:t>
      </w:r>
      <w:hyperlink r:id="rId16" w:history="1">
        <w:r w:rsidRPr="008D28E7">
          <w:rPr>
            <w:rFonts w:ascii="FrankRuehl" w:hAnsi="FrankRuehl" w:cs="FrankRuehl"/>
            <w:color w:val="0000FF"/>
            <w:u w:val="single"/>
          </w:rPr>
          <w:t>67</w:t>
        </w:r>
      </w:hyperlink>
    </w:p>
    <w:p w14:paraId="26E201A5" w14:textId="77777777" w:rsidR="008D28E7" w:rsidRPr="008D28E7" w:rsidRDefault="008D28E7" w:rsidP="008D28E7">
      <w:pPr>
        <w:spacing w:before="120" w:after="120" w:line="240" w:lineRule="exact"/>
        <w:ind w:left="283" w:hanging="283"/>
        <w:jc w:val="both"/>
        <w:rPr>
          <w:rFonts w:ascii="FrankRuehl" w:hAnsi="FrankRuehl" w:cs="FrankRuehl"/>
        </w:rPr>
      </w:pPr>
      <w:hyperlink r:id="rId17" w:history="1">
        <w:r w:rsidRPr="008D28E7">
          <w:rPr>
            <w:rFonts w:ascii="FrankRuehl" w:hAnsi="FrankRuehl" w:cs="FrankRuehl"/>
            <w:color w:val="0000FF"/>
            <w:u w:val="single"/>
            <w:rtl/>
          </w:rPr>
          <w:t>תקנות התעבורה, תשכ"א-1961 - לא מרובדות</w:t>
        </w:r>
      </w:hyperlink>
      <w:r w:rsidRPr="008D28E7">
        <w:rPr>
          <w:rFonts w:ascii="FrankRuehl" w:hAnsi="FrankRuehl" w:cs="FrankRuehl"/>
        </w:rPr>
        <w:t xml:space="preserve">: </w:t>
      </w:r>
      <w:r w:rsidRPr="008D28E7">
        <w:rPr>
          <w:rFonts w:ascii="FrankRuehl" w:hAnsi="FrankRuehl" w:cs="FrankRuehl"/>
          <w:rtl/>
        </w:rPr>
        <w:t>סע</w:t>
      </w:r>
      <w:r w:rsidRPr="008D28E7">
        <w:rPr>
          <w:rFonts w:ascii="FrankRuehl" w:hAnsi="FrankRuehl" w:cs="FrankRuehl"/>
        </w:rPr>
        <w:t xml:space="preserve">'  </w:t>
      </w:r>
      <w:hyperlink r:id="rId18" w:history="1">
        <w:r w:rsidRPr="008D28E7">
          <w:rPr>
            <w:rFonts w:ascii="FrankRuehl" w:hAnsi="FrankRuehl" w:cs="FrankRuehl"/>
            <w:color w:val="0000FF"/>
            <w:u w:val="single"/>
          </w:rPr>
          <w:t>36</w:t>
        </w:r>
        <w:r w:rsidRPr="008D28E7">
          <w:rPr>
            <w:rFonts w:ascii="FrankRuehl" w:hAnsi="FrankRuehl" w:cs="FrankRuehl"/>
            <w:color w:val="0000FF"/>
            <w:u w:val="single"/>
            <w:rtl/>
          </w:rPr>
          <w:t>ד</w:t>
        </w:r>
      </w:hyperlink>
      <w:r w:rsidRPr="008D28E7">
        <w:rPr>
          <w:rFonts w:ascii="FrankRuehl" w:hAnsi="FrankRuehl" w:cs="FrankRuehl"/>
        </w:rPr>
        <w:t xml:space="preserve">, </w:t>
      </w:r>
      <w:hyperlink r:id="rId19" w:history="1">
        <w:r w:rsidRPr="008D28E7">
          <w:rPr>
            <w:rFonts w:ascii="FrankRuehl" w:hAnsi="FrankRuehl" w:cs="FrankRuehl"/>
            <w:color w:val="0000FF"/>
            <w:u w:val="single"/>
          </w:rPr>
          <w:t>47(</w:t>
        </w:r>
        <w:r w:rsidRPr="008D28E7">
          <w:rPr>
            <w:rFonts w:ascii="FrankRuehl" w:hAnsi="FrankRuehl" w:cs="FrankRuehl"/>
            <w:color w:val="0000FF"/>
            <w:u w:val="single"/>
            <w:rtl/>
          </w:rPr>
          <w:t>ה)(5</w:t>
        </w:r>
        <w:r w:rsidRPr="008D28E7">
          <w:rPr>
            <w:rFonts w:ascii="FrankRuehl" w:hAnsi="FrankRuehl" w:cs="FrankRuehl"/>
            <w:color w:val="0000FF"/>
            <w:u w:val="single"/>
          </w:rPr>
          <w:t>)</w:t>
        </w:r>
      </w:hyperlink>
    </w:p>
    <w:p w14:paraId="4765D582" w14:textId="77777777" w:rsidR="008D28E7" w:rsidRPr="008D28E7" w:rsidRDefault="008D28E7" w:rsidP="008D28E7">
      <w:pPr>
        <w:spacing w:before="120" w:after="120" w:line="240" w:lineRule="exact"/>
        <w:ind w:left="283" w:hanging="283"/>
        <w:jc w:val="both"/>
        <w:rPr>
          <w:rFonts w:ascii="FrankRuehl" w:hAnsi="FrankRuehl" w:cs="FrankRuehl"/>
        </w:rPr>
      </w:pPr>
      <w:hyperlink r:id="rId20" w:history="1">
        <w:r w:rsidRPr="008D28E7">
          <w:rPr>
            <w:rFonts w:ascii="FrankRuehl" w:hAnsi="FrankRuehl" w:cs="FrankRuehl"/>
            <w:color w:val="0000FF"/>
            <w:u w:val="single"/>
            <w:rtl/>
          </w:rPr>
          <w:t>חוק העונשין, תשל"ז-1977</w:t>
        </w:r>
      </w:hyperlink>
      <w:r w:rsidRPr="008D28E7">
        <w:rPr>
          <w:rFonts w:ascii="FrankRuehl" w:hAnsi="FrankRuehl" w:cs="FrankRuehl"/>
        </w:rPr>
        <w:t xml:space="preserve">: </w:t>
      </w:r>
      <w:r w:rsidRPr="008D28E7">
        <w:rPr>
          <w:rFonts w:ascii="FrankRuehl" w:hAnsi="FrankRuehl" w:cs="FrankRuehl"/>
          <w:rtl/>
        </w:rPr>
        <w:t>סע</w:t>
      </w:r>
      <w:r w:rsidRPr="008D28E7">
        <w:rPr>
          <w:rFonts w:ascii="FrankRuehl" w:hAnsi="FrankRuehl" w:cs="FrankRuehl"/>
        </w:rPr>
        <w:t xml:space="preserve">'  </w:t>
      </w:r>
      <w:hyperlink r:id="rId21" w:history="1">
        <w:r w:rsidRPr="008D28E7">
          <w:rPr>
            <w:rFonts w:ascii="FrankRuehl" w:hAnsi="FrankRuehl" w:cs="FrankRuehl"/>
            <w:color w:val="0000FF"/>
            <w:u w:val="single"/>
          </w:rPr>
          <w:t>40</w:t>
        </w:r>
        <w:r w:rsidRPr="008D28E7">
          <w:rPr>
            <w:rFonts w:ascii="FrankRuehl" w:hAnsi="FrankRuehl" w:cs="FrankRuehl"/>
            <w:color w:val="0000FF"/>
            <w:u w:val="single"/>
            <w:rtl/>
          </w:rPr>
          <w:t>ט</w:t>
        </w:r>
        <w:r w:rsidRPr="008D28E7">
          <w:rPr>
            <w:rFonts w:ascii="FrankRuehl" w:hAnsi="FrankRuehl" w:cs="FrankRuehl"/>
            <w:color w:val="0000FF"/>
            <w:u w:val="single"/>
          </w:rPr>
          <w:t>'</w:t>
        </w:r>
      </w:hyperlink>
      <w:r w:rsidRPr="008D28E7">
        <w:rPr>
          <w:rFonts w:ascii="FrankRuehl" w:hAnsi="FrankRuehl" w:cs="FrankRuehl"/>
        </w:rPr>
        <w:t xml:space="preserve">, </w:t>
      </w:r>
      <w:hyperlink r:id="rId22" w:history="1">
        <w:r w:rsidRPr="008D28E7">
          <w:rPr>
            <w:rFonts w:ascii="FrankRuehl" w:hAnsi="FrankRuehl" w:cs="FrankRuehl"/>
            <w:color w:val="0000FF"/>
            <w:u w:val="single"/>
          </w:rPr>
          <w:t>40</w:t>
        </w:r>
        <w:r w:rsidRPr="008D28E7">
          <w:rPr>
            <w:rFonts w:ascii="FrankRuehl" w:hAnsi="FrankRuehl" w:cs="FrankRuehl"/>
            <w:color w:val="0000FF"/>
            <w:u w:val="single"/>
            <w:rtl/>
          </w:rPr>
          <w:t>יא</w:t>
        </w:r>
      </w:hyperlink>
    </w:p>
    <w:p w14:paraId="28BCA968" w14:textId="77777777" w:rsidR="00B8081E" w:rsidRPr="008D28E7" w:rsidRDefault="00B8081E" w:rsidP="008D28E7">
      <w:pPr>
        <w:rPr>
          <w:sz w:val="28"/>
          <w:szCs w:val="28"/>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8081E" w14:paraId="3EBC1FAA" w14:textId="77777777" w:rsidTr="00B8081E">
        <w:trPr>
          <w:trHeight w:val="355"/>
          <w:jc w:val="center"/>
        </w:trPr>
        <w:tc>
          <w:tcPr>
            <w:tcW w:w="8820" w:type="dxa"/>
            <w:tcBorders>
              <w:top w:val="nil"/>
              <w:left w:val="nil"/>
              <w:bottom w:val="nil"/>
              <w:right w:val="nil"/>
            </w:tcBorders>
            <w:shd w:val="clear" w:color="auto" w:fill="auto"/>
          </w:tcPr>
          <w:p w14:paraId="68BBB1B4" w14:textId="77777777" w:rsidR="004970D2" w:rsidRPr="004970D2" w:rsidRDefault="004970D2" w:rsidP="004970D2">
            <w:pPr>
              <w:jc w:val="center"/>
              <w:rPr>
                <w:rFonts w:ascii="Arial" w:hAnsi="Arial" w:cs="FrankRuehl"/>
                <w:b/>
                <w:bCs/>
                <w:sz w:val="32"/>
                <w:szCs w:val="32"/>
                <w:u w:val="single"/>
                <w:rtl/>
              </w:rPr>
            </w:pPr>
            <w:bookmarkStart w:id="5" w:name="PsakDin" w:colFirst="0" w:colLast="0"/>
            <w:bookmarkEnd w:id="0"/>
            <w:r w:rsidRPr="004970D2">
              <w:rPr>
                <w:rFonts w:ascii="Arial" w:hAnsi="Arial" w:cs="FrankRuehl"/>
                <w:b/>
                <w:bCs/>
                <w:sz w:val="32"/>
                <w:szCs w:val="32"/>
                <w:u w:val="single"/>
                <w:rtl/>
              </w:rPr>
              <w:t>גזר דין</w:t>
            </w:r>
          </w:p>
          <w:p w14:paraId="039D25B4" w14:textId="77777777" w:rsidR="00B8081E" w:rsidRPr="004970D2" w:rsidRDefault="00B8081E" w:rsidP="004970D2">
            <w:pPr>
              <w:jc w:val="center"/>
              <w:rPr>
                <w:rFonts w:ascii="Arial" w:hAnsi="Arial" w:cs="FrankRuehl"/>
                <w:bCs/>
                <w:sz w:val="32"/>
                <w:szCs w:val="32"/>
                <w:u w:val="single"/>
                <w:rtl/>
              </w:rPr>
            </w:pPr>
          </w:p>
        </w:tc>
      </w:tr>
      <w:bookmarkEnd w:id="5"/>
    </w:tbl>
    <w:p w14:paraId="52179C37" w14:textId="77777777" w:rsidR="00B8081E" w:rsidRPr="00B05847" w:rsidRDefault="00B8081E" w:rsidP="00B8081E">
      <w:pPr>
        <w:rPr>
          <w:rFonts w:ascii="Arial" w:hAnsi="Arial"/>
          <w:rtl/>
        </w:rPr>
      </w:pPr>
    </w:p>
    <w:p w14:paraId="6ED0D38D" w14:textId="77777777" w:rsidR="00B8081E" w:rsidRPr="004A65B1" w:rsidRDefault="00B8081E" w:rsidP="00B8081E">
      <w:pPr>
        <w:rPr>
          <w:rFonts w:ascii="FrankRuehl" w:hAnsi="FrankRuehl" w:cs="FrankRuehl"/>
          <w:sz w:val="28"/>
          <w:szCs w:val="28"/>
          <w:rtl/>
        </w:rPr>
      </w:pPr>
    </w:p>
    <w:p w14:paraId="5C50C5CD" w14:textId="77777777" w:rsidR="00B8081E" w:rsidRPr="004A65B1" w:rsidRDefault="00B8081E" w:rsidP="00B8081E">
      <w:pPr>
        <w:rPr>
          <w:rFonts w:ascii="FrankRuehl" w:hAnsi="FrankRuehl" w:cs="FrankRuehl"/>
          <w:b/>
          <w:bCs/>
          <w:sz w:val="28"/>
          <w:szCs w:val="28"/>
          <w:u w:val="single"/>
        </w:rPr>
      </w:pPr>
      <w:r w:rsidRPr="004A65B1">
        <w:rPr>
          <w:rFonts w:ascii="FrankRuehl" w:hAnsi="FrankRuehl" w:cs="FrankRuehl"/>
          <w:b/>
          <w:bCs/>
          <w:sz w:val="28"/>
          <w:szCs w:val="28"/>
          <w:u w:val="single"/>
          <w:rtl/>
        </w:rPr>
        <w:t>כתבי האישום</w:t>
      </w:r>
    </w:p>
    <w:p w14:paraId="21C133CC" w14:textId="77777777" w:rsidR="00B8081E" w:rsidRPr="004A65B1" w:rsidRDefault="00B8081E" w:rsidP="00B8081E">
      <w:pPr>
        <w:spacing w:after="160" w:line="360" w:lineRule="auto"/>
        <w:jc w:val="both"/>
        <w:rPr>
          <w:rFonts w:ascii="FrankRuehl" w:hAnsi="FrankRuehl" w:cs="FrankRuehl"/>
          <w:sz w:val="28"/>
          <w:szCs w:val="28"/>
          <w:rtl/>
        </w:rPr>
      </w:pPr>
      <w:bookmarkStart w:id="6" w:name="ABSTRACT_START"/>
      <w:bookmarkEnd w:id="6"/>
      <w:r w:rsidRPr="004A65B1">
        <w:rPr>
          <w:rFonts w:ascii="FrankRuehl" w:hAnsi="FrankRuehl" w:cs="FrankRuehl"/>
          <w:sz w:val="28"/>
          <w:szCs w:val="28"/>
          <w:rtl/>
        </w:rPr>
        <w:t xml:space="preserve">הנאשם שלפניי הודה והורשע בביצוע עבירות על-פי שלושה כתבי אישום, שניים בתחום הסמים, ואחד תיק תעבורתי, </w:t>
      </w:r>
      <w:bookmarkStart w:id="7" w:name="ABSTRACT_END"/>
      <w:bookmarkEnd w:id="7"/>
      <w:r w:rsidRPr="004A65B1">
        <w:rPr>
          <w:rFonts w:ascii="FrankRuehl" w:hAnsi="FrankRuehl" w:cs="FrankRuehl"/>
          <w:sz w:val="28"/>
          <w:szCs w:val="28"/>
          <w:rtl/>
        </w:rPr>
        <w:t>כפי שיפורט להלן.</w:t>
      </w:r>
    </w:p>
    <w:p w14:paraId="0BECE949" w14:textId="77777777" w:rsidR="00B8081E" w:rsidRPr="004A65B1" w:rsidRDefault="00B8081E" w:rsidP="00B8081E">
      <w:pPr>
        <w:spacing w:after="160"/>
        <w:jc w:val="both"/>
        <w:rPr>
          <w:rFonts w:ascii="FrankRuehl" w:hAnsi="FrankRuehl" w:cs="FrankRuehl"/>
          <w:sz w:val="28"/>
          <w:szCs w:val="28"/>
          <w:rtl/>
        </w:rPr>
      </w:pPr>
    </w:p>
    <w:p w14:paraId="1ABE56A3" w14:textId="77777777" w:rsidR="00B8081E" w:rsidRPr="004A65B1" w:rsidRDefault="004970D2" w:rsidP="00B8081E">
      <w:pPr>
        <w:spacing w:after="160" w:line="360" w:lineRule="auto"/>
        <w:jc w:val="both"/>
        <w:rPr>
          <w:rFonts w:ascii="FrankRuehl" w:hAnsi="FrankRuehl" w:cs="FrankRuehl"/>
          <w:b/>
          <w:bCs/>
          <w:sz w:val="28"/>
          <w:szCs w:val="28"/>
          <w:u w:val="single"/>
          <w:rtl/>
        </w:rPr>
      </w:pPr>
      <w:hyperlink r:id="rId23" w:history="1">
        <w:r w:rsidRPr="004970D2">
          <w:rPr>
            <w:rFonts w:ascii="FrankRuehl" w:hAnsi="FrankRuehl" w:cs="FrankRuehl"/>
            <w:b/>
            <w:bCs/>
            <w:color w:val="0000FF"/>
            <w:sz w:val="28"/>
            <w:szCs w:val="28"/>
            <w:u w:val="single"/>
            <w:rtl/>
          </w:rPr>
          <w:t>ת"פ 13769-09-17</w:t>
        </w:r>
      </w:hyperlink>
      <w:r w:rsidR="00B8081E" w:rsidRPr="004A65B1">
        <w:rPr>
          <w:rFonts w:ascii="FrankRuehl" w:hAnsi="FrankRuehl" w:cs="FrankRuehl"/>
          <w:b/>
          <w:bCs/>
          <w:sz w:val="28"/>
          <w:szCs w:val="28"/>
          <w:u w:val="single"/>
          <w:rtl/>
        </w:rPr>
        <w:t xml:space="preserve"> (להלן - התיק הראשון)</w:t>
      </w:r>
    </w:p>
    <w:p w14:paraId="130E58C6" w14:textId="77777777" w:rsidR="00B8081E" w:rsidRPr="004A65B1" w:rsidRDefault="00B8081E" w:rsidP="00B8081E">
      <w:pPr>
        <w:spacing w:after="160" w:line="360" w:lineRule="auto"/>
        <w:jc w:val="both"/>
        <w:rPr>
          <w:rFonts w:ascii="FrankRuehl" w:hAnsi="FrankRuehl" w:cs="FrankRuehl"/>
          <w:sz w:val="28"/>
          <w:szCs w:val="28"/>
          <w:rtl/>
        </w:rPr>
      </w:pPr>
      <w:r w:rsidRPr="004A65B1">
        <w:rPr>
          <w:rFonts w:ascii="FrankRuehl" w:hAnsi="FrankRuehl" w:cs="FrankRuehl"/>
          <w:sz w:val="28"/>
          <w:szCs w:val="28"/>
          <w:rtl/>
        </w:rPr>
        <w:t>מעובדות החלק הכללי בכתב האישום עולה, כי בין הנאשם לסוכן משטרתי היכרות מוקדמת.</w:t>
      </w:r>
    </w:p>
    <w:p w14:paraId="28706831" w14:textId="77777777" w:rsidR="00B8081E" w:rsidRPr="004A65B1" w:rsidRDefault="00B8081E" w:rsidP="00B8081E">
      <w:pPr>
        <w:spacing w:after="160" w:line="360" w:lineRule="auto"/>
        <w:jc w:val="both"/>
        <w:rPr>
          <w:rFonts w:ascii="FrankRuehl" w:hAnsi="FrankRuehl" w:cs="FrankRuehl"/>
          <w:sz w:val="28"/>
          <w:szCs w:val="28"/>
          <w:rtl/>
        </w:rPr>
      </w:pPr>
      <w:r w:rsidRPr="004A65B1">
        <w:rPr>
          <w:rFonts w:ascii="FrankRuehl" w:hAnsi="FrankRuehl" w:cs="FrankRuehl"/>
          <w:sz w:val="28"/>
          <w:szCs w:val="28"/>
          <w:u w:val="single"/>
          <w:rtl/>
        </w:rPr>
        <w:t>האישום הראשון</w:t>
      </w:r>
      <w:r w:rsidRPr="004A65B1">
        <w:rPr>
          <w:rFonts w:ascii="FrankRuehl" w:hAnsi="FrankRuehl" w:cs="FrankRuehl"/>
          <w:sz w:val="28"/>
          <w:szCs w:val="28"/>
          <w:rtl/>
        </w:rPr>
        <w:t xml:space="preserve"> – ביום 15.6.2017 מכר הנאשם לסוכן קוקאין במשקל 10.05 גרם תמורת 6,000 ₪ לאחר שהעסקה תואמה ביניהם טלפונית תוך שימוש במילות קוד. השניים נסעו יחדיו לעיר לוד משם נלקח הסם במעורבות של אחר. בנוסף נמסר לסוכן סם נוסף ע"י האחר, אשר נלקח בהמשך ע"י הנאשם. בגין אישום זה </w:t>
      </w:r>
      <w:r w:rsidRPr="004A65B1">
        <w:rPr>
          <w:rFonts w:ascii="FrankRuehl" w:hAnsi="FrankRuehl" w:cs="FrankRuehl"/>
          <w:sz w:val="28"/>
          <w:szCs w:val="28"/>
          <w:rtl/>
        </w:rPr>
        <w:lastRenderedPageBreak/>
        <w:t xml:space="preserve">הואשם הנאשם והורשע ע"פ הודאתו בביצוע עבירות </w:t>
      </w:r>
      <w:r w:rsidRPr="004A65B1">
        <w:rPr>
          <w:rFonts w:ascii="FrankRuehl" w:hAnsi="FrankRuehl" w:cs="FrankRuehl"/>
          <w:b/>
          <w:bCs/>
          <w:sz w:val="28"/>
          <w:szCs w:val="28"/>
          <w:rtl/>
        </w:rPr>
        <w:t>סחר בסם מסוכן</w:t>
      </w:r>
      <w:r w:rsidRPr="004A65B1">
        <w:rPr>
          <w:rFonts w:ascii="FrankRuehl" w:hAnsi="FrankRuehl" w:cs="FrankRuehl"/>
          <w:sz w:val="28"/>
          <w:szCs w:val="28"/>
          <w:rtl/>
        </w:rPr>
        <w:t xml:space="preserve">, לפי </w:t>
      </w:r>
      <w:hyperlink r:id="rId24" w:history="1">
        <w:r w:rsidR="008D28E7" w:rsidRPr="008D28E7">
          <w:rPr>
            <w:rFonts w:ascii="FrankRuehl" w:hAnsi="FrankRuehl" w:cs="FrankRuehl"/>
            <w:color w:val="0000FF"/>
            <w:sz w:val="28"/>
            <w:szCs w:val="28"/>
            <w:u w:val="single"/>
            <w:rtl/>
          </w:rPr>
          <w:t>סעיפים 13</w:t>
        </w:r>
      </w:hyperlink>
      <w:r w:rsidRPr="004A65B1">
        <w:rPr>
          <w:rFonts w:ascii="FrankRuehl" w:hAnsi="FrankRuehl" w:cs="FrankRuehl"/>
          <w:sz w:val="28"/>
          <w:szCs w:val="28"/>
          <w:rtl/>
        </w:rPr>
        <w:t xml:space="preserve"> + </w:t>
      </w:r>
      <w:hyperlink r:id="rId25" w:history="1">
        <w:r w:rsidR="008D28E7" w:rsidRPr="008D28E7">
          <w:rPr>
            <w:rFonts w:ascii="FrankRuehl" w:hAnsi="FrankRuehl" w:cs="FrankRuehl"/>
            <w:color w:val="0000FF"/>
            <w:sz w:val="28"/>
            <w:szCs w:val="28"/>
            <w:u w:val="single"/>
            <w:rtl/>
          </w:rPr>
          <w:t>19א</w:t>
        </w:r>
      </w:hyperlink>
      <w:r w:rsidRPr="004A65B1">
        <w:rPr>
          <w:rFonts w:ascii="FrankRuehl" w:hAnsi="FrankRuehl" w:cs="FrankRuehl"/>
          <w:sz w:val="28"/>
          <w:szCs w:val="28"/>
          <w:rtl/>
        </w:rPr>
        <w:t xml:space="preserve"> ל</w:t>
      </w:r>
      <w:hyperlink r:id="rId26" w:history="1">
        <w:r w:rsidR="004970D2" w:rsidRPr="004970D2">
          <w:rPr>
            <w:rFonts w:ascii="FrankRuehl" w:hAnsi="FrankRuehl" w:cs="FrankRuehl"/>
            <w:color w:val="0000FF"/>
            <w:sz w:val="28"/>
            <w:szCs w:val="28"/>
            <w:u w:val="single"/>
            <w:rtl/>
          </w:rPr>
          <w:t>פקודת הסמים המסוכנים</w:t>
        </w:r>
      </w:hyperlink>
      <w:r w:rsidRPr="004A65B1">
        <w:rPr>
          <w:rFonts w:ascii="FrankRuehl" w:hAnsi="FrankRuehl" w:cs="FrankRuehl"/>
          <w:sz w:val="28"/>
          <w:szCs w:val="28"/>
          <w:rtl/>
        </w:rPr>
        <w:t xml:space="preserve"> [נוסח חדש], התשל"ג-1973 (להלן – </w:t>
      </w:r>
      <w:r w:rsidRPr="004A65B1">
        <w:rPr>
          <w:rFonts w:ascii="FrankRuehl" w:hAnsi="FrankRuehl" w:cs="FrankRuehl"/>
          <w:b/>
          <w:bCs/>
          <w:sz w:val="28"/>
          <w:szCs w:val="28"/>
          <w:rtl/>
        </w:rPr>
        <w:t>הפקודה</w:t>
      </w:r>
      <w:r w:rsidRPr="004A65B1">
        <w:rPr>
          <w:rFonts w:ascii="FrankRuehl" w:hAnsi="FrankRuehl" w:cs="FrankRuehl"/>
          <w:sz w:val="28"/>
          <w:szCs w:val="28"/>
          <w:rtl/>
        </w:rPr>
        <w:t xml:space="preserve">)  </w:t>
      </w:r>
      <w:r w:rsidRPr="004A65B1">
        <w:rPr>
          <w:rFonts w:ascii="FrankRuehl" w:hAnsi="FrankRuehl" w:cs="FrankRuehl"/>
          <w:b/>
          <w:bCs/>
          <w:sz w:val="28"/>
          <w:szCs w:val="28"/>
          <w:rtl/>
        </w:rPr>
        <w:t>ובהחזקת סם לשימוש עצמי</w:t>
      </w:r>
      <w:r w:rsidRPr="004A65B1">
        <w:rPr>
          <w:rFonts w:ascii="FrankRuehl" w:hAnsi="FrankRuehl" w:cs="FrankRuehl"/>
          <w:sz w:val="28"/>
          <w:szCs w:val="28"/>
          <w:rtl/>
        </w:rPr>
        <w:t xml:space="preserve">, לפי </w:t>
      </w:r>
      <w:hyperlink r:id="rId27" w:history="1">
        <w:r w:rsidR="008D28E7" w:rsidRPr="008D28E7">
          <w:rPr>
            <w:rFonts w:ascii="FrankRuehl" w:hAnsi="FrankRuehl" w:cs="FrankRuehl"/>
            <w:color w:val="0000FF"/>
            <w:sz w:val="28"/>
            <w:szCs w:val="28"/>
            <w:u w:val="single"/>
            <w:rtl/>
          </w:rPr>
          <w:t>סעיפים 7(א)</w:t>
        </w:r>
      </w:hyperlink>
      <w:r w:rsidRPr="004A65B1">
        <w:rPr>
          <w:rFonts w:ascii="FrankRuehl" w:hAnsi="FrankRuehl" w:cs="FrankRuehl"/>
          <w:sz w:val="28"/>
          <w:szCs w:val="28"/>
          <w:rtl/>
        </w:rPr>
        <w:t xml:space="preserve"> + </w:t>
      </w:r>
      <w:hyperlink r:id="rId28" w:history="1">
        <w:r w:rsidR="008D28E7" w:rsidRPr="008D28E7">
          <w:rPr>
            <w:rFonts w:ascii="FrankRuehl" w:hAnsi="FrankRuehl" w:cs="FrankRuehl"/>
            <w:color w:val="0000FF"/>
            <w:sz w:val="28"/>
            <w:szCs w:val="28"/>
            <w:u w:val="single"/>
            <w:rtl/>
          </w:rPr>
          <w:t>7(ג)</w:t>
        </w:r>
      </w:hyperlink>
      <w:r w:rsidRPr="004A65B1">
        <w:rPr>
          <w:rFonts w:ascii="FrankRuehl" w:hAnsi="FrankRuehl" w:cs="FrankRuehl"/>
          <w:sz w:val="28"/>
          <w:szCs w:val="28"/>
          <w:rtl/>
        </w:rPr>
        <w:t xml:space="preserve"> סיפא לפקודה.</w:t>
      </w:r>
    </w:p>
    <w:p w14:paraId="7B59E57B" w14:textId="77777777" w:rsidR="00B8081E" w:rsidRPr="004A65B1" w:rsidRDefault="00B8081E" w:rsidP="00B8081E">
      <w:pPr>
        <w:spacing w:after="160" w:line="360" w:lineRule="auto"/>
        <w:jc w:val="both"/>
        <w:rPr>
          <w:rFonts w:ascii="FrankRuehl" w:hAnsi="FrankRuehl" w:cs="FrankRuehl"/>
          <w:sz w:val="28"/>
          <w:szCs w:val="28"/>
          <w:rtl/>
        </w:rPr>
      </w:pPr>
      <w:r w:rsidRPr="004A65B1">
        <w:rPr>
          <w:rFonts w:ascii="FrankRuehl" w:hAnsi="FrankRuehl" w:cs="FrankRuehl"/>
          <w:sz w:val="28"/>
          <w:szCs w:val="28"/>
          <w:u w:val="single"/>
          <w:rtl/>
        </w:rPr>
        <w:t>האישום השני</w:t>
      </w:r>
      <w:r w:rsidRPr="004A65B1">
        <w:rPr>
          <w:rFonts w:ascii="FrankRuehl" w:hAnsi="FrankRuehl" w:cs="FrankRuehl"/>
          <w:sz w:val="28"/>
          <w:szCs w:val="28"/>
          <w:rtl/>
        </w:rPr>
        <w:t xml:space="preserve"> – ביום 21.6.2017 מכר הנאשם לסוכן פלטת חשיש במשקל 98.96 גרם תמורת 3,200 ₪. גם עסקה זו תואמה טלפונית תוך שימוש בקוד, כאשר מחילופי הדברים בין השניים ניתן להבין כי הנאשם בקיא בעולם הסמים, מספר שקשה להשיג היום פלטות חשיש במשקל 100 גרם, ומספר כי מדובר ב"חומר קטלני". בגין אישום זה, הואשם הנאשם והורשע ע"פ הודאתו בעבירת </w:t>
      </w:r>
      <w:r w:rsidRPr="004A65B1">
        <w:rPr>
          <w:rFonts w:ascii="FrankRuehl" w:hAnsi="FrankRuehl" w:cs="FrankRuehl"/>
          <w:b/>
          <w:bCs/>
          <w:sz w:val="28"/>
          <w:szCs w:val="28"/>
          <w:rtl/>
        </w:rPr>
        <w:t>סחר בסם מסוכן</w:t>
      </w:r>
      <w:r w:rsidRPr="004A65B1">
        <w:rPr>
          <w:rFonts w:ascii="FrankRuehl" w:hAnsi="FrankRuehl" w:cs="FrankRuehl"/>
          <w:sz w:val="28"/>
          <w:szCs w:val="28"/>
          <w:rtl/>
        </w:rPr>
        <w:t xml:space="preserve">. </w:t>
      </w:r>
    </w:p>
    <w:p w14:paraId="42C59D0A" w14:textId="77777777" w:rsidR="00B8081E" w:rsidRPr="004A65B1" w:rsidRDefault="00B8081E" w:rsidP="00B8081E">
      <w:pPr>
        <w:spacing w:after="160" w:line="360" w:lineRule="auto"/>
        <w:jc w:val="both"/>
        <w:rPr>
          <w:rFonts w:ascii="FrankRuehl" w:hAnsi="FrankRuehl" w:cs="FrankRuehl"/>
          <w:sz w:val="28"/>
          <w:szCs w:val="28"/>
        </w:rPr>
      </w:pPr>
      <w:r w:rsidRPr="004A65B1">
        <w:rPr>
          <w:rFonts w:ascii="FrankRuehl" w:hAnsi="FrankRuehl" w:cs="FrankRuehl"/>
          <w:sz w:val="28"/>
          <w:szCs w:val="28"/>
          <w:u w:val="single"/>
          <w:rtl/>
        </w:rPr>
        <w:t>האישום השלישי</w:t>
      </w:r>
      <w:r w:rsidRPr="004A65B1">
        <w:rPr>
          <w:rFonts w:ascii="FrankRuehl" w:hAnsi="FrankRuehl" w:cs="FrankRuehl"/>
          <w:sz w:val="28"/>
          <w:szCs w:val="28"/>
          <w:rtl/>
        </w:rPr>
        <w:t xml:space="preserve"> – ביום 4.7.2017 מכר הנאשם לסוכן קוקאין במשקל 10.1252 גרם תמורת 6,000 ₪. העסקה בוצעה בנסיבות דומות לאלו של האישום הראשון, דהיינו, תואמה בטלפון באמצעות קוד, כללה נסיעה משותפת של השניים ללוד וקבלת הסמים משם. בנוסף, במהלך הנסיעה, הנאשם צרך בעצמו סם מסוג קוקאין. בגין אישום זה, הואשם הנאשם והורשע ע"פ הודאתו בביצוע עבירות של </w:t>
      </w:r>
      <w:r w:rsidRPr="004A65B1">
        <w:rPr>
          <w:rFonts w:ascii="FrankRuehl" w:hAnsi="FrankRuehl" w:cs="FrankRuehl"/>
          <w:b/>
          <w:bCs/>
          <w:sz w:val="28"/>
          <w:szCs w:val="28"/>
          <w:rtl/>
        </w:rPr>
        <w:t xml:space="preserve">סחר בסם מסוכן </w:t>
      </w:r>
      <w:r w:rsidRPr="004A65B1">
        <w:rPr>
          <w:rFonts w:ascii="FrankRuehl" w:hAnsi="FrankRuehl" w:cs="FrankRuehl"/>
          <w:sz w:val="28"/>
          <w:szCs w:val="28"/>
          <w:rtl/>
        </w:rPr>
        <w:t>ו</w:t>
      </w:r>
      <w:r w:rsidRPr="004A65B1">
        <w:rPr>
          <w:rFonts w:ascii="FrankRuehl" w:hAnsi="FrankRuehl" w:cs="FrankRuehl"/>
          <w:b/>
          <w:bCs/>
          <w:sz w:val="28"/>
          <w:szCs w:val="28"/>
          <w:rtl/>
        </w:rPr>
        <w:t>החזקת סם לצריכה עצמית</w:t>
      </w:r>
      <w:r w:rsidRPr="004A65B1">
        <w:rPr>
          <w:rFonts w:ascii="FrankRuehl" w:hAnsi="FrankRuehl" w:cs="FrankRuehl"/>
          <w:sz w:val="28"/>
          <w:szCs w:val="28"/>
          <w:rtl/>
        </w:rPr>
        <w:t>.</w:t>
      </w:r>
    </w:p>
    <w:p w14:paraId="32265E21" w14:textId="77777777" w:rsidR="00B8081E" w:rsidRDefault="00B8081E" w:rsidP="00B8081E">
      <w:pPr>
        <w:spacing w:after="160" w:line="360" w:lineRule="auto"/>
        <w:jc w:val="both"/>
        <w:rPr>
          <w:rFonts w:ascii="FrankRuehl" w:hAnsi="FrankRuehl" w:cs="FrankRuehl"/>
          <w:b/>
          <w:bCs/>
          <w:sz w:val="28"/>
          <w:szCs w:val="28"/>
          <w:u w:val="single"/>
          <w:rtl/>
        </w:rPr>
      </w:pPr>
    </w:p>
    <w:p w14:paraId="04F5D522" w14:textId="77777777" w:rsidR="00B8081E" w:rsidRPr="004A65B1" w:rsidRDefault="004970D2" w:rsidP="00B8081E">
      <w:pPr>
        <w:spacing w:after="160" w:line="360" w:lineRule="auto"/>
        <w:jc w:val="both"/>
        <w:rPr>
          <w:rFonts w:ascii="FrankRuehl" w:hAnsi="FrankRuehl" w:cs="FrankRuehl"/>
          <w:b/>
          <w:bCs/>
          <w:sz w:val="28"/>
          <w:szCs w:val="28"/>
          <w:u w:val="single"/>
          <w:rtl/>
        </w:rPr>
      </w:pPr>
      <w:hyperlink r:id="rId29" w:history="1">
        <w:r w:rsidRPr="004970D2">
          <w:rPr>
            <w:rFonts w:ascii="FrankRuehl" w:hAnsi="FrankRuehl" w:cs="FrankRuehl"/>
            <w:b/>
            <w:bCs/>
            <w:color w:val="0000FF"/>
            <w:sz w:val="28"/>
            <w:szCs w:val="28"/>
            <w:u w:val="single"/>
            <w:rtl/>
          </w:rPr>
          <w:t>פ"ל 8826-08-17</w:t>
        </w:r>
      </w:hyperlink>
      <w:r w:rsidR="00B8081E" w:rsidRPr="004A65B1">
        <w:rPr>
          <w:rFonts w:ascii="FrankRuehl" w:hAnsi="FrankRuehl" w:cs="FrankRuehl"/>
          <w:b/>
          <w:bCs/>
          <w:sz w:val="28"/>
          <w:szCs w:val="28"/>
          <w:u w:val="single"/>
          <w:rtl/>
        </w:rPr>
        <w:t xml:space="preserve"> (להלן – התיק השני)</w:t>
      </w:r>
    </w:p>
    <w:p w14:paraId="65FE3538" w14:textId="77777777" w:rsidR="00B8081E" w:rsidRPr="004A65B1" w:rsidRDefault="00B8081E" w:rsidP="00B8081E">
      <w:pPr>
        <w:spacing w:after="160" w:line="360" w:lineRule="auto"/>
        <w:jc w:val="both"/>
        <w:rPr>
          <w:rFonts w:ascii="FrankRuehl" w:hAnsi="FrankRuehl" w:cs="FrankRuehl"/>
          <w:sz w:val="28"/>
          <w:szCs w:val="28"/>
          <w:rtl/>
        </w:rPr>
      </w:pPr>
      <w:r w:rsidRPr="004A65B1">
        <w:rPr>
          <w:rFonts w:ascii="FrankRuehl" w:hAnsi="FrankRuehl" w:cs="FrankRuehl"/>
          <w:sz w:val="28"/>
          <w:szCs w:val="28"/>
          <w:rtl/>
        </w:rPr>
        <w:t xml:space="preserve">מעובדות כתב האישום עולה, כי ביום 27.4.2017 נשפט הנאשם בנוכחותו בבית המשפט לתעבורה בירושלים, והוא נדון, בין היתר, לפסילה בת 9 חודשים והוא חויב בהפקדת הרישיון עד ליום 2.7.2017. הרישיון לא הופקד. בתאריך 9.8.2017 בשעת ערב, נהג הנאשם ברכב פרטי בירושלים כשהוא פסול לנהוג. הוא סטה שמאלה ונסע משאל לקו הפרדה רצוף, וכן השתלב בנתיב נסיעה לפונים שמאלה אך המשיך ישר בניגוד להוראות החץ במקום. בגין כל אלה הואשם הנאשם בביצוע עבירות של </w:t>
      </w:r>
      <w:r w:rsidRPr="004A65B1">
        <w:rPr>
          <w:rFonts w:ascii="FrankRuehl" w:hAnsi="FrankRuehl" w:cs="FrankRuehl"/>
          <w:b/>
          <w:bCs/>
          <w:sz w:val="28"/>
          <w:szCs w:val="28"/>
          <w:rtl/>
        </w:rPr>
        <w:t>נהיגת רכב ללא ביטוח</w:t>
      </w:r>
      <w:r w:rsidRPr="004A65B1">
        <w:rPr>
          <w:rFonts w:ascii="FrankRuehl" w:hAnsi="FrankRuehl" w:cs="FrankRuehl"/>
          <w:sz w:val="28"/>
          <w:szCs w:val="28"/>
          <w:rtl/>
        </w:rPr>
        <w:t xml:space="preserve">, לפי </w:t>
      </w:r>
      <w:hyperlink r:id="rId30" w:history="1">
        <w:r w:rsidR="008D28E7" w:rsidRPr="008D28E7">
          <w:rPr>
            <w:rFonts w:ascii="FrankRuehl" w:hAnsi="FrankRuehl" w:cs="FrankRuehl"/>
            <w:color w:val="0000FF"/>
            <w:sz w:val="28"/>
            <w:szCs w:val="28"/>
            <w:u w:val="single"/>
            <w:rtl/>
          </w:rPr>
          <w:t>סעיף 2א</w:t>
        </w:r>
      </w:hyperlink>
      <w:r w:rsidRPr="004A65B1">
        <w:rPr>
          <w:rFonts w:ascii="FrankRuehl" w:hAnsi="FrankRuehl" w:cs="FrankRuehl"/>
          <w:sz w:val="28"/>
          <w:szCs w:val="28"/>
          <w:rtl/>
        </w:rPr>
        <w:t xml:space="preserve"> ל</w:t>
      </w:r>
      <w:hyperlink r:id="rId31" w:history="1">
        <w:r w:rsidR="008D28E7" w:rsidRPr="008D28E7">
          <w:rPr>
            <w:rFonts w:ascii="FrankRuehl" w:hAnsi="FrankRuehl" w:cs="FrankRuehl"/>
            <w:color w:val="0000FF"/>
            <w:sz w:val="28"/>
            <w:szCs w:val="28"/>
            <w:u w:val="single"/>
            <w:rtl/>
          </w:rPr>
          <w:t>פקודת רכב מנועי</w:t>
        </w:r>
      </w:hyperlink>
      <w:r w:rsidRPr="004A65B1">
        <w:rPr>
          <w:rFonts w:ascii="FrankRuehl" w:hAnsi="FrankRuehl" w:cs="FrankRuehl"/>
          <w:sz w:val="28"/>
          <w:szCs w:val="28"/>
          <w:rtl/>
        </w:rPr>
        <w:t xml:space="preserve"> (נוסח חדש), התשכ"א-1970; </w:t>
      </w:r>
      <w:r w:rsidRPr="004A65B1">
        <w:rPr>
          <w:rFonts w:ascii="FrankRuehl" w:hAnsi="FrankRuehl" w:cs="FrankRuehl"/>
          <w:b/>
          <w:bCs/>
          <w:sz w:val="28"/>
          <w:szCs w:val="28"/>
          <w:rtl/>
        </w:rPr>
        <w:t>נהיגה בזמן פסילה</w:t>
      </w:r>
      <w:r w:rsidRPr="004A65B1">
        <w:rPr>
          <w:rFonts w:ascii="FrankRuehl" w:hAnsi="FrankRuehl" w:cs="FrankRuehl"/>
          <w:sz w:val="28"/>
          <w:szCs w:val="28"/>
          <w:rtl/>
        </w:rPr>
        <w:t xml:space="preserve">, לפי </w:t>
      </w:r>
      <w:hyperlink r:id="rId32" w:history="1">
        <w:r w:rsidR="008D28E7" w:rsidRPr="008D28E7">
          <w:rPr>
            <w:rFonts w:ascii="FrankRuehl" w:hAnsi="FrankRuehl" w:cs="FrankRuehl"/>
            <w:color w:val="0000FF"/>
            <w:sz w:val="28"/>
            <w:szCs w:val="28"/>
            <w:u w:val="single"/>
            <w:rtl/>
          </w:rPr>
          <w:t>סעיף 67</w:t>
        </w:r>
      </w:hyperlink>
      <w:r w:rsidRPr="004A65B1">
        <w:rPr>
          <w:rFonts w:ascii="FrankRuehl" w:hAnsi="FrankRuehl" w:cs="FrankRuehl"/>
          <w:sz w:val="28"/>
          <w:szCs w:val="28"/>
          <w:rtl/>
        </w:rPr>
        <w:t xml:space="preserve"> ל</w:t>
      </w:r>
      <w:hyperlink r:id="rId33" w:history="1">
        <w:r w:rsidR="004970D2" w:rsidRPr="004970D2">
          <w:rPr>
            <w:rFonts w:ascii="FrankRuehl" w:hAnsi="FrankRuehl" w:cs="FrankRuehl"/>
            <w:color w:val="0000FF"/>
            <w:sz w:val="28"/>
            <w:szCs w:val="28"/>
            <w:u w:val="single"/>
            <w:rtl/>
          </w:rPr>
          <w:t>פקודת התעבורה</w:t>
        </w:r>
      </w:hyperlink>
      <w:r w:rsidRPr="004A65B1">
        <w:rPr>
          <w:rFonts w:ascii="FrankRuehl" w:hAnsi="FrankRuehl" w:cs="FrankRuehl"/>
          <w:sz w:val="28"/>
          <w:szCs w:val="28"/>
          <w:rtl/>
        </w:rPr>
        <w:t xml:space="preserve"> (נוסח חדש), תשכ"א-1961; </w:t>
      </w:r>
      <w:r w:rsidRPr="004A65B1">
        <w:rPr>
          <w:rFonts w:ascii="FrankRuehl" w:hAnsi="FrankRuehl" w:cs="FrankRuehl"/>
          <w:b/>
          <w:bCs/>
          <w:sz w:val="28"/>
          <w:szCs w:val="28"/>
          <w:rtl/>
        </w:rPr>
        <w:t>נהיגה שלא בכיוון החץ</w:t>
      </w:r>
      <w:r w:rsidRPr="004A65B1">
        <w:rPr>
          <w:rFonts w:ascii="FrankRuehl" w:hAnsi="FrankRuehl" w:cs="FrankRuehl"/>
          <w:sz w:val="28"/>
          <w:szCs w:val="28"/>
          <w:rtl/>
        </w:rPr>
        <w:t xml:space="preserve">, לפי </w:t>
      </w:r>
      <w:hyperlink r:id="rId34" w:history="1">
        <w:r w:rsidR="008D28E7" w:rsidRPr="008D28E7">
          <w:rPr>
            <w:rFonts w:ascii="FrankRuehl" w:hAnsi="FrankRuehl" w:cs="FrankRuehl"/>
            <w:color w:val="0000FF"/>
            <w:sz w:val="28"/>
            <w:szCs w:val="28"/>
            <w:u w:val="single"/>
            <w:rtl/>
          </w:rPr>
          <w:t>תקנה 36ד</w:t>
        </w:r>
      </w:hyperlink>
      <w:r w:rsidRPr="004A65B1">
        <w:rPr>
          <w:rFonts w:ascii="FrankRuehl" w:hAnsi="FrankRuehl" w:cs="FrankRuehl"/>
          <w:sz w:val="28"/>
          <w:szCs w:val="28"/>
          <w:rtl/>
        </w:rPr>
        <w:t xml:space="preserve"> ל</w:t>
      </w:r>
      <w:hyperlink r:id="rId35" w:history="1">
        <w:r w:rsidR="004970D2" w:rsidRPr="004970D2">
          <w:rPr>
            <w:rFonts w:ascii="FrankRuehl" w:hAnsi="FrankRuehl" w:cs="FrankRuehl"/>
            <w:color w:val="0000FF"/>
            <w:sz w:val="28"/>
            <w:szCs w:val="28"/>
            <w:u w:val="single"/>
            <w:rtl/>
          </w:rPr>
          <w:t>תקנות התעבורה</w:t>
        </w:r>
      </w:hyperlink>
      <w:r w:rsidRPr="004A65B1">
        <w:rPr>
          <w:rFonts w:ascii="FrankRuehl" w:hAnsi="FrankRuehl" w:cs="FrankRuehl"/>
          <w:sz w:val="28"/>
          <w:szCs w:val="28"/>
          <w:rtl/>
        </w:rPr>
        <w:t>, תשכ"א-1961, ו</w:t>
      </w:r>
      <w:r w:rsidRPr="004A65B1">
        <w:rPr>
          <w:rFonts w:ascii="FrankRuehl" w:hAnsi="FrankRuehl" w:cs="FrankRuehl"/>
          <w:b/>
          <w:bCs/>
          <w:sz w:val="28"/>
          <w:szCs w:val="28"/>
          <w:rtl/>
        </w:rPr>
        <w:t>עקיפה תוך חציית קו הפרדה רצוף</w:t>
      </w:r>
      <w:r w:rsidRPr="004A65B1">
        <w:rPr>
          <w:rFonts w:ascii="FrankRuehl" w:hAnsi="FrankRuehl" w:cs="FrankRuehl"/>
          <w:sz w:val="28"/>
          <w:szCs w:val="28"/>
          <w:rtl/>
        </w:rPr>
        <w:t xml:space="preserve">, לפי </w:t>
      </w:r>
      <w:hyperlink r:id="rId36" w:history="1">
        <w:r w:rsidR="008D28E7" w:rsidRPr="008D28E7">
          <w:rPr>
            <w:rFonts w:ascii="FrankRuehl" w:hAnsi="FrankRuehl" w:cs="FrankRuehl"/>
            <w:color w:val="0000FF"/>
            <w:sz w:val="28"/>
            <w:szCs w:val="28"/>
            <w:u w:val="single"/>
            <w:rtl/>
          </w:rPr>
          <w:t>תקנה 47(ה)(5)</w:t>
        </w:r>
      </w:hyperlink>
      <w:r w:rsidRPr="004A65B1">
        <w:rPr>
          <w:rFonts w:ascii="FrankRuehl" w:hAnsi="FrankRuehl" w:cs="FrankRuehl"/>
          <w:sz w:val="28"/>
          <w:szCs w:val="28"/>
          <w:rtl/>
        </w:rPr>
        <w:t xml:space="preserve"> לתקנות התעבורה.</w:t>
      </w:r>
    </w:p>
    <w:p w14:paraId="644C8433" w14:textId="77777777" w:rsidR="00B8081E" w:rsidRDefault="00B8081E" w:rsidP="00B8081E">
      <w:pPr>
        <w:spacing w:after="160"/>
        <w:jc w:val="both"/>
        <w:rPr>
          <w:rFonts w:ascii="FrankRuehl" w:hAnsi="FrankRuehl" w:cs="FrankRuehl"/>
          <w:b/>
          <w:bCs/>
          <w:sz w:val="28"/>
          <w:szCs w:val="28"/>
          <w:u w:val="single"/>
          <w:rtl/>
        </w:rPr>
      </w:pPr>
    </w:p>
    <w:p w14:paraId="66789714" w14:textId="77777777" w:rsidR="00B8081E" w:rsidRPr="004A65B1" w:rsidRDefault="004970D2" w:rsidP="00B8081E">
      <w:pPr>
        <w:spacing w:after="160"/>
        <w:jc w:val="both"/>
        <w:rPr>
          <w:rFonts w:ascii="FrankRuehl" w:hAnsi="FrankRuehl" w:cs="FrankRuehl"/>
          <w:b/>
          <w:bCs/>
          <w:sz w:val="28"/>
          <w:szCs w:val="28"/>
          <w:u w:val="single"/>
          <w:rtl/>
        </w:rPr>
      </w:pPr>
      <w:hyperlink r:id="rId37" w:history="1">
        <w:r w:rsidRPr="004970D2">
          <w:rPr>
            <w:rFonts w:ascii="FrankRuehl" w:hAnsi="FrankRuehl" w:cs="FrankRuehl"/>
            <w:b/>
            <w:bCs/>
            <w:color w:val="0000FF"/>
            <w:sz w:val="28"/>
            <w:szCs w:val="28"/>
            <w:u w:val="single"/>
            <w:rtl/>
          </w:rPr>
          <w:t>ת"פ 41288-05-19</w:t>
        </w:r>
      </w:hyperlink>
      <w:r w:rsidR="00B8081E" w:rsidRPr="004A65B1">
        <w:rPr>
          <w:rFonts w:ascii="FrankRuehl" w:hAnsi="FrankRuehl" w:cs="FrankRuehl"/>
          <w:b/>
          <w:bCs/>
          <w:sz w:val="28"/>
          <w:szCs w:val="28"/>
          <w:u w:val="single"/>
          <w:rtl/>
        </w:rPr>
        <w:t xml:space="preserve"> (להלן – התיק השלישי)</w:t>
      </w:r>
    </w:p>
    <w:p w14:paraId="3B48D274" w14:textId="77777777" w:rsidR="00B8081E" w:rsidRPr="004A5557" w:rsidRDefault="00B8081E" w:rsidP="00B8081E">
      <w:pPr>
        <w:spacing w:after="160" w:line="360" w:lineRule="auto"/>
        <w:jc w:val="both"/>
        <w:rPr>
          <w:rFonts w:ascii="FrankRuehl" w:hAnsi="FrankRuehl" w:cs="FrankRuehl"/>
          <w:sz w:val="28"/>
          <w:szCs w:val="28"/>
          <w:rtl/>
        </w:rPr>
      </w:pPr>
      <w:r w:rsidRPr="004A5557">
        <w:rPr>
          <w:rFonts w:ascii="FrankRuehl" w:hAnsi="FrankRuehl" w:cs="FrankRuehl" w:hint="cs"/>
          <w:sz w:val="28"/>
          <w:szCs w:val="28"/>
          <w:rtl/>
        </w:rPr>
        <w:t>עניינו של כתב אישום זה עבירות סחר בסמים שביצע הנאשם אל מול סוכן (שאינו הסוכן בתיק הראשון), עמו הייתה לו היכרות רבת שנים.</w:t>
      </w:r>
    </w:p>
    <w:p w14:paraId="73BE6D1A" w14:textId="77777777" w:rsidR="00B8081E" w:rsidRDefault="00B8081E" w:rsidP="00B8081E">
      <w:pPr>
        <w:spacing w:after="160" w:line="360" w:lineRule="auto"/>
        <w:jc w:val="both"/>
        <w:rPr>
          <w:rFonts w:ascii="FrankRuehl" w:hAnsi="FrankRuehl" w:cs="FrankRuehl"/>
          <w:sz w:val="28"/>
          <w:szCs w:val="28"/>
          <w:rtl/>
        </w:rPr>
      </w:pPr>
      <w:r w:rsidRPr="004A5557">
        <w:rPr>
          <w:rFonts w:ascii="FrankRuehl" w:hAnsi="FrankRuehl" w:cs="FrankRuehl" w:hint="cs"/>
          <w:sz w:val="28"/>
          <w:szCs w:val="28"/>
          <w:u w:val="single"/>
          <w:rtl/>
        </w:rPr>
        <w:t xml:space="preserve">האישום </w:t>
      </w:r>
      <w:r>
        <w:rPr>
          <w:rFonts w:ascii="FrankRuehl" w:hAnsi="FrankRuehl" w:cs="FrankRuehl" w:hint="cs"/>
          <w:sz w:val="28"/>
          <w:szCs w:val="28"/>
          <w:u w:val="single"/>
          <w:rtl/>
        </w:rPr>
        <w:t>הראשון</w:t>
      </w:r>
      <w:r w:rsidRPr="004A5557">
        <w:rPr>
          <w:rFonts w:ascii="FrankRuehl" w:hAnsi="FrankRuehl" w:cs="FrankRuehl" w:hint="cs"/>
          <w:sz w:val="28"/>
          <w:szCs w:val="28"/>
          <w:rtl/>
        </w:rPr>
        <w:t xml:space="preserve"> </w:t>
      </w:r>
      <w:r w:rsidRPr="004A5557">
        <w:rPr>
          <w:rFonts w:ascii="FrankRuehl" w:hAnsi="FrankRuehl" w:cs="FrankRuehl"/>
          <w:sz w:val="28"/>
          <w:szCs w:val="28"/>
          <w:rtl/>
        </w:rPr>
        <w:t>–</w:t>
      </w:r>
      <w:r>
        <w:rPr>
          <w:rFonts w:ascii="FrankRuehl" w:hAnsi="FrankRuehl" w:cs="FrankRuehl" w:hint="cs"/>
          <w:sz w:val="28"/>
          <w:szCs w:val="28"/>
          <w:rtl/>
        </w:rPr>
        <w:t xml:space="preserve"> ביום 18.3.2019 תיאמו השניים בטלפון עסקה שבה ימכור הנאשם לסוכן סם מסוג </w:t>
      </w:r>
      <w:r>
        <w:rPr>
          <w:rFonts w:ascii="FrankRuehl" w:hAnsi="FrankRuehl" w:cs="FrankRuehl" w:hint="cs"/>
          <w:sz w:val="28"/>
          <w:szCs w:val="28"/>
        </w:rPr>
        <w:t>MDMA</w:t>
      </w:r>
      <w:r>
        <w:rPr>
          <w:rFonts w:ascii="FrankRuehl" w:hAnsi="FrankRuehl" w:cs="FrankRuehl" w:hint="cs"/>
          <w:sz w:val="28"/>
          <w:szCs w:val="28"/>
          <w:rtl/>
        </w:rPr>
        <w:t xml:space="preserve">. יום למחרת שוב שוחחו השניים ותיאמו עסקה של 100 גרם </w:t>
      </w:r>
      <w:r>
        <w:rPr>
          <w:rFonts w:ascii="FrankRuehl" w:hAnsi="FrankRuehl" w:cs="FrankRuehl" w:hint="cs"/>
          <w:sz w:val="28"/>
          <w:szCs w:val="28"/>
        </w:rPr>
        <w:t>MDMA</w:t>
      </w:r>
      <w:r>
        <w:rPr>
          <w:rFonts w:ascii="FrankRuehl" w:hAnsi="FrankRuehl" w:cs="FrankRuehl" w:hint="cs"/>
          <w:sz w:val="28"/>
          <w:szCs w:val="28"/>
          <w:rtl/>
        </w:rPr>
        <w:t xml:space="preserve"> תמורת 130 ₪ לגרם, ונדברו להיפגש למחרת. ואכן למחרת נפגשו השניים, ובפועל מכר הנאשם לסוכן 58.6 גרם מהסם האמור תמורת 8,050 ₪, משום שטען כי בשל טעות נלקחה יתרת הסם ע"י אחר. הנאשם אמר לסוכן כי אם ירכוש ממנו סם בכמויות גדולות יותר, יוכל למכור לו במחיר נמוך יותר. בגין כך הורשע הנאשם בעבירת </w:t>
      </w:r>
      <w:r w:rsidRPr="004A5557">
        <w:rPr>
          <w:rFonts w:ascii="FrankRuehl" w:hAnsi="FrankRuehl" w:cs="FrankRuehl" w:hint="cs"/>
          <w:b/>
          <w:bCs/>
          <w:sz w:val="28"/>
          <w:szCs w:val="28"/>
          <w:rtl/>
        </w:rPr>
        <w:t>סחר בסם</w:t>
      </w:r>
      <w:r>
        <w:rPr>
          <w:rFonts w:ascii="FrankRuehl" w:hAnsi="FrankRuehl" w:cs="FrankRuehl" w:hint="cs"/>
          <w:sz w:val="28"/>
          <w:szCs w:val="28"/>
          <w:rtl/>
        </w:rPr>
        <w:t>.</w:t>
      </w:r>
    </w:p>
    <w:p w14:paraId="6B6C6ACA" w14:textId="77777777" w:rsidR="00B8081E" w:rsidRDefault="00B8081E" w:rsidP="00B8081E">
      <w:pPr>
        <w:spacing w:after="160" w:line="360" w:lineRule="auto"/>
        <w:jc w:val="both"/>
        <w:rPr>
          <w:rFonts w:ascii="FrankRuehl" w:hAnsi="FrankRuehl" w:cs="FrankRuehl"/>
          <w:sz w:val="28"/>
          <w:szCs w:val="28"/>
          <w:rtl/>
        </w:rPr>
      </w:pPr>
      <w:r w:rsidRPr="004A5557">
        <w:rPr>
          <w:rFonts w:ascii="FrankRuehl" w:hAnsi="FrankRuehl" w:cs="FrankRuehl" w:hint="cs"/>
          <w:sz w:val="28"/>
          <w:szCs w:val="28"/>
          <w:u w:val="single"/>
          <w:rtl/>
        </w:rPr>
        <w:lastRenderedPageBreak/>
        <w:t>האישום השני</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ביום 27.3.2019 יזם הנאשם שיחה לסוכן ושאלו אם מעוניין לרכוש סם וזה השיב כי יעמוד עם הנאשם בקשר. ב-30.3.2019 התקשר הסוכן לנאשם והשניים תיאמו עסקה של מכירת 100 גרם </w:t>
      </w:r>
      <w:r>
        <w:rPr>
          <w:rFonts w:ascii="FrankRuehl" w:hAnsi="FrankRuehl" w:cs="FrankRuehl" w:hint="cs"/>
          <w:sz w:val="28"/>
          <w:szCs w:val="28"/>
        </w:rPr>
        <w:t>MDMA</w:t>
      </w:r>
      <w:r>
        <w:rPr>
          <w:rFonts w:ascii="FrankRuehl" w:hAnsi="FrankRuehl" w:cs="FrankRuehl" w:hint="cs"/>
          <w:sz w:val="28"/>
          <w:szCs w:val="28"/>
          <w:rtl/>
        </w:rPr>
        <w:t xml:space="preserve">. ביום 2.4.2019 נפגשו השניים, והנאשם מסר לסוכן 97.57 גרם </w:t>
      </w:r>
      <w:r>
        <w:rPr>
          <w:rFonts w:ascii="FrankRuehl" w:hAnsi="FrankRuehl" w:cs="FrankRuehl" w:hint="cs"/>
          <w:sz w:val="28"/>
          <w:szCs w:val="28"/>
        </w:rPr>
        <w:t>MDMA</w:t>
      </w:r>
      <w:r>
        <w:rPr>
          <w:rFonts w:ascii="FrankRuehl" w:hAnsi="FrankRuehl" w:cs="FrankRuehl" w:hint="cs"/>
          <w:sz w:val="28"/>
          <w:szCs w:val="28"/>
          <w:rtl/>
        </w:rPr>
        <w:t xml:space="preserve"> וקיבל תמורתו 13,000 ₪. הסוכן התעניין ברכישת כמות גדולה יותר והנאשם הבטיח להוזיל את המחיר. גם כאן הורשע הנאשם </w:t>
      </w:r>
      <w:r w:rsidRPr="0083767F">
        <w:rPr>
          <w:rFonts w:ascii="FrankRuehl" w:hAnsi="FrankRuehl" w:cs="FrankRuehl" w:hint="cs"/>
          <w:b/>
          <w:bCs/>
          <w:sz w:val="28"/>
          <w:szCs w:val="28"/>
          <w:rtl/>
        </w:rPr>
        <w:t>בסחר בסם</w:t>
      </w:r>
      <w:r>
        <w:rPr>
          <w:rFonts w:ascii="FrankRuehl" w:hAnsi="FrankRuehl" w:cs="FrankRuehl" w:hint="cs"/>
          <w:sz w:val="28"/>
          <w:szCs w:val="28"/>
          <w:rtl/>
        </w:rPr>
        <w:t>.</w:t>
      </w:r>
    </w:p>
    <w:p w14:paraId="3949BA66" w14:textId="77777777" w:rsidR="00B8081E" w:rsidRDefault="00B8081E" w:rsidP="00B8081E">
      <w:pPr>
        <w:spacing w:after="160" w:line="360" w:lineRule="auto"/>
        <w:jc w:val="both"/>
        <w:rPr>
          <w:rFonts w:ascii="FrankRuehl" w:hAnsi="FrankRuehl" w:cs="FrankRuehl"/>
          <w:sz w:val="28"/>
          <w:szCs w:val="28"/>
          <w:rtl/>
        </w:rPr>
      </w:pPr>
      <w:r>
        <w:rPr>
          <w:rFonts w:ascii="FrankRuehl" w:hAnsi="FrankRuehl" w:cs="FrankRuehl" w:hint="cs"/>
          <w:sz w:val="28"/>
          <w:szCs w:val="28"/>
          <w:rtl/>
        </w:rPr>
        <w:t>במסגרת תיק זה, ביקשה המאשימה להכריז על הנאשם "סוחר סמים" ולחלט סך של 5,300 ₪ שנתפסו אצל הנאשם.</w:t>
      </w:r>
    </w:p>
    <w:p w14:paraId="5C80AE00" w14:textId="77777777" w:rsidR="00B8081E" w:rsidRPr="004A5557" w:rsidRDefault="00B8081E" w:rsidP="00B8081E">
      <w:pPr>
        <w:spacing w:after="160"/>
        <w:jc w:val="both"/>
        <w:rPr>
          <w:rFonts w:ascii="FrankRuehl" w:hAnsi="FrankRuehl" w:cs="FrankRuehl"/>
          <w:sz w:val="28"/>
          <w:szCs w:val="28"/>
          <w:rtl/>
        </w:rPr>
      </w:pPr>
    </w:p>
    <w:p w14:paraId="4FA012C3" w14:textId="77777777" w:rsidR="00B8081E" w:rsidRPr="004A65B1" w:rsidRDefault="00B8081E" w:rsidP="00B8081E">
      <w:pPr>
        <w:spacing w:after="160" w:line="360" w:lineRule="auto"/>
        <w:jc w:val="both"/>
        <w:rPr>
          <w:rFonts w:ascii="FrankRuehl" w:hAnsi="FrankRuehl" w:cs="FrankRuehl"/>
          <w:b/>
          <w:bCs/>
          <w:sz w:val="28"/>
          <w:szCs w:val="28"/>
          <w:u w:val="single"/>
          <w:rtl/>
        </w:rPr>
      </w:pPr>
      <w:r w:rsidRPr="004A65B1">
        <w:rPr>
          <w:rFonts w:ascii="FrankRuehl" w:hAnsi="FrankRuehl" w:cs="FrankRuehl"/>
          <w:b/>
          <w:bCs/>
          <w:sz w:val="28"/>
          <w:szCs w:val="28"/>
          <w:u w:val="single"/>
          <w:rtl/>
        </w:rPr>
        <w:t>רישום פלילי</w:t>
      </w:r>
    </w:p>
    <w:p w14:paraId="4AFC97BC" w14:textId="77777777" w:rsidR="00B8081E" w:rsidRPr="004A65B1" w:rsidRDefault="00B8081E" w:rsidP="00B8081E">
      <w:pPr>
        <w:spacing w:after="160" w:line="360" w:lineRule="auto"/>
        <w:jc w:val="both"/>
        <w:rPr>
          <w:rFonts w:ascii="FrankRuehl" w:hAnsi="FrankRuehl" w:cs="FrankRuehl"/>
          <w:sz w:val="28"/>
          <w:szCs w:val="28"/>
          <w:rtl/>
        </w:rPr>
      </w:pPr>
      <w:r w:rsidRPr="004A65B1">
        <w:rPr>
          <w:rFonts w:ascii="FrankRuehl" w:hAnsi="FrankRuehl" w:cs="FrankRuehl"/>
          <w:sz w:val="28"/>
          <w:szCs w:val="28"/>
          <w:rtl/>
        </w:rPr>
        <w:t xml:space="preserve">לנאשם 7 הרשעות קודמות בעבירות אלימות ובעיקר בעבירות סמים לרבות סחר בסמים, בגינן ריצה תקופות מאסר ארוכות יחסית.  עם זאת, הרשעתו </w:t>
      </w:r>
      <w:r>
        <w:rPr>
          <w:rFonts w:ascii="FrankRuehl" w:hAnsi="FrankRuehl" w:cs="FrankRuehl" w:hint="cs"/>
          <w:sz w:val="28"/>
          <w:szCs w:val="28"/>
          <w:rtl/>
        </w:rPr>
        <w:t xml:space="preserve"> </w:t>
      </w:r>
      <w:r w:rsidRPr="004A65B1">
        <w:rPr>
          <w:rFonts w:ascii="FrankRuehl" w:hAnsi="FrankRuehl" w:cs="FrankRuehl"/>
          <w:sz w:val="28"/>
          <w:szCs w:val="28"/>
          <w:rtl/>
        </w:rPr>
        <w:t xml:space="preserve">האחרונה בעבירות סמים היא משנת 2011 בהתייחס לעבירות מאותה שנה, אז הוטל עליו מאסר של 27 חודשים. </w:t>
      </w:r>
    </w:p>
    <w:p w14:paraId="5755D96B" w14:textId="77777777" w:rsidR="00B8081E" w:rsidRPr="004A65B1" w:rsidRDefault="00B8081E" w:rsidP="00B8081E">
      <w:pPr>
        <w:spacing w:after="160"/>
        <w:jc w:val="both"/>
        <w:rPr>
          <w:rFonts w:ascii="FrankRuehl" w:hAnsi="FrankRuehl" w:cs="FrankRuehl"/>
          <w:b/>
          <w:bCs/>
          <w:sz w:val="28"/>
          <w:szCs w:val="28"/>
          <w:u w:val="single"/>
          <w:rtl/>
        </w:rPr>
      </w:pPr>
    </w:p>
    <w:p w14:paraId="1382BAB6" w14:textId="77777777" w:rsidR="00B8081E" w:rsidRPr="004A65B1" w:rsidRDefault="00B8081E" w:rsidP="00B8081E">
      <w:pPr>
        <w:spacing w:after="160" w:line="360" w:lineRule="auto"/>
        <w:jc w:val="both"/>
        <w:rPr>
          <w:rFonts w:ascii="FrankRuehl" w:hAnsi="FrankRuehl" w:cs="FrankRuehl"/>
          <w:b/>
          <w:bCs/>
          <w:sz w:val="28"/>
          <w:szCs w:val="28"/>
          <w:u w:val="single"/>
          <w:rtl/>
        </w:rPr>
      </w:pPr>
      <w:r w:rsidRPr="004A65B1">
        <w:rPr>
          <w:rFonts w:ascii="FrankRuehl" w:hAnsi="FrankRuehl" w:cs="FrankRuehl"/>
          <w:b/>
          <w:bCs/>
          <w:sz w:val="28"/>
          <w:szCs w:val="28"/>
          <w:u w:val="single"/>
          <w:rtl/>
        </w:rPr>
        <w:t xml:space="preserve">רישום תעבורתי </w:t>
      </w:r>
    </w:p>
    <w:p w14:paraId="19418D9E" w14:textId="77777777" w:rsidR="00B8081E" w:rsidRPr="004A65B1" w:rsidRDefault="00B8081E" w:rsidP="00B8081E">
      <w:pPr>
        <w:spacing w:after="160" w:line="360" w:lineRule="auto"/>
        <w:jc w:val="both"/>
        <w:rPr>
          <w:rFonts w:ascii="FrankRuehl" w:hAnsi="FrankRuehl" w:cs="FrankRuehl"/>
          <w:sz w:val="28"/>
          <w:szCs w:val="28"/>
        </w:rPr>
      </w:pPr>
      <w:r w:rsidRPr="004A65B1">
        <w:rPr>
          <w:rFonts w:ascii="FrankRuehl" w:hAnsi="FrankRuehl" w:cs="FrankRuehl"/>
          <w:sz w:val="28"/>
          <w:szCs w:val="28"/>
          <w:rtl/>
        </w:rPr>
        <w:t xml:space="preserve">לחובת הנאשם 14 הרשעות תעבורתיות לרבות בעבירות של נהיגה בפסילה, נהיגה ללא רישיון ונהיגה בשכרות. </w:t>
      </w:r>
    </w:p>
    <w:p w14:paraId="02E2B467" w14:textId="77777777" w:rsidR="00B8081E" w:rsidRPr="004A65B1" w:rsidRDefault="00B8081E" w:rsidP="00B8081E">
      <w:pPr>
        <w:spacing w:after="160"/>
        <w:jc w:val="both"/>
        <w:rPr>
          <w:rFonts w:ascii="FrankRuehl" w:hAnsi="FrankRuehl" w:cs="FrankRuehl"/>
          <w:b/>
          <w:bCs/>
          <w:sz w:val="28"/>
          <w:szCs w:val="28"/>
          <w:u w:val="single"/>
          <w:rtl/>
        </w:rPr>
      </w:pPr>
    </w:p>
    <w:p w14:paraId="4E2F8A44" w14:textId="77777777" w:rsidR="00B8081E" w:rsidRPr="004A65B1" w:rsidRDefault="00B8081E" w:rsidP="00B8081E">
      <w:pPr>
        <w:spacing w:after="160" w:line="360" w:lineRule="auto"/>
        <w:jc w:val="both"/>
        <w:rPr>
          <w:rFonts w:ascii="FrankRuehl" w:hAnsi="FrankRuehl" w:cs="FrankRuehl"/>
          <w:b/>
          <w:bCs/>
          <w:sz w:val="28"/>
          <w:szCs w:val="28"/>
          <w:u w:val="single"/>
          <w:rtl/>
        </w:rPr>
      </w:pPr>
      <w:r w:rsidRPr="004A65B1">
        <w:rPr>
          <w:rFonts w:ascii="FrankRuehl" w:hAnsi="FrankRuehl" w:cs="FrankRuehl"/>
          <w:b/>
          <w:bCs/>
          <w:sz w:val="28"/>
          <w:szCs w:val="28"/>
          <w:u w:val="single"/>
          <w:rtl/>
        </w:rPr>
        <w:t>תסקיר</w:t>
      </w:r>
      <w:r>
        <w:rPr>
          <w:rFonts w:ascii="FrankRuehl" w:hAnsi="FrankRuehl" w:cs="FrankRuehl" w:hint="cs"/>
          <w:b/>
          <w:bCs/>
          <w:sz w:val="28"/>
          <w:szCs w:val="28"/>
          <w:u w:val="single"/>
          <w:rtl/>
        </w:rPr>
        <w:t>י שירות המבחן</w:t>
      </w:r>
    </w:p>
    <w:p w14:paraId="10D82B0D" w14:textId="77777777" w:rsidR="00B8081E" w:rsidRPr="004A65B1" w:rsidRDefault="00B8081E" w:rsidP="00B8081E">
      <w:pPr>
        <w:spacing w:after="160" w:line="360" w:lineRule="auto"/>
        <w:jc w:val="both"/>
        <w:rPr>
          <w:rFonts w:ascii="FrankRuehl" w:hAnsi="FrankRuehl" w:cs="FrankRuehl"/>
          <w:sz w:val="28"/>
          <w:szCs w:val="28"/>
          <w:rtl/>
        </w:rPr>
      </w:pPr>
      <w:r w:rsidRPr="004A65B1">
        <w:rPr>
          <w:rFonts w:ascii="FrankRuehl" w:hAnsi="FrankRuehl" w:cs="FrankRuehl"/>
          <w:sz w:val="28"/>
          <w:szCs w:val="28"/>
          <w:rtl/>
        </w:rPr>
        <w:t>בעניינו של הנאשם הוגשו כמה תסקירים. עולה מהם</w:t>
      </w:r>
      <w:r>
        <w:rPr>
          <w:rFonts w:ascii="FrankRuehl" w:hAnsi="FrankRuehl" w:cs="FrankRuehl" w:hint="cs"/>
          <w:sz w:val="28"/>
          <w:szCs w:val="28"/>
          <w:rtl/>
        </w:rPr>
        <w:t>,</w:t>
      </w:r>
      <w:r w:rsidRPr="004A65B1">
        <w:rPr>
          <w:rFonts w:ascii="FrankRuehl" w:hAnsi="FrankRuehl" w:cs="FrankRuehl"/>
          <w:sz w:val="28"/>
          <w:szCs w:val="28"/>
          <w:rtl/>
        </w:rPr>
        <w:t xml:space="preserve"> כי מדובר באדם כבן </w:t>
      </w:r>
      <w:r>
        <w:rPr>
          <w:rFonts w:ascii="FrankRuehl" w:hAnsi="FrankRuehl" w:cs="FrankRuehl" w:hint="cs"/>
          <w:sz w:val="28"/>
          <w:szCs w:val="28"/>
          <w:rtl/>
        </w:rPr>
        <w:t>34</w:t>
      </w:r>
      <w:r w:rsidRPr="004A65B1">
        <w:rPr>
          <w:rFonts w:ascii="FrankRuehl" w:hAnsi="FrankRuehl" w:cs="FrankRuehl"/>
          <w:sz w:val="28"/>
          <w:szCs w:val="28"/>
          <w:rtl/>
        </w:rPr>
        <w:t xml:space="preserve">, נשוי ואב לארבעה העובד כטכנאי מיזוג אוויר ומתגורר עם משפחתו.  שירות המבחן גולל את קורותיו של </w:t>
      </w:r>
      <w:r>
        <w:rPr>
          <w:rFonts w:ascii="FrankRuehl" w:hAnsi="FrankRuehl" w:cs="FrankRuehl" w:hint="cs"/>
          <w:sz w:val="28"/>
          <w:szCs w:val="28"/>
          <w:rtl/>
        </w:rPr>
        <w:t>הנאשם</w:t>
      </w:r>
      <w:r w:rsidRPr="004A65B1">
        <w:rPr>
          <w:rFonts w:ascii="FrankRuehl" w:hAnsi="FrankRuehl" w:cs="FrankRuehl"/>
          <w:sz w:val="28"/>
          <w:szCs w:val="28"/>
          <w:rtl/>
        </w:rPr>
        <w:t xml:space="preserve"> ואת יחסיו עם משפחתו הגרעינית. בילדותו ובנעוריו הוא נדרש למלא תפקיד אחראי מעבר לשנות גילו ביחס לשאר בני המשפחה, למד באופן לא סדיר</w:t>
      </w:r>
      <w:r>
        <w:rPr>
          <w:rFonts w:ascii="FrankRuehl" w:hAnsi="FrankRuehl" w:cs="FrankRuehl" w:hint="cs"/>
          <w:sz w:val="28"/>
          <w:szCs w:val="28"/>
          <w:rtl/>
        </w:rPr>
        <w:t>,</w:t>
      </w:r>
      <w:r w:rsidRPr="004A65B1">
        <w:rPr>
          <w:rFonts w:ascii="FrankRuehl" w:hAnsi="FrankRuehl" w:cs="FrankRuehl"/>
          <w:sz w:val="28"/>
          <w:szCs w:val="28"/>
          <w:rtl/>
        </w:rPr>
        <w:t xml:space="preserve"> והסתבך בביצוע עבירות בשלב מוקדם של נעוריו. הוא החל להשתמש בסמים וכבר בגיל 18 נדון למאסר בן שנה בשל ביצוע עבירות סמים. במסגרת המאסר עבר טיפול גמילה מסמים, השלים 12 שנות לימוד ובהמשך השתלב בטיפול במסגרת "אם הדרך". במהלך שנות ה-2000 המוקדמות הנאשם היה עצור בגין תיק חמור שבגינו זוכה בסופו של יום, אך הפרשה הובילה להתדרדרות חוזרת שלו לעולם הסמים. הוא שב לבצע עבירות בתחום ונאסר לתקופה ארוכה, אותה סיים לרצות בשנת 2012. הוא עבר טיפול ושיקום במסגרת הרשות לשיקום האסיר. במסגרת הליך זה, כפי ש</w:t>
      </w:r>
      <w:r>
        <w:rPr>
          <w:rFonts w:ascii="FrankRuehl" w:hAnsi="FrankRuehl" w:cs="FrankRuehl" w:hint="cs"/>
          <w:sz w:val="28"/>
          <w:szCs w:val="28"/>
          <w:rtl/>
        </w:rPr>
        <w:t>י</w:t>
      </w:r>
      <w:r w:rsidRPr="004A65B1">
        <w:rPr>
          <w:rFonts w:ascii="FrankRuehl" w:hAnsi="FrankRuehl" w:cs="FrankRuehl"/>
          <w:sz w:val="28"/>
          <w:szCs w:val="28"/>
          <w:rtl/>
        </w:rPr>
        <w:t>צוין בפרק "מהלך הדיון"</w:t>
      </w:r>
      <w:r>
        <w:rPr>
          <w:rFonts w:ascii="FrankRuehl" w:hAnsi="FrankRuehl" w:cs="FrankRuehl" w:hint="cs"/>
          <w:sz w:val="28"/>
          <w:szCs w:val="28"/>
          <w:rtl/>
        </w:rPr>
        <w:t xml:space="preserve"> להלן</w:t>
      </w:r>
      <w:r w:rsidRPr="004A65B1">
        <w:rPr>
          <w:rFonts w:ascii="FrankRuehl" w:hAnsi="FrankRuehl" w:cs="FrankRuehl"/>
          <w:sz w:val="28"/>
          <w:szCs w:val="28"/>
          <w:rtl/>
        </w:rPr>
        <w:t>, שולב בטיפול ברטורנו</w:t>
      </w:r>
      <w:r>
        <w:rPr>
          <w:rFonts w:ascii="FrankRuehl" w:hAnsi="FrankRuehl" w:cs="FrankRuehl" w:hint="cs"/>
          <w:sz w:val="28"/>
          <w:szCs w:val="28"/>
          <w:rtl/>
        </w:rPr>
        <w:t>. הוא סיים את הטיפול בהצלחה לכל אורך המסלול, ואף השתלב לאחר מכן בהוסטל. בהמשך שב לעבוד תוך שהוא מתמיד בטיפול ומוסר בדיקות שתן נקיות.</w:t>
      </w:r>
      <w:r w:rsidRPr="004A65B1">
        <w:rPr>
          <w:rFonts w:ascii="FrankRuehl" w:hAnsi="FrankRuehl" w:cs="FrankRuehl"/>
          <w:sz w:val="28"/>
          <w:szCs w:val="28"/>
          <w:rtl/>
        </w:rPr>
        <w:t xml:space="preserve"> </w:t>
      </w:r>
      <w:r>
        <w:rPr>
          <w:rFonts w:ascii="FrankRuehl" w:hAnsi="FrankRuehl" w:cs="FrankRuehl" w:hint="cs"/>
          <w:sz w:val="28"/>
          <w:szCs w:val="28"/>
          <w:rtl/>
        </w:rPr>
        <w:t xml:space="preserve">אלא שבשל משבר נפשי וכלכלי שפקד את הנאשם לאחר סיום האמור, ולטענתו, התחייבות לאחיו, ביצע את המעשים מושא התיק השלישי. לטענתו, מאז עבר את הטיפול ברטורנו לא שב לצרוך סמים. אשר לנטילת אחריות, סבר שירות המבחן, כי הנאשם נטל אחריות מלאה למעשים בהם הודה במסגרת שלושת התיקים. הנאשם חווה את הטיפול שעבר במסגרת התיק הראשון כמשמעותי, והביע מוטיבציה לעבור טיפול כזה בין כותלי הכלא על מנת לשמר את הישגיו. שירות המבחן העריך כי כוונותיו של הנאשם כנות בהקשר זה ואף הוא, המליץ על שילוב הנאשם בתהליך שיקומי מאחורי כותלי הכלא. יצוין כי ברקע הדברים, הנאשם אובחן </w:t>
      </w:r>
      <w:r w:rsidRPr="004A65B1">
        <w:rPr>
          <w:rFonts w:ascii="FrankRuehl" w:hAnsi="FrankRuehl" w:cs="FrankRuehl"/>
          <w:sz w:val="28"/>
          <w:szCs w:val="28"/>
          <w:rtl/>
        </w:rPr>
        <w:t xml:space="preserve">כסובל מהפרעה אפקטיבית דו-קוטבית המשפיעה על התנהלותו היומיומית. בשל כך הוכר כנכה 100% בביטוח הלאומי והוא נמצא במעקב פסיכיאטרי. </w:t>
      </w:r>
    </w:p>
    <w:p w14:paraId="4FF83BC2" w14:textId="77777777" w:rsidR="00B8081E" w:rsidRPr="004A65B1" w:rsidRDefault="00B8081E" w:rsidP="00B8081E">
      <w:pPr>
        <w:spacing w:after="160"/>
        <w:jc w:val="both"/>
        <w:rPr>
          <w:rFonts w:ascii="FrankRuehl" w:hAnsi="FrankRuehl" w:cs="FrankRuehl"/>
          <w:b/>
          <w:bCs/>
          <w:sz w:val="28"/>
          <w:szCs w:val="28"/>
          <w:u w:val="single"/>
          <w:rtl/>
        </w:rPr>
      </w:pPr>
    </w:p>
    <w:p w14:paraId="01195780" w14:textId="77777777" w:rsidR="00B8081E" w:rsidRPr="004A65B1" w:rsidRDefault="00B8081E" w:rsidP="00B8081E">
      <w:pPr>
        <w:spacing w:after="160" w:line="360" w:lineRule="auto"/>
        <w:jc w:val="both"/>
        <w:rPr>
          <w:rFonts w:ascii="FrankRuehl" w:hAnsi="FrankRuehl" w:cs="FrankRuehl"/>
          <w:b/>
          <w:bCs/>
          <w:sz w:val="28"/>
          <w:szCs w:val="28"/>
          <w:u w:val="single"/>
          <w:rtl/>
        </w:rPr>
      </w:pPr>
      <w:r w:rsidRPr="004A65B1">
        <w:rPr>
          <w:rFonts w:ascii="FrankRuehl" w:hAnsi="FrankRuehl" w:cs="FrankRuehl"/>
          <w:b/>
          <w:bCs/>
          <w:sz w:val="28"/>
          <w:szCs w:val="28"/>
          <w:u w:val="single"/>
          <w:rtl/>
        </w:rPr>
        <w:t>מהלך הדיון</w:t>
      </w:r>
    </w:p>
    <w:p w14:paraId="443E6AB1" w14:textId="77777777" w:rsidR="00B8081E" w:rsidRDefault="00B8081E" w:rsidP="00B8081E">
      <w:pPr>
        <w:spacing w:after="160" w:line="360" w:lineRule="auto"/>
        <w:jc w:val="both"/>
        <w:rPr>
          <w:rFonts w:ascii="FrankRuehl" w:hAnsi="FrankRuehl" w:cs="FrankRuehl"/>
          <w:sz w:val="28"/>
          <w:szCs w:val="28"/>
          <w:rtl/>
        </w:rPr>
      </w:pPr>
      <w:r w:rsidRPr="004A65B1">
        <w:rPr>
          <w:rFonts w:ascii="FrankRuehl" w:hAnsi="FrankRuehl" w:cs="FrankRuehl"/>
          <w:sz w:val="28"/>
          <w:szCs w:val="28"/>
          <w:rtl/>
        </w:rPr>
        <w:t>כתב האישום בתיק הראשון הוגש כשהנאשם היה עצור ונתבקש מעצרו עד לתום ההליכים נגדו. הוא נעצר ביום 4.9.2017 ושוחרר על-ידי לקהילת "רטורנו" ביום 25.12.2017, החלטה שלא הוגש עליה ערר.</w:t>
      </w:r>
      <w:r>
        <w:rPr>
          <w:rFonts w:ascii="FrankRuehl" w:hAnsi="FrankRuehl" w:cs="FrankRuehl" w:hint="cs"/>
          <w:sz w:val="28"/>
          <w:szCs w:val="28"/>
          <w:rtl/>
        </w:rPr>
        <w:t xml:space="preserve"> כאמור לעיל, </w:t>
      </w:r>
      <w:r w:rsidRPr="004A65B1">
        <w:rPr>
          <w:rFonts w:ascii="FrankRuehl" w:hAnsi="FrankRuehl" w:cs="FrankRuehl"/>
          <w:sz w:val="28"/>
          <w:szCs w:val="28"/>
          <w:rtl/>
        </w:rPr>
        <w:t xml:space="preserve"> </w:t>
      </w:r>
      <w:r>
        <w:rPr>
          <w:rFonts w:ascii="FrankRuehl" w:hAnsi="FrankRuehl" w:cs="FrankRuehl" w:hint="cs"/>
          <w:sz w:val="28"/>
          <w:szCs w:val="28"/>
          <w:rtl/>
        </w:rPr>
        <w:t xml:space="preserve">הוא סיים בהצלחה את הטיפול ברטורנו ואף את טיפול ההמשך והחל לעבוד. אלא, שהוא נעצר לאחר שעבר את העבירות מושא התיק השלישי, כשכתב האישום הוגש בחודש מאי השנה. ביום 17.7.2019 הורה חברי, כב' השופט הבכיר צימרמן על מעצרו של הנאשם עד לתום ההליכים נגדו, ואז ביקש הנאשם לסיים את ההליכים בעודו במעצר, לנוכח מכלול הנסיבות. </w:t>
      </w:r>
    </w:p>
    <w:p w14:paraId="298FF40D" w14:textId="77777777" w:rsidR="00B8081E" w:rsidRDefault="00B8081E" w:rsidP="00B8081E">
      <w:pPr>
        <w:spacing w:after="160" w:line="360" w:lineRule="auto"/>
        <w:jc w:val="both"/>
        <w:rPr>
          <w:rFonts w:ascii="FrankRuehl" w:hAnsi="FrankRuehl" w:cs="FrankRuehl"/>
          <w:b/>
          <w:bCs/>
          <w:sz w:val="28"/>
          <w:szCs w:val="28"/>
          <w:highlight w:val="yellow"/>
          <w:u w:val="single"/>
          <w:rtl/>
        </w:rPr>
      </w:pPr>
    </w:p>
    <w:p w14:paraId="12925D4F" w14:textId="77777777" w:rsidR="00B8081E" w:rsidRPr="0060095F" w:rsidRDefault="00B8081E" w:rsidP="00B8081E">
      <w:pPr>
        <w:spacing w:after="160" w:line="360" w:lineRule="auto"/>
        <w:jc w:val="both"/>
        <w:rPr>
          <w:rFonts w:ascii="FrankRuehl" w:hAnsi="FrankRuehl" w:cs="FrankRuehl"/>
          <w:b/>
          <w:bCs/>
          <w:sz w:val="28"/>
          <w:szCs w:val="28"/>
          <w:u w:val="single"/>
          <w:rtl/>
        </w:rPr>
      </w:pPr>
      <w:r w:rsidRPr="0060095F">
        <w:rPr>
          <w:rFonts w:ascii="FrankRuehl" w:hAnsi="FrankRuehl" w:cs="FrankRuehl"/>
          <w:b/>
          <w:bCs/>
          <w:sz w:val="28"/>
          <w:szCs w:val="28"/>
          <w:u w:val="single"/>
          <w:rtl/>
        </w:rPr>
        <w:t>טיעונים לעונש</w:t>
      </w:r>
    </w:p>
    <w:p w14:paraId="14125739" w14:textId="77777777" w:rsidR="00B8081E" w:rsidRPr="0060095F" w:rsidRDefault="00B8081E" w:rsidP="00B8081E">
      <w:pPr>
        <w:spacing w:after="160" w:line="360" w:lineRule="auto"/>
        <w:jc w:val="both"/>
        <w:rPr>
          <w:rFonts w:ascii="FrankRuehl" w:hAnsi="FrankRuehl" w:cs="FrankRuehl"/>
          <w:sz w:val="28"/>
          <w:szCs w:val="28"/>
          <w:rtl/>
        </w:rPr>
      </w:pPr>
      <w:r w:rsidRPr="0060095F">
        <w:rPr>
          <w:rFonts w:ascii="FrankRuehl" w:hAnsi="FrankRuehl" w:cs="FrankRuehl"/>
          <w:sz w:val="28"/>
          <w:szCs w:val="28"/>
          <w:rtl/>
        </w:rPr>
        <w:t xml:space="preserve">הצדדים לא הגיעו להסכמה עונשית. </w:t>
      </w:r>
    </w:p>
    <w:p w14:paraId="1EA8F00A" w14:textId="77777777" w:rsidR="00B8081E" w:rsidRPr="0060095F" w:rsidRDefault="00B8081E" w:rsidP="00B8081E">
      <w:pPr>
        <w:spacing w:after="160" w:line="360" w:lineRule="auto"/>
        <w:jc w:val="both"/>
        <w:rPr>
          <w:rFonts w:ascii="FrankRuehl" w:hAnsi="FrankRuehl" w:cs="FrankRuehl"/>
          <w:sz w:val="28"/>
          <w:szCs w:val="28"/>
          <w:rtl/>
        </w:rPr>
      </w:pPr>
      <w:r w:rsidRPr="0060095F">
        <w:rPr>
          <w:rFonts w:ascii="FrankRuehl" w:hAnsi="FrankRuehl" w:cs="FrankRuehl"/>
          <w:sz w:val="28"/>
          <w:szCs w:val="28"/>
          <w:rtl/>
        </w:rPr>
        <w:t xml:space="preserve">מחד, </w:t>
      </w:r>
      <w:r>
        <w:rPr>
          <w:rFonts w:ascii="FrankRuehl" w:hAnsi="FrankRuehl" w:cs="FrankRuehl" w:hint="cs"/>
          <w:sz w:val="28"/>
          <w:szCs w:val="28"/>
          <w:rtl/>
        </w:rPr>
        <w:t xml:space="preserve">ב"כ </w:t>
      </w:r>
      <w:r w:rsidRPr="0060095F">
        <w:rPr>
          <w:rFonts w:ascii="FrankRuehl" w:hAnsi="FrankRuehl" w:cs="FrankRuehl"/>
          <w:sz w:val="28"/>
          <w:szCs w:val="28"/>
          <w:rtl/>
        </w:rPr>
        <w:t xml:space="preserve">המאשימה </w:t>
      </w:r>
      <w:r>
        <w:rPr>
          <w:rFonts w:ascii="FrankRuehl" w:hAnsi="FrankRuehl" w:cs="FrankRuehl" w:hint="cs"/>
          <w:sz w:val="28"/>
          <w:szCs w:val="28"/>
          <w:rtl/>
        </w:rPr>
        <w:t xml:space="preserve">טענה </w:t>
      </w:r>
      <w:r w:rsidRPr="0060095F">
        <w:rPr>
          <w:rFonts w:ascii="FrankRuehl" w:hAnsi="FrankRuehl" w:cs="FrankRuehl"/>
          <w:sz w:val="28"/>
          <w:szCs w:val="28"/>
          <w:rtl/>
        </w:rPr>
        <w:t xml:space="preserve">כי יש להטיל על </w:t>
      </w:r>
      <w:r>
        <w:rPr>
          <w:rFonts w:ascii="FrankRuehl" w:hAnsi="FrankRuehl" w:cs="FrankRuehl" w:hint="cs"/>
          <w:sz w:val="28"/>
          <w:szCs w:val="28"/>
          <w:rtl/>
        </w:rPr>
        <w:t xml:space="preserve">הנאשם מאסר ממושך דו ספרתי לנוכח חומרת העבירות, ומכלול הנסיבות, לרבות עברו הפלילי. </w:t>
      </w:r>
    </w:p>
    <w:p w14:paraId="520D6A4D" w14:textId="77777777" w:rsidR="00B8081E" w:rsidRDefault="00B8081E" w:rsidP="00B8081E">
      <w:pPr>
        <w:spacing w:after="160" w:line="360" w:lineRule="auto"/>
        <w:jc w:val="both"/>
        <w:rPr>
          <w:rFonts w:ascii="FrankRuehl" w:hAnsi="FrankRuehl" w:cs="FrankRuehl"/>
          <w:sz w:val="28"/>
          <w:szCs w:val="28"/>
          <w:rtl/>
        </w:rPr>
      </w:pPr>
      <w:r w:rsidRPr="0060095F">
        <w:rPr>
          <w:rFonts w:ascii="FrankRuehl" w:hAnsi="FrankRuehl" w:cs="FrankRuehl"/>
          <w:sz w:val="28"/>
          <w:szCs w:val="28"/>
          <w:rtl/>
        </w:rPr>
        <w:t xml:space="preserve">מאידך, </w:t>
      </w:r>
      <w:r>
        <w:rPr>
          <w:rFonts w:ascii="FrankRuehl" w:hAnsi="FrankRuehl" w:cs="FrankRuehl" w:hint="cs"/>
          <w:sz w:val="28"/>
          <w:szCs w:val="28"/>
          <w:rtl/>
        </w:rPr>
        <w:t>ב"כ הנאשם ביקשה לראות זכויות רבות בנאשם, לנוכח התהליך הטיפולי המוצלח והממושך שהנאשם עבר ונסיבותיו האישיות הקשות. הסניגורית ביקשה לסטות ממתחמי הענישה מטעמי שיקום ולגזור מאסר מידתי שיתחשב בכל אלה. במסגרת הראיות לעונש שמעתי גם שתיים מאחיותיו של הנאשם וכן את אשתו שספרו על מידותיו הטובות של הנאשם, כיצד סעד את אביו ז"ל ואמו שתבדל לחיים ארוכים וטובים ועל השיפור הניכר שחל בחיי משפחתו לאחר שעבר טיפול מחד ועל הקשיים הרבים אותם חווה מאידך.</w:t>
      </w:r>
    </w:p>
    <w:p w14:paraId="67B3EE6D" w14:textId="77777777" w:rsidR="00B8081E" w:rsidRPr="004A65B1" w:rsidRDefault="00B8081E" w:rsidP="00B8081E">
      <w:pPr>
        <w:spacing w:after="160" w:line="360" w:lineRule="auto"/>
        <w:jc w:val="both"/>
        <w:rPr>
          <w:rFonts w:ascii="FrankRuehl" w:hAnsi="FrankRuehl" w:cs="FrankRuehl"/>
          <w:sz w:val="28"/>
          <w:szCs w:val="28"/>
          <w:rtl/>
        </w:rPr>
      </w:pPr>
      <w:r>
        <w:rPr>
          <w:rFonts w:ascii="FrankRuehl" w:hAnsi="FrankRuehl" w:cs="FrankRuehl" w:hint="cs"/>
          <w:sz w:val="28"/>
          <w:szCs w:val="28"/>
          <w:rtl/>
        </w:rPr>
        <w:t xml:space="preserve">שמעתי גם את הנאשם וניסיתי להזכיר לו, שבכל אחד מאיתנו נוגה אור של טוב, של אהבה ושל חמלה, כלפי עצמנו וכלפי הסובבים. נראה שהנאשם שכח לחמול לעצמו. </w:t>
      </w:r>
    </w:p>
    <w:p w14:paraId="7CCEBF5C" w14:textId="77777777" w:rsidR="00B8081E" w:rsidRPr="004A65B1" w:rsidRDefault="00B8081E" w:rsidP="00B8081E">
      <w:pPr>
        <w:spacing w:after="160" w:line="360" w:lineRule="auto"/>
        <w:jc w:val="both"/>
        <w:rPr>
          <w:rFonts w:ascii="FrankRuehl" w:hAnsi="FrankRuehl" w:cs="FrankRuehl"/>
          <w:b/>
          <w:bCs/>
          <w:sz w:val="28"/>
          <w:szCs w:val="28"/>
          <w:u w:val="single"/>
          <w:rtl/>
        </w:rPr>
      </w:pPr>
    </w:p>
    <w:p w14:paraId="22901E9D" w14:textId="77777777" w:rsidR="00B8081E" w:rsidRPr="004A65B1" w:rsidRDefault="00B8081E" w:rsidP="00B8081E">
      <w:pPr>
        <w:spacing w:after="160" w:line="360" w:lineRule="auto"/>
        <w:jc w:val="both"/>
        <w:rPr>
          <w:rFonts w:ascii="FrankRuehl" w:hAnsi="FrankRuehl" w:cs="FrankRuehl"/>
          <w:b/>
          <w:bCs/>
          <w:sz w:val="28"/>
          <w:szCs w:val="28"/>
          <w:u w:val="single"/>
          <w:rtl/>
        </w:rPr>
      </w:pPr>
      <w:r w:rsidRPr="004A65B1">
        <w:rPr>
          <w:rFonts w:ascii="FrankRuehl" w:hAnsi="FrankRuehl" w:cs="FrankRuehl"/>
          <w:b/>
          <w:bCs/>
          <w:sz w:val="28"/>
          <w:szCs w:val="28"/>
          <w:u w:val="single"/>
          <w:rtl/>
        </w:rPr>
        <w:t xml:space="preserve">קביעת מתחם הענישה </w:t>
      </w:r>
      <w:r w:rsidRPr="004A65B1">
        <w:rPr>
          <w:rFonts w:ascii="FrankRuehl" w:hAnsi="FrankRuehl" w:cs="FrankRuehl"/>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0DF33FFC" w14:textId="77777777" w:rsidR="00B8081E" w:rsidRPr="004A65B1" w:rsidRDefault="00B8081E" w:rsidP="00B8081E">
      <w:pPr>
        <w:spacing w:after="160" w:line="360" w:lineRule="auto"/>
        <w:jc w:val="both"/>
        <w:rPr>
          <w:rFonts w:ascii="FrankRuehl" w:hAnsi="FrankRuehl" w:cs="FrankRuehl"/>
          <w:b/>
          <w:bCs/>
          <w:sz w:val="28"/>
          <w:szCs w:val="28"/>
          <w:u w:val="single"/>
          <w:rtl/>
        </w:rPr>
      </w:pPr>
    </w:p>
    <w:p w14:paraId="47EA5CF2" w14:textId="77777777" w:rsidR="00B8081E" w:rsidRPr="004A65B1" w:rsidRDefault="00B8081E" w:rsidP="00B8081E">
      <w:pPr>
        <w:spacing w:after="160" w:line="360" w:lineRule="auto"/>
        <w:jc w:val="both"/>
        <w:rPr>
          <w:rFonts w:ascii="FrankRuehl" w:hAnsi="FrankRuehl" w:cs="FrankRuehl"/>
          <w:sz w:val="28"/>
          <w:szCs w:val="28"/>
          <w:rtl/>
        </w:rPr>
      </w:pPr>
      <w:r w:rsidRPr="004A65B1">
        <w:rPr>
          <w:rFonts w:ascii="FrankRuehl" w:hAnsi="FrankRuehl" w:cs="FrankRuehl"/>
          <w:b/>
          <w:bCs/>
          <w:sz w:val="28"/>
          <w:szCs w:val="28"/>
          <w:u w:val="single"/>
          <w:rtl/>
        </w:rPr>
        <w:t xml:space="preserve">אשר לערך המוגן </w:t>
      </w:r>
      <w:r w:rsidRPr="004A65B1">
        <w:rPr>
          <w:rFonts w:ascii="FrankRuehl" w:hAnsi="FrankRuehl" w:cs="FrankRuehl"/>
          <w:sz w:val="28"/>
          <w:szCs w:val="28"/>
          <w:rtl/>
        </w:rPr>
        <w:t>– העבירות אותן עבר הנאשם פוגעות בערך המוגן של  שמירה על שלום הציבור ובריאותו מפני נגע הסמים, שאינו מבחין בין "סמים קלים" ל"סמים קשים", שתוצאות השימוש בהם וההתמכרות אליהם קשות, ארוכות טווח ורחבות היקף וחורגות מעניינו של אדם אחד, ונוגעות לכלל החברה.</w:t>
      </w:r>
      <w:r w:rsidRPr="004A65B1">
        <w:rPr>
          <w:rFonts w:ascii="FrankRuehl" w:hAnsi="FrankRuehl" w:cs="FrankRuehl"/>
          <w:b/>
          <w:bCs/>
          <w:sz w:val="28"/>
          <w:szCs w:val="28"/>
          <w:rtl/>
        </w:rPr>
        <w:t xml:space="preserve"> </w:t>
      </w:r>
      <w:r w:rsidRPr="004A65B1">
        <w:rPr>
          <w:rFonts w:ascii="FrankRuehl" w:hAnsi="FrankRuehl" w:cs="FrankRuehl"/>
          <w:sz w:val="28"/>
          <w:szCs w:val="28"/>
          <w:rtl/>
        </w:rPr>
        <w:t xml:space="preserve">בנוגע לסחר בסמים,  ברע"פ 3343/07 </w:t>
      </w:r>
      <w:r w:rsidRPr="004A65B1">
        <w:rPr>
          <w:rFonts w:ascii="FrankRuehl" w:hAnsi="FrankRuehl" w:cs="FrankRuehl"/>
          <w:b/>
          <w:bCs/>
          <w:sz w:val="28"/>
          <w:szCs w:val="28"/>
          <w:u w:val="single"/>
          <w:rtl/>
        </w:rPr>
        <w:t>מכאוי</w:t>
      </w:r>
      <w:r w:rsidRPr="004A65B1">
        <w:rPr>
          <w:rFonts w:ascii="FrankRuehl" w:hAnsi="FrankRuehl" w:cs="FrankRuehl"/>
          <w:sz w:val="28"/>
          <w:szCs w:val="28"/>
          <w:rtl/>
        </w:rPr>
        <w:t xml:space="preserve"> נ' </w:t>
      </w:r>
      <w:r w:rsidRPr="004A65B1">
        <w:rPr>
          <w:rFonts w:ascii="FrankRuehl" w:hAnsi="FrankRuehl" w:cs="FrankRuehl"/>
          <w:b/>
          <w:bCs/>
          <w:sz w:val="28"/>
          <w:szCs w:val="28"/>
          <w:u w:val="single"/>
          <w:rtl/>
        </w:rPr>
        <w:t>מ"</w:t>
      </w:r>
      <w:r w:rsidRPr="004A65B1">
        <w:rPr>
          <w:rFonts w:ascii="FrankRuehl" w:hAnsi="FrankRuehl" w:cs="FrankRuehl"/>
          <w:sz w:val="28"/>
          <w:szCs w:val="28"/>
          <w:rtl/>
        </w:rPr>
        <w:t xml:space="preserve">י (מיום 26.7.2017) נאמר: " כאשר מדובר בסחר בסמים השיקול העיקרי אינו שיקומו של העבריין, אלא הצורך המובהק במתן עונש מרתיע בדמותם של מאסרים ממושכים בפועל. סוחרי הסמים גורמים להרס חייהם של רבים ובעיקר צעירים הנופלים למעגל של מסכנות וצער הגורמים אומללו למשפחותיהם". כמובן שסחר בכמויות גדולות של קוקאין, הנחשב לסם "קשה", פוגעת במידה רבה בערך המוגן. </w:t>
      </w:r>
      <w:r>
        <w:rPr>
          <w:rFonts w:ascii="FrankRuehl" w:hAnsi="FrankRuehl" w:cs="FrankRuehl" w:hint="cs"/>
          <w:sz w:val="28"/>
          <w:szCs w:val="28"/>
          <w:rtl/>
        </w:rPr>
        <w:t>כך גם סחר ב-</w:t>
      </w:r>
      <w:r>
        <w:rPr>
          <w:rFonts w:ascii="FrankRuehl" w:hAnsi="FrankRuehl" w:cs="FrankRuehl" w:hint="cs"/>
          <w:sz w:val="28"/>
          <w:szCs w:val="28"/>
        </w:rPr>
        <w:t>MDMA</w:t>
      </w:r>
      <w:r>
        <w:rPr>
          <w:rFonts w:ascii="FrankRuehl" w:hAnsi="FrankRuehl" w:cs="FrankRuehl" w:hint="cs"/>
          <w:sz w:val="28"/>
          <w:szCs w:val="28"/>
          <w:rtl/>
        </w:rPr>
        <w:t xml:space="preserve"> שגם הוא אינו סם קל אלא סם סינטטי שנזקו רב. </w:t>
      </w:r>
      <w:r w:rsidRPr="004A65B1">
        <w:rPr>
          <w:rFonts w:ascii="FrankRuehl" w:hAnsi="FrankRuehl" w:cs="FrankRuehl"/>
          <w:sz w:val="28"/>
          <w:szCs w:val="28"/>
          <w:rtl/>
        </w:rPr>
        <w:t>אשר לעבירות התעבורה, מדובר בעבירות מסכנות חיים, המסכנות הן את הנאשם והן את ציבור המשתמשים בדרך.</w:t>
      </w:r>
    </w:p>
    <w:p w14:paraId="04FC84D0" w14:textId="77777777" w:rsidR="00B8081E" w:rsidRPr="004A65B1" w:rsidRDefault="00B8081E" w:rsidP="00B8081E">
      <w:pPr>
        <w:spacing w:after="160" w:line="360" w:lineRule="auto"/>
        <w:jc w:val="both"/>
        <w:rPr>
          <w:rFonts w:ascii="FrankRuehl" w:hAnsi="FrankRuehl" w:cs="FrankRuehl"/>
          <w:sz w:val="28"/>
          <w:szCs w:val="28"/>
          <w:rtl/>
        </w:rPr>
      </w:pPr>
    </w:p>
    <w:p w14:paraId="667FCB52" w14:textId="77777777" w:rsidR="00B8081E" w:rsidRDefault="00B8081E" w:rsidP="00B8081E">
      <w:pPr>
        <w:spacing w:after="160" w:line="360" w:lineRule="auto"/>
        <w:jc w:val="both"/>
        <w:rPr>
          <w:rFonts w:ascii="FrankRuehl" w:hAnsi="FrankRuehl" w:cs="FrankRuehl"/>
          <w:sz w:val="28"/>
          <w:szCs w:val="28"/>
          <w:rtl/>
        </w:rPr>
      </w:pPr>
      <w:r w:rsidRPr="004A65B1">
        <w:rPr>
          <w:rFonts w:ascii="FrankRuehl" w:hAnsi="FrankRuehl" w:cs="FrankRuehl"/>
          <w:b/>
          <w:bCs/>
          <w:sz w:val="28"/>
          <w:szCs w:val="28"/>
          <w:u w:val="single"/>
          <w:rtl/>
        </w:rPr>
        <w:t xml:space="preserve">נסיבות הקשורות בביצוע העבירה, לפי </w:t>
      </w:r>
      <w:hyperlink r:id="rId38" w:history="1">
        <w:r w:rsidR="008D28E7" w:rsidRPr="008D28E7">
          <w:rPr>
            <w:rFonts w:ascii="FrankRuehl" w:hAnsi="FrankRuehl" w:cs="FrankRuehl"/>
            <w:b/>
            <w:bCs/>
            <w:color w:val="0000FF"/>
            <w:sz w:val="28"/>
            <w:szCs w:val="28"/>
            <w:u w:val="single"/>
            <w:rtl/>
          </w:rPr>
          <w:t>סעיף 40ט'</w:t>
        </w:r>
      </w:hyperlink>
      <w:r w:rsidRPr="004A65B1">
        <w:rPr>
          <w:rFonts w:ascii="FrankRuehl" w:hAnsi="FrankRuehl" w:cs="FrankRuehl"/>
          <w:b/>
          <w:bCs/>
          <w:sz w:val="28"/>
          <w:szCs w:val="28"/>
          <w:u w:val="single"/>
          <w:rtl/>
        </w:rPr>
        <w:t xml:space="preserve"> ל</w:t>
      </w:r>
      <w:hyperlink r:id="rId39" w:history="1">
        <w:r w:rsidR="004970D2" w:rsidRPr="004970D2">
          <w:rPr>
            <w:rFonts w:ascii="FrankRuehl" w:hAnsi="FrankRuehl" w:cs="FrankRuehl"/>
            <w:b/>
            <w:bCs/>
            <w:color w:val="0000FF"/>
            <w:sz w:val="28"/>
            <w:szCs w:val="28"/>
            <w:u w:val="single"/>
            <w:rtl/>
          </w:rPr>
          <w:t>חוק העונשין</w:t>
        </w:r>
      </w:hyperlink>
      <w:r w:rsidRPr="004A65B1">
        <w:rPr>
          <w:rFonts w:ascii="FrankRuehl" w:hAnsi="FrankRuehl" w:cs="FrankRuehl"/>
          <w:b/>
          <w:bCs/>
          <w:sz w:val="28"/>
          <w:szCs w:val="28"/>
          <w:rtl/>
        </w:rPr>
        <w:t xml:space="preserve"> – </w:t>
      </w:r>
      <w:r w:rsidRPr="004A65B1">
        <w:rPr>
          <w:rFonts w:ascii="FrankRuehl" w:hAnsi="FrankRuehl" w:cs="FrankRuehl"/>
          <w:sz w:val="28"/>
          <w:szCs w:val="28"/>
          <w:rtl/>
        </w:rPr>
        <w:t>בין הנסיבות הקשורות בביצוע העבירה יש לשקול את אלה, לעניין קביעת המתחם</w:t>
      </w:r>
      <w:r>
        <w:rPr>
          <w:rFonts w:ascii="FrankRuehl" w:hAnsi="FrankRuehl" w:cs="FrankRuehl" w:hint="cs"/>
          <w:sz w:val="28"/>
          <w:szCs w:val="28"/>
          <w:rtl/>
        </w:rPr>
        <w:t xml:space="preserve"> </w:t>
      </w:r>
      <w:r w:rsidRPr="00DE5C3E">
        <w:rPr>
          <w:rFonts w:ascii="FrankRuehl" w:hAnsi="FrankRuehl" w:cs="FrankRuehl" w:hint="cs"/>
          <w:b/>
          <w:bCs/>
          <w:sz w:val="28"/>
          <w:szCs w:val="28"/>
          <w:rtl/>
        </w:rPr>
        <w:t>בתיק הראשון</w:t>
      </w:r>
      <w:r w:rsidRPr="004A65B1">
        <w:rPr>
          <w:rFonts w:ascii="FrankRuehl" w:hAnsi="FrankRuehl" w:cs="FrankRuehl"/>
          <w:sz w:val="28"/>
          <w:szCs w:val="28"/>
          <w:rtl/>
        </w:rPr>
        <w:t xml:space="preserve">: מעשיו של הנאשם בתחום הסמים היו מתוכננים כעולה מעובדות כתב האישום; הנאשם ביצע את המעשים מתוך תכנון, הקפדה על פרטים, הגעה לעיר אחרת לצורך הספקת הסם ושימוש באחרים לשם כך; הואיל ומדובר במכירות לסוכן, בפועל לא נגרם נזק ממשי, אך על פוטנציאל הנזק מעבירות אלו עמדתי בחלק הנוגע לערכים המוגנים; הנאשם מכיר את הסוכן היכרות מוקדמת, וכבר נקבע כי היכרות חברית מוקדמת מקהה במקצת </w:t>
      </w:r>
      <w:r>
        <w:rPr>
          <w:rFonts w:ascii="FrankRuehl" w:hAnsi="FrankRuehl" w:cs="FrankRuehl" w:hint="cs"/>
          <w:sz w:val="28"/>
          <w:szCs w:val="28"/>
          <w:rtl/>
        </w:rPr>
        <w:t xml:space="preserve">את </w:t>
      </w:r>
      <w:r w:rsidRPr="004A65B1">
        <w:rPr>
          <w:rFonts w:ascii="FrankRuehl" w:hAnsi="FrankRuehl" w:cs="FrankRuehl"/>
          <w:sz w:val="28"/>
          <w:szCs w:val="28"/>
          <w:rtl/>
        </w:rPr>
        <w:t xml:space="preserve">חומרת המעשים [ר': </w:t>
      </w:r>
      <w:hyperlink r:id="rId40" w:history="1">
        <w:r w:rsidR="004970D2" w:rsidRPr="004970D2">
          <w:rPr>
            <w:rFonts w:ascii="FrankRuehl" w:hAnsi="FrankRuehl" w:cs="FrankRuehl"/>
            <w:color w:val="0000FF"/>
            <w:sz w:val="28"/>
            <w:szCs w:val="28"/>
            <w:u w:val="single"/>
            <w:rtl/>
          </w:rPr>
          <w:t>עפ"ג (י-ם) 65233-03-17</w:t>
        </w:r>
      </w:hyperlink>
      <w:r w:rsidRPr="004A65B1">
        <w:rPr>
          <w:rFonts w:ascii="FrankRuehl" w:hAnsi="FrankRuehl" w:cs="FrankRuehl"/>
          <w:sz w:val="28"/>
          <w:szCs w:val="28"/>
          <w:rtl/>
        </w:rPr>
        <w:t xml:space="preserve"> </w:t>
      </w:r>
      <w:r w:rsidRPr="004A65B1">
        <w:rPr>
          <w:rFonts w:ascii="FrankRuehl" w:hAnsi="FrankRuehl" w:cs="FrankRuehl"/>
          <w:b/>
          <w:bCs/>
          <w:sz w:val="28"/>
          <w:szCs w:val="28"/>
          <w:u w:val="single"/>
          <w:rtl/>
        </w:rPr>
        <w:t>רוזנברג</w:t>
      </w:r>
      <w:r w:rsidRPr="004A65B1">
        <w:rPr>
          <w:rFonts w:ascii="FrankRuehl" w:hAnsi="FrankRuehl" w:cs="FrankRuehl"/>
          <w:sz w:val="28"/>
          <w:szCs w:val="28"/>
          <w:rtl/>
        </w:rPr>
        <w:t xml:space="preserve">  נ' </w:t>
      </w:r>
      <w:r w:rsidRPr="004A65B1">
        <w:rPr>
          <w:rFonts w:ascii="FrankRuehl" w:hAnsi="FrankRuehl" w:cs="FrankRuehl"/>
          <w:b/>
          <w:bCs/>
          <w:sz w:val="28"/>
          <w:szCs w:val="28"/>
          <w:u w:val="single"/>
          <w:rtl/>
        </w:rPr>
        <w:t>מ"י</w:t>
      </w:r>
      <w:r w:rsidRPr="004A65B1">
        <w:rPr>
          <w:rFonts w:ascii="FrankRuehl" w:hAnsi="FrankRuehl" w:cs="FrankRuehl"/>
          <w:sz w:val="28"/>
          <w:szCs w:val="28"/>
          <w:rtl/>
        </w:rPr>
        <w:t xml:space="preserve"> (מיום 26.6.2017)]; הנאשם ביצע את המעשים למען בצע כסף, וגם אם המעשים הפליליים בוצעו על רקע משברים שחווה, אין בכך להקהות מחומרתם ומיכולתו של הנאשם להבין את הפסול שבהם. </w:t>
      </w:r>
    </w:p>
    <w:p w14:paraId="4FA7E5A0" w14:textId="77777777" w:rsidR="00B8081E" w:rsidRDefault="00B8081E" w:rsidP="00B8081E">
      <w:pPr>
        <w:spacing w:after="160" w:line="360" w:lineRule="auto"/>
        <w:jc w:val="both"/>
        <w:rPr>
          <w:rFonts w:ascii="FrankRuehl" w:hAnsi="FrankRuehl" w:cs="FrankRuehl"/>
          <w:sz w:val="28"/>
          <w:szCs w:val="28"/>
          <w:rtl/>
        </w:rPr>
      </w:pPr>
      <w:r w:rsidRPr="004A65B1">
        <w:rPr>
          <w:rFonts w:ascii="FrankRuehl" w:hAnsi="FrankRuehl" w:cs="FrankRuehl"/>
          <w:sz w:val="28"/>
          <w:szCs w:val="28"/>
          <w:rtl/>
        </w:rPr>
        <w:t xml:space="preserve">המעשים הנוגעים </w:t>
      </w:r>
      <w:r w:rsidRPr="00DE5C3E">
        <w:rPr>
          <w:rFonts w:ascii="FrankRuehl" w:hAnsi="FrankRuehl" w:cs="FrankRuehl"/>
          <w:b/>
          <w:bCs/>
          <w:sz w:val="28"/>
          <w:szCs w:val="28"/>
          <w:rtl/>
        </w:rPr>
        <w:t>לתיק השני</w:t>
      </w:r>
      <w:r w:rsidRPr="004A65B1">
        <w:rPr>
          <w:rFonts w:ascii="FrankRuehl" w:hAnsi="FrankRuehl" w:cs="FrankRuehl"/>
          <w:sz w:val="28"/>
          <w:szCs w:val="28"/>
          <w:rtl/>
        </w:rPr>
        <w:t xml:space="preserve"> בתחום התעבורה לא היו מתוכננים, אך בהחלט סיכנו את משתמשי הדרך. קיימת חומרה בכך שמדובר באדם בגיר שנוהג מדעת בזמן שהוא פסול מלנהוג. </w:t>
      </w:r>
    </w:p>
    <w:p w14:paraId="772106FC" w14:textId="77777777" w:rsidR="00B8081E" w:rsidRPr="004A65B1" w:rsidRDefault="00B8081E" w:rsidP="00B8081E">
      <w:pPr>
        <w:spacing w:after="160" w:line="360" w:lineRule="auto"/>
        <w:jc w:val="both"/>
        <w:rPr>
          <w:rFonts w:ascii="FrankRuehl" w:hAnsi="FrankRuehl" w:cs="FrankRuehl"/>
          <w:sz w:val="28"/>
          <w:szCs w:val="28"/>
          <w:rtl/>
        </w:rPr>
      </w:pPr>
      <w:r>
        <w:rPr>
          <w:rFonts w:ascii="FrankRuehl" w:hAnsi="FrankRuehl" w:cs="FrankRuehl" w:hint="cs"/>
          <w:sz w:val="28"/>
          <w:szCs w:val="28"/>
          <w:rtl/>
        </w:rPr>
        <w:t xml:space="preserve">המעשים הנוגעים </w:t>
      </w:r>
      <w:r w:rsidRPr="00DE5C3E">
        <w:rPr>
          <w:rFonts w:ascii="FrankRuehl" w:hAnsi="FrankRuehl" w:cs="FrankRuehl" w:hint="cs"/>
          <w:b/>
          <w:bCs/>
          <w:sz w:val="28"/>
          <w:szCs w:val="28"/>
          <w:rtl/>
        </w:rPr>
        <w:t>לתיק השלישי</w:t>
      </w:r>
      <w:r>
        <w:rPr>
          <w:rFonts w:ascii="FrankRuehl" w:hAnsi="FrankRuehl" w:cs="FrankRuehl" w:hint="cs"/>
          <w:sz w:val="28"/>
          <w:szCs w:val="28"/>
          <w:rtl/>
        </w:rPr>
        <w:t xml:space="preserve"> דומים במאפייניהם לתיק הראשון </w:t>
      </w:r>
      <w:r>
        <w:rPr>
          <w:rFonts w:ascii="FrankRuehl" w:hAnsi="FrankRuehl" w:cs="FrankRuehl"/>
          <w:sz w:val="28"/>
          <w:szCs w:val="28"/>
          <w:rtl/>
        </w:rPr>
        <w:t>–</w:t>
      </w:r>
      <w:r>
        <w:rPr>
          <w:rFonts w:ascii="FrankRuehl" w:hAnsi="FrankRuehl" w:cs="FrankRuehl" w:hint="cs"/>
          <w:sz w:val="28"/>
          <w:szCs w:val="28"/>
          <w:rtl/>
        </w:rPr>
        <w:t xml:space="preserve"> הם בוצעו מתוך תכנון, למטרת בצע כסף, כאשר מדובר בסחר בסם סינטטי מסוכן, הגם שהמכירה הייתה לסוכן שלנאשם היכרות ארוכת שנים עמו. הנאשם היה הרוח החיה בעסקאות כעולה מתיאור עובדות כתב האישום.</w:t>
      </w:r>
    </w:p>
    <w:p w14:paraId="4915E5E9" w14:textId="77777777" w:rsidR="00B8081E" w:rsidRPr="004A65B1" w:rsidRDefault="00B8081E" w:rsidP="00B8081E">
      <w:pPr>
        <w:spacing w:after="160" w:line="360" w:lineRule="auto"/>
        <w:jc w:val="both"/>
        <w:rPr>
          <w:rFonts w:ascii="FrankRuehl" w:hAnsi="FrankRuehl" w:cs="FrankRuehl"/>
          <w:sz w:val="28"/>
          <w:szCs w:val="28"/>
          <w:rtl/>
        </w:rPr>
      </w:pPr>
      <w:r w:rsidRPr="004A65B1">
        <w:rPr>
          <w:rFonts w:ascii="FrankRuehl" w:hAnsi="FrankRuehl" w:cs="FrankRuehl"/>
          <w:sz w:val="28"/>
          <w:szCs w:val="28"/>
          <w:rtl/>
        </w:rPr>
        <w:t xml:space="preserve"> </w:t>
      </w:r>
    </w:p>
    <w:p w14:paraId="6821F8EE" w14:textId="77777777" w:rsidR="00B8081E" w:rsidRDefault="00B8081E" w:rsidP="00B8081E">
      <w:pPr>
        <w:spacing w:after="160" w:line="360" w:lineRule="auto"/>
        <w:jc w:val="both"/>
        <w:rPr>
          <w:rFonts w:ascii="FrankRuehl" w:hAnsi="FrankRuehl" w:cs="FrankRuehl"/>
          <w:sz w:val="28"/>
          <w:szCs w:val="28"/>
          <w:rtl/>
        </w:rPr>
      </w:pPr>
      <w:r w:rsidRPr="004A65B1">
        <w:rPr>
          <w:rFonts w:ascii="FrankRuehl" w:hAnsi="FrankRuehl" w:cs="FrankRuehl"/>
          <w:b/>
          <w:bCs/>
          <w:sz w:val="28"/>
          <w:szCs w:val="28"/>
          <w:u w:val="single"/>
          <w:rtl/>
        </w:rPr>
        <w:t>מדיניות הענישה הנוהגת</w:t>
      </w:r>
      <w:r w:rsidRPr="004A65B1">
        <w:rPr>
          <w:rFonts w:ascii="FrankRuehl" w:hAnsi="FrankRuehl" w:cs="FrankRuehl"/>
          <w:b/>
          <w:bCs/>
          <w:sz w:val="28"/>
          <w:szCs w:val="28"/>
          <w:rtl/>
        </w:rPr>
        <w:t xml:space="preserve"> – </w:t>
      </w:r>
      <w:r w:rsidRPr="004A65B1">
        <w:rPr>
          <w:rFonts w:ascii="FrankRuehl" w:hAnsi="FrankRuehl" w:cs="FrankRuehl"/>
          <w:sz w:val="28"/>
          <w:szCs w:val="28"/>
          <w:rtl/>
        </w:rPr>
        <w:t>הכלל בעבירות סחר בסמים, בוודאי בקוקאין הוא מאסר ואף מאסר ממושך. כך למשל, ב</w:t>
      </w:r>
      <w:hyperlink r:id="rId41" w:history="1">
        <w:r w:rsidR="004970D2" w:rsidRPr="004970D2">
          <w:rPr>
            <w:rFonts w:ascii="FrankRuehl" w:hAnsi="FrankRuehl" w:cs="FrankRuehl"/>
            <w:color w:val="0000FF"/>
            <w:sz w:val="28"/>
            <w:szCs w:val="28"/>
            <w:u w:val="single"/>
            <w:rtl/>
          </w:rPr>
          <w:t>רע"פ 5353/17</w:t>
        </w:r>
      </w:hyperlink>
      <w:r w:rsidRPr="004A65B1">
        <w:rPr>
          <w:rFonts w:ascii="FrankRuehl" w:hAnsi="FrankRuehl" w:cs="FrankRuehl"/>
          <w:sz w:val="28"/>
          <w:szCs w:val="28"/>
          <w:rtl/>
        </w:rPr>
        <w:t xml:space="preserve"> </w:t>
      </w:r>
      <w:r w:rsidRPr="004A65B1">
        <w:rPr>
          <w:rFonts w:ascii="FrankRuehl" w:hAnsi="FrankRuehl" w:cs="FrankRuehl"/>
          <w:b/>
          <w:bCs/>
          <w:sz w:val="28"/>
          <w:szCs w:val="28"/>
          <w:u w:val="single"/>
          <w:rtl/>
        </w:rPr>
        <w:t>טפרה</w:t>
      </w:r>
      <w:r w:rsidRPr="004A65B1">
        <w:rPr>
          <w:rFonts w:ascii="FrankRuehl" w:hAnsi="FrankRuehl" w:cs="FrankRuehl"/>
          <w:sz w:val="28"/>
          <w:szCs w:val="28"/>
          <w:rtl/>
        </w:rPr>
        <w:t xml:space="preserve"> נ' </w:t>
      </w:r>
      <w:r w:rsidRPr="004A65B1">
        <w:rPr>
          <w:rFonts w:ascii="FrankRuehl" w:hAnsi="FrankRuehl" w:cs="FrankRuehl"/>
          <w:b/>
          <w:bCs/>
          <w:sz w:val="28"/>
          <w:szCs w:val="28"/>
          <w:u w:val="single"/>
          <w:rtl/>
        </w:rPr>
        <w:t>מ"י</w:t>
      </w:r>
      <w:r w:rsidRPr="004A65B1">
        <w:rPr>
          <w:rFonts w:ascii="FrankRuehl" w:hAnsi="FrankRuehl" w:cs="FrankRuehl"/>
          <w:sz w:val="28"/>
          <w:szCs w:val="28"/>
          <w:rtl/>
        </w:rPr>
        <w:t xml:space="preserve"> (מיום 18.9.2017) אושר מתחם ענישה שבין 4 ל-18 חודשים בנסיבות של מספר עסקאות בקוקאין במשקל מצטבר של 5.6 גרם, שם הוגש תסקיר חיובי ובסופו של דבר נגזרו 7 חודשי מאסר.  ברע"פ 7966/12 </w:t>
      </w:r>
      <w:r w:rsidRPr="004A65B1">
        <w:rPr>
          <w:rFonts w:ascii="FrankRuehl" w:hAnsi="FrankRuehl" w:cs="FrankRuehl"/>
          <w:b/>
          <w:bCs/>
          <w:sz w:val="28"/>
          <w:szCs w:val="28"/>
          <w:u w:val="single"/>
          <w:rtl/>
        </w:rPr>
        <w:t>יוסף</w:t>
      </w:r>
      <w:r w:rsidRPr="004A65B1">
        <w:rPr>
          <w:rFonts w:ascii="FrankRuehl" w:hAnsi="FrankRuehl" w:cs="FrankRuehl"/>
          <w:sz w:val="28"/>
          <w:szCs w:val="28"/>
          <w:rtl/>
        </w:rPr>
        <w:t xml:space="preserve"> נ' </w:t>
      </w:r>
      <w:r w:rsidRPr="004A65B1">
        <w:rPr>
          <w:rFonts w:ascii="FrankRuehl" w:hAnsi="FrankRuehl" w:cs="FrankRuehl"/>
          <w:b/>
          <w:bCs/>
          <w:sz w:val="28"/>
          <w:szCs w:val="28"/>
          <w:u w:val="single"/>
          <w:rtl/>
        </w:rPr>
        <w:t>מ"י</w:t>
      </w:r>
      <w:r w:rsidRPr="004A65B1">
        <w:rPr>
          <w:rFonts w:ascii="FrankRuehl" w:hAnsi="FrankRuehl" w:cs="FrankRuehl"/>
          <w:sz w:val="28"/>
          <w:szCs w:val="28"/>
          <w:rtl/>
        </w:rPr>
        <w:t xml:space="preserve"> (מיום 23.1.2013) אושר מתחם ענישה שבין 7 ל-18 חודשי מאסר בנסיבות של 4 מקרי סחר בחשיש ובקוקאין (גרמים בודדים), ונגזרו על הנאשם שם 21 חודשי מאסר.  </w:t>
      </w:r>
      <w:r>
        <w:rPr>
          <w:rFonts w:ascii="FrankRuehl" w:hAnsi="FrankRuehl" w:cs="FrankRuehl" w:hint="cs"/>
          <w:sz w:val="28"/>
          <w:szCs w:val="28"/>
          <w:rtl/>
        </w:rPr>
        <w:t>לטעמי למסקנות דומות ניתן להגיע גם ביחס לסחר ב-</w:t>
      </w:r>
      <w:r>
        <w:rPr>
          <w:rFonts w:ascii="FrankRuehl" w:hAnsi="FrankRuehl" w:cs="FrankRuehl" w:hint="cs"/>
          <w:sz w:val="28"/>
          <w:szCs w:val="28"/>
        </w:rPr>
        <w:t>MDMA</w:t>
      </w:r>
      <w:r>
        <w:rPr>
          <w:rFonts w:ascii="FrankRuehl" w:hAnsi="FrankRuehl" w:cs="FrankRuehl" w:hint="cs"/>
          <w:sz w:val="28"/>
          <w:szCs w:val="28"/>
          <w:rtl/>
        </w:rPr>
        <w:t>.</w:t>
      </w:r>
    </w:p>
    <w:p w14:paraId="7A57A1C4" w14:textId="77777777" w:rsidR="00B8081E" w:rsidRPr="004A65B1" w:rsidRDefault="00B8081E" w:rsidP="00B8081E">
      <w:pPr>
        <w:spacing w:after="160" w:line="360" w:lineRule="auto"/>
        <w:jc w:val="both"/>
        <w:rPr>
          <w:rFonts w:ascii="FrankRuehl" w:hAnsi="FrankRuehl" w:cs="FrankRuehl"/>
          <w:b/>
          <w:bCs/>
          <w:sz w:val="28"/>
          <w:szCs w:val="28"/>
          <w:u w:val="single"/>
          <w:rtl/>
        </w:rPr>
      </w:pPr>
      <w:r w:rsidRPr="004A65B1">
        <w:rPr>
          <w:rFonts w:ascii="FrankRuehl" w:hAnsi="FrankRuehl" w:cs="FrankRuehl"/>
          <w:sz w:val="28"/>
          <w:szCs w:val="28"/>
          <w:rtl/>
        </w:rPr>
        <w:t>אשר לעבירות התעבורה ובראשן נהיגה בפסילה, מפנה ל</w:t>
      </w:r>
      <w:hyperlink r:id="rId42" w:history="1">
        <w:r w:rsidR="004970D2" w:rsidRPr="004970D2">
          <w:rPr>
            <w:rFonts w:ascii="FrankRuehl" w:hAnsi="FrankRuehl" w:cs="FrankRuehl"/>
            <w:color w:val="0000FF"/>
            <w:sz w:val="28"/>
            <w:szCs w:val="28"/>
            <w:u w:val="single"/>
            <w:rtl/>
          </w:rPr>
          <w:t>רע"פ 8619/18</w:t>
        </w:r>
      </w:hyperlink>
      <w:r w:rsidRPr="004A65B1">
        <w:rPr>
          <w:rFonts w:ascii="FrankRuehl" w:hAnsi="FrankRuehl" w:cs="FrankRuehl"/>
          <w:sz w:val="28"/>
          <w:szCs w:val="28"/>
          <w:rtl/>
        </w:rPr>
        <w:t xml:space="preserve">  </w:t>
      </w:r>
      <w:r w:rsidRPr="004A65B1">
        <w:rPr>
          <w:rFonts w:ascii="FrankRuehl" w:hAnsi="FrankRuehl" w:cs="FrankRuehl"/>
          <w:b/>
          <w:bCs/>
          <w:sz w:val="28"/>
          <w:szCs w:val="28"/>
          <w:u w:val="single"/>
          <w:rtl/>
        </w:rPr>
        <w:t>חסן</w:t>
      </w:r>
      <w:r w:rsidRPr="004A65B1">
        <w:rPr>
          <w:rFonts w:ascii="FrankRuehl" w:hAnsi="FrankRuehl" w:cs="FrankRuehl"/>
          <w:sz w:val="28"/>
          <w:szCs w:val="28"/>
          <w:rtl/>
        </w:rPr>
        <w:t xml:space="preserve"> נ' </w:t>
      </w:r>
      <w:r w:rsidRPr="004A65B1">
        <w:rPr>
          <w:rFonts w:ascii="FrankRuehl" w:hAnsi="FrankRuehl" w:cs="FrankRuehl"/>
          <w:b/>
          <w:bCs/>
          <w:sz w:val="28"/>
          <w:szCs w:val="28"/>
          <w:u w:val="single"/>
          <w:rtl/>
        </w:rPr>
        <w:t>מ"י</w:t>
      </w:r>
      <w:r w:rsidRPr="004A65B1">
        <w:rPr>
          <w:rFonts w:ascii="FrankRuehl" w:hAnsi="FrankRuehl" w:cs="FrankRuehl"/>
          <w:sz w:val="28"/>
          <w:szCs w:val="28"/>
          <w:rtl/>
        </w:rPr>
        <w:t xml:space="preserve"> (מיום 13.12.2018) שם אושר מתחם ענישה שבין 7 ל-12 חודשים ועונש של 5 חודשי מאסר בפועל ממש. </w:t>
      </w:r>
    </w:p>
    <w:p w14:paraId="0EE5DE35" w14:textId="77777777" w:rsidR="00B8081E" w:rsidRPr="004A65B1" w:rsidRDefault="00B8081E" w:rsidP="00B8081E">
      <w:pPr>
        <w:spacing w:after="160" w:line="360" w:lineRule="auto"/>
        <w:jc w:val="both"/>
        <w:rPr>
          <w:rFonts w:ascii="FrankRuehl" w:hAnsi="FrankRuehl" w:cs="FrankRuehl"/>
          <w:b/>
          <w:bCs/>
          <w:sz w:val="28"/>
          <w:szCs w:val="28"/>
          <w:u w:val="single"/>
          <w:rtl/>
        </w:rPr>
      </w:pPr>
    </w:p>
    <w:p w14:paraId="238A506D" w14:textId="77777777" w:rsidR="00B8081E" w:rsidRPr="004A65B1" w:rsidRDefault="00B8081E" w:rsidP="00B8081E">
      <w:pPr>
        <w:spacing w:after="160" w:line="360" w:lineRule="auto"/>
        <w:jc w:val="both"/>
        <w:rPr>
          <w:rFonts w:ascii="FrankRuehl" w:hAnsi="FrankRuehl" w:cs="FrankRuehl"/>
          <w:sz w:val="28"/>
          <w:szCs w:val="28"/>
          <w:rtl/>
        </w:rPr>
      </w:pPr>
      <w:r w:rsidRPr="004A65B1">
        <w:rPr>
          <w:rFonts w:ascii="FrankRuehl" w:hAnsi="FrankRuehl" w:cs="FrankRuehl"/>
          <w:b/>
          <w:bCs/>
          <w:sz w:val="28"/>
          <w:szCs w:val="28"/>
          <w:u w:val="single"/>
          <w:rtl/>
        </w:rPr>
        <w:t>מתחם הענישה</w:t>
      </w:r>
      <w:r w:rsidRPr="004A65B1">
        <w:rPr>
          <w:rFonts w:ascii="FrankRuehl" w:hAnsi="FrankRuehl" w:cs="FrankRuehl"/>
          <w:sz w:val="28"/>
          <w:szCs w:val="28"/>
          <w:rtl/>
        </w:rPr>
        <w:t xml:space="preserve"> – לפיכך, מתחם הענישה ב</w:t>
      </w:r>
      <w:r w:rsidRPr="004A65B1">
        <w:rPr>
          <w:rFonts w:ascii="FrankRuehl" w:hAnsi="FrankRuehl" w:cs="FrankRuehl"/>
          <w:b/>
          <w:bCs/>
          <w:sz w:val="28"/>
          <w:szCs w:val="28"/>
          <w:rtl/>
        </w:rPr>
        <w:t>תיק הראשון</w:t>
      </w:r>
      <w:r w:rsidRPr="004A65B1">
        <w:rPr>
          <w:rFonts w:ascii="FrankRuehl" w:hAnsi="FrankRuehl" w:cs="FrankRuehl"/>
          <w:sz w:val="28"/>
          <w:szCs w:val="28"/>
          <w:rtl/>
        </w:rPr>
        <w:t xml:space="preserve"> צריך לעמוד על </w:t>
      </w:r>
      <w:r>
        <w:rPr>
          <w:rFonts w:ascii="FrankRuehl" w:hAnsi="FrankRuehl" w:cs="FrankRuehl" w:hint="cs"/>
          <w:sz w:val="28"/>
          <w:szCs w:val="28"/>
          <w:u w:val="single"/>
          <w:rtl/>
        </w:rPr>
        <w:t>10 חודש</w:t>
      </w:r>
      <w:r w:rsidRPr="004A65B1">
        <w:rPr>
          <w:rFonts w:ascii="FrankRuehl" w:hAnsi="FrankRuehl" w:cs="FrankRuehl"/>
          <w:sz w:val="28"/>
          <w:szCs w:val="28"/>
          <w:u w:val="single"/>
          <w:rtl/>
        </w:rPr>
        <w:t>י מאסר עד</w:t>
      </w:r>
      <w:r>
        <w:rPr>
          <w:rFonts w:ascii="FrankRuehl" w:hAnsi="FrankRuehl" w:cs="FrankRuehl" w:hint="cs"/>
          <w:sz w:val="28"/>
          <w:szCs w:val="28"/>
          <w:u w:val="single"/>
          <w:rtl/>
        </w:rPr>
        <w:t xml:space="preserve"> 24 </w:t>
      </w:r>
      <w:r w:rsidRPr="004A65B1">
        <w:rPr>
          <w:rFonts w:ascii="FrankRuehl" w:hAnsi="FrankRuehl" w:cs="FrankRuehl"/>
          <w:sz w:val="28"/>
          <w:szCs w:val="28"/>
          <w:u w:val="single"/>
          <w:rtl/>
        </w:rPr>
        <w:t xml:space="preserve"> חודשי מאסר וענישה נלווית </w:t>
      </w:r>
      <w:r w:rsidRPr="004A65B1">
        <w:rPr>
          <w:rFonts w:ascii="FrankRuehl" w:hAnsi="FrankRuehl" w:cs="FrankRuehl"/>
          <w:sz w:val="28"/>
          <w:szCs w:val="28"/>
          <w:rtl/>
        </w:rPr>
        <w:t>ביחס למכלול אישומי הסמים, שבוצעו אל מול אותו גורם בסמיכות זמנים יחסית ובאותה שיטה, כאשר ניתן להשוות 10 גרם קוקאין לפלטת חשיש מבחינת הנזק והחומרה. אני סבור כי חל בענייננו מבחן הקשר ההדוק שבין האישומים, ולכן אתייחס אליהם כאל אירוע אחד כאמור ב</w:t>
      </w:r>
      <w:hyperlink r:id="rId43" w:history="1">
        <w:r w:rsidR="004970D2" w:rsidRPr="004970D2">
          <w:rPr>
            <w:rFonts w:ascii="FrankRuehl" w:hAnsi="FrankRuehl" w:cs="FrankRuehl"/>
            <w:color w:val="0000FF"/>
            <w:sz w:val="28"/>
            <w:szCs w:val="28"/>
            <w:u w:val="single"/>
            <w:rtl/>
          </w:rPr>
          <w:t>ע"פ 4910/13</w:t>
        </w:r>
      </w:hyperlink>
      <w:r w:rsidRPr="004A65B1">
        <w:rPr>
          <w:rFonts w:ascii="FrankRuehl" w:hAnsi="FrankRuehl" w:cs="FrankRuehl"/>
          <w:sz w:val="28"/>
          <w:szCs w:val="28"/>
          <w:rtl/>
        </w:rPr>
        <w:t xml:space="preserve"> </w:t>
      </w:r>
      <w:r w:rsidRPr="004A65B1">
        <w:rPr>
          <w:rFonts w:ascii="FrankRuehl" w:hAnsi="FrankRuehl" w:cs="FrankRuehl"/>
          <w:b/>
          <w:bCs/>
          <w:sz w:val="28"/>
          <w:szCs w:val="28"/>
          <w:u w:val="single"/>
          <w:rtl/>
        </w:rPr>
        <w:t xml:space="preserve">בני ג'אבר </w:t>
      </w:r>
      <w:r w:rsidRPr="004A65B1">
        <w:rPr>
          <w:rFonts w:ascii="FrankRuehl" w:hAnsi="FrankRuehl" w:cs="FrankRuehl"/>
          <w:sz w:val="28"/>
          <w:szCs w:val="28"/>
          <w:rtl/>
        </w:rPr>
        <w:t xml:space="preserve"> נ' </w:t>
      </w:r>
      <w:r w:rsidRPr="004A65B1">
        <w:rPr>
          <w:rFonts w:ascii="FrankRuehl" w:hAnsi="FrankRuehl" w:cs="FrankRuehl"/>
          <w:b/>
          <w:bCs/>
          <w:sz w:val="28"/>
          <w:szCs w:val="28"/>
          <w:u w:val="single"/>
          <w:rtl/>
        </w:rPr>
        <w:t>מ"י</w:t>
      </w:r>
      <w:r w:rsidRPr="004A65B1">
        <w:rPr>
          <w:rFonts w:ascii="FrankRuehl" w:hAnsi="FrankRuehl" w:cs="FrankRuehl"/>
          <w:sz w:val="28"/>
          <w:szCs w:val="28"/>
          <w:rtl/>
        </w:rPr>
        <w:t xml:space="preserve"> (מיום 29.10.2014).</w:t>
      </w:r>
    </w:p>
    <w:p w14:paraId="0C3C2FC8" w14:textId="77777777" w:rsidR="00B8081E" w:rsidRDefault="00B8081E" w:rsidP="00B8081E">
      <w:pPr>
        <w:spacing w:after="160" w:line="360" w:lineRule="auto"/>
        <w:jc w:val="both"/>
        <w:rPr>
          <w:rFonts w:ascii="FrankRuehl" w:hAnsi="FrankRuehl" w:cs="FrankRuehl"/>
          <w:sz w:val="28"/>
          <w:szCs w:val="28"/>
          <w:rtl/>
        </w:rPr>
      </w:pPr>
      <w:r w:rsidRPr="004A65B1">
        <w:rPr>
          <w:rFonts w:ascii="FrankRuehl" w:hAnsi="FrankRuehl" w:cs="FrankRuehl"/>
          <w:b/>
          <w:bCs/>
          <w:sz w:val="28"/>
          <w:szCs w:val="28"/>
          <w:rtl/>
        </w:rPr>
        <w:t>אשר לתיק השני</w:t>
      </w:r>
      <w:r w:rsidRPr="004A65B1">
        <w:rPr>
          <w:rFonts w:ascii="FrankRuehl" w:hAnsi="FrankRuehl" w:cs="FrankRuehl"/>
          <w:sz w:val="28"/>
          <w:szCs w:val="28"/>
          <w:rtl/>
        </w:rPr>
        <w:t xml:space="preserve">, מתחם הענישה צריך לעמוד על </w:t>
      </w:r>
      <w:r w:rsidRPr="004A65B1">
        <w:rPr>
          <w:rFonts w:ascii="FrankRuehl" w:hAnsi="FrankRuehl" w:cs="FrankRuehl"/>
          <w:sz w:val="28"/>
          <w:szCs w:val="28"/>
          <w:u w:val="single"/>
          <w:rtl/>
        </w:rPr>
        <w:t>3 עד 10חודשי מאסר וכן על פסילת מינימום של רישיון הנהיגה או הזכות להחזיק בו או לקבלו למשך 24 חודשים</w:t>
      </w:r>
      <w:r w:rsidRPr="004A65B1">
        <w:rPr>
          <w:rFonts w:ascii="FrankRuehl" w:hAnsi="FrankRuehl" w:cs="FrankRuehl"/>
          <w:sz w:val="28"/>
          <w:szCs w:val="28"/>
          <w:rtl/>
        </w:rPr>
        <w:t xml:space="preserve">  [לפי </w:t>
      </w:r>
      <w:hyperlink r:id="rId44" w:history="1">
        <w:r w:rsidR="008D28E7" w:rsidRPr="008D28E7">
          <w:rPr>
            <w:rFonts w:ascii="FrankRuehl" w:hAnsi="FrankRuehl" w:cs="FrankRuehl"/>
            <w:color w:val="0000FF"/>
            <w:sz w:val="28"/>
            <w:szCs w:val="28"/>
            <w:u w:val="single"/>
            <w:rtl/>
          </w:rPr>
          <w:t>סעיף 40א(ב)(1)</w:t>
        </w:r>
      </w:hyperlink>
      <w:r w:rsidRPr="004A65B1">
        <w:rPr>
          <w:rFonts w:ascii="FrankRuehl" w:hAnsi="FrankRuehl" w:cs="FrankRuehl"/>
          <w:sz w:val="28"/>
          <w:szCs w:val="28"/>
          <w:rtl/>
        </w:rPr>
        <w:t xml:space="preserve"> ל</w:t>
      </w:r>
      <w:hyperlink r:id="rId45" w:history="1">
        <w:r w:rsidR="004970D2" w:rsidRPr="004970D2">
          <w:rPr>
            <w:rFonts w:ascii="FrankRuehl" w:hAnsi="FrankRuehl" w:cs="FrankRuehl"/>
            <w:color w:val="0000FF"/>
            <w:sz w:val="28"/>
            <w:szCs w:val="28"/>
            <w:u w:val="single"/>
            <w:rtl/>
          </w:rPr>
          <w:t>פקודת התעבורה</w:t>
        </w:r>
      </w:hyperlink>
      <w:r w:rsidRPr="004A65B1">
        <w:rPr>
          <w:rFonts w:ascii="FrankRuehl" w:hAnsi="FrankRuehl" w:cs="FrankRuehl"/>
          <w:sz w:val="28"/>
          <w:szCs w:val="28"/>
          <w:rtl/>
        </w:rPr>
        <w:t>].</w:t>
      </w:r>
    </w:p>
    <w:p w14:paraId="7C01B863" w14:textId="77777777" w:rsidR="00B8081E" w:rsidRPr="004A65B1" w:rsidRDefault="00B8081E" w:rsidP="00B8081E">
      <w:pPr>
        <w:spacing w:after="160" w:line="360" w:lineRule="auto"/>
        <w:jc w:val="both"/>
        <w:rPr>
          <w:rFonts w:ascii="FrankRuehl" w:hAnsi="FrankRuehl" w:cs="FrankRuehl"/>
          <w:sz w:val="28"/>
          <w:szCs w:val="28"/>
          <w:rtl/>
        </w:rPr>
      </w:pPr>
      <w:r w:rsidRPr="00DE5C3E">
        <w:rPr>
          <w:rFonts w:ascii="FrankRuehl" w:hAnsi="FrankRuehl" w:cs="FrankRuehl" w:hint="cs"/>
          <w:b/>
          <w:bCs/>
          <w:sz w:val="28"/>
          <w:szCs w:val="28"/>
          <w:rtl/>
        </w:rPr>
        <w:t>אשר לתיק השלישי</w:t>
      </w:r>
      <w:r>
        <w:rPr>
          <w:rFonts w:ascii="FrankRuehl" w:hAnsi="FrankRuehl" w:cs="FrankRuehl" w:hint="cs"/>
          <w:sz w:val="28"/>
          <w:szCs w:val="28"/>
          <w:rtl/>
        </w:rPr>
        <w:t xml:space="preserve">, יש לקבוע מתחם אחד שבין 7 ל-18 חודשי מאסר </w:t>
      </w:r>
      <w:r>
        <w:rPr>
          <w:rFonts w:ascii="FrankRuehl" w:hAnsi="FrankRuehl" w:cs="FrankRuehl"/>
          <w:sz w:val="28"/>
          <w:szCs w:val="28"/>
          <w:rtl/>
        </w:rPr>
        <w:t>–</w:t>
      </w:r>
      <w:r>
        <w:rPr>
          <w:rFonts w:ascii="FrankRuehl" w:hAnsi="FrankRuehl" w:cs="FrankRuehl" w:hint="cs"/>
          <w:sz w:val="28"/>
          <w:szCs w:val="28"/>
          <w:rtl/>
        </w:rPr>
        <w:t xml:space="preserve"> גם כאן מדובר באירוע אחד.</w:t>
      </w:r>
    </w:p>
    <w:p w14:paraId="690B98A9" w14:textId="77777777" w:rsidR="00B8081E" w:rsidRPr="004A65B1" w:rsidRDefault="00B8081E" w:rsidP="00B8081E">
      <w:pPr>
        <w:spacing w:after="160" w:line="360" w:lineRule="auto"/>
        <w:jc w:val="both"/>
        <w:rPr>
          <w:rFonts w:ascii="FrankRuehl" w:hAnsi="FrankRuehl" w:cs="FrankRuehl"/>
          <w:b/>
          <w:bCs/>
          <w:sz w:val="28"/>
          <w:szCs w:val="28"/>
          <w:rtl/>
        </w:rPr>
      </w:pPr>
    </w:p>
    <w:p w14:paraId="7CEC7E68" w14:textId="77777777" w:rsidR="00B8081E" w:rsidRPr="004A65B1" w:rsidRDefault="00B8081E" w:rsidP="00B8081E">
      <w:pPr>
        <w:spacing w:after="160" w:line="360" w:lineRule="auto"/>
        <w:jc w:val="both"/>
        <w:rPr>
          <w:rFonts w:ascii="FrankRuehl" w:hAnsi="FrankRuehl" w:cs="FrankRuehl"/>
          <w:sz w:val="28"/>
          <w:szCs w:val="28"/>
          <w:rtl/>
        </w:rPr>
      </w:pPr>
      <w:r w:rsidRPr="004A65B1">
        <w:rPr>
          <w:rFonts w:ascii="FrankRuehl" w:hAnsi="FrankRuehl" w:cs="FrankRuehl"/>
          <w:b/>
          <w:bCs/>
          <w:sz w:val="28"/>
          <w:szCs w:val="28"/>
          <w:u w:val="single"/>
          <w:rtl/>
        </w:rPr>
        <w:t xml:space="preserve">נסיבות שאינן קשורות בביצוע העבירה לפי </w:t>
      </w:r>
      <w:hyperlink r:id="rId46" w:history="1">
        <w:r w:rsidR="008D28E7" w:rsidRPr="008D28E7">
          <w:rPr>
            <w:rFonts w:ascii="FrankRuehl" w:hAnsi="FrankRuehl" w:cs="FrankRuehl"/>
            <w:b/>
            <w:bCs/>
            <w:color w:val="0000FF"/>
            <w:sz w:val="28"/>
            <w:szCs w:val="28"/>
            <w:u w:val="single"/>
            <w:rtl/>
          </w:rPr>
          <w:t>סעיף 40י"א</w:t>
        </w:r>
      </w:hyperlink>
      <w:r w:rsidRPr="004A65B1">
        <w:rPr>
          <w:rFonts w:ascii="FrankRuehl" w:hAnsi="FrankRuehl" w:cs="FrankRuehl"/>
          <w:b/>
          <w:bCs/>
          <w:sz w:val="28"/>
          <w:szCs w:val="28"/>
          <w:u w:val="single"/>
          <w:rtl/>
        </w:rPr>
        <w:t xml:space="preserve"> ל</w:t>
      </w:r>
      <w:hyperlink r:id="rId47" w:history="1">
        <w:r w:rsidR="004970D2" w:rsidRPr="004970D2">
          <w:rPr>
            <w:rFonts w:ascii="FrankRuehl" w:hAnsi="FrankRuehl" w:cs="FrankRuehl"/>
            <w:b/>
            <w:bCs/>
            <w:color w:val="0000FF"/>
            <w:sz w:val="28"/>
            <w:szCs w:val="28"/>
            <w:u w:val="single"/>
            <w:rtl/>
          </w:rPr>
          <w:t>חוק העונשין</w:t>
        </w:r>
      </w:hyperlink>
      <w:r w:rsidRPr="004A65B1">
        <w:rPr>
          <w:rFonts w:ascii="FrankRuehl" w:hAnsi="FrankRuehl" w:cs="FrankRuehl"/>
          <w:b/>
          <w:bCs/>
          <w:sz w:val="28"/>
          <w:szCs w:val="28"/>
          <w:rtl/>
        </w:rPr>
        <w:t xml:space="preserve"> – </w:t>
      </w:r>
      <w:r w:rsidRPr="004A65B1">
        <w:rPr>
          <w:rFonts w:ascii="FrankRuehl" w:hAnsi="FrankRuehl" w:cs="FrankRuehl"/>
          <w:sz w:val="28"/>
          <w:szCs w:val="28"/>
          <w:rtl/>
        </w:rPr>
        <w:t xml:space="preserve">ניתן  לתת משקל לנסיבות הבאות שאינן קשורות בביצוע העבירה, במסגרת גזירת העונש בתוך המתחם: הנאשם בעל עבר פלילי משמעותי בתחום הסמים. לצד זאת הוא עבר תהליכי שיקום </w:t>
      </w:r>
      <w:r>
        <w:rPr>
          <w:rFonts w:ascii="FrankRuehl" w:hAnsi="FrankRuehl" w:cs="FrankRuehl" w:hint="cs"/>
          <w:sz w:val="28"/>
          <w:szCs w:val="28"/>
          <w:rtl/>
        </w:rPr>
        <w:t xml:space="preserve">בשלוש </w:t>
      </w:r>
      <w:r w:rsidRPr="004A65B1">
        <w:rPr>
          <w:rFonts w:ascii="FrankRuehl" w:hAnsi="FrankRuehl" w:cs="FrankRuehl"/>
          <w:sz w:val="28"/>
          <w:szCs w:val="28"/>
          <w:rtl/>
        </w:rPr>
        <w:t>הזדמנויות</w:t>
      </w:r>
      <w:r>
        <w:rPr>
          <w:rFonts w:ascii="FrankRuehl" w:hAnsi="FrankRuehl" w:cs="FrankRuehl" w:hint="cs"/>
          <w:sz w:val="28"/>
          <w:szCs w:val="28"/>
          <w:rtl/>
        </w:rPr>
        <w:t xml:space="preserve"> (לרבות ההליכים שלפניי)</w:t>
      </w:r>
      <w:r w:rsidRPr="004A65B1">
        <w:rPr>
          <w:rFonts w:ascii="FrankRuehl" w:hAnsi="FrankRuehl" w:cs="FrankRuehl"/>
          <w:sz w:val="28"/>
          <w:szCs w:val="28"/>
          <w:rtl/>
        </w:rPr>
        <w:t xml:space="preserve">, אך אלו לא הצליחו, בטווח הארוך, להביא לשינוי </w:t>
      </w:r>
      <w:r>
        <w:rPr>
          <w:rFonts w:ascii="FrankRuehl" w:hAnsi="FrankRuehl" w:cs="FrankRuehl" w:hint="cs"/>
          <w:sz w:val="28"/>
          <w:szCs w:val="28"/>
          <w:rtl/>
        </w:rPr>
        <w:t>ב</w:t>
      </w:r>
      <w:r w:rsidRPr="004A65B1">
        <w:rPr>
          <w:rFonts w:ascii="FrankRuehl" w:hAnsi="FrankRuehl" w:cs="FrankRuehl"/>
          <w:sz w:val="28"/>
          <w:szCs w:val="28"/>
          <w:rtl/>
        </w:rPr>
        <w:t xml:space="preserve">מצבו, שכן שב וחזר לעולם הסמים בשל הנסיבות עליהן עמדתי קודם לכן; למרות שהנאשם ריצה מאסרים ארוכים, בהתחשב בכך שמאסרו האחרון הסתיים בשנת 2012, </w:t>
      </w:r>
      <w:r>
        <w:rPr>
          <w:rFonts w:ascii="FrankRuehl" w:hAnsi="FrankRuehl" w:cs="FrankRuehl" w:hint="cs"/>
          <w:sz w:val="28"/>
          <w:szCs w:val="28"/>
          <w:rtl/>
        </w:rPr>
        <w:t xml:space="preserve">הוא עשה ניסיון ממושך יחסית לשמור על יציבות תעסוקתית ולפרנס את משפחתו, כשהוא </w:t>
      </w:r>
      <w:r w:rsidRPr="004A65B1">
        <w:rPr>
          <w:rFonts w:ascii="FrankRuehl" w:hAnsi="FrankRuehl" w:cs="FrankRuehl"/>
          <w:sz w:val="28"/>
          <w:szCs w:val="28"/>
          <w:rtl/>
        </w:rPr>
        <w:t>אב לילדים קטנים</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אלא שלמרבה הצער, למרות התהליך המשמעותי שעבר ברטורנו, התפתה לשוב ולבצע עבירות בעוד ההליכים כאן תלויים ועומדים נגדו; </w:t>
      </w:r>
      <w:r w:rsidRPr="004A65B1">
        <w:rPr>
          <w:rFonts w:ascii="FrankRuehl" w:hAnsi="FrankRuehl" w:cs="FrankRuehl"/>
          <w:sz w:val="28"/>
          <w:szCs w:val="28"/>
          <w:rtl/>
        </w:rPr>
        <w:t>הנאשם נטל אחריות מלאה למעשי</w:t>
      </w:r>
      <w:r>
        <w:rPr>
          <w:rFonts w:ascii="FrankRuehl" w:hAnsi="FrankRuehl" w:cs="FrankRuehl" w:hint="cs"/>
          <w:sz w:val="28"/>
          <w:szCs w:val="28"/>
          <w:rtl/>
        </w:rPr>
        <w:t>ו; יש לקחת בחשבון את עובדת אבחונו לאחרונה יחסית, כסובל מבעיות נפשיות, המשפיעות על תפקודו.</w:t>
      </w:r>
    </w:p>
    <w:p w14:paraId="17BA5505" w14:textId="77777777" w:rsidR="00B8081E" w:rsidRPr="004A65B1" w:rsidRDefault="00B8081E" w:rsidP="00B8081E">
      <w:pPr>
        <w:spacing w:after="160" w:line="360" w:lineRule="auto"/>
        <w:jc w:val="both"/>
        <w:rPr>
          <w:rFonts w:ascii="FrankRuehl" w:hAnsi="FrankRuehl" w:cs="FrankRuehl"/>
          <w:b/>
          <w:bCs/>
          <w:sz w:val="28"/>
          <w:szCs w:val="28"/>
          <w:u w:val="single"/>
          <w:rtl/>
        </w:rPr>
      </w:pPr>
    </w:p>
    <w:p w14:paraId="625C5065" w14:textId="77777777" w:rsidR="00B8081E" w:rsidRDefault="00B8081E" w:rsidP="00B8081E">
      <w:pPr>
        <w:spacing w:after="160" w:line="360" w:lineRule="auto"/>
        <w:jc w:val="both"/>
        <w:rPr>
          <w:rFonts w:ascii="FrankRuehl" w:hAnsi="FrankRuehl" w:cs="FrankRuehl"/>
          <w:sz w:val="28"/>
          <w:szCs w:val="28"/>
          <w:rtl/>
        </w:rPr>
      </w:pPr>
      <w:r w:rsidRPr="004A65B1">
        <w:rPr>
          <w:rFonts w:ascii="FrankRuehl" w:hAnsi="FrankRuehl" w:cs="FrankRuehl"/>
          <w:b/>
          <w:bCs/>
          <w:sz w:val="28"/>
          <w:szCs w:val="28"/>
          <w:u w:val="single"/>
          <w:rtl/>
        </w:rPr>
        <w:t>המיקום במתחם</w:t>
      </w:r>
      <w:r w:rsidRPr="004A65B1">
        <w:rPr>
          <w:rFonts w:ascii="FrankRuehl" w:hAnsi="FrankRuehl" w:cs="FrankRuehl"/>
          <w:sz w:val="28"/>
          <w:szCs w:val="28"/>
          <w:rtl/>
        </w:rPr>
        <w:t xml:space="preserve"> – במכלול הנסיבות, כאשר המאמצים הטיפוליים לא צלחו</w:t>
      </w:r>
      <w:r>
        <w:rPr>
          <w:rFonts w:ascii="FrankRuehl" w:hAnsi="FrankRuehl" w:cs="FrankRuehl" w:hint="cs"/>
          <w:sz w:val="28"/>
          <w:szCs w:val="28"/>
          <w:rtl/>
        </w:rPr>
        <w:t xml:space="preserve"> למרבה הצער, יש למקם את הנאשם בשליש השלישי של המתחמים המשוקללים שקבעתי</w:t>
      </w:r>
      <w:r w:rsidRPr="004A65B1">
        <w:rPr>
          <w:rFonts w:ascii="FrankRuehl" w:hAnsi="FrankRuehl" w:cs="FrankRuehl"/>
          <w:sz w:val="28"/>
          <w:szCs w:val="28"/>
          <w:rtl/>
        </w:rPr>
        <w:t>.</w:t>
      </w:r>
      <w:r>
        <w:rPr>
          <w:rFonts w:ascii="FrankRuehl" w:hAnsi="FrankRuehl" w:cs="FrankRuehl" w:hint="cs"/>
          <w:sz w:val="28"/>
          <w:szCs w:val="28"/>
          <w:rtl/>
        </w:rPr>
        <w:t xml:space="preserve"> מצאתי כי יש בנאשם את הכוחות להשתקם  ואני מקווה שיוכל לשוב ולמצוא אותם.</w:t>
      </w:r>
    </w:p>
    <w:p w14:paraId="0A8519A5" w14:textId="77777777" w:rsidR="00B8081E" w:rsidRDefault="00B8081E" w:rsidP="00B8081E">
      <w:pPr>
        <w:spacing w:after="160" w:line="360" w:lineRule="auto"/>
        <w:jc w:val="both"/>
        <w:rPr>
          <w:rFonts w:ascii="FrankRuehl" w:hAnsi="FrankRuehl" w:cs="FrankRuehl"/>
          <w:sz w:val="28"/>
          <w:szCs w:val="28"/>
          <w:rtl/>
        </w:rPr>
      </w:pPr>
    </w:p>
    <w:p w14:paraId="2F359873" w14:textId="77777777" w:rsidR="00B8081E" w:rsidRDefault="00B8081E" w:rsidP="00B8081E">
      <w:pPr>
        <w:spacing w:after="160" w:line="360" w:lineRule="auto"/>
        <w:jc w:val="both"/>
        <w:rPr>
          <w:rFonts w:ascii="FrankRuehl" w:hAnsi="FrankRuehl" w:cs="FrankRuehl"/>
          <w:sz w:val="28"/>
          <w:szCs w:val="28"/>
          <w:rtl/>
        </w:rPr>
      </w:pPr>
      <w:r>
        <w:rPr>
          <w:rFonts w:ascii="FrankRuehl" w:hAnsi="FrankRuehl" w:cs="FrankRuehl" w:hint="cs"/>
          <w:sz w:val="28"/>
          <w:szCs w:val="28"/>
          <w:rtl/>
        </w:rPr>
        <w:t xml:space="preserve">אציין כי עיינתי בפסיקה שהוגשה לי משני צדי המתרס, ונדמה כי הפסיקה אליה הפניתי מדברת בעד עצמה. </w:t>
      </w:r>
    </w:p>
    <w:p w14:paraId="36262E86" w14:textId="77777777" w:rsidR="00B8081E" w:rsidRDefault="00B8081E" w:rsidP="00B8081E">
      <w:pPr>
        <w:spacing w:after="160" w:line="360" w:lineRule="auto"/>
        <w:jc w:val="both"/>
        <w:rPr>
          <w:rFonts w:ascii="FrankRuehl" w:hAnsi="FrankRuehl" w:cs="FrankRuehl"/>
          <w:sz w:val="28"/>
          <w:szCs w:val="28"/>
          <w:rtl/>
        </w:rPr>
      </w:pPr>
    </w:p>
    <w:p w14:paraId="71D38DBD" w14:textId="77777777" w:rsidR="00B8081E" w:rsidRPr="00CE06D6" w:rsidRDefault="00B8081E" w:rsidP="00B8081E">
      <w:pPr>
        <w:spacing w:after="160" w:line="360" w:lineRule="auto"/>
        <w:jc w:val="both"/>
        <w:rPr>
          <w:rFonts w:ascii="FrankRuehl" w:hAnsi="FrankRuehl" w:cs="FrankRuehl"/>
          <w:b/>
          <w:bCs/>
          <w:sz w:val="28"/>
          <w:szCs w:val="28"/>
          <w:u w:val="single"/>
        </w:rPr>
      </w:pPr>
      <w:r w:rsidRPr="00CE06D6">
        <w:rPr>
          <w:rFonts w:ascii="FrankRuehl" w:hAnsi="FrankRuehl" w:cs="FrankRuehl" w:hint="cs"/>
          <w:b/>
          <w:bCs/>
          <w:sz w:val="28"/>
          <w:szCs w:val="28"/>
          <w:u w:val="single"/>
          <w:rtl/>
        </w:rPr>
        <w:t>גזירת הדין</w:t>
      </w:r>
    </w:p>
    <w:p w14:paraId="5BF17B4D" w14:textId="77777777" w:rsidR="00B8081E" w:rsidRPr="004A65B1" w:rsidRDefault="00B8081E" w:rsidP="00B8081E">
      <w:pPr>
        <w:spacing w:after="160" w:line="360" w:lineRule="auto"/>
        <w:jc w:val="both"/>
        <w:rPr>
          <w:rFonts w:ascii="FrankRuehl" w:hAnsi="FrankRuehl" w:cs="FrankRuehl"/>
          <w:sz w:val="28"/>
          <w:szCs w:val="28"/>
          <w:rtl/>
        </w:rPr>
      </w:pPr>
      <w:r w:rsidRPr="004A65B1">
        <w:rPr>
          <w:rFonts w:ascii="FrankRuehl" w:hAnsi="FrankRuehl" w:cs="FrankRuehl"/>
          <w:sz w:val="28"/>
          <w:szCs w:val="28"/>
          <w:rtl/>
        </w:rPr>
        <w:t>לפיכך, אני מחליט לגזור על הנאשם את העונשים הבאים:</w:t>
      </w:r>
    </w:p>
    <w:p w14:paraId="5A142BB0" w14:textId="77777777" w:rsidR="00B8081E" w:rsidRPr="004A65B1" w:rsidRDefault="00B8081E" w:rsidP="00B8081E">
      <w:pPr>
        <w:numPr>
          <w:ilvl w:val="0"/>
          <w:numId w:val="1"/>
        </w:numPr>
        <w:spacing w:after="160" w:line="360" w:lineRule="auto"/>
        <w:contextualSpacing/>
        <w:jc w:val="both"/>
        <w:rPr>
          <w:rFonts w:ascii="FrankRuehl" w:hAnsi="FrankRuehl" w:cs="FrankRuehl"/>
          <w:sz w:val="28"/>
          <w:szCs w:val="28"/>
        </w:rPr>
      </w:pPr>
      <w:r>
        <w:rPr>
          <w:rFonts w:ascii="FrankRuehl" w:hAnsi="FrankRuehl" w:cs="FrankRuehl" w:hint="cs"/>
          <w:sz w:val="28"/>
          <w:szCs w:val="28"/>
          <w:rtl/>
        </w:rPr>
        <w:t>20</w:t>
      </w:r>
      <w:r w:rsidRPr="004A65B1">
        <w:rPr>
          <w:rFonts w:ascii="FrankRuehl" w:hAnsi="FrankRuehl" w:cs="FrankRuehl"/>
          <w:sz w:val="28"/>
          <w:szCs w:val="28"/>
          <w:rtl/>
        </w:rPr>
        <w:t xml:space="preserve"> חודשי מאסר בפועל בניכוי ימי מעצרו בתיק זה ובתיק המעצר הנלווה לו בלבד, לפי חישוב שב"ס;</w:t>
      </w:r>
    </w:p>
    <w:p w14:paraId="52DCDC4C" w14:textId="77777777" w:rsidR="00B8081E" w:rsidRPr="004A65B1" w:rsidRDefault="00B8081E" w:rsidP="00B8081E">
      <w:pPr>
        <w:numPr>
          <w:ilvl w:val="0"/>
          <w:numId w:val="1"/>
        </w:numPr>
        <w:spacing w:after="160" w:line="360" w:lineRule="auto"/>
        <w:contextualSpacing/>
        <w:jc w:val="both"/>
        <w:rPr>
          <w:rFonts w:ascii="FrankRuehl" w:hAnsi="FrankRuehl" w:cs="FrankRuehl"/>
          <w:sz w:val="28"/>
          <w:szCs w:val="28"/>
          <w:rtl/>
        </w:rPr>
      </w:pPr>
      <w:r w:rsidRPr="004A65B1">
        <w:rPr>
          <w:rFonts w:ascii="FrankRuehl" w:hAnsi="FrankRuehl" w:cs="FrankRuehl"/>
          <w:sz w:val="28"/>
          <w:szCs w:val="28"/>
          <w:rtl/>
        </w:rPr>
        <w:t>שנתיים פסילה בפועל מלהחזיק ברישיון נהיגה או מלקבל רישיון נהיגה, מיום שחרורו של הנאשם</w:t>
      </w:r>
      <w:r>
        <w:rPr>
          <w:rFonts w:ascii="FrankRuehl" w:hAnsi="FrankRuehl" w:cs="FrankRuehl" w:hint="cs"/>
          <w:sz w:val="28"/>
          <w:szCs w:val="28"/>
          <w:rtl/>
        </w:rPr>
        <w:t xml:space="preserve"> ובנוסף לכל פסילה קיימת לפי המאוחר</w:t>
      </w:r>
      <w:r w:rsidRPr="004A65B1">
        <w:rPr>
          <w:rFonts w:ascii="FrankRuehl" w:hAnsi="FrankRuehl" w:cs="FrankRuehl"/>
          <w:sz w:val="28"/>
          <w:szCs w:val="28"/>
          <w:rtl/>
        </w:rPr>
        <w:t>. אין צורך בהפקדת רישיון, ותאריך יום מתן גזר הדין ייחשב כמועד ההפקדה;</w:t>
      </w:r>
    </w:p>
    <w:p w14:paraId="7DFC35E2" w14:textId="77777777" w:rsidR="00B8081E" w:rsidRPr="004A65B1" w:rsidRDefault="00B8081E" w:rsidP="00B8081E">
      <w:pPr>
        <w:numPr>
          <w:ilvl w:val="0"/>
          <w:numId w:val="1"/>
        </w:numPr>
        <w:spacing w:after="160" w:line="360" w:lineRule="auto"/>
        <w:contextualSpacing/>
        <w:jc w:val="both"/>
        <w:rPr>
          <w:rFonts w:ascii="FrankRuehl" w:hAnsi="FrankRuehl" w:cs="FrankRuehl"/>
          <w:sz w:val="28"/>
          <w:szCs w:val="28"/>
        </w:rPr>
      </w:pPr>
      <w:r w:rsidRPr="004A65B1">
        <w:rPr>
          <w:rFonts w:ascii="FrankRuehl" w:hAnsi="FrankRuehl" w:cs="FrankRuehl"/>
          <w:sz w:val="28"/>
          <w:szCs w:val="28"/>
          <w:rtl/>
        </w:rPr>
        <w:t>10 חודשי מאסר, שלא ירוצו אלא אם יעבור הנאשם כל עבירה לפי פקודת הסמים למעט שימוש עצמי וכלים לשימוש עצמי, וזאת בתוך שלוש שנים מיום שחרורו;</w:t>
      </w:r>
    </w:p>
    <w:p w14:paraId="4FAC1CFB" w14:textId="77777777" w:rsidR="00B8081E" w:rsidRPr="004A65B1" w:rsidRDefault="00B8081E" w:rsidP="00B8081E">
      <w:pPr>
        <w:numPr>
          <w:ilvl w:val="0"/>
          <w:numId w:val="1"/>
        </w:numPr>
        <w:spacing w:after="160" w:line="360" w:lineRule="auto"/>
        <w:contextualSpacing/>
        <w:jc w:val="both"/>
        <w:rPr>
          <w:rFonts w:ascii="FrankRuehl" w:hAnsi="FrankRuehl" w:cs="FrankRuehl"/>
          <w:sz w:val="28"/>
          <w:szCs w:val="28"/>
        </w:rPr>
      </w:pPr>
      <w:r w:rsidRPr="004A65B1">
        <w:rPr>
          <w:rFonts w:ascii="FrankRuehl" w:hAnsi="FrankRuehl" w:cs="FrankRuehl"/>
          <w:sz w:val="28"/>
          <w:szCs w:val="28"/>
          <w:rtl/>
        </w:rPr>
        <w:t xml:space="preserve">4 חודשי מאסר, שלא ירוצו אלא אם יעבור הנאשם עבירות של שימוש עצמי בסמים או החזקת כלים לשימוש עצמי, או עבירות של נהיגה בפסילה, נהיגה ללא </w:t>
      </w:r>
      <w:r>
        <w:rPr>
          <w:rFonts w:ascii="FrankRuehl" w:hAnsi="FrankRuehl" w:cs="FrankRuehl"/>
          <w:sz w:val="28"/>
          <w:szCs w:val="28"/>
          <w:rtl/>
        </w:rPr>
        <w:t xml:space="preserve">רישיון ונהיגה ללא ביטוח בתוקף, </w:t>
      </w:r>
      <w:r w:rsidRPr="004A65B1">
        <w:rPr>
          <w:rFonts w:ascii="FrankRuehl" w:hAnsi="FrankRuehl" w:cs="FrankRuehl"/>
          <w:sz w:val="28"/>
          <w:szCs w:val="28"/>
          <w:rtl/>
        </w:rPr>
        <w:t xml:space="preserve"> וזאת בתוך שלוש שנים מיום שחרורו;</w:t>
      </w:r>
    </w:p>
    <w:p w14:paraId="18E0A905" w14:textId="77777777" w:rsidR="00B8081E" w:rsidRPr="004A65B1" w:rsidRDefault="00B8081E" w:rsidP="00B8081E">
      <w:pPr>
        <w:numPr>
          <w:ilvl w:val="0"/>
          <w:numId w:val="1"/>
        </w:numPr>
        <w:spacing w:after="160" w:line="360" w:lineRule="auto"/>
        <w:contextualSpacing/>
        <w:jc w:val="both"/>
        <w:rPr>
          <w:rFonts w:ascii="FrankRuehl" w:hAnsi="FrankRuehl" w:cs="FrankRuehl"/>
          <w:sz w:val="28"/>
          <w:szCs w:val="28"/>
        </w:rPr>
      </w:pPr>
      <w:r w:rsidRPr="004A65B1">
        <w:rPr>
          <w:rFonts w:ascii="FrankRuehl" w:hAnsi="FrankRuehl" w:cs="FrankRuehl"/>
          <w:sz w:val="28"/>
          <w:szCs w:val="28"/>
          <w:rtl/>
        </w:rPr>
        <w:t>6 חודשי פסילה מלהחזיק ברישיון נהיגה או מלקבל רישיון נהיגה למשך שנתיים מיום שחרורו של הנאשם, שלא ייכנס לתוקף אלא אם יעבור הנאשם בתקופה האמורה את עבירות התנאי בסעיפים ב' ו-ג';</w:t>
      </w:r>
    </w:p>
    <w:p w14:paraId="7DC0E481" w14:textId="77777777" w:rsidR="00B8081E" w:rsidRPr="004A65B1" w:rsidRDefault="00B8081E" w:rsidP="00B8081E">
      <w:pPr>
        <w:numPr>
          <w:ilvl w:val="0"/>
          <w:numId w:val="1"/>
        </w:numPr>
        <w:spacing w:after="160" w:line="360" w:lineRule="auto"/>
        <w:contextualSpacing/>
        <w:jc w:val="both"/>
        <w:rPr>
          <w:rFonts w:ascii="FrankRuehl" w:hAnsi="FrankRuehl" w:cs="FrankRuehl"/>
          <w:sz w:val="28"/>
          <w:szCs w:val="28"/>
          <w:rtl/>
        </w:rPr>
      </w:pPr>
      <w:r w:rsidRPr="004A65B1">
        <w:rPr>
          <w:rFonts w:ascii="FrankRuehl" w:hAnsi="FrankRuehl" w:cs="FrankRuehl"/>
          <w:sz w:val="28"/>
          <w:szCs w:val="28"/>
          <w:rtl/>
        </w:rPr>
        <w:t>קנס בסך 5,000 ₪ אשר יקוזז מהפיקדון בתיק המ"ת 13801-09-17. ככל שהדבר אינו ניתן, הקנס ישולם ב-10 תשלומים שווים ורצופים ב</w:t>
      </w:r>
      <w:r>
        <w:rPr>
          <w:rFonts w:ascii="FrankRuehl" w:hAnsi="FrankRuehl" w:cs="FrankRuehl"/>
          <w:sz w:val="28"/>
          <w:szCs w:val="28"/>
          <w:rtl/>
        </w:rPr>
        <w:t>-</w:t>
      </w:r>
      <w:r>
        <w:rPr>
          <w:rFonts w:ascii="FrankRuehl" w:hAnsi="FrankRuehl" w:cs="FrankRuehl" w:hint="cs"/>
          <w:sz w:val="28"/>
          <w:szCs w:val="28"/>
          <w:rtl/>
        </w:rPr>
        <w:t>1</w:t>
      </w:r>
      <w:r w:rsidRPr="004A65B1">
        <w:rPr>
          <w:rFonts w:ascii="FrankRuehl" w:hAnsi="FrankRuehl" w:cs="FrankRuehl"/>
          <w:sz w:val="28"/>
          <w:szCs w:val="28"/>
          <w:rtl/>
        </w:rPr>
        <w:t xml:space="preserve"> בכל חודש החל מיום 1.</w:t>
      </w:r>
      <w:r>
        <w:rPr>
          <w:rFonts w:ascii="FrankRuehl" w:hAnsi="FrankRuehl" w:cs="FrankRuehl" w:hint="cs"/>
          <w:sz w:val="28"/>
          <w:szCs w:val="28"/>
          <w:rtl/>
        </w:rPr>
        <w:t>1</w:t>
      </w:r>
      <w:r w:rsidRPr="004A65B1">
        <w:rPr>
          <w:rFonts w:ascii="FrankRuehl" w:hAnsi="FrankRuehl" w:cs="FrankRuehl"/>
          <w:sz w:val="28"/>
          <w:szCs w:val="28"/>
          <w:rtl/>
        </w:rPr>
        <w:t>.</w:t>
      </w:r>
      <w:r>
        <w:rPr>
          <w:rFonts w:ascii="FrankRuehl" w:hAnsi="FrankRuehl" w:cs="FrankRuehl" w:hint="cs"/>
          <w:sz w:val="28"/>
          <w:szCs w:val="28"/>
          <w:rtl/>
        </w:rPr>
        <w:t>2021</w:t>
      </w:r>
      <w:r w:rsidRPr="004A65B1">
        <w:rPr>
          <w:rFonts w:ascii="FrankRuehl" w:hAnsi="FrankRuehl" w:cs="FrankRuehl"/>
          <w:sz w:val="28"/>
          <w:szCs w:val="28"/>
          <w:rtl/>
        </w:rPr>
        <w:t>. לא ישולם תשלום במועד או לא ישולם כלל, יעמוד הקנס לפירעון מיידי. מובהר, כי הוראתי לגבי הקיזוז תגבר על כל עיקול ככל שקיים.</w:t>
      </w:r>
    </w:p>
    <w:p w14:paraId="6C0B11D6" w14:textId="77777777" w:rsidR="00B8081E" w:rsidRPr="004A65B1" w:rsidRDefault="00B8081E" w:rsidP="00B8081E">
      <w:pPr>
        <w:rPr>
          <w:rFonts w:ascii="FrankRuehl" w:hAnsi="FrankRuehl" w:cs="FrankRuehl"/>
          <w:sz w:val="28"/>
          <w:szCs w:val="28"/>
          <w:rtl/>
        </w:rPr>
      </w:pPr>
    </w:p>
    <w:p w14:paraId="7FB82B03" w14:textId="77777777" w:rsidR="00B8081E" w:rsidRDefault="00B8081E" w:rsidP="00B8081E">
      <w:pPr>
        <w:rPr>
          <w:rFonts w:ascii="FrankRuehl" w:hAnsi="FrankRuehl" w:cs="FrankRuehl"/>
          <w:sz w:val="28"/>
          <w:szCs w:val="28"/>
          <w:rtl/>
        </w:rPr>
      </w:pPr>
      <w:r>
        <w:rPr>
          <w:rFonts w:ascii="FrankRuehl" w:hAnsi="FrankRuehl" w:cs="FrankRuehl" w:hint="cs"/>
          <w:sz w:val="28"/>
          <w:szCs w:val="28"/>
          <w:rtl/>
        </w:rPr>
        <w:t xml:space="preserve">מכריז על הנאשם "סוחר סמים", מורה </w:t>
      </w:r>
      <w:r>
        <w:rPr>
          <w:rFonts w:ascii="FrankRuehl" w:hAnsi="FrankRuehl" w:cs="FrankRuehl"/>
          <w:sz w:val="28"/>
          <w:szCs w:val="28"/>
          <w:rtl/>
        </w:rPr>
        <w:t>על השמדת הסמים</w:t>
      </w:r>
      <w:r>
        <w:rPr>
          <w:rFonts w:ascii="FrankRuehl" w:hAnsi="FrankRuehl" w:cs="FrankRuehl" w:hint="cs"/>
          <w:sz w:val="28"/>
          <w:szCs w:val="28"/>
          <w:rtl/>
        </w:rPr>
        <w:t xml:space="preserve"> ועל חילוט הכספים שנתפסו.</w:t>
      </w:r>
    </w:p>
    <w:p w14:paraId="5756FE0F" w14:textId="77777777" w:rsidR="00B8081E" w:rsidRDefault="00B8081E" w:rsidP="00B8081E">
      <w:pPr>
        <w:rPr>
          <w:rFonts w:ascii="FrankRuehl" w:hAnsi="FrankRuehl" w:cs="FrankRuehl"/>
          <w:sz w:val="28"/>
          <w:szCs w:val="28"/>
          <w:rtl/>
        </w:rPr>
      </w:pPr>
    </w:p>
    <w:p w14:paraId="3F5D7BE9" w14:textId="77777777" w:rsidR="00B8081E" w:rsidRPr="004A65B1" w:rsidRDefault="00B8081E" w:rsidP="00B8081E">
      <w:pPr>
        <w:rPr>
          <w:rFonts w:ascii="FrankRuehl" w:hAnsi="FrankRuehl" w:cs="FrankRuehl"/>
          <w:sz w:val="28"/>
          <w:szCs w:val="28"/>
          <w:rtl/>
        </w:rPr>
      </w:pPr>
      <w:r>
        <w:rPr>
          <w:rFonts w:ascii="FrankRuehl" w:hAnsi="FrankRuehl" w:cs="FrankRuehl" w:hint="cs"/>
          <w:sz w:val="28"/>
          <w:szCs w:val="28"/>
          <w:rtl/>
        </w:rPr>
        <w:t>מורה להשיב לנאשם טלפונים, טאבלטים ומכשירים אלקטרוניים אחרים שנתפסו במסגרת התיק השלישי.</w:t>
      </w:r>
    </w:p>
    <w:p w14:paraId="00677A28" w14:textId="77777777" w:rsidR="00B8081E" w:rsidRPr="004A65B1" w:rsidRDefault="00B8081E" w:rsidP="00B8081E">
      <w:pPr>
        <w:rPr>
          <w:rFonts w:ascii="FrankRuehl" w:hAnsi="FrankRuehl" w:cs="FrankRuehl"/>
          <w:sz w:val="28"/>
          <w:szCs w:val="28"/>
          <w:rtl/>
        </w:rPr>
      </w:pPr>
    </w:p>
    <w:p w14:paraId="1CC60236" w14:textId="77777777" w:rsidR="00B8081E" w:rsidRPr="004A65B1" w:rsidRDefault="00B8081E" w:rsidP="00B8081E">
      <w:pPr>
        <w:rPr>
          <w:rFonts w:ascii="FrankRuehl" w:hAnsi="FrankRuehl" w:cs="FrankRuehl"/>
          <w:sz w:val="28"/>
          <w:szCs w:val="28"/>
          <w:rtl/>
        </w:rPr>
      </w:pPr>
    </w:p>
    <w:p w14:paraId="734F9580" w14:textId="77777777" w:rsidR="00B8081E" w:rsidRPr="004A65B1" w:rsidRDefault="00B8081E" w:rsidP="00B8081E">
      <w:pPr>
        <w:rPr>
          <w:rFonts w:ascii="FrankRuehl" w:hAnsi="FrankRuehl" w:cs="FrankRuehl"/>
          <w:sz w:val="28"/>
          <w:szCs w:val="28"/>
        </w:rPr>
      </w:pPr>
      <w:r w:rsidRPr="004A65B1">
        <w:rPr>
          <w:rFonts w:ascii="FrankRuehl" w:hAnsi="FrankRuehl" w:cs="FrankRuehl"/>
          <w:sz w:val="28"/>
          <w:szCs w:val="28"/>
          <w:rtl/>
        </w:rPr>
        <w:t>זכות ערעור כחוק לבית המשפט המחוזי בירושלים בתוך 45 יום מהיום.</w:t>
      </w:r>
    </w:p>
    <w:p w14:paraId="4F274D74" w14:textId="77777777" w:rsidR="00B8081E" w:rsidRPr="004970D2" w:rsidRDefault="004970D2" w:rsidP="00B8081E">
      <w:pPr>
        <w:rPr>
          <w:rFonts w:ascii="FrankRuehl" w:hAnsi="FrankRuehl" w:cs="FrankRuehl"/>
          <w:color w:val="FFFFFF"/>
          <w:sz w:val="2"/>
          <w:szCs w:val="2"/>
          <w:rtl/>
        </w:rPr>
      </w:pPr>
      <w:r w:rsidRPr="004970D2">
        <w:rPr>
          <w:rFonts w:ascii="FrankRuehl" w:hAnsi="FrankRuehl" w:cs="FrankRuehl"/>
          <w:color w:val="FFFFFF"/>
          <w:sz w:val="2"/>
          <w:szCs w:val="2"/>
          <w:rtl/>
        </w:rPr>
        <w:t>5129371</w:t>
      </w:r>
    </w:p>
    <w:p w14:paraId="31D34205" w14:textId="77777777" w:rsidR="00B8081E" w:rsidRPr="004A65B1" w:rsidRDefault="004970D2" w:rsidP="00B8081E">
      <w:pPr>
        <w:rPr>
          <w:rFonts w:ascii="FrankRuehl" w:hAnsi="FrankRuehl" w:cs="FrankRuehl"/>
          <w:sz w:val="28"/>
          <w:szCs w:val="28"/>
          <w:rtl/>
        </w:rPr>
      </w:pPr>
      <w:r w:rsidRPr="004970D2">
        <w:rPr>
          <w:rFonts w:ascii="FrankRuehl" w:hAnsi="FrankRuehl" w:cs="FrankRuehl"/>
          <w:color w:val="FFFFFF"/>
          <w:sz w:val="2"/>
          <w:szCs w:val="2"/>
          <w:rtl/>
        </w:rPr>
        <w:t>54678313</w:t>
      </w:r>
      <w:r w:rsidR="00B8081E">
        <w:rPr>
          <w:rFonts w:ascii="FrankRuehl" w:hAnsi="FrankRuehl" w:cs="FrankRuehl" w:hint="cs"/>
          <w:sz w:val="28"/>
          <w:szCs w:val="28"/>
          <w:rtl/>
        </w:rPr>
        <w:t>יש לשלוח לשירות המבחן ולממונה על עבודות השירות.</w:t>
      </w:r>
    </w:p>
    <w:p w14:paraId="10987C5B" w14:textId="77777777" w:rsidR="00B8081E" w:rsidRPr="004A65B1" w:rsidRDefault="00B8081E" w:rsidP="00B8081E">
      <w:pPr>
        <w:rPr>
          <w:rFonts w:ascii="FrankRuehl" w:hAnsi="FrankRuehl" w:cs="FrankRuehl"/>
          <w:sz w:val="28"/>
          <w:szCs w:val="28"/>
          <w:rtl/>
        </w:rPr>
      </w:pPr>
    </w:p>
    <w:p w14:paraId="44E76DEC" w14:textId="77777777" w:rsidR="00B8081E" w:rsidRPr="004A65B1" w:rsidRDefault="004970D2" w:rsidP="00B8081E">
      <w:pPr>
        <w:rPr>
          <w:rFonts w:ascii="FrankRuehl" w:hAnsi="FrankRuehl" w:cs="FrankRuehl"/>
          <w:sz w:val="28"/>
          <w:szCs w:val="28"/>
          <w:rtl/>
        </w:rPr>
      </w:pPr>
      <w:bookmarkStart w:id="8" w:name="Nitan"/>
      <w:r>
        <w:rPr>
          <w:rFonts w:ascii="FrankRuehl" w:hAnsi="FrankRuehl" w:cs="FrankRuehl"/>
          <w:sz w:val="28"/>
          <w:szCs w:val="28"/>
          <w:rtl/>
        </w:rPr>
        <w:t xml:space="preserve">ניתן היום,  כ"ד כסלו תש"פ, 22 דצמבר 2019, במעמד הצדדים. </w:t>
      </w:r>
      <w:bookmarkEnd w:id="8"/>
    </w:p>
    <w:p w14:paraId="7D70DFC8" w14:textId="77777777" w:rsidR="00B8081E" w:rsidRDefault="00B8081E" w:rsidP="004970D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E45EED2" w14:textId="77777777" w:rsidR="00B8081E" w:rsidRPr="008D28E7" w:rsidRDefault="008D28E7" w:rsidP="00B8081E">
      <w:pPr>
        <w:jc w:val="center"/>
        <w:rPr>
          <w:rFonts w:ascii="Arial" w:hAnsi="Arial" w:cs="FrankRuehl"/>
          <w:color w:val="FFFFFF"/>
          <w:sz w:val="2"/>
          <w:szCs w:val="2"/>
          <w:rtl/>
        </w:rPr>
      </w:pPr>
      <w:r w:rsidRPr="008D28E7">
        <w:rPr>
          <w:rFonts w:ascii="Arial" w:hAnsi="Arial" w:cs="FrankRuehl"/>
          <w:color w:val="FFFFFF"/>
          <w:sz w:val="2"/>
          <w:szCs w:val="2"/>
          <w:rtl/>
        </w:rPr>
        <w:t>5129371</w:t>
      </w:r>
    </w:p>
    <w:p w14:paraId="0BE7CF2D" w14:textId="77777777" w:rsidR="00437E47" w:rsidRPr="008D28E7" w:rsidRDefault="008D28E7" w:rsidP="004970D2">
      <w:pPr>
        <w:keepNext/>
        <w:rPr>
          <w:rFonts w:ascii="David" w:hAnsi="David"/>
          <w:color w:val="FFFFFF"/>
          <w:sz w:val="2"/>
          <w:szCs w:val="2"/>
          <w:rtl/>
        </w:rPr>
      </w:pPr>
      <w:r w:rsidRPr="008D28E7">
        <w:rPr>
          <w:rFonts w:ascii="David" w:hAnsi="David"/>
          <w:color w:val="FFFFFF"/>
          <w:sz w:val="2"/>
          <w:szCs w:val="2"/>
          <w:rtl/>
        </w:rPr>
        <w:t>54678313</w:t>
      </w:r>
    </w:p>
    <w:p w14:paraId="57039F94" w14:textId="77777777" w:rsidR="004970D2" w:rsidRDefault="004970D2" w:rsidP="004970D2">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410DCD61" w14:textId="77777777" w:rsidR="008D28E7" w:rsidRPr="008D28E7" w:rsidRDefault="008D28E7" w:rsidP="008D28E7">
      <w:pPr>
        <w:keepNext/>
        <w:rPr>
          <w:rFonts w:ascii="David" w:hAnsi="David"/>
          <w:color w:val="000000"/>
          <w:sz w:val="22"/>
          <w:szCs w:val="22"/>
          <w:rtl/>
        </w:rPr>
      </w:pPr>
    </w:p>
    <w:p w14:paraId="498CC932" w14:textId="77777777" w:rsidR="008D28E7" w:rsidRPr="008D28E7" w:rsidRDefault="008D28E7" w:rsidP="008D28E7">
      <w:pPr>
        <w:keepNext/>
        <w:rPr>
          <w:rFonts w:ascii="David" w:hAnsi="David"/>
          <w:color w:val="000000"/>
          <w:sz w:val="22"/>
          <w:szCs w:val="22"/>
          <w:rtl/>
        </w:rPr>
      </w:pPr>
      <w:r w:rsidRPr="008D28E7">
        <w:rPr>
          <w:rFonts w:ascii="David" w:hAnsi="David"/>
          <w:color w:val="000000"/>
          <w:sz w:val="22"/>
          <w:szCs w:val="22"/>
          <w:rtl/>
        </w:rPr>
        <w:t>דוד שאול גבאי ריכטר 54678313-/</w:t>
      </w:r>
    </w:p>
    <w:p w14:paraId="390F5D87" w14:textId="77777777" w:rsidR="004970D2" w:rsidRPr="004970D2" w:rsidRDefault="008D28E7" w:rsidP="008D28E7">
      <w:pPr>
        <w:rPr>
          <w:color w:val="0000FF"/>
          <w:u w:val="single"/>
        </w:rPr>
      </w:pPr>
      <w:r w:rsidRPr="008D28E7">
        <w:rPr>
          <w:color w:val="000000"/>
          <w:u w:val="single"/>
          <w:rtl/>
        </w:rPr>
        <w:t>נוסח מסמך זה כפוף לשינויי ניסוח ועריכה</w:t>
      </w:r>
    </w:p>
    <w:sectPr w:rsidR="004970D2" w:rsidRPr="004970D2" w:rsidSect="008D28E7">
      <w:headerReference w:type="even" r:id="rId49"/>
      <w:headerReference w:type="default" r:id="rId50"/>
      <w:footerReference w:type="even" r:id="rId51"/>
      <w:footerReference w:type="default" r:id="rId52"/>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A2E6D" w14:textId="77777777" w:rsidR="006F7B44" w:rsidRDefault="006F7B44" w:rsidP="008C2BF4">
      <w:r>
        <w:separator/>
      </w:r>
    </w:p>
  </w:endnote>
  <w:endnote w:type="continuationSeparator" w:id="0">
    <w:p w14:paraId="661062A3" w14:textId="77777777" w:rsidR="006F7B44" w:rsidRDefault="006F7B44" w:rsidP="008C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67F3F" w14:textId="77777777" w:rsidR="008D28E7" w:rsidRDefault="008D28E7" w:rsidP="008D28E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1AC7CB6" w14:textId="77777777" w:rsidR="0047592B" w:rsidRPr="008D28E7" w:rsidRDefault="008D28E7" w:rsidP="008D28E7">
    <w:pPr>
      <w:pStyle w:val="a5"/>
      <w:pBdr>
        <w:top w:val="single" w:sz="4" w:space="1" w:color="auto"/>
        <w:between w:val="single" w:sz="4" w:space="0" w:color="auto"/>
      </w:pBdr>
      <w:spacing w:after="60"/>
      <w:jc w:val="center"/>
      <w:rPr>
        <w:rFonts w:ascii="FrankRuehl" w:hAnsi="FrankRuehl" w:cs="FrankRuehl"/>
        <w:color w:val="000000"/>
      </w:rPr>
    </w:pPr>
    <w:r w:rsidRPr="008D28E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49FEA" w14:textId="77777777" w:rsidR="008D28E7" w:rsidRDefault="008D28E7" w:rsidP="008D28E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27526">
      <w:rPr>
        <w:rFonts w:ascii="FrankRuehl" w:hAnsi="FrankRuehl" w:cs="FrankRuehl"/>
        <w:noProof/>
        <w:rtl/>
      </w:rPr>
      <w:t>1</w:t>
    </w:r>
    <w:r>
      <w:rPr>
        <w:rFonts w:ascii="FrankRuehl" w:hAnsi="FrankRuehl" w:cs="FrankRuehl"/>
        <w:rtl/>
      </w:rPr>
      <w:fldChar w:fldCharType="end"/>
    </w:r>
  </w:p>
  <w:p w14:paraId="1E77C2AE" w14:textId="77777777" w:rsidR="0047592B" w:rsidRPr="008D28E7" w:rsidRDefault="008D28E7" w:rsidP="008D28E7">
    <w:pPr>
      <w:pStyle w:val="a5"/>
      <w:pBdr>
        <w:top w:val="single" w:sz="4" w:space="1" w:color="auto"/>
        <w:between w:val="single" w:sz="4" w:space="0" w:color="auto"/>
      </w:pBdr>
      <w:spacing w:after="60"/>
      <w:jc w:val="center"/>
      <w:rPr>
        <w:rFonts w:ascii="FrankRuehl" w:hAnsi="FrankRuehl" w:cs="FrankRuehl"/>
        <w:color w:val="000000"/>
      </w:rPr>
    </w:pPr>
    <w:r w:rsidRPr="008D28E7">
      <w:rPr>
        <w:rFonts w:ascii="FrankRuehl" w:hAnsi="FrankRuehl" w:cs="FrankRuehl"/>
        <w:color w:val="000000"/>
      </w:rPr>
      <w:pict w14:anchorId="6755AB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A34E4" w14:textId="77777777" w:rsidR="006F7B44" w:rsidRDefault="006F7B44" w:rsidP="008C2BF4">
      <w:r>
        <w:separator/>
      </w:r>
    </w:p>
  </w:footnote>
  <w:footnote w:type="continuationSeparator" w:id="0">
    <w:p w14:paraId="4B508719" w14:textId="77777777" w:rsidR="006F7B44" w:rsidRDefault="006F7B44" w:rsidP="008C2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D9208" w14:textId="77777777" w:rsidR="004970D2" w:rsidRPr="008D28E7" w:rsidRDefault="008D28E7" w:rsidP="008D28E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13769-09-17</w:t>
    </w:r>
    <w:r>
      <w:rPr>
        <w:rFonts w:ascii="David" w:hAnsi="David"/>
        <w:color w:val="000000"/>
        <w:sz w:val="22"/>
        <w:szCs w:val="22"/>
        <w:rtl/>
      </w:rPr>
      <w:tab/>
      <w:t xml:space="preserve"> מדינת ישראל נ' רפאל נח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732F1" w14:textId="77777777" w:rsidR="004970D2" w:rsidRPr="008D28E7" w:rsidRDefault="008D28E7" w:rsidP="008D28E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13769-09-17</w:t>
    </w:r>
    <w:r>
      <w:rPr>
        <w:rFonts w:ascii="David" w:hAnsi="David"/>
        <w:color w:val="000000"/>
        <w:sz w:val="22"/>
        <w:szCs w:val="22"/>
        <w:rtl/>
      </w:rPr>
      <w:tab/>
      <w:t xml:space="preserve"> מדינת ישראל נ' רפאל נח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7918724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8081E"/>
    <w:rsid w:val="00232A86"/>
    <w:rsid w:val="00437E47"/>
    <w:rsid w:val="0047592B"/>
    <w:rsid w:val="004970D2"/>
    <w:rsid w:val="006F7B44"/>
    <w:rsid w:val="00727526"/>
    <w:rsid w:val="008C2BF4"/>
    <w:rsid w:val="008D28E7"/>
    <w:rsid w:val="00B8081E"/>
    <w:rsid w:val="00C37BAF"/>
    <w:rsid w:val="00CB63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FEC242"/>
  <w15:chartTrackingRefBased/>
  <w15:docId w15:val="{3CC5A63C-7226-434F-A257-6FF4EEE2F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081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8081E"/>
    <w:pPr>
      <w:tabs>
        <w:tab w:val="center" w:pos="4153"/>
        <w:tab w:val="right" w:pos="8306"/>
      </w:tabs>
    </w:pPr>
  </w:style>
  <w:style w:type="character" w:customStyle="1" w:styleId="a4">
    <w:name w:val="כותרת עליונה תו"/>
    <w:link w:val="a3"/>
    <w:rsid w:val="00B8081E"/>
    <w:rPr>
      <w:rFonts w:ascii="Times New Roman" w:eastAsia="Times New Roman" w:hAnsi="Times New Roman" w:cs="David"/>
      <w:sz w:val="24"/>
      <w:szCs w:val="24"/>
    </w:rPr>
  </w:style>
  <w:style w:type="paragraph" w:styleId="a5">
    <w:name w:val="footer"/>
    <w:basedOn w:val="a"/>
    <w:link w:val="a6"/>
    <w:rsid w:val="00B8081E"/>
    <w:pPr>
      <w:tabs>
        <w:tab w:val="center" w:pos="4153"/>
        <w:tab w:val="right" w:pos="8306"/>
      </w:tabs>
    </w:pPr>
  </w:style>
  <w:style w:type="character" w:customStyle="1" w:styleId="a6">
    <w:name w:val="כותרת תחתונה תו"/>
    <w:link w:val="a5"/>
    <w:rsid w:val="00B8081E"/>
    <w:rPr>
      <w:rFonts w:ascii="Times New Roman" w:eastAsia="Times New Roman" w:hAnsi="Times New Roman" w:cs="David"/>
      <w:sz w:val="24"/>
      <w:szCs w:val="24"/>
    </w:rPr>
  </w:style>
  <w:style w:type="table" w:styleId="a7">
    <w:name w:val="Table Grid"/>
    <w:basedOn w:val="a1"/>
    <w:rsid w:val="00B8081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8081E"/>
  </w:style>
  <w:style w:type="character" w:styleId="Hyperlink">
    <w:name w:val="Hyperlink"/>
    <w:rsid w:val="004970D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501/2a" TargetMode="External"/><Relationship Id="rId18" Type="http://schemas.openxmlformats.org/officeDocument/2006/relationships/hyperlink" Target="http://www.nevo.co.il/law/74274/36d" TargetMode="External"/><Relationship Id="rId26" Type="http://schemas.openxmlformats.org/officeDocument/2006/relationships/hyperlink" Target="http://www.nevo.co.il/law/4216"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40i" TargetMode="External"/><Relationship Id="rId34" Type="http://schemas.openxmlformats.org/officeDocument/2006/relationships/hyperlink" Target="http://www.nevo.co.il/law/74274/36d" TargetMode="External"/><Relationship Id="rId42" Type="http://schemas.openxmlformats.org/officeDocument/2006/relationships/hyperlink" Target="http://www.nevo.co.il/case/25206622" TargetMode="External"/><Relationship Id="rId47" Type="http://schemas.openxmlformats.org/officeDocument/2006/relationships/hyperlink" Target="http://www.nevo.co.il/law/70301"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5227/67" TargetMode="External"/><Relationship Id="rId29" Type="http://schemas.openxmlformats.org/officeDocument/2006/relationships/hyperlink" Target="http://www.nevo.co.il/case/22892802"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13" TargetMode="External"/><Relationship Id="rId32" Type="http://schemas.openxmlformats.org/officeDocument/2006/relationships/hyperlink" Target="http://www.nevo.co.il/law/5227/67" TargetMode="External"/><Relationship Id="rId37" Type="http://schemas.openxmlformats.org/officeDocument/2006/relationships/hyperlink" Target="http://www.nevo.co.il/case/25705918" TargetMode="External"/><Relationship Id="rId40" Type="http://schemas.openxmlformats.org/officeDocument/2006/relationships/hyperlink" Target="http://www.nevo.co.il/case/22368098" TargetMode="External"/><Relationship Id="rId45" Type="http://schemas.openxmlformats.org/officeDocument/2006/relationships/hyperlink" Target="http://www.nevo.co.il/law/5227"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4216/13" TargetMode="External"/><Relationship Id="rId19" Type="http://schemas.openxmlformats.org/officeDocument/2006/relationships/hyperlink" Target="http://www.nevo.co.il/law/74274/47.e.5" TargetMode="External"/><Relationship Id="rId31" Type="http://schemas.openxmlformats.org/officeDocument/2006/relationships/hyperlink" Target="http://www.nevo.co.il/law/74501" TargetMode="External"/><Relationship Id="rId44" Type="http://schemas.openxmlformats.org/officeDocument/2006/relationships/hyperlink" Target="http://www.nevo.co.il/law/5227/40a.b.1"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5227"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law/4216/7.a" TargetMode="External"/><Relationship Id="rId30" Type="http://schemas.openxmlformats.org/officeDocument/2006/relationships/hyperlink" Target="http://www.nevo.co.il/law/74501/2a" TargetMode="External"/><Relationship Id="rId35" Type="http://schemas.openxmlformats.org/officeDocument/2006/relationships/hyperlink" Target="http://www.nevo.co.il/law/74274" TargetMode="External"/><Relationship Id="rId43" Type="http://schemas.openxmlformats.org/officeDocument/2006/relationships/hyperlink" Target="http://www.nevo.co.il/case/13093721"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4501" TargetMode="External"/><Relationship Id="rId17" Type="http://schemas.openxmlformats.org/officeDocument/2006/relationships/hyperlink" Target="http://www.nevo.co.il/law/74274" TargetMode="External"/><Relationship Id="rId25" Type="http://schemas.openxmlformats.org/officeDocument/2006/relationships/hyperlink" Target="http://www.nevo.co.il/law/4216/19a" TargetMode="External"/><Relationship Id="rId33" Type="http://schemas.openxmlformats.org/officeDocument/2006/relationships/hyperlink" Target="http://www.nevo.co.il/law/5227" TargetMode="External"/><Relationship Id="rId38" Type="http://schemas.openxmlformats.org/officeDocument/2006/relationships/hyperlink" Target="http://www.nevo.co.il/law/70301/40i" TargetMode="External"/><Relationship Id="rId46" Type="http://schemas.openxmlformats.org/officeDocument/2006/relationships/hyperlink" Target="http://www.nevo.co.il/law/70301/40ja"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2797714"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40a.b.1" TargetMode="External"/><Relationship Id="rId23" Type="http://schemas.openxmlformats.org/officeDocument/2006/relationships/hyperlink" Target="http://www.nevo.co.il/case/22963052" TargetMode="External"/><Relationship Id="rId28" Type="http://schemas.openxmlformats.org/officeDocument/2006/relationships/hyperlink" Target="http://www.nevo.co.il/law/4216/7.c" TargetMode="External"/><Relationship Id="rId36" Type="http://schemas.openxmlformats.org/officeDocument/2006/relationships/hyperlink" Target="http://www.nevo.co.il/law/74274/47.e.5"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2561</Words>
  <Characters>12810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15341</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7995492</vt:i4>
      </vt:variant>
      <vt:variant>
        <vt:i4>120</vt:i4>
      </vt:variant>
      <vt:variant>
        <vt:i4>0</vt:i4>
      </vt:variant>
      <vt:variant>
        <vt:i4>5</vt:i4>
      </vt:variant>
      <vt:variant>
        <vt:lpwstr>http://www.nevo.co.il/law/70301</vt:lpwstr>
      </vt:variant>
      <vt:variant>
        <vt:lpwstr/>
      </vt:variant>
      <vt:variant>
        <vt:i4>262155</vt:i4>
      </vt:variant>
      <vt:variant>
        <vt:i4>117</vt:i4>
      </vt:variant>
      <vt:variant>
        <vt:i4>0</vt:i4>
      </vt:variant>
      <vt:variant>
        <vt:i4>5</vt:i4>
      </vt:variant>
      <vt:variant>
        <vt:lpwstr>http://www.nevo.co.il/law/70301/40ja</vt:lpwstr>
      </vt:variant>
      <vt:variant>
        <vt:lpwstr/>
      </vt:variant>
      <vt:variant>
        <vt:i4>8323175</vt:i4>
      </vt:variant>
      <vt:variant>
        <vt:i4>114</vt:i4>
      </vt:variant>
      <vt:variant>
        <vt:i4>0</vt:i4>
      </vt:variant>
      <vt:variant>
        <vt:i4>5</vt:i4>
      </vt:variant>
      <vt:variant>
        <vt:lpwstr>http://www.nevo.co.il/law/5227</vt:lpwstr>
      </vt:variant>
      <vt:variant>
        <vt:lpwstr/>
      </vt:variant>
      <vt:variant>
        <vt:i4>7929976</vt:i4>
      </vt:variant>
      <vt:variant>
        <vt:i4>111</vt:i4>
      </vt:variant>
      <vt:variant>
        <vt:i4>0</vt:i4>
      </vt:variant>
      <vt:variant>
        <vt:i4>5</vt:i4>
      </vt:variant>
      <vt:variant>
        <vt:lpwstr>http://www.nevo.co.il/law/5227/40a.b.1</vt:lpwstr>
      </vt:variant>
      <vt:variant>
        <vt:lpwstr/>
      </vt:variant>
      <vt:variant>
        <vt:i4>3145849</vt:i4>
      </vt:variant>
      <vt:variant>
        <vt:i4>108</vt:i4>
      </vt:variant>
      <vt:variant>
        <vt:i4>0</vt:i4>
      </vt:variant>
      <vt:variant>
        <vt:i4>5</vt:i4>
      </vt:variant>
      <vt:variant>
        <vt:lpwstr>http://www.nevo.co.il/case/13093721</vt:lpwstr>
      </vt:variant>
      <vt:variant>
        <vt:lpwstr/>
      </vt:variant>
      <vt:variant>
        <vt:i4>3407991</vt:i4>
      </vt:variant>
      <vt:variant>
        <vt:i4>105</vt:i4>
      </vt:variant>
      <vt:variant>
        <vt:i4>0</vt:i4>
      </vt:variant>
      <vt:variant>
        <vt:i4>5</vt:i4>
      </vt:variant>
      <vt:variant>
        <vt:lpwstr>http://www.nevo.co.il/case/25206622</vt:lpwstr>
      </vt:variant>
      <vt:variant>
        <vt:lpwstr/>
      </vt:variant>
      <vt:variant>
        <vt:i4>3342456</vt:i4>
      </vt:variant>
      <vt:variant>
        <vt:i4>102</vt:i4>
      </vt:variant>
      <vt:variant>
        <vt:i4>0</vt:i4>
      </vt:variant>
      <vt:variant>
        <vt:i4>5</vt:i4>
      </vt:variant>
      <vt:variant>
        <vt:lpwstr>http://www.nevo.co.il/case/22797714</vt:lpwstr>
      </vt:variant>
      <vt:variant>
        <vt:lpwstr/>
      </vt:variant>
      <vt:variant>
        <vt:i4>3145840</vt:i4>
      </vt:variant>
      <vt:variant>
        <vt:i4>99</vt:i4>
      </vt:variant>
      <vt:variant>
        <vt:i4>0</vt:i4>
      </vt:variant>
      <vt:variant>
        <vt:i4>5</vt:i4>
      </vt:variant>
      <vt:variant>
        <vt:lpwstr>http://www.nevo.co.il/case/22368098</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http://www.nevo.co.il/law/70301/40i</vt:lpwstr>
      </vt:variant>
      <vt:variant>
        <vt:lpwstr/>
      </vt:variant>
      <vt:variant>
        <vt:i4>3211384</vt:i4>
      </vt:variant>
      <vt:variant>
        <vt:i4>90</vt:i4>
      </vt:variant>
      <vt:variant>
        <vt:i4>0</vt:i4>
      </vt:variant>
      <vt:variant>
        <vt:i4>5</vt:i4>
      </vt:variant>
      <vt:variant>
        <vt:lpwstr>http://www.nevo.co.il/case/25705918</vt:lpwstr>
      </vt:variant>
      <vt:variant>
        <vt:lpwstr/>
      </vt:variant>
      <vt:variant>
        <vt:i4>3211365</vt:i4>
      </vt:variant>
      <vt:variant>
        <vt:i4>87</vt:i4>
      </vt:variant>
      <vt:variant>
        <vt:i4>0</vt:i4>
      </vt:variant>
      <vt:variant>
        <vt:i4>5</vt:i4>
      </vt:variant>
      <vt:variant>
        <vt:lpwstr>http://www.nevo.co.il/law/74274/47.e.5</vt:lpwstr>
      </vt:variant>
      <vt:variant>
        <vt:lpwstr/>
      </vt:variant>
      <vt:variant>
        <vt:i4>7929957</vt:i4>
      </vt:variant>
      <vt:variant>
        <vt:i4>84</vt:i4>
      </vt:variant>
      <vt:variant>
        <vt:i4>0</vt:i4>
      </vt:variant>
      <vt:variant>
        <vt:i4>5</vt:i4>
      </vt:variant>
      <vt:variant>
        <vt:lpwstr>http://www.nevo.co.il/law/74274</vt:lpwstr>
      </vt:variant>
      <vt:variant>
        <vt:lpwstr/>
      </vt:variant>
      <vt:variant>
        <vt:i4>6291554</vt:i4>
      </vt:variant>
      <vt:variant>
        <vt:i4>81</vt:i4>
      </vt:variant>
      <vt:variant>
        <vt:i4>0</vt:i4>
      </vt:variant>
      <vt:variant>
        <vt:i4>5</vt:i4>
      </vt:variant>
      <vt:variant>
        <vt:lpwstr>http://www.nevo.co.il/law/74274/36d</vt:lpwstr>
      </vt:variant>
      <vt:variant>
        <vt:lpwstr/>
      </vt:variant>
      <vt:variant>
        <vt:i4>8323175</vt:i4>
      </vt:variant>
      <vt:variant>
        <vt:i4>78</vt:i4>
      </vt:variant>
      <vt:variant>
        <vt:i4>0</vt:i4>
      </vt:variant>
      <vt:variant>
        <vt:i4>5</vt:i4>
      </vt:variant>
      <vt:variant>
        <vt:lpwstr>http://www.nevo.co.il/law/5227</vt:lpwstr>
      </vt:variant>
      <vt:variant>
        <vt:lpwstr/>
      </vt:variant>
      <vt:variant>
        <vt:i4>4784200</vt:i4>
      </vt:variant>
      <vt:variant>
        <vt:i4>75</vt:i4>
      </vt:variant>
      <vt:variant>
        <vt:i4>0</vt:i4>
      </vt:variant>
      <vt:variant>
        <vt:i4>5</vt:i4>
      </vt:variant>
      <vt:variant>
        <vt:lpwstr>http://www.nevo.co.il/law/5227/67</vt:lpwstr>
      </vt:variant>
      <vt:variant>
        <vt:lpwstr/>
      </vt:variant>
      <vt:variant>
        <vt:i4>8257634</vt:i4>
      </vt:variant>
      <vt:variant>
        <vt:i4>72</vt:i4>
      </vt:variant>
      <vt:variant>
        <vt:i4>0</vt:i4>
      </vt:variant>
      <vt:variant>
        <vt:i4>5</vt:i4>
      </vt:variant>
      <vt:variant>
        <vt:lpwstr>http://www.nevo.co.il/law/74501</vt:lpwstr>
      </vt:variant>
      <vt:variant>
        <vt:lpwstr/>
      </vt:variant>
      <vt:variant>
        <vt:i4>3145825</vt:i4>
      </vt:variant>
      <vt:variant>
        <vt:i4>69</vt:i4>
      </vt:variant>
      <vt:variant>
        <vt:i4>0</vt:i4>
      </vt:variant>
      <vt:variant>
        <vt:i4>5</vt:i4>
      </vt:variant>
      <vt:variant>
        <vt:lpwstr>http://www.nevo.co.il/law/74501/2a</vt:lpwstr>
      </vt:variant>
      <vt:variant>
        <vt:lpwstr/>
      </vt:variant>
      <vt:variant>
        <vt:i4>3670135</vt:i4>
      </vt:variant>
      <vt:variant>
        <vt:i4>66</vt:i4>
      </vt:variant>
      <vt:variant>
        <vt:i4>0</vt:i4>
      </vt:variant>
      <vt:variant>
        <vt:i4>5</vt:i4>
      </vt:variant>
      <vt:variant>
        <vt:lpwstr>http://www.nevo.co.il/case/22892802</vt:lpwstr>
      </vt:variant>
      <vt:variant>
        <vt:lpwstr/>
      </vt:variant>
      <vt:variant>
        <vt:i4>2752612</vt:i4>
      </vt:variant>
      <vt:variant>
        <vt:i4>63</vt:i4>
      </vt:variant>
      <vt:variant>
        <vt:i4>0</vt:i4>
      </vt:variant>
      <vt:variant>
        <vt:i4>5</vt:i4>
      </vt:variant>
      <vt:variant>
        <vt:lpwstr>http://www.nevo.co.il/law/4216/7.c</vt:lpwstr>
      </vt:variant>
      <vt:variant>
        <vt:lpwstr/>
      </vt:variant>
      <vt:variant>
        <vt:i4>2621540</vt:i4>
      </vt:variant>
      <vt:variant>
        <vt:i4>60</vt:i4>
      </vt:variant>
      <vt:variant>
        <vt:i4>0</vt:i4>
      </vt:variant>
      <vt:variant>
        <vt:i4>5</vt:i4>
      </vt:variant>
      <vt:variant>
        <vt:lpwstr>http://www.nevo.co.il/law/4216/7.a</vt:lpwstr>
      </vt:variant>
      <vt:variant>
        <vt:lpwstr/>
      </vt:variant>
      <vt:variant>
        <vt:i4>8257637</vt:i4>
      </vt:variant>
      <vt:variant>
        <vt:i4>57</vt:i4>
      </vt:variant>
      <vt:variant>
        <vt:i4>0</vt:i4>
      </vt:variant>
      <vt:variant>
        <vt:i4>5</vt:i4>
      </vt:variant>
      <vt:variant>
        <vt:lpwstr>http://www.nevo.co.il/law/4216</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3997808</vt:i4>
      </vt:variant>
      <vt:variant>
        <vt:i4>48</vt:i4>
      </vt:variant>
      <vt:variant>
        <vt:i4>0</vt:i4>
      </vt:variant>
      <vt:variant>
        <vt:i4>5</vt:i4>
      </vt:variant>
      <vt:variant>
        <vt:lpwstr>http://www.nevo.co.il/case/22963052</vt:lpwstr>
      </vt:variant>
      <vt:variant>
        <vt:lpwstr/>
      </vt:variant>
      <vt:variant>
        <vt:i4>262155</vt:i4>
      </vt:variant>
      <vt:variant>
        <vt:i4>45</vt:i4>
      </vt:variant>
      <vt:variant>
        <vt:i4>0</vt:i4>
      </vt:variant>
      <vt:variant>
        <vt:i4>5</vt:i4>
      </vt:variant>
      <vt:variant>
        <vt:lpwstr>http://www.nevo.co.il/law/70301/40ja</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7995492</vt:i4>
      </vt:variant>
      <vt:variant>
        <vt:i4>39</vt:i4>
      </vt:variant>
      <vt:variant>
        <vt:i4>0</vt:i4>
      </vt:variant>
      <vt:variant>
        <vt:i4>5</vt:i4>
      </vt:variant>
      <vt:variant>
        <vt:lpwstr>http://www.nevo.co.il/law/70301</vt:lpwstr>
      </vt:variant>
      <vt:variant>
        <vt:lpwstr/>
      </vt:variant>
      <vt:variant>
        <vt:i4>3211365</vt:i4>
      </vt:variant>
      <vt:variant>
        <vt:i4>36</vt:i4>
      </vt:variant>
      <vt:variant>
        <vt:i4>0</vt:i4>
      </vt:variant>
      <vt:variant>
        <vt:i4>5</vt:i4>
      </vt:variant>
      <vt:variant>
        <vt:lpwstr>http://www.nevo.co.il/law/74274/47.e.5</vt:lpwstr>
      </vt:variant>
      <vt:variant>
        <vt:lpwstr/>
      </vt:variant>
      <vt:variant>
        <vt:i4>6291554</vt:i4>
      </vt:variant>
      <vt:variant>
        <vt:i4>33</vt:i4>
      </vt:variant>
      <vt:variant>
        <vt:i4>0</vt:i4>
      </vt:variant>
      <vt:variant>
        <vt:i4>5</vt:i4>
      </vt:variant>
      <vt:variant>
        <vt:lpwstr>http://www.nevo.co.il/law/74274/36d</vt:lpwstr>
      </vt:variant>
      <vt:variant>
        <vt:lpwstr/>
      </vt:variant>
      <vt:variant>
        <vt:i4>7929957</vt:i4>
      </vt:variant>
      <vt:variant>
        <vt:i4>30</vt:i4>
      </vt:variant>
      <vt:variant>
        <vt:i4>0</vt:i4>
      </vt:variant>
      <vt:variant>
        <vt:i4>5</vt:i4>
      </vt:variant>
      <vt:variant>
        <vt:lpwstr>http://www.nevo.co.il/law/74274</vt:lpwstr>
      </vt:variant>
      <vt:variant>
        <vt:lpwstr/>
      </vt:variant>
      <vt:variant>
        <vt:i4>4784200</vt:i4>
      </vt:variant>
      <vt:variant>
        <vt:i4>27</vt:i4>
      </vt:variant>
      <vt:variant>
        <vt:i4>0</vt:i4>
      </vt:variant>
      <vt:variant>
        <vt:i4>5</vt:i4>
      </vt:variant>
      <vt:variant>
        <vt:lpwstr>http://www.nevo.co.il/law/5227/67</vt:lpwstr>
      </vt:variant>
      <vt:variant>
        <vt:lpwstr/>
      </vt:variant>
      <vt:variant>
        <vt:i4>7929976</vt:i4>
      </vt:variant>
      <vt:variant>
        <vt:i4>24</vt:i4>
      </vt:variant>
      <vt:variant>
        <vt:i4>0</vt:i4>
      </vt:variant>
      <vt:variant>
        <vt:i4>5</vt:i4>
      </vt:variant>
      <vt:variant>
        <vt:lpwstr>http://www.nevo.co.il/law/5227/40a.b.1</vt:lpwstr>
      </vt:variant>
      <vt:variant>
        <vt:lpwstr/>
      </vt:variant>
      <vt:variant>
        <vt:i4>8323175</vt:i4>
      </vt:variant>
      <vt:variant>
        <vt:i4>21</vt:i4>
      </vt:variant>
      <vt:variant>
        <vt:i4>0</vt:i4>
      </vt:variant>
      <vt:variant>
        <vt:i4>5</vt:i4>
      </vt:variant>
      <vt:variant>
        <vt:lpwstr>http://www.nevo.co.il/law/5227</vt:lpwstr>
      </vt:variant>
      <vt:variant>
        <vt:lpwstr/>
      </vt:variant>
      <vt:variant>
        <vt:i4>3145825</vt:i4>
      </vt:variant>
      <vt:variant>
        <vt:i4>18</vt:i4>
      </vt:variant>
      <vt:variant>
        <vt:i4>0</vt:i4>
      </vt:variant>
      <vt:variant>
        <vt:i4>5</vt:i4>
      </vt:variant>
      <vt:variant>
        <vt:lpwstr>http://www.nevo.co.il/law/74501/2a</vt:lpwstr>
      </vt:variant>
      <vt:variant>
        <vt:lpwstr/>
      </vt:variant>
      <vt:variant>
        <vt:i4>8257634</vt:i4>
      </vt:variant>
      <vt:variant>
        <vt:i4>15</vt:i4>
      </vt:variant>
      <vt:variant>
        <vt:i4>0</vt:i4>
      </vt:variant>
      <vt:variant>
        <vt:i4>5</vt:i4>
      </vt:variant>
      <vt:variant>
        <vt:lpwstr>http://www.nevo.co.il/law/74501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2025-04-22T23:31:00Z</dcterms:created>
  <dcterms:modified xsi:type="dcterms:W3CDTF">2025-04-22T23:31:00Z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תפ;פל;תפ</vt:lpwstr>
  </property>
  <property fmtid="{D5CDD505-2E9C-101B-9397-08002B2CF9AE}" pid="5" name="NEWPARTA">
    <vt:lpwstr>13769;8826;41288</vt:lpwstr>
  </property>
  <property fmtid="{D5CDD505-2E9C-101B-9397-08002B2CF9AE}" pid="6" name="NEWPARTB">
    <vt:lpwstr>09;08;05</vt:lpwstr>
  </property>
  <property fmtid="{D5CDD505-2E9C-101B-9397-08002B2CF9AE}" pid="7" name="NEWPARTC">
    <vt:lpwstr>17;17;19</vt:lpwstr>
  </property>
  <property fmtid="{D5CDD505-2E9C-101B-9397-08002B2CF9AE}" pid="8" name="APPELLANT">
    <vt:lpwstr>מדינת ישראל</vt:lpwstr>
  </property>
  <property fmtid="{D5CDD505-2E9C-101B-9397-08002B2CF9AE}" pid="9" name="APPELLEE">
    <vt:lpwstr>רפאל נח</vt:lpwstr>
  </property>
  <property fmtid="{D5CDD505-2E9C-101B-9397-08002B2CF9AE}" pid="10" name="LAWYER">
    <vt:lpwstr>מיכאל עירוני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20191222</vt:lpwstr>
  </property>
  <property fmtid="{D5CDD505-2E9C-101B-9397-08002B2CF9AE}" pid="14" name="TYPE_N_DATE">
    <vt:lpwstr>38020191222</vt:lpwstr>
  </property>
  <property fmtid="{D5CDD505-2E9C-101B-9397-08002B2CF9AE}" pid="15" name="CASESLISTTMP1">
    <vt:lpwstr>22963052;22892802;25705918;22368098;22797714;25206622;13093721</vt:lpwstr>
  </property>
  <property fmtid="{D5CDD505-2E9C-101B-9397-08002B2CF9AE}" pid="16" name="CASENOTES1">
    <vt:lpwstr>ProcID=174;133;209&amp;PartA=3343&amp;PartC=07</vt:lpwstr>
  </property>
  <property fmtid="{D5CDD505-2E9C-101B-9397-08002B2CF9AE}" pid="17" name="CASENOTES2">
    <vt:lpwstr>ProcID=174;133;209&amp;PartA=7966&amp;PartC=12</vt:lpwstr>
  </property>
  <property fmtid="{D5CDD505-2E9C-101B-9397-08002B2CF9AE}" pid="18" name="WORDNUMPAGES">
    <vt:lpwstr>8</vt:lpwstr>
  </property>
  <property fmtid="{D5CDD505-2E9C-101B-9397-08002B2CF9AE}" pid="19" name="TYPE_ABS_DATE">
    <vt:lpwstr>380020191222</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4216/013;019a;007.a;007.c</vt:lpwstr>
  </property>
  <property fmtid="{D5CDD505-2E9C-101B-9397-08002B2CF9AE}" pid="39" name="LAWLISTTMP2">
    <vt:lpwstr>74501/002a</vt:lpwstr>
  </property>
  <property fmtid="{D5CDD505-2E9C-101B-9397-08002B2CF9AE}" pid="40" name="LAWLISTTMP3">
    <vt:lpwstr>5227/067;040a.b.1</vt:lpwstr>
  </property>
  <property fmtid="{D5CDD505-2E9C-101B-9397-08002B2CF9AE}" pid="41" name="LAWLISTTMP4">
    <vt:lpwstr>74274/036d;047.e.5</vt:lpwstr>
  </property>
  <property fmtid="{D5CDD505-2E9C-101B-9397-08002B2CF9AE}" pid="42" name="LAWLISTTMP5">
    <vt:lpwstr>70301/040i;40ja</vt:lpwstr>
  </property>
</Properties>
</file>