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31"/>
        <w:gridCol w:w="502"/>
        <w:gridCol w:w="3165"/>
        <w:gridCol w:w="99"/>
      </w:tblGrid>
      <w:tr w:rsidR="00463F62" w:rsidRPr="00634D8E" w14:paraId="5C87ED4D" w14:textId="77777777" w:rsidTr="000055BB">
        <w:trPr>
          <w:gridAfter w:val="1"/>
          <w:wAfter w:w="99" w:type="dxa"/>
          <w:trHeight w:hRule="exact" w:val="418"/>
          <w:jc w:val="center"/>
        </w:trPr>
        <w:tc>
          <w:tcPr>
            <w:tcW w:w="8721" w:type="dxa"/>
            <w:gridSpan w:val="4"/>
          </w:tcPr>
          <w:p w14:paraId="064D3F74" w14:textId="77777777" w:rsidR="00463F62" w:rsidRPr="00634D8E" w:rsidRDefault="00463F62" w:rsidP="009443AF">
            <w:pPr>
              <w:pStyle w:val="a3"/>
              <w:jc w:val="center"/>
              <w:rPr>
                <w:rFonts w:ascii="FrankRuehl" w:hAnsi="FrankRuehl" w:cs="FrankRuehl"/>
                <w:b/>
                <w:bCs/>
                <w:color w:val="000080"/>
                <w:sz w:val="28"/>
                <w:szCs w:val="28"/>
                <w:rtl/>
              </w:rPr>
            </w:pPr>
            <w:bookmarkStart w:id="0" w:name="LastJudge"/>
            <w:r w:rsidRPr="00634D8E">
              <w:rPr>
                <w:rFonts w:ascii="FrankRuehl" w:hAnsi="FrankRuehl" w:cs="FrankRuehl"/>
                <w:b/>
                <w:bCs/>
                <w:color w:val="000080"/>
                <w:sz w:val="28"/>
                <w:szCs w:val="28"/>
                <w:rtl/>
              </w:rPr>
              <w:t>בית משפט השלום בירושלים</w:t>
            </w:r>
          </w:p>
        </w:tc>
      </w:tr>
      <w:tr w:rsidR="00463F62" w:rsidRPr="00634D8E" w14:paraId="2A3ED0F9" w14:textId="77777777" w:rsidTr="000055BB">
        <w:trPr>
          <w:gridAfter w:val="1"/>
          <w:wAfter w:w="99" w:type="dxa"/>
          <w:trHeight w:val="337"/>
          <w:jc w:val="center"/>
        </w:trPr>
        <w:tc>
          <w:tcPr>
            <w:tcW w:w="5054" w:type="dxa"/>
            <w:gridSpan w:val="2"/>
          </w:tcPr>
          <w:p w14:paraId="65A78A99" w14:textId="77777777" w:rsidR="00463F62" w:rsidRPr="00634D8E" w:rsidRDefault="00463F62" w:rsidP="009443AF">
            <w:pPr>
              <w:rPr>
                <w:rFonts w:ascii="FrankRuehl" w:hAnsi="FrankRuehl" w:cs="FrankRuehl"/>
                <w:b/>
                <w:bCs/>
                <w:sz w:val="28"/>
                <w:szCs w:val="28"/>
                <w:rtl/>
              </w:rPr>
            </w:pPr>
            <w:r w:rsidRPr="00634D8E">
              <w:rPr>
                <w:rFonts w:ascii="FrankRuehl" w:hAnsi="FrankRuehl" w:cs="FrankRuehl"/>
                <w:b/>
                <w:bCs/>
                <w:sz w:val="28"/>
                <w:szCs w:val="28"/>
                <w:rtl/>
              </w:rPr>
              <w:t>ת"פ 17384-09-17 מדינת ישראל נ' אבו טיר</w:t>
            </w:r>
          </w:p>
          <w:p w14:paraId="677CF170" w14:textId="77777777" w:rsidR="00463F62" w:rsidRPr="00634D8E" w:rsidRDefault="00463F62" w:rsidP="009443AF">
            <w:pPr>
              <w:pStyle w:val="a3"/>
              <w:rPr>
                <w:rFonts w:ascii="FrankRuehl" w:hAnsi="FrankRuehl" w:cs="FrankRuehl"/>
                <w:b/>
                <w:bCs/>
                <w:sz w:val="28"/>
                <w:szCs w:val="28"/>
                <w:rtl/>
              </w:rPr>
            </w:pPr>
          </w:p>
        </w:tc>
        <w:tc>
          <w:tcPr>
            <w:tcW w:w="3667" w:type="dxa"/>
            <w:gridSpan w:val="2"/>
          </w:tcPr>
          <w:p w14:paraId="3F473812" w14:textId="77777777" w:rsidR="00463F62" w:rsidRPr="00634D8E" w:rsidRDefault="00463F62" w:rsidP="009443AF">
            <w:pPr>
              <w:pStyle w:val="a3"/>
              <w:jc w:val="right"/>
              <w:rPr>
                <w:rFonts w:cs="FrankRuehl"/>
                <w:sz w:val="28"/>
                <w:szCs w:val="28"/>
                <w:rtl/>
              </w:rPr>
            </w:pPr>
          </w:p>
        </w:tc>
      </w:tr>
      <w:tr w:rsidR="00463F62" w:rsidRPr="00634D8E" w14:paraId="44C4EE0A" w14:textId="77777777" w:rsidTr="000055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6E3B068" w14:textId="77777777" w:rsidR="00463F62" w:rsidRPr="00634D8E" w:rsidRDefault="00463F62" w:rsidP="00463F62">
            <w:pPr>
              <w:jc w:val="both"/>
              <w:rPr>
                <w:rFonts w:ascii="FrankRuehl" w:hAnsi="FrankRuehl" w:cs="FrankRuehl"/>
                <w:b/>
                <w:bCs/>
                <w:sz w:val="28"/>
                <w:szCs w:val="28"/>
              </w:rPr>
            </w:pPr>
            <w:r w:rsidRPr="00634D8E">
              <w:rPr>
                <w:rFonts w:hint="cs"/>
                <w:rtl/>
              </w:rPr>
              <w:t xml:space="preserve"> </w:t>
            </w:r>
            <w:r w:rsidRPr="00634D8E">
              <w:rPr>
                <w:rFonts w:ascii="FrankRuehl" w:hAnsi="FrankRuehl" w:cs="FrankRuehl"/>
                <w:b/>
                <w:bCs/>
                <w:sz w:val="28"/>
                <w:szCs w:val="28"/>
                <w:rtl/>
              </w:rPr>
              <w:t xml:space="preserve">בפני </w:t>
            </w:r>
          </w:p>
        </w:tc>
        <w:tc>
          <w:tcPr>
            <w:tcW w:w="7897" w:type="dxa"/>
            <w:gridSpan w:val="4"/>
            <w:tcBorders>
              <w:top w:val="nil"/>
              <w:left w:val="nil"/>
              <w:bottom w:val="nil"/>
              <w:right w:val="nil"/>
            </w:tcBorders>
            <w:shd w:val="clear" w:color="auto" w:fill="auto"/>
          </w:tcPr>
          <w:p w14:paraId="27F3585B" w14:textId="77777777" w:rsidR="00463F62" w:rsidRPr="00634D8E" w:rsidRDefault="00463F62" w:rsidP="009443AF">
            <w:pPr>
              <w:rPr>
                <w:rFonts w:ascii="FrankRuehl" w:hAnsi="FrankRuehl" w:cs="FrankRuehl"/>
                <w:b/>
                <w:bCs/>
                <w:sz w:val="28"/>
                <w:szCs w:val="28"/>
                <w:rtl/>
              </w:rPr>
            </w:pPr>
            <w:r w:rsidRPr="00634D8E">
              <w:rPr>
                <w:rFonts w:ascii="FrankRuehl" w:hAnsi="FrankRuehl" w:cs="FrankRuehl"/>
                <w:b/>
                <w:bCs/>
                <w:sz w:val="28"/>
                <w:szCs w:val="28"/>
                <w:rtl/>
              </w:rPr>
              <w:t>כבוד השופט  דוד שאול גבאי ריכטר</w:t>
            </w:r>
          </w:p>
          <w:p w14:paraId="3D9154FB" w14:textId="77777777" w:rsidR="00463F62" w:rsidRPr="00634D8E" w:rsidRDefault="00463F62" w:rsidP="009443AF">
            <w:pPr>
              <w:rPr>
                <w:rFonts w:ascii="FrankRuehl" w:hAnsi="FrankRuehl" w:cs="FrankRuehl"/>
                <w:b/>
                <w:bCs/>
                <w:sz w:val="28"/>
                <w:szCs w:val="28"/>
                <w:rtl/>
              </w:rPr>
            </w:pPr>
          </w:p>
          <w:p w14:paraId="0B75E453" w14:textId="77777777" w:rsidR="00463F62" w:rsidRPr="00634D8E" w:rsidRDefault="00463F62" w:rsidP="00463F62">
            <w:pPr>
              <w:jc w:val="both"/>
              <w:rPr>
                <w:rFonts w:ascii="FrankRuehl" w:hAnsi="FrankRuehl" w:cs="FrankRuehl"/>
                <w:b/>
                <w:bCs/>
                <w:sz w:val="28"/>
                <w:szCs w:val="28"/>
              </w:rPr>
            </w:pPr>
          </w:p>
        </w:tc>
      </w:tr>
      <w:tr w:rsidR="00463F62" w:rsidRPr="00634D8E" w14:paraId="10F890EA" w14:textId="77777777" w:rsidTr="000055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1ECBDB7" w14:textId="77777777" w:rsidR="00463F62" w:rsidRPr="00634D8E" w:rsidRDefault="00463F62" w:rsidP="00463F62">
            <w:pPr>
              <w:jc w:val="both"/>
              <w:rPr>
                <w:rFonts w:ascii="FrankRuehl" w:hAnsi="FrankRuehl" w:cs="FrankRuehl"/>
                <w:b/>
                <w:bCs/>
                <w:sz w:val="28"/>
                <w:szCs w:val="28"/>
              </w:rPr>
            </w:pPr>
            <w:bookmarkStart w:id="1" w:name="FirstAppellant"/>
            <w:r w:rsidRPr="00634D8E">
              <w:rPr>
                <w:rFonts w:ascii="FrankRuehl" w:hAnsi="FrankRuehl" w:cs="FrankRuehl"/>
                <w:b/>
                <w:bCs/>
                <w:sz w:val="28"/>
                <w:szCs w:val="28"/>
                <w:rtl/>
              </w:rPr>
              <w:t>בעניין:</w:t>
            </w:r>
          </w:p>
        </w:tc>
        <w:tc>
          <w:tcPr>
            <w:tcW w:w="4633" w:type="dxa"/>
            <w:gridSpan w:val="2"/>
            <w:tcBorders>
              <w:top w:val="nil"/>
              <w:left w:val="nil"/>
              <w:bottom w:val="nil"/>
              <w:right w:val="nil"/>
            </w:tcBorders>
            <w:shd w:val="clear" w:color="auto" w:fill="auto"/>
          </w:tcPr>
          <w:p w14:paraId="0236E548" w14:textId="77777777" w:rsidR="00463F62" w:rsidRPr="00634D8E" w:rsidRDefault="00463F62" w:rsidP="009443AF">
            <w:pPr>
              <w:rPr>
                <w:rFonts w:ascii="FrankRuehl" w:hAnsi="FrankRuehl" w:cs="FrankRuehl"/>
                <w:b/>
                <w:bCs/>
                <w:sz w:val="28"/>
                <w:szCs w:val="28"/>
              </w:rPr>
            </w:pPr>
            <w:r w:rsidRPr="00634D8E">
              <w:rPr>
                <w:rFonts w:ascii="FrankRuehl" w:hAnsi="FrankRuehl" w:cs="FrankRuehl"/>
                <w:b/>
                <w:bCs/>
                <w:sz w:val="28"/>
                <w:szCs w:val="28"/>
                <w:rtl/>
              </w:rPr>
              <w:t>מדינת ישראל</w:t>
            </w:r>
          </w:p>
        </w:tc>
        <w:tc>
          <w:tcPr>
            <w:tcW w:w="3264" w:type="dxa"/>
            <w:gridSpan w:val="2"/>
            <w:tcBorders>
              <w:top w:val="nil"/>
              <w:left w:val="nil"/>
              <w:bottom w:val="nil"/>
              <w:right w:val="nil"/>
            </w:tcBorders>
            <w:shd w:val="clear" w:color="auto" w:fill="auto"/>
          </w:tcPr>
          <w:p w14:paraId="0F06BFCB" w14:textId="77777777" w:rsidR="00463F62" w:rsidRPr="00634D8E" w:rsidRDefault="00463F62" w:rsidP="00463F62">
            <w:pPr>
              <w:jc w:val="both"/>
              <w:rPr>
                <w:rFonts w:ascii="FrankRuehl" w:hAnsi="FrankRuehl" w:cs="FrankRuehl"/>
                <w:b/>
                <w:bCs/>
                <w:sz w:val="28"/>
                <w:szCs w:val="28"/>
              </w:rPr>
            </w:pPr>
          </w:p>
        </w:tc>
      </w:tr>
      <w:tr w:rsidR="00463F62" w:rsidRPr="00634D8E" w14:paraId="3AE4A0CE" w14:textId="77777777" w:rsidTr="000055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ADC1409" w14:textId="77777777" w:rsidR="00463F62" w:rsidRPr="00634D8E" w:rsidRDefault="00463F62" w:rsidP="00463F62">
            <w:pPr>
              <w:jc w:val="both"/>
              <w:rPr>
                <w:rFonts w:ascii="FrankRuehl" w:hAnsi="FrankRuehl" w:cs="FrankRuehl"/>
                <w:b/>
                <w:bCs/>
                <w:sz w:val="28"/>
                <w:szCs w:val="28"/>
                <w:rtl/>
              </w:rPr>
            </w:pPr>
            <w:bookmarkStart w:id="2" w:name="FirstLawyer"/>
            <w:bookmarkEnd w:id="1"/>
          </w:p>
        </w:tc>
        <w:tc>
          <w:tcPr>
            <w:tcW w:w="4633" w:type="dxa"/>
            <w:gridSpan w:val="2"/>
            <w:tcBorders>
              <w:top w:val="nil"/>
              <w:left w:val="nil"/>
              <w:bottom w:val="nil"/>
              <w:right w:val="nil"/>
            </w:tcBorders>
            <w:shd w:val="clear" w:color="auto" w:fill="auto"/>
          </w:tcPr>
          <w:p w14:paraId="57F96B7E" w14:textId="77777777" w:rsidR="00463F62" w:rsidRPr="00634D8E" w:rsidRDefault="00463F62" w:rsidP="00463F62">
            <w:pPr>
              <w:jc w:val="both"/>
              <w:rPr>
                <w:rFonts w:ascii="FrankRuehl" w:hAnsi="FrankRuehl" w:cs="FrankRuehl"/>
                <w:b/>
                <w:bCs/>
                <w:sz w:val="28"/>
                <w:szCs w:val="28"/>
                <w:rtl/>
              </w:rPr>
            </w:pPr>
            <w:r w:rsidRPr="00634D8E">
              <w:rPr>
                <w:rFonts w:ascii="FrankRuehl" w:hAnsi="FrankRuehl" w:cs="FrankRuehl" w:hint="cs"/>
                <w:b/>
                <w:bCs/>
                <w:sz w:val="28"/>
                <w:szCs w:val="28"/>
                <w:rtl/>
              </w:rPr>
              <w:t>ע"י ב"כ עו"ד מאיר לוברבאום תביעות ירושלים</w:t>
            </w:r>
          </w:p>
        </w:tc>
        <w:tc>
          <w:tcPr>
            <w:tcW w:w="3264" w:type="dxa"/>
            <w:gridSpan w:val="2"/>
            <w:tcBorders>
              <w:top w:val="nil"/>
              <w:left w:val="nil"/>
              <w:bottom w:val="nil"/>
              <w:right w:val="nil"/>
            </w:tcBorders>
            <w:shd w:val="clear" w:color="auto" w:fill="auto"/>
          </w:tcPr>
          <w:p w14:paraId="169DB2E4" w14:textId="77777777" w:rsidR="00463F62" w:rsidRPr="00634D8E" w:rsidRDefault="00463F62" w:rsidP="00463F62">
            <w:pPr>
              <w:jc w:val="right"/>
              <w:rPr>
                <w:rFonts w:ascii="FrankRuehl" w:hAnsi="FrankRuehl" w:cs="FrankRuehl"/>
                <w:b/>
                <w:bCs/>
                <w:sz w:val="28"/>
                <w:szCs w:val="28"/>
                <w:rtl/>
              </w:rPr>
            </w:pPr>
            <w:r w:rsidRPr="00634D8E">
              <w:rPr>
                <w:rFonts w:ascii="FrankRuehl" w:hAnsi="FrankRuehl" w:cs="FrankRuehl"/>
                <w:b/>
                <w:bCs/>
                <w:sz w:val="28"/>
                <w:szCs w:val="28"/>
                <w:rtl/>
              </w:rPr>
              <w:t>המאשימה</w:t>
            </w:r>
          </w:p>
        </w:tc>
      </w:tr>
      <w:bookmarkEnd w:id="2"/>
      <w:tr w:rsidR="00463F62" w:rsidRPr="00634D8E" w14:paraId="24AAE3A0" w14:textId="77777777" w:rsidTr="000055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FF9DFB7" w14:textId="77777777" w:rsidR="00463F62" w:rsidRPr="00634D8E" w:rsidRDefault="00463F62" w:rsidP="00463F62">
            <w:pPr>
              <w:jc w:val="both"/>
              <w:rPr>
                <w:rFonts w:ascii="FrankRuehl" w:hAnsi="FrankRuehl" w:cs="FrankRuehl"/>
                <w:b/>
                <w:bCs/>
                <w:sz w:val="28"/>
                <w:szCs w:val="28"/>
                <w:rtl/>
              </w:rPr>
            </w:pPr>
          </w:p>
        </w:tc>
        <w:tc>
          <w:tcPr>
            <w:tcW w:w="7897" w:type="dxa"/>
            <w:gridSpan w:val="4"/>
            <w:tcBorders>
              <w:top w:val="nil"/>
              <w:left w:val="nil"/>
              <w:bottom w:val="nil"/>
              <w:right w:val="nil"/>
            </w:tcBorders>
            <w:shd w:val="clear" w:color="auto" w:fill="auto"/>
          </w:tcPr>
          <w:p w14:paraId="60086A5C" w14:textId="77777777" w:rsidR="00463F62" w:rsidRPr="00634D8E" w:rsidRDefault="00463F62" w:rsidP="00463F62">
            <w:pPr>
              <w:jc w:val="center"/>
              <w:rPr>
                <w:rFonts w:ascii="FrankRuehl" w:hAnsi="FrankRuehl" w:cs="FrankRuehl"/>
                <w:b/>
                <w:bCs/>
                <w:sz w:val="28"/>
                <w:szCs w:val="28"/>
                <w:rtl/>
              </w:rPr>
            </w:pPr>
          </w:p>
          <w:p w14:paraId="3DE5476E" w14:textId="77777777" w:rsidR="00463F62" w:rsidRPr="00634D8E" w:rsidRDefault="00463F62" w:rsidP="00463F62">
            <w:pPr>
              <w:jc w:val="center"/>
              <w:rPr>
                <w:rFonts w:ascii="FrankRuehl" w:hAnsi="FrankRuehl" w:cs="FrankRuehl"/>
                <w:b/>
                <w:bCs/>
                <w:sz w:val="28"/>
                <w:szCs w:val="28"/>
                <w:rtl/>
              </w:rPr>
            </w:pPr>
            <w:r w:rsidRPr="00634D8E">
              <w:rPr>
                <w:rFonts w:ascii="FrankRuehl" w:hAnsi="FrankRuehl" w:cs="FrankRuehl"/>
                <w:b/>
                <w:bCs/>
                <w:sz w:val="28"/>
                <w:szCs w:val="28"/>
                <w:rtl/>
              </w:rPr>
              <w:t>נגד</w:t>
            </w:r>
          </w:p>
          <w:p w14:paraId="1FF2120B" w14:textId="77777777" w:rsidR="00463F62" w:rsidRPr="00634D8E" w:rsidRDefault="00463F62" w:rsidP="00463F62">
            <w:pPr>
              <w:jc w:val="both"/>
              <w:rPr>
                <w:rFonts w:ascii="FrankRuehl" w:hAnsi="FrankRuehl" w:cs="FrankRuehl"/>
                <w:b/>
                <w:bCs/>
                <w:sz w:val="28"/>
                <w:szCs w:val="28"/>
              </w:rPr>
            </w:pPr>
          </w:p>
        </w:tc>
      </w:tr>
      <w:tr w:rsidR="00463F62" w:rsidRPr="00634D8E" w14:paraId="623F6238" w14:textId="77777777" w:rsidTr="000055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AEB2A5F" w14:textId="77777777" w:rsidR="00463F62" w:rsidRPr="00634D8E" w:rsidRDefault="00463F62" w:rsidP="009443AF">
            <w:pPr>
              <w:rPr>
                <w:rFonts w:ascii="FrankRuehl" w:hAnsi="FrankRuehl" w:cs="FrankRuehl"/>
                <w:b/>
                <w:bCs/>
                <w:sz w:val="28"/>
                <w:szCs w:val="28"/>
                <w:rtl/>
              </w:rPr>
            </w:pPr>
          </w:p>
        </w:tc>
        <w:tc>
          <w:tcPr>
            <w:tcW w:w="4633" w:type="dxa"/>
            <w:gridSpan w:val="2"/>
            <w:tcBorders>
              <w:top w:val="nil"/>
              <w:left w:val="nil"/>
              <w:bottom w:val="nil"/>
              <w:right w:val="nil"/>
            </w:tcBorders>
            <w:shd w:val="clear" w:color="auto" w:fill="auto"/>
          </w:tcPr>
          <w:p w14:paraId="3AC54FA9" w14:textId="77777777" w:rsidR="00463F62" w:rsidRPr="00634D8E" w:rsidRDefault="00463F62" w:rsidP="009443AF">
            <w:pPr>
              <w:rPr>
                <w:rFonts w:ascii="FrankRuehl" w:hAnsi="FrankRuehl" w:cs="FrankRuehl"/>
                <w:b/>
                <w:bCs/>
                <w:sz w:val="28"/>
                <w:szCs w:val="28"/>
                <w:rtl/>
              </w:rPr>
            </w:pPr>
            <w:r w:rsidRPr="00634D8E">
              <w:rPr>
                <w:rFonts w:ascii="FrankRuehl" w:hAnsi="FrankRuehl" w:cs="FrankRuehl"/>
                <w:b/>
                <w:bCs/>
                <w:sz w:val="28"/>
                <w:szCs w:val="28"/>
                <w:rtl/>
              </w:rPr>
              <w:t>מוחמד אבו טיר</w:t>
            </w:r>
          </w:p>
        </w:tc>
        <w:tc>
          <w:tcPr>
            <w:tcW w:w="3264" w:type="dxa"/>
            <w:gridSpan w:val="2"/>
            <w:tcBorders>
              <w:top w:val="nil"/>
              <w:left w:val="nil"/>
              <w:bottom w:val="nil"/>
              <w:right w:val="nil"/>
            </w:tcBorders>
            <w:shd w:val="clear" w:color="auto" w:fill="auto"/>
          </w:tcPr>
          <w:p w14:paraId="3E8DD55F" w14:textId="77777777" w:rsidR="00463F62" w:rsidRPr="00634D8E" w:rsidRDefault="00463F62" w:rsidP="00463F62">
            <w:pPr>
              <w:jc w:val="right"/>
              <w:rPr>
                <w:rFonts w:ascii="FrankRuehl" w:hAnsi="FrankRuehl" w:cs="FrankRuehl"/>
                <w:b/>
                <w:bCs/>
                <w:sz w:val="28"/>
                <w:szCs w:val="28"/>
              </w:rPr>
            </w:pPr>
          </w:p>
        </w:tc>
      </w:tr>
      <w:tr w:rsidR="00463F62" w:rsidRPr="00634D8E" w14:paraId="1A3CB71F" w14:textId="77777777" w:rsidTr="000055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A7EDD7" w14:textId="77777777" w:rsidR="00463F62" w:rsidRPr="00634D8E" w:rsidRDefault="00463F62" w:rsidP="00463F62">
            <w:pPr>
              <w:jc w:val="both"/>
              <w:rPr>
                <w:rFonts w:ascii="FrankRuehl" w:hAnsi="FrankRuehl" w:cs="FrankRuehl"/>
                <w:b/>
                <w:bCs/>
                <w:sz w:val="28"/>
                <w:szCs w:val="28"/>
                <w:rtl/>
              </w:rPr>
            </w:pPr>
          </w:p>
        </w:tc>
        <w:tc>
          <w:tcPr>
            <w:tcW w:w="4633" w:type="dxa"/>
            <w:gridSpan w:val="2"/>
            <w:tcBorders>
              <w:top w:val="nil"/>
              <w:left w:val="nil"/>
              <w:bottom w:val="nil"/>
              <w:right w:val="nil"/>
            </w:tcBorders>
            <w:shd w:val="clear" w:color="auto" w:fill="auto"/>
          </w:tcPr>
          <w:p w14:paraId="295C0F5F" w14:textId="77777777" w:rsidR="00463F62" w:rsidRPr="00634D8E" w:rsidRDefault="00463F62" w:rsidP="00463F62">
            <w:pPr>
              <w:jc w:val="both"/>
              <w:rPr>
                <w:rFonts w:ascii="FrankRuehl" w:hAnsi="FrankRuehl" w:cs="FrankRuehl"/>
                <w:b/>
                <w:bCs/>
                <w:sz w:val="28"/>
                <w:szCs w:val="28"/>
                <w:rtl/>
              </w:rPr>
            </w:pPr>
            <w:r w:rsidRPr="00634D8E">
              <w:rPr>
                <w:rFonts w:ascii="FrankRuehl" w:hAnsi="FrankRuehl" w:cs="FrankRuehl" w:hint="cs"/>
                <w:b/>
                <w:bCs/>
                <w:sz w:val="28"/>
                <w:szCs w:val="28"/>
                <w:rtl/>
              </w:rPr>
              <w:t>ע"י ב"כ עו"ד אשרף חסן</w:t>
            </w:r>
          </w:p>
        </w:tc>
        <w:tc>
          <w:tcPr>
            <w:tcW w:w="3264" w:type="dxa"/>
            <w:gridSpan w:val="2"/>
            <w:tcBorders>
              <w:top w:val="nil"/>
              <w:left w:val="nil"/>
              <w:bottom w:val="nil"/>
              <w:right w:val="nil"/>
            </w:tcBorders>
            <w:shd w:val="clear" w:color="auto" w:fill="auto"/>
          </w:tcPr>
          <w:p w14:paraId="4BC6872D" w14:textId="77777777" w:rsidR="00463F62" w:rsidRPr="00634D8E" w:rsidRDefault="00463F62" w:rsidP="00463F62">
            <w:pPr>
              <w:jc w:val="right"/>
              <w:rPr>
                <w:rFonts w:ascii="FrankRuehl" w:hAnsi="FrankRuehl" w:cs="FrankRuehl"/>
                <w:b/>
                <w:bCs/>
                <w:sz w:val="28"/>
                <w:szCs w:val="28"/>
              </w:rPr>
            </w:pPr>
            <w:r w:rsidRPr="00634D8E">
              <w:rPr>
                <w:rFonts w:ascii="FrankRuehl" w:hAnsi="FrankRuehl" w:cs="FrankRuehl"/>
                <w:b/>
                <w:bCs/>
                <w:sz w:val="28"/>
                <w:szCs w:val="28"/>
                <w:rtl/>
              </w:rPr>
              <w:t>הנאשם</w:t>
            </w:r>
          </w:p>
        </w:tc>
      </w:tr>
    </w:tbl>
    <w:p w14:paraId="2649D7B6" w14:textId="77777777" w:rsidR="000055BB" w:rsidRDefault="000055BB" w:rsidP="00634D8E">
      <w:pPr>
        <w:rPr>
          <w:rtl/>
        </w:rPr>
      </w:pPr>
    </w:p>
    <w:p w14:paraId="79E52479" w14:textId="77777777" w:rsidR="000055BB" w:rsidRPr="000055BB" w:rsidRDefault="000055BB" w:rsidP="000055BB">
      <w:pPr>
        <w:spacing w:after="120" w:line="240" w:lineRule="exact"/>
        <w:ind w:left="283" w:hanging="283"/>
        <w:jc w:val="both"/>
        <w:rPr>
          <w:rFonts w:ascii="FrankRuehl" w:hAnsi="FrankRuehl" w:cs="FrankRuehl"/>
          <w:rtl/>
        </w:rPr>
      </w:pPr>
    </w:p>
    <w:p w14:paraId="66B54179" w14:textId="77777777" w:rsidR="00F153F0" w:rsidRPr="00F153F0" w:rsidRDefault="00F153F0" w:rsidP="00F153F0">
      <w:pPr>
        <w:spacing w:before="120" w:after="120" w:line="240" w:lineRule="exact"/>
        <w:ind w:left="283" w:hanging="283"/>
        <w:jc w:val="both"/>
        <w:rPr>
          <w:rFonts w:ascii="FrankRuehl" w:hAnsi="FrankRuehl" w:cs="FrankRuehl"/>
          <w:rtl/>
        </w:rPr>
      </w:pPr>
    </w:p>
    <w:p w14:paraId="529DA130" w14:textId="77777777" w:rsidR="00852A7D" w:rsidRDefault="00852A7D" w:rsidP="00852A7D">
      <w:pPr>
        <w:rPr>
          <w:rtl/>
        </w:rPr>
      </w:pPr>
      <w:bookmarkStart w:id="3" w:name="LawTable"/>
      <w:bookmarkEnd w:id="3"/>
    </w:p>
    <w:p w14:paraId="043D8D4D" w14:textId="77777777" w:rsidR="00852A7D" w:rsidRPr="00852A7D" w:rsidRDefault="00852A7D" w:rsidP="00852A7D">
      <w:pPr>
        <w:spacing w:before="120" w:after="120" w:line="240" w:lineRule="exact"/>
        <w:ind w:left="283" w:hanging="283"/>
        <w:jc w:val="both"/>
        <w:rPr>
          <w:rFonts w:ascii="FrankRuehl" w:hAnsi="FrankRuehl" w:cs="FrankRuehl"/>
          <w:rtl/>
        </w:rPr>
      </w:pPr>
    </w:p>
    <w:p w14:paraId="486274CD" w14:textId="77777777" w:rsidR="00852A7D" w:rsidRPr="00852A7D" w:rsidRDefault="00852A7D" w:rsidP="00852A7D">
      <w:pPr>
        <w:spacing w:before="120" w:after="120" w:line="240" w:lineRule="exact"/>
        <w:ind w:left="283" w:hanging="283"/>
        <w:jc w:val="both"/>
        <w:rPr>
          <w:rFonts w:ascii="FrankRuehl" w:hAnsi="FrankRuehl" w:cs="FrankRuehl"/>
          <w:rtl/>
        </w:rPr>
      </w:pPr>
    </w:p>
    <w:p w14:paraId="0427AE4C" w14:textId="77777777" w:rsidR="00852A7D" w:rsidRPr="00852A7D" w:rsidRDefault="00852A7D" w:rsidP="00852A7D">
      <w:pPr>
        <w:spacing w:before="120" w:after="120" w:line="240" w:lineRule="exact"/>
        <w:ind w:left="283" w:hanging="283"/>
        <w:jc w:val="both"/>
        <w:rPr>
          <w:rFonts w:ascii="FrankRuehl" w:hAnsi="FrankRuehl" w:cs="FrankRuehl"/>
          <w:rtl/>
        </w:rPr>
      </w:pPr>
      <w:r w:rsidRPr="00852A7D">
        <w:rPr>
          <w:rFonts w:ascii="FrankRuehl" w:hAnsi="FrankRuehl" w:cs="FrankRuehl"/>
          <w:rtl/>
        </w:rPr>
        <w:t xml:space="preserve">חקיקה שאוזכרה: </w:t>
      </w:r>
    </w:p>
    <w:p w14:paraId="01565A94" w14:textId="77777777" w:rsidR="00852A7D" w:rsidRPr="00852A7D" w:rsidRDefault="00852A7D" w:rsidP="00852A7D">
      <w:pPr>
        <w:spacing w:before="120" w:after="120" w:line="240" w:lineRule="exact"/>
        <w:ind w:left="283" w:hanging="283"/>
        <w:jc w:val="both"/>
        <w:rPr>
          <w:rFonts w:ascii="FrankRuehl" w:hAnsi="FrankRuehl" w:cs="FrankRuehl"/>
          <w:rtl/>
        </w:rPr>
      </w:pPr>
      <w:hyperlink r:id="rId7" w:history="1">
        <w:r w:rsidRPr="00852A7D">
          <w:rPr>
            <w:rFonts w:ascii="FrankRuehl" w:hAnsi="FrankRuehl" w:cs="FrankRuehl"/>
            <w:color w:val="0000FF"/>
            <w:rtl/>
          </w:rPr>
          <w:t>פקודת הסמים המסוכנים [נוסח חדש], תשל"ג-1973</w:t>
        </w:r>
      </w:hyperlink>
      <w:r w:rsidRPr="00852A7D">
        <w:rPr>
          <w:rFonts w:ascii="FrankRuehl" w:hAnsi="FrankRuehl" w:cs="FrankRuehl"/>
          <w:rtl/>
        </w:rPr>
        <w:t xml:space="preserve">: סע'  </w:t>
      </w:r>
      <w:hyperlink r:id="rId8" w:history="1">
        <w:r w:rsidRPr="00852A7D">
          <w:rPr>
            <w:rFonts w:ascii="FrankRuehl" w:hAnsi="FrankRuehl" w:cs="FrankRuehl"/>
            <w:color w:val="0000FF"/>
            <w:rtl/>
          </w:rPr>
          <w:t>7.א.</w:t>
        </w:r>
      </w:hyperlink>
      <w:r w:rsidRPr="00852A7D">
        <w:rPr>
          <w:rFonts w:ascii="FrankRuehl" w:hAnsi="FrankRuehl" w:cs="FrankRuehl"/>
          <w:rtl/>
        </w:rPr>
        <w:t xml:space="preserve">, </w:t>
      </w:r>
      <w:hyperlink r:id="rId9" w:history="1">
        <w:r w:rsidRPr="00852A7D">
          <w:rPr>
            <w:rFonts w:ascii="FrankRuehl" w:hAnsi="FrankRuehl" w:cs="FrankRuehl"/>
            <w:color w:val="0000FF"/>
            <w:rtl/>
          </w:rPr>
          <w:t>7.ג</w:t>
        </w:r>
      </w:hyperlink>
    </w:p>
    <w:p w14:paraId="68DD7F62" w14:textId="77777777" w:rsidR="00852A7D" w:rsidRPr="00852A7D" w:rsidRDefault="00852A7D" w:rsidP="00852A7D">
      <w:pPr>
        <w:spacing w:before="120" w:after="120" w:line="240" w:lineRule="exact"/>
        <w:ind w:left="283" w:hanging="283"/>
        <w:jc w:val="both"/>
        <w:rPr>
          <w:rFonts w:ascii="FrankRuehl" w:hAnsi="FrankRuehl" w:cs="FrankRuehl"/>
          <w:rtl/>
        </w:rPr>
      </w:pPr>
      <w:hyperlink r:id="rId10" w:history="1">
        <w:r w:rsidRPr="00852A7D">
          <w:rPr>
            <w:rFonts w:ascii="FrankRuehl" w:hAnsi="FrankRuehl" w:cs="FrankRuehl"/>
            <w:color w:val="0000FF"/>
            <w:rtl/>
          </w:rPr>
          <w:t>חוק העונשין, תשל"ז-1977</w:t>
        </w:r>
      </w:hyperlink>
      <w:r w:rsidRPr="00852A7D">
        <w:rPr>
          <w:rFonts w:ascii="FrankRuehl" w:hAnsi="FrankRuehl" w:cs="FrankRuehl"/>
          <w:rtl/>
        </w:rPr>
        <w:t xml:space="preserve">: סע'  </w:t>
      </w:r>
      <w:hyperlink r:id="rId11" w:history="1">
        <w:r w:rsidRPr="00852A7D">
          <w:rPr>
            <w:rFonts w:ascii="FrankRuehl" w:hAnsi="FrankRuehl" w:cs="FrankRuehl"/>
            <w:color w:val="0000FF"/>
            <w:rtl/>
          </w:rPr>
          <w:t>40ט'</w:t>
        </w:r>
      </w:hyperlink>
      <w:r w:rsidRPr="00852A7D">
        <w:rPr>
          <w:rFonts w:ascii="FrankRuehl" w:hAnsi="FrankRuehl" w:cs="FrankRuehl"/>
          <w:rtl/>
        </w:rPr>
        <w:t xml:space="preserve">, </w:t>
      </w:r>
      <w:hyperlink r:id="rId12" w:history="1">
        <w:r w:rsidRPr="00852A7D">
          <w:rPr>
            <w:rFonts w:ascii="FrankRuehl" w:hAnsi="FrankRuehl" w:cs="FrankRuehl"/>
            <w:color w:val="0000FF"/>
            <w:rtl/>
          </w:rPr>
          <w:t>186(א)</w:t>
        </w:r>
      </w:hyperlink>
      <w:r w:rsidRPr="00852A7D">
        <w:rPr>
          <w:rFonts w:ascii="FrankRuehl" w:hAnsi="FrankRuehl" w:cs="FrankRuehl"/>
          <w:rtl/>
        </w:rPr>
        <w:t xml:space="preserve">, </w:t>
      </w:r>
      <w:hyperlink r:id="rId13" w:history="1">
        <w:r w:rsidRPr="00852A7D">
          <w:rPr>
            <w:rFonts w:ascii="FrankRuehl" w:hAnsi="FrankRuehl" w:cs="FrankRuehl"/>
            <w:color w:val="0000FF"/>
            <w:rtl/>
          </w:rPr>
          <w:t>275</w:t>
        </w:r>
      </w:hyperlink>
      <w:r w:rsidRPr="00852A7D">
        <w:rPr>
          <w:rFonts w:ascii="FrankRuehl" w:hAnsi="FrankRuehl" w:cs="FrankRuehl"/>
          <w:rtl/>
        </w:rPr>
        <w:t xml:space="preserve">, </w:t>
      </w:r>
      <w:hyperlink r:id="rId14" w:history="1">
        <w:r w:rsidRPr="00852A7D">
          <w:rPr>
            <w:rFonts w:ascii="FrankRuehl" w:hAnsi="FrankRuehl" w:cs="FrankRuehl"/>
            <w:color w:val="0000FF"/>
            <w:rtl/>
          </w:rPr>
          <w:t>338(א)(1)</w:t>
        </w:r>
      </w:hyperlink>
      <w:r w:rsidRPr="00852A7D">
        <w:rPr>
          <w:rFonts w:ascii="FrankRuehl" w:hAnsi="FrankRuehl" w:cs="FrankRuehl"/>
          <w:rtl/>
        </w:rPr>
        <w:t xml:space="preserve">, </w:t>
      </w:r>
      <w:hyperlink r:id="rId15" w:history="1">
        <w:r w:rsidRPr="00852A7D">
          <w:rPr>
            <w:rFonts w:ascii="FrankRuehl" w:hAnsi="FrankRuehl" w:cs="FrankRuehl"/>
            <w:color w:val="0000FF"/>
            <w:rtl/>
          </w:rPr>
          <w:t>40יא</w:t>
        </w:r>
      </w:hyperlink>
    </w:p>
    <w:p w14:paraId="146CC579" w14:textId="77777777" w:rsidR="00852A7D" w:rsidRPr="00852A7D" w:rsidRDefault="00852A7D" w:rsidP="00852A7D">
      <w:pPr>
        <w:spacing w:before="120" w:after="120" w:line="240" w:lineRule="exact"/>
        <w:ind w:left="283" w:hanging="283"/>
        <w:jc w:val="both"/>
        <w:rPr>
          <w:rFonts w:ascii="FrankRuehl" w:hAnsi="FrankRuehl" w:cs="FrankRuehl"/>
          <w:rtl/>
        </w:rPr>
      </w:pPr>
      <w:hyperlink r:id="rId16" w:history="1">
        <w:r w:rsidRPr="00852A7D">
          <w:rPr>
            <w:rFonts w:ascii="FrankRuehl" w:hAnsi="FrankRuehl" w:cs="FrankRuehl"/>
            <w:color w:val="0000FF"/>
            <w:rtl/>
          </w:rPr>
          <w:t>פקודת התעבורה [נוסח חדש]</w:t>
        </w:r>
      </w:hyperlink>
      <w:r w:rsidRPr="00852A7D">
        <w:rPr>
          <w:rFonts w:ascii="FrankRuehl" w:hAnsi="FrankRuehl" w:cs="FrankRuehl"/>
          <w:rtl/>
        </w:rPr>
        <w:t xml:space="preserve">: סע'  </w:t>
      </w:r>
      <w:hyperlink r:id="rId17" w:history="1">
        <w:r w:rsidRPr="00852A7D">
          <w:rPr>
            <w:rFonts w:ascii="FrankRuehl" w:hAnsi="FrankRuehl" w:cs="FrankRuehl"/>
            <w:color w:val="0000FF"/>
            <w:rtl/>
          </w:rPr>
          <w:t>10א</w:t>
        </w:r>
      </w:hyperlink>
    </w:p>
    <w:p w14:paraId="2BE05CFE" w14:textId="77777777" w:rsidR="00852A7D" w:rsidRPr="00852A7D" w:rsidRDefault="00852A7D" w:rsidP="00852A7D">
      <w:pPr>
        <w:spacing w:before="120" w:after="120" w:line="240" w:lineRule="exact"/>
        <w:ind w:left="283" w:hanging="283"/>
        <w:jc w:val="both"/>
        <w:rPr>
          <w:rFonts w:ascii="FrankRuehl" w:hAnsi="FrankRuehl" w:cs="FrankRuehl"/>
          <w:rtl/>
        </w:rPr>
      </w:pPr>
      <w:hyperlink r:id="rId18" w:history="1">
        <w:r w:rsidRPr="00852A7D">
          <w:rPr>
            <w:rFonts w:ascii="FrankRuehl" w:hAnsi="FrankRuehl" w:cs="FrankRuehl"/>
            <w:color w:val="0000FF"/>
            <w:rtl/>
          </w:rPr>
          <w:t>פקודת ביטוח רכב מנועי [נוסח חדש], תש"ל-1970</w:t>
        </w:r>
      </w:hyperlink>
      <w:r w:rsidRPr="00852A7D">
        <w:rPr>
          <w:rFonts w:ascii="FrankRuehl" w:hAnsi="FrankRuehl" w:cs="FrankRuehl"/>
          <w:rtl/>
        </w:rPr>
        <w:t xml:space="preserve">: סע'  </w:t>
      </w:r>
      <w:hyperlink r:id="rId19" w:history="1">
        <w:r w:rsidRPr="00852A7D">
          <w:rPr>
            <w:rFonts w:ascii="FrankRuehl" w:hAnsi="FrankRuehl" w:cs="FrankRuehl"/>
            <w:color w:val="0000FF"/>
            <w:rtl/>
          </w:rPr>
          <w:t>2א</w:t>
        </w:r>
      </w:hyperlink>
    </w:p>
    <w:p w14:paraId="595C524A" w14:textId="77777777" w:rsidR="00852A7D" w:rsidRPr="00852A7D" w:rsidRDefault="00852A7D" w:rsidP="00852A7D">
      <w:pPr>
        <w:rPr>
          <w:rtl/>
        </w:rPr>
      </w:pPr>
      <w:bookmarkStart w:id="4" w:name="LawTable_End"/>
      <w:bookmarkEnd w:id="4"/>
    </w:p>
    <w:p w14:paraId="45CDCECD" w14:textId="77777777" w:rsidR="00463F62" w:rsidRPr="00F153F0" w:rsidRDefault="00463F62" w:rsidP="00F153F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3F62" w14:paraId="73715F8D" w14:textId="77777777" w:rsidTr="00463F62">
        <w:trPr>
          <w:trHeight w:val="355"/>
          <w:jc w:val="center"/>
        </w:trPr>
        <w:tc>
          <w:tcPr>
            <w:tcW w:w="8820" w:type="dxa"/>
            <w:tcBorders>
              <w:top w:val="nil"/>
              <w:left w:val="nil"/>
              <w:bottom w:val="nil"/>
              <w:right w:val="nil"/>
            </w:tcBorders>
            <w:shd w:val="clear" w:color="auto" w:fill="auto"/>
          </w:tcPr>
          <w:p w14:paraId="03837A39" w14:textId="77777777" w:rsidR="00634D8E" w:rsidRPr="00634D8E" w:rsidRDefault="00634D8E" w:rsidP="00634D8E">
            <w:pPr>
              <w:jc w:val="center"/>
              <w:rPr>
                <w:rFonts w:ascii="Arial" w:hAnsi="Arial" w:cs="FrankRuehl"/>
                <w:b/>
                <w:bCs/>
                <w:sz w:val="32"/>
                <w:szCs w:val="32"/>
                <w:u w:val="single"/>
                <w:rtl/>
              </w:rPr>
            </w:pPr>
            <w:bookmarkStart w:id="5" w:name="PsakDin" w:colFirst="0" w:colLast="0"/>
            <w:bookmarkEnd w:id="0"/>
            <w:r w:rsidRPr="00634D8E">
              <w:rPr>
                <w:rFonts w:ascii="Arial" w:hAnsi="Arial" w:cs="FrankRuehl"/>
                <w:b/>
                <w:bCs/>
                <w:sz w:val="32"/>
                <w:szCs w:val="32"/>
                <w:u w:val="single"/>
                <w:rtl/>
              </w:rPr>
              <w:t>גזר דין</w:t>
            </w:r>
          </w:p>
          <w:p w14:paraId="65F497D3" w14:textId="77777777" w:rsidR="00463F62" w:rsidRPr="00634D8E" w:rsidRDefault="00463F62" w:rsidP="00634D8E">
            <w:pPr>
              <w:jc w:val="center"/>
              <w:rPr>
                <w:rFonts w:ascii="Arial" w:hAnsi="Arial" w:cs="FrankRuehl"/>
                <w:bCs/>
                <w:sz w:val="32"/>
                <w:szCs w:val="32"/>
                <w:u w:val="single"/>
                <w:rtl/>
              </w:rPr>
            </w:pPr>
          </w:p>
        </w:tc>
      </w:tr>
      <w:bookmarkEnd w:id="5"/>
    </w:tbl>
    <w:p w14:paraId="5F6BA59F" w14:textId="77777777" w:rsidR="00463F62" w:rsidRPr="00B05847" w:rsidRDefault="00463F62" w:rsidP="00463F62">
      <w:pPr>
        <w:rPr>
          <w:rFonts w:ascii="Arial" w:hAnsi="Arial"/>
          <w:rtl/>
        </w:rPr>
      </w:pPr>
    </w:p>
    <w:p w14:paraId="3FBDB947" w14:textId="77777777" w:rsidR="00463F62" w:rsidRPr="00B05847" w:rsidRDefault="00463F62" w:rsidP="00463F62">
      <w:pPr>
        <w:rPr>
          <w:rFonts w:ascii="Arial" w:hAnsi="Arial"/>
          <w:rtl/>
        </w:rPr>
      </w:pPr>
    </w:p>
    <w:p w14:paraId="6C799D93" w14:textId="77777777" w:rsidR="00463F62" w:rsidRDefault="00463F62" w:rsidP="00463F62">
      <w:pPr>
        <w:spacing w:line="360" w:lineRule="auto"/>
        <w:rPr>
          <w:rFonts w:cs="FrankRuehl"/>
          <w:b/>
          <w:bCs/>
          <w:sz w:val="28"/>
          <w:szCs w:val="28"/>
          <w:u w:val="single"/>
        </w:rPr>
      </w:pPr>
      <w:r>
        <w:rPr>
          <w:rFonts w:cs="FrankRuehl"/>
          <w:b/>
          <w:bCs/>
          <w:sz w:val="28"/>
          <w:szCs w:val="28"/>
          <w:u w:val="single"/>
          <w:rtl/>
        </w:rPr>
        <w:t>כתב האישום</w:t>
      </w:r>
      <w:r>
        <w:rPr>
          <w:rFonts w:cs="FrankRuehl" w:hint="cs"/>
          <w:b/>
          <w:bCs/>
          <w:sz w:val="28"/>
          <w:szCs w:val="28"/>
          <w:u w:val="single"/>
          <w:rtl/>
        </w:rPr>
        <w:t xml:space="preserve"> המתוקן והסדר דיוני</w:t>
      </w:r>
    </w:p>
    <w:p w14:paraId="109F06DE" w14:textId="77777777" w:rsidR="00463F62" w:rsidRDefault="00463F62" w:rsidP="00463F62">
      <w:pPr>
        <w:spacing w:line="360" w:lineRule="auto"/>
        <w:jc w:val="both"/>
        <w:rPr>
          <w:rFonts w:cs="FrankRuehl"/>
          <w:sz w:val="28"/>
          <w:szCs w:val="28"/>
          <w:rtl/>
        </w:rPr>
      </w:pPr>
      <w:bookmarkStart w:id="6" w:name="ABSTRACT_START"/>
      <w:bookmarkEnd w:id="6"/>
      <w:r>
        <w:rPr>
          <w:rFonts w:cs="FrankRuehl" w:hint="cs"/>
          <w:sz w:val="28"/>
          <w:szCs w:val="28"/>
          <w:rtl/>
        </w:rPr>
        <w:t>נגד הנאשם הוגש כתב אישום שתוקן במסגרת הסדר דיוני שלא כלל הסכמה עונשית, למעט מגבלה שהטילה על עצמה המאשימה, כי תעתור למאסר מירבי של 10 חודשים.</w:t>
      </w:r>
    </w:p>
    <w:p w14:paraId="3FD72CDE" w14:textId="77777777" w:rsidR="00463F62" w:rsidRDefault="00463F62" w:rsidP="00463F62">
      <w:pPr>
        <w:spacing w:line="360" w:lineRule="auto"/>
        <w:jc w:val="both"/>
        <w:rPr>
          <w:rFonts w:cs="FrankRuehl"/>
          <w:sz w:val="28"/>
          <w:szCs w:val="28"/>
          <w:rtl/>
        </w:rPr>
      </w:pPr>
      <w:bookmarkStart w:id="7" w:name="ABSTRACT_END"/>
      <w:bookmarkEnd w:id="7"/>
    </w:p>
    <w:p w14:paraId="3CE11FA8" w14:textId="77777777" w:rsidR="00463F62" w:rsidRDefault="00463F62" w:rsidP="00463F62">
      <w:pPr>
        <w:spacing w:line="360" w:lineRule="auto"/>
        <w:jc w:val="both"/>
        <w:rPr>
          <w:rFonts w:cs="FrankRuehl"/>
          <w:sz w:val="28"/>
          <w:szCs w:val="28"/>
          <w:rtl/>
        </w:rPr>
      </w:pPr>
      <w:r>
        <w:rPr>
          <w:rFonts w:cs="FrankRuehl" w:hint="cs"/>
          <w:sz w:val="28"/>
          <w:szCs w:val="28"/>
          <w:rtl/>
        </w:rPr>
        <w:t xml:space="preserve">מעובדות כתב האישום המתוקן עולה, כי ביום 2.3.2017 לפנות בוקר, נהג הנאשם בכביש ירושלים תל-אביב סמוך למחסום שורש. בהגיעו למחסום יזום שהקימה המשטרה התברר כי הרכב בו נהג הנאשם הורד מן הכביש ונמכר לפירוק בעוד הנאשם נוהג בו ללא רישיון רכב תקף, </w:t>
      </w:r>
      <w:r>
        <w:rPr>
          <w:rFonts w:cs="FrankRuehl" w:hint="cs"/>
          <w:sz w:val="28"/>
          <w:szCs w:val="28"/>
          <w:rtl/>
        </w:rPr>
        <w:lastRenderedPageBreak/>
        <w:t xml:space="preserve">בהיעדר טסט וללא ביטוח וכן ללא רישיון נהיגה (שמעולם לא הוציא). כשנדרש להציג תעודות, לחץ הנאשם על דוושת ההאצה ברכב והחל בנסיעה, עקף את המחסום ונמלט, דבר שאילץ את אחד השוטרים לזוז לאחור כדי שהרכב לא יפגע בו. שוטרת במחסום צעקה לנאשם לעצור אך זה התעלם מקריאותיה והמשיך בשלו. השוטרים החלו לרדוף אחר הרכב הנמלט וכרזו לנאשם מספר רב של פעמים לעצור. הנאשם התעלם מכך והמשיך בנסיעה מהירה וסיכון העוברים בדרך ונוסע נוסף שישב עמו ברכב. רק בהמשך, עת חברה ניידת  למרדף, הצליחו השוטרים לחסום את דרכו של הנאשם והוא נעצר יחד עם הנוסע. בכליו נתפסו סכין וכן חשיש במשקל 6 גרם ו-3 יחידות </w:t>
      </w:r>
      <w:r>
        <w:rPr>
          <w:rFonts w:cs="FrankRuehl" w:hint="cs"/>
          <w:sz w:val="28"/>
          <w:szCs w:val="28"/>
        </w:rPr>
        <w:t>MDMA</w:t>
      </w:r>
      <w:r>
        <w:rPr>
          <w:rFonts w:cs="FrankRuehl" w:hint="cs"/>
          <w:sz w:val="28"/>
          <w:szCs w:val="28"/>
          <w:rtl/>
        </w:rPr>
        <w:t>. בגין כל אלה הודה הנאשם והורשע ב</w:t>
      </w:r>
      <w:r w:rsidRPr="004825FA">
        <w:rPr>
          <w:rFonts w:cs="FrankRuehl" w:hint="cs"/>
          <w:b/>
          <w:bCs/>
          <w:sz w:val="28"/>
          <w:szCs w:val="28"/>
          <w:rtl/>
        </w:rPr>
        <w:t>החזקת סם לשימוש עצמי,</w:t>
      </w:r>
      <w:r>
        <w:rPr>
          <w:rFonts w:cs="FrankRuehl" w:hint="cs"/>
          <w:sz w:val="28"/>
          <w:szCs w:val="28"/>
          <w:rtl/>
        </w:rPr>
        <w:t xml:space="preserve"> לפי סעיפים </w:t>
      </w:r>
      <w:hyperlink r:id="rId20" w:history="1">
        <w:r w:rsidR="000055BB" w:rsidRPr="000055BB">
          <w:rPr>
            <w:rStyle w:val="Hyperlink"/>
            <w:rFonts w:cs="FrankRuehl"/>
            <w:sz w:val="28"/>
            <w:szCs w:val="28"/>
            <w:rtl/>
          </w:rPr>
          <w:t>7(א) ו-(ג)</w:t>
        </w:r>
      </w:hyperlink>
      <w:r>
        <w:rPr>
          <w:rFonts w:cs="FrankRuehl" w:hint="cs"/>
          <w:sz w:val="28"/>
          <w:szCs w:val="28"/>
          <w:rtl/>
        </w:rPr>
        <w:t xml:space="preserve"> סיפא לפקודת הסמים; </w:t>
      </w:r>
      <w:r w:rsidRPr="004825FA">
        <w:rPr>
          <w:rFonts w:cs="FrankRuehl" w:hint="cs"/>
          <w:b/>
          <w:bCs/>
          <w:sz w:val="28"/>
          <w:szCs w:val="28"/>
          <w:rtl/>
        </w:rPr>
        <w:t>החזקת סכין</w:t>
      </w:r>
      <w:r>
        <w:rPr>
          <w:rFonts w:cs="FrankRuehl" w:hint="cs"/>
          <w:sz w:val="28"/>
          <w:szCs w:val="28"/>
          <w:rtl/>
        </w:rPr>
        <w:t xml:space="preserve"> לפי </w:t>
      </w:r>
      <w:hyperlink r:id="rId21" w:history="1">
        <w:r w:rsidR="000055BB" w:rsidRPr="000055BB">
          <w:rPr>
            <w:rStyle w:val="Hyperlink"/>
            <w:rFonts w:cs="FrankRuehl" w:hint="eastAsia"/>
            <w:sz w:val="28"/>
            <w:szCs w:val="28"/>
            <w:rtl/>
          </w:rPr>
          <w:t>סעיף</w:t>
        </w:r>
        <w:r w:rsidR="000055BB" w:rsidRPr="000055BB">
          <w:rPr>
            <w:rStyle w:val="Hyperlink"/>
            <w:rFonts w:cs="FrankRuehl"/>
            <w:sz w:val="28"/>
            <w:szCs w:val="28"/>
            <w:rtl/>
          </w:rPr>
          <w:t xml:space="preserve"> 186(א)</w:t>
        </w:r>
      </w:hyperlink>
      <w:r>
        <w:rPr>
          <w:rFonts w:cs="FrankRuehl" w:hint="cs"/>
          <w:sz w:val="28"/>
          <w:szCs w:val="28"/>
          <w:rtl/>
        </w:rPr>
        <w:t xml:space="preserve"> ל</w:t>
      </w:r>
      <w:hyperlink r:id="rId22" w:history="1">
        <w:r w:rsidR="00634D8E" w:rsidRPr="00634D8E">
          <w:rPr>
            <w:rFonts w:cs="FrankRuehl"/>
            <w:color w:val="0000FF"/>
            <w:sz w:val="28"/>
            <w:szCs w:val="28"/>
            <w:u w:val="single"/>
            <w:rtl/>
          </w:rPr>
          <w:t>חוק העונשין</w:t>
        </w:r>
      </w:hyperlink>
      <w:r>
        <w:rPr>
          <w:rFonts w:cs="FrankRuehl" w:hint="cs"/>
          <w:sz w:val="28"/>
          <w:szCs w:val="28"/>
          <w:rtl/>
        </w:rPr>
        <w:t xml:space="preserve">, התשל"ז-1977 (להלן </w:t>
      </w:r>
      <w:r>
        <w:rPr>
          <w:rFonts w:cs="FrankRuehl"/>
          <w:sz w:val="28"/>
          <w:szCs w:val="28"/>
          <w:rtl/>
        </w:rPr>
        <w:t>–</w:t>
      </w:r>
      <w:r>
        <w:rPr>
          <w:rFonts w:cs="FrankRuehl" w:hint="cs"/>
          <w:sz w:val="28"/>
          <w:szCs w:val="28"/>
          <w:rtl/>
        </w:rPr>
        <w:t xml:space="preserve"> </w:t>
      </w:r>
      <w:r w:rsidRPr="004825FA">
        <w:rPr>
          <w:rFonts w:cs="FrankRuehl" w:hint="cs"/>
          <w:b/>
          <w:bCs/>
          <w:sz w:val="28"/>
          <w:szCs w:val="28"/>
          <w:rtl/>
        </w:rPr>
        <w:t>החוק</w:t>
      </w:r>
      <w:r>
        <w:rPr>
          <w:rFonts w:cs="FrankRuehl" w:hint="cs"/>
          <w:sz w:val="28"/>
          <w:szCs w:val="28"/>
          <w:rtl/>
        </w:rPr>
        <w:t xml:space="preserve">); </w:t>
      </w:r>
      <w:r w:rsidRPr="004825FA">
        <w:rPr>
          <w:rFonts w:cs="FrankRuehl" w:hint="cs"/>
          <w:b/>
          <w:bCs/>
          <w:sz w:val="28"/>
          <w:szCs w:val="28"/>
          <w:rtl/>
        </w:rPr>
        <w:t>נהיגה ללא רישיון</w:t>
      </w:r>
      <w:r>
        <w:rPr>
          <w:rFonts w:cs="FrankRuehl" w:hint="cs"/>
          <w:sz w:val="28"/>
          <w:szCs w:val="28"/>
          <w:rtl/>
        </w:rPr>
        <w:t xml:space="preserve">, לפי </w:t>
      </w:r>
      <w:hyperlink r:id="rId23" w:history="1">
        <w:r w:rsidR="000055BB" w:rsidRPr="000055BB">
          <w:rPr>
            <w:rStyle w:val="Hyperlink"/>
            <w:rFonts w:cs="FrankRuehl" w:hint="eastAsia"/>
            <w:sz w:val="28"/>
            <w:szCs w:val="28"/>
            <w:rtl/>
          </w:rPr>
          <w:t>סעיף</w:t>
        </w:r>
        <w:r w:rsidR="000055BB" w:rsidRPr="000055BB">
          <w:rPr>
            <w:rStyle w:val="Hyperlink"/>
            <w:rFonts w:cs="FrankRuehl"/>
            <w:sz w:val="28"/>
            <w:szCs w:val="28"/>
            <w:rtl/>
          </w:rPr>
          <w:t xml:space="preserve"> 10א</w:t>
        </w:r>
      </w:hyperlink>
      <w:r>
        <w:rPr>
          <w:rFonts w:cs="FrankRuehl" w:hint="cs"/>
          <w:sz w:val="28"/>
          <w:szCs w:val="28"/>
          <w:rtl/>
        </w:rPr>
        <w:t xml:space="preserve"> ל</w:t>
      </w:r>
      <w:hyperlink r:id="rId24" w:history="1">
        <w:r w:rsidR="00634D8E" w:rsidRPr="00634D8E">
          <w:rPr>
            <w:rFonts w:cs="FrankRuehl"/>
            <w:color w:val="0000FF"/>
            <w:sz w:val="28"/>
            <w:szCs w:val="28"/>
            <w:u w:val="single"/>
            <w:rtl/>
          </w:rPr>
          <w:t>פקודת התעבורה</w:t>
        </w:r>
      </w:hyperlink>
      <w:r>
        <w:rPr>
          <w:rFonts w:cs="FrankRuehl" w:hint="cs"/>
          <w:sz w:val="28"/>
          <w:szCs w:val="28"/>
          <w:rtl/>
        </w:rPr>
        <w:t xml:space="preserve">; </w:t>
      </w:r>
      <w:r w:rsidRPr="004825FA">
        <w:rPr>
          <w:rFonts w:cs="FrankRuehl" w:hint="cs"/>
          <w:b/>
          <w:bCs/>
          <w:sz w:val="28"/>
          <w:szCs w:val="28"/>
          <w:rtl/>
        </w:rPr>
        <w:t>הפרעה לשוטר</w:t>
      </w:r>
      <w:r>
        <w:rPr>
          <w:rFonts w:cs="FrankRuehl" w:hint="cs"/>
          <w:sz w:val="28"/>
          <w:szCs w:val="28"/>
          <w:rtl/>
        </w:rPr>
        <w:t xml:space="preserve"> לפי </w:t>
      </w:r>
      <w:hyperlink r:id="rId25" w:history="1">
        <w:r w:rsidR="000055BB" w:rsidRPr="000055BB">
          <w:rPr>
            <w:rStyle w:val="Hyperlink"/>
            <w:rFonts w:cs="FrankRuehl" w:hint="eastAsia"/>
            <w:sz w:val="28"/>
            <w:szCs w:val="28"/>
            <w:rtl/>
          </w:rPr>
          <w:t>סעיף</w:t>
        </w:r>
        <w:r w:rsidR="000055BB" w:rsidRPr="000055BB">
          <w:rPr>
            <w:rStyle w:val="Hyperlink"/>
            <w:rFonts w:cs="FrankRuehl"/>
            <w:sz w:val="28"/>
            <w:szCs w:val="28"/>
            <w:rtl/>
          </w:rPr>
          <w:t xml:space="preserve"> 275</w:t>
        </w:r>
      </w:hyperlink>
      <w:r>
        <w:rPr>
          <w:rFonts w:cs="FrankRuehl" w:hint="cs"/>
          <w:sz w:val="28"/>
          <w:szCs w:val="28"/>
          <w:rtl/>
        </w:rPr>
        <w:t xml:space="preserve"> לחוק; </w:t>
      </w:r>
      <w:r w:rsidRPr="004825FA">
        <w:rPr>
          <w:rFonts w:cs="FrankRuehl" w:hint="cs"/>
          <w:b/>
          <w:bCs/>
          <w:sz w:val="28"/>
          <w:szCs w:val="28"/>
          <w:rtl/>
        </w:rPr>
        <w:t>נהיגה ללא ביטוח</w:t>
      </w:r>
      <w:r>
        <w:rPr>
          <w:rFonts w:cs="FrankRuehl" w:hint="cs"/>
          <w:sz w:val="28"/>
          <w:szCs w:val="28"/>
          <w:rtl/>
        </w:rPr>
        <w:t xml:space="preserve">, לפי </w:t>
      </w:r>
      <w:hyperlink r:id="rId26" w:history="1">
        <w:r w:rsidR="000055BB" w:rsidRPr="000055BB">
          <w:rPr>
            <w:rStyle w:val="Hyperlink"/>
            <w:rFonts w:cs="FrankRuehl" w:hint="eastAsia"/>
            <w:sz w:val="28"/>
            <w:szCs w:val="28"/>
            <w:rtl/>
          </w:rPr>
          <w:t>סעיף</w:t>
        </w:r>
        <w:r w:rsidR="000055BB" w:rsidRPr="000055BB">
          <w:rPr>
            <w:rStyle w:val="Hyperlink"/>
            <w:rFonts w:cs="FrankRuehl"/>
            <w:sz w:val="28"/>
            <w:szCs w:val="28"/>
            <w:rtl/>
          </w:rPr>
          <w:t xml:space="preserve"> 2א</w:t>
        </w:r>
      </w:hyperlink>
      <w:r>
        <w:rPr>
          <w:rFonts w:cs="FrankRuehl" w:hint="cs"/>
          <w:sz w:val="28"/>
          <w:szCs w:val="28"/>
          <w:rtl/>
        </w:rPr>
        <w:t xml:space="preserve"> ל</w:t>
      </w:r>
      <w:hyperlink r:id="rId27" w:history="1">
        <w:r w:rsidR="00634D8E" w:rsidRPr="00634D8E">
          <w:rPr>
            <w:rFonts w:cs="FrankRuehl"/>
            <w:color w:val="0000FF"/>
            <w:sz w:val="28"/>
            <w:szCs w:val="28"/>
            <w:u w:val="single"/>
            <w:rtl/>
          </w:rPr>
          <w:t>פקודת ביטוח רכב מנועי</w:t>
        </w:r>
      </w:hyperlink>
      <w:r>
        <w:rPr>
          <w:rFonts w:cs="FrankRuehl" w:hint="cs"/>
          <w:sz w:val="28"/>
          <w:szCs w:val="28"/>
          <w:rtl/>
        </w:rPr>
        <w:t xml:space="preserve"> ו</w:t>
      </w:r>
      <w:r w:rsidRPr="004825FA">
        <w:rPr>
          <w:rFonts w:cs="FrankRuehl" w:hint="cs"/>
          <w:b/>
          <w:bCs/>
          <w:sz w:val="28"/>
          <w:szCs w:val="28"/>
          <w:rtl/>
        </w:rPr>
        <w:t>נהיגה פוחזת של רכב</w:t>
      </w:r>
      <w:r>
        <w:rPr>
          <w:rFonts w:cs="FrankRuehl" w:hint="cs"/>
          <w:sz w:val="28"/>
          <w:szCs w:val="28"/>
          <w:rtl/>
        </w:rPr>
        <w:t xml:space="preserve">, לפי </w:t>
      </w:r>
      <w:hyperlink r:id="rId28" w:history="1">
        <w:r w:rsidR="000055BB" w:rsidRPr="000055BB">
          <w:rPr>
            <w:rStyle w:val="Hyperlink"/>
            <w:rFonts w:cs="FrankRuehl" w:hint="eastAsia"/>
            <w:sz w:val="28"/>
            <w:szCs w:val="28"/>
            <w:rtl/>
          </w:rPr>
          <w:t>סעיף</w:t>
        </w:r>
        <w:r w:rsidR="000055BB" w:rsidRPr="000055BB">
          <w:rPr>
            <w:rStyle w:val="Hyperlink"/>
            <w:rFonts w:cs="FrankRuehl"/>
            <w:sz w:val="28"/>
            <w:szCs w:val="28"/>
            <w:rtl/>
          </w:rPr>
          <w:t xml:space="preserve"> 338(א)(1)</w:t>
        </w:r>
      </w:hyperlink>
      <w:r>
        <w:rPr>
          <w:rFonts w:cs="FrankRuehl" w:hint="cs"/>
          <w:sz w:val="28"/>
          <w:szCs w:val="28"/>
          <w:rtl/>
        </w:rPr>
        <w:t xml:space="preserve"> לחוק.</w:t>
      </w:r>
    </w:p>
    <w:p w14:paraId="23885629" w14:textId="77777777" w:rsidR="00463F62" w:rsidRDefault="00463F62" w:rsidP="00463F62">
      <w:pPr>
        <w:spacing w:line="360" w:lineRule="auto"/>
        <w:jc w:val="both"/>
        <w:rPr>
          <w:rFonts w:cs="FrankRuehl"/>
          <w:b/>
          <w:bCs/>
          <w:sz w:val="28"/>
          <w:szCs w:val="28"/>
          <w:u w:val="single"/>
          <w:rtl/>
        </w:rPr>
      </w:pPr>
    </w:p>
    <w:p w14:paraId="405E2C79" w14:textId="77777777" w:rsidR="00463F62" w:rsidRDefault="00463F62" w:rsidP="00463F62">
      <w:pPr>
        <w:spacing w:line="360" w:lineRule="auto"/>
        <w:jc w:val="both"/>
        <w:rPr>
          <w:rFonts w:cs="FrankRuehl"/>
          <w:b/>
          <w:bCs/>
          <w:sz w:val="28"/>
          <w:szCs w:val="28"/>
          <w:u w:val="single"/>
        </w:rPr>
      </w:pPr>
      <w:r>
        <w:rPr>
          <w:rFonts w:cs="FrankRuehl"/>
          <w:b/>
          <w:bCs/>
          <w:sz w:val="28"/>
          <w:szCs w:val="28"/>
          <w:u w:val="single"/>
          <w:rtl/>
        </w:rPr>
        <w:t>מהלך הדיון</w:t>
      </w:r>
    </w:p>
    <w:p w14:paraId="77DD0608" w14:textId="77777777" w:rsidR="00463F62" w:rsidRDefault="00463F62" w:rsidP="00463F62">
      <w:pPr>
        <w:spacing w:line="360" w:lineRule="auto"/>
        <w:jc w:val="both"/>
        <w:rPr>
          <w:rFonts w:cs="FrankRuehl"/>
          <w:sz w:val="28"/>
          <w:szCs w:val="28"/>
          <w:rtl/>
        </w:rPr>
      </w:pPr>
      <w:r>
        <w:rPr>
          <w:rFonts w:cs="FrankRuehl" w:hint="cs"/>
          <w:sz w:val="28"/>
          <w:szCs w:val="28"/>
          <w:rtl/>
        </w:rPr>
        <w:t>כאמור, הצדדים הגיעו להסדר דיוני, במסגרתו הופנה הנאשם לשירות המבחן ולממונה על עבודות השירות. למרות קשיים התחלתיים, התמיד הנאשם בתהליך טיפולי בשירות המבחן וכן הוגשה בעניינו חוו"ד חיובית מטעם הממונה על עבודות השירות.</w:t>
      </w:r>
    </w:p>
    <w:p w14:paraId="753D4635" w14:textId="77777777" w:rsidR="00463F62" w:rsidRDefault="00463F62" w:rsidP="00463F62">
      <w:pPr>
        <w:spacing w:line="360" w:lineRule="auto"/>
        <w:jc w:val="both"/>
        <w:rPr>
          <w:rFonts w:cs="FrankRuehl"/>
          <w:sz w:val="28"/>
          <w:szCs w:val="28"/>
          <w:rtl/>
        </w:rPr>
      </w:pPr>
    </w:p>
    <w:p w14:paraId="4ABB4F45" w14:textId="77777777" w:rsidR="00463F62" w:rsidRPr="008D57A6" w:rsidRDefault="00463F62" w:rsidP="00463F62">
      <w:pPr>
        <w:spacing w:line="360" w:lineRule="auto"/>
        <w:jc w:val="both"/>
        <w:rPr>
          <w:rFonts w:cs="FrankRuehl"/>
          <w:b/>
          <w:bCs/>
          <w:sz w:val="28"/>
          <w:szCs w:val="28"/>
          <w:u w:val="single"/>
          <w:rtl/>
        </w:rPr>
      </w:pPr>
      <w:r w:rsidRPr="008D57A6">
        <w:rPr>
          <w:rFonts w:cs="FrankRuehl" w:hint="cs"/>
          <w:b/>
          <w:bCs/>
          <w:sz w:val="28"/>
          <w:szCs w:val="28"/>
          <w:u w:val="single"/>
          <w:rtl/>
        </w:rPr>
        <w:t>תסקירי שירות המבחן</w:t>
      </w:r>
    </w:p>
    <w:p w14:paraId="0EDCF930" w14:textId="77777777" w:rsidR="00463F62" w:rsidRDefault="00463F62" w:rsidP="00463F62">
      <w:pPr>
        <w:spacing w:line="360" w:lineRule="auto"/>
        <w:jc w:val="both"/>
        <w:rPr>
          <w:rFonts w:cs="FrankRuehl"/>
          <w:sz w:val="28"/>
          <w:szCs w:val="28"/>
          <w:rtl/>
        </w:rPr>
      </w:pPr>
      <w:r>
        <w:rPr>
          <w:rFonts w:cs="FrankRuehl" w:hint="cs"/>
          <w:sz w:val="28"/>
          <w:szCs w:val="28"/>
          <w:rtl/>
        </w:rPr>
        <w:t xml:space="preserve">בעניינו של הנאשם הוגשו 3 תסקירים. מהתסקירים עולה, כי הנאשם כבן 27, רווק, סיים 6 שנות לימוד בלבד. הרקע ממנו צמח הנאשם קשה ומורכב, ולמרות כל זאת, למעט תיק בודד של שימוש עצמי בסמים ועבירות תעבורה, לא היה מעורב הנאשם בפלילים. הנאשם החל להשתמש בסמים בגיל 14 ושירות המבחן עמד על הסביבה הבעייתית בה הוא חי בהקשר זה, ממנה התקשה להתנתק. בתחילת הדרך הטיפולית, נעשה ניסיון לשלב את הנאשם בקהילה טיפולית, ואולם לאחר ימים ספורים עזב הנאשם את הקהילה משום שחש פחד מהמראות אליהם נחשף, והבין את משמעות השימוש בסמים והשפעתם הרעה. הנאשם נרתם לתהליך טיפולי פרטני תחת פיקוח שירות המבחן והיחידה למאבק בהתמכרויות בקהילה, ומסר בדיקות שתן, רובן ככולן נמצאו נקיות מסמים ככל שחלפה התקופה. כיום הנאשם נקי מסמים. שירות המבחן עמד על כך שהנאשם קיבלת אחריות מלאה למעשים ועל רצונו לנהל אורח חיים נורמטיבי. למרות קשייו בתחום האוריינות, הנאשם עבר לאחרונה מבחן תיאוריה והוא שואף להוציא רישיון על רכב משא כבד. </w:t>
      </w:r>
      <w:r>
        <w:rPr>
          <w:rFonts w:cs="FrankRuehl" w:hint="cs"/>
          <w:sz w:val="28"/>
          <w:szCs w:val="28"/>
          <w:rtl/>
        </w:rPr>
        <w:lastRenderedPageBreak/>
        <w:t xml:space="preserve">שירות המבחן המליץ בנסיבות אלו על הטלת מאסר בעבודות שירות, ענישה צופה פני עתיד וצו מבחן שיבטיח את המשך הפיקוח על הנאשם בדרכו הטיפולית. </w:t>
      </w:r>
    </w:p>
    <w:p w14:paraId="4E506839" w14:textId="77777777" w:rsidR="00463F62" w:rsidRDefault="00463F62" w:rsidP="00463F62">
      <w:pPr>
        <w:spacing w:line="360" w:lineRule="auto"/>
        <w:jc w:val="both"/>
        <w:rPr>
          <w:rFonts w:cs="FrankRuehl"/>
          <w:sz w:val="28"/>
          <w:szCs w:val="28"/>
          <w:rtl/>
        </w:rPr>
      </w:pPr>
    </w:p>
    <w:p w14:paraId="7DBB3EFA" w14:textId="77777777" w:rsidR="00463F62" w:rsidRPr="008D57A6" w:rsidRDefault="00463F62" w:rsidP="00463F62">
      <w:pPr>
        <w:spacing w:line="360" w:lineRule="auto"/>
        <w:jc w:val="both"/>
        <w:rPr>
          <w:rFonts w:cs="FrankRuehl"/>
          <w:b/>
          <w:bCs/>
          <w:sz w:val="28"/>
          <w:szCs w:val="28"/>
          <w:u w:val="single"/>
          <w:rtl/>
        </w:rPr>
      </w:pPr>
      <w:r w:rsidRPr="008D57A6">
        <w:rPr>
          <w:rFonts w:cs="FrankRuehl" w:hint="cs"/>
          <w:b/>
          <w:bCs/>
          <w:sz w:val="28"/>
          <w:szCs w:val="28"/>
          <w:u w:val="single"/>
          <w:rtl/>
        </w:rPr>
        <w:t>חוות דעת הממונה על עבודות השירות</w:t>
      </w:r>
    </w:p>
    <w:p w14:paraId="136BE8B8" w14:textId="77777777" w:rsidR="00463F62" w:rsidRDefault="00463F62" w:rsidP="00463F62">
      <w:pPr>
        <w:spacing w:line="360" w:lineRule="auto"/>
        <w:jc w:val="both"/>
        <w:rPr>
          <w:rFonts w:cs="FrankRuehl"/>
          <w:sz w:val="28"/>
          <w:szCs w:val="28"/>
          <w:rtl/>
        </w:rPr>
      </w:pPr>
      <w:r>
        <w:rPr>
          <w:rFonts w:cs="FrankRuehl" w:hint="cs"/>
          <w:sz w:val="28"/>
          <w:szCs w:val="28"/>
          <w:rtl/>
        </w:rPr>
        <w:t>הממונה הגיש חוות דעת חיובית, לפיה הנאשם כשיר לבצע עבודות שירות ב"עין יעל".</w:t>
      </w:r>
    </w:p>
    <w:p w14:paraId="2DCBA3E6" w14:textId="77777777" w:rsidR="00463F62" w:rsidRDefault="00463F62" w:rsidP="00463F62">
      <w:pPr>
        <w:spacing w:line="360" w:lineRule="auto"/>
        <w:jc w:val="both"/>
        <w:rPr>
          <w:rFonts w:cs="FrankRuehl"/>
          <w:sz w:val="28"/>
          <w:szCs w:val="28"/>
          <w:rtl/>
        </w:rPr>
      </w:pPr>
    </w:p>
    <w:p w14:paraId="785B8C36" w14:textId="77777777" w:rsidR="00463F62" w:rsidRDefault="00463F62" w:rsidP="00463F62">
      <w:pPr>
        <w:spacing w:line="360" w:lineRule="auto"/>
        <w:jc w:val="both"/>
        <w:rPr>
          <w:rFonts w:cs="FrankRuehl"/>
          <w:b/>
          <w:bCs/>
          <w:sz w:val="28"/>
          <w:szCs w:val="28"/>
          <w:u w:val="single"/>
          <w:rtl/>
        </w:rPr>
      </w:pPr>
      <w:r>
        <w:rPr>
          <w:rFonts w:cs="FrankRuehl"/>
          <w:b/>
          <w:bCs/>
          <w:sz w:val="28"/>
          <w:szCs w:val="28"/>
          <w:u w:val="single"/>
          <w:rtl/>
        </w:rPr>
        <w:t>טיעונים לעונש</w:t>
      </w:r>
    </w:p>
    <w:p w14:paraId="6B1EF5C4" w14:textId="77777777" w:rsidR="00463F62" w:rsidRDefault="00463F62" w:rsidP="00463F62">
      <w:pPr>
        <w:spacing w:line="360" w:lineRule="auto"/>
        <w:jc w:val="both"/>
        <w:rPr>
          <w:rFonts w:cs="FrankRuehl"/>
          <w:sz w:val="28"/>
          <w:szCs w:val="28"/>
          <w:rtl/>
        </w:rPr>
      </w:pPr>
      <w:r>
        <w:rPr>
          <w:rFonts w:cs="FrankRuehl"/>
          <w:sz w:val="28"/>
          <w:szCs w:val="28"/>
          <w:rtl/>
        </w:rPr>
        <w:t xml:space="preserve">הצדדים לא הגיעו להסכמה עונשית. </w:t>
      </w:r>
    </w:p>
    <w:p w14:paraId="1DC74DAD" w14:textId="77777777" w:rsidR="00463F62" w:rsidRDefault="00463F62" w:rsidP="00463F62">
      <w:pPr>
        <w:spacing w:line="360" w:lineRule="auto"/>
        <w:jc w:val="both"/>
        <w:rPr>
          <w:rFonts w:cs="FrankRuehl"/>
          <w:sz w:val="28"/>
          <w:szCs w:val="28"/>
          <w:rtl/>
        </w:rPr>
      </w:pPr>
      <w:r>
        <w:rPr>
          <w:rFonts w:cs="FrankRuehl"/>
          <w:sz w:val="28"/>
          <w:szCs w:val="28"/>
          <w:rtl/>
        </w:rPr>
        <w:t xml:space="preserve">מחד, </w:t>
      </w:r>
      <w:r>
        <w:rPr>
          <w:rFonts w:cs="FrankRuehl" w:hint="cs"/>
          <w:sz w:val="28"/>
          <w:szCs w:val="28"/>
          <w:rtl/>
        </w:rPr>
        <w:t xml:space="preserve">ב"כ </w:t>
      </w:r>
      <w:r>
        <w:rPr>
          <w:rFonts w:cs="FrankRuehl"/>
          <w:sz w:val="28"/>
          <w:szCs w:val="28"/>
          <w:rtl/>
        </w:rPr>
        <w:t xml:space="preserve">המאשימה </w:t>
      </w:r>
      <w:r>
        <w:rPr>
          <w:rFonts w:cs="FrankRuehl" w:hint="cs"/>
          <w:sz w:val="28"/>
          <w:szCs w:val="28"/>
          <w:rtl/>
        </w:rPr>
        <w:t xml:space="preserve">טען, </w:t>
      </w:r>
      <w:r>
        <w:rPr>
          <w:rFonts w:cs="FrankRuehl"/>
          <w:sz w:val="28"/>
          <w:szCs w:val="28"/>
          <w:rtl/>
        </w:rPr>
        <w:t xml:space="preserve">כי יש להטיל על הנאשם </w:t>
      </w:r>
      <w:r>
        <w:rPr>
          <w:rFonts w:cs="FrankRuehl" w:hint="cs"/>
          <w:sz w:val="28"/>
          <w:szCs w:val="28"/>
          <w:rtl/>
        </w:rPr>
        <w:t xml:space="preserve">עונש בתחתית מתחם שבין 10 חודשי מאסר ל-20 חודשי מאסר וענישה נלווית. </w:t>
      </w:r>
    </w:p>
    <w:p w14:paraId="01FBA7DD" w14:textId="77777777" w:rsidR="00463F62" w:rsidRDefault="00463F62" w:rsidP="00463F62">
      <w:pPr>
        <w:spacing w:line="360" w:lineRule="auto"/>
        <w:jc w:val="both"/>
        <w:rPr>
          <w:rFonts w:cs="FrankRuehl"/>
          <w:sz w:val="28"/>
          <w:szCs w:val="28"/>
          <w:rtl/>
        </w:rPr>
      </w:pPr>
      <w:r>
        <w:rPr>
          <w:rFonts w:cs="FrankRuehl"/>
          <w:sz w:val="28"/>
          <w:szCs w:val="28"/>
          <w:rtl/>
        </w:rPr>
        <w:t xml:space="preserve">מאידך, הסניגור </w:t>
      </w:r>
      <w:r>
        <w:rPr>
          <w:rFonts w:cs="FrankRuehl" w:hint="cs"/>
          <w:sz w:val="28"/>
          <w:szCs w:val="28"/>
          <w:rtl/>
        </w:rPr>
        <w:t xml:space="preserve">טען, </w:t>
      </w:r>
      <w:r>
        <w:rPr>
          <w:rFonts w:cs="FrankRuehl"/>
          <w:sz w:val="28"/>
          <w:szCs w:val="28"/>
          <w:rtl/>
        </w:rPr>
        <w:t xml:space="preserve">כי </w:t>
      </w:r>
      <w:r>
        <w:rPr>
          <w:rFonts w:cs="FrankRuehl" w:hint="cs"/>
          <w:sz w:val="28"/>
          <w:szCs w:val="28"/>
          <w:rtl/>
        </w:rPr>
        <w:t xml:space="preserve">נוכח כברת הדרך שעשה הנאשם, ניתן לאמץ את המלצת שירות המבחן. </w:t>
      </w:r>
    </w:p>
    <w:p w14:paraId="2E637DBD" w14:textId="77777777" w:rsidR="00463F62" w:rsidRDefault="00463F62" w:rsidP="00463F62">
      <w:pPr>
        <w:spacing w:line="360" w:lineRule="auto"/>
        <w:jc w:val="both"/>
        <w:rPr>
          <w:rFonts w:cs="FrankRuehl"/>
          <w:sz w:val="28"/>
          <w:szCs w:val="28"/>
          <w:rtl/>
        </w:rPr>
      </w:pPr>
    </w:p>
    <w:p w14:paraId="39DB74D5" w14:textId="77777777" w:rsidR="00463F62" w:rsidRDefault="00463F62" w:rsidP="00463F62">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331DF090" w14:textId="77777777" w:rsidR="00463F62" w:rsidRDefault="00463F62" w:rsidP="00463F62">
      <w:pPr>
        <w:spacing w:line="360" w:lineRule="auto"/>
        <w:jc w:val="both"/>
        <w:rPr>
          <w:rFonts w:cs="FrankRuehl"/>
          <w:b/>
          <w:bCs/>
          <w:sz w:val="28"/>
          <w:szCs w:val="28"/>
          <w:u w:val="single"/>
          <w:rtl/>
        </w:rPr>
      </w:pPr>
    </w:p>
    <w:p w14:paraId="1EA28E58" w14:textId="77777777" w:rsidR="00463F62" w:rsidRDefault="00463F62" w:rsidP="00463F62">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העבירות אותן עבר הנאשם פוגעות בערך המוגן של </w:t>
      </w:r>
      <w:r>
        <w:rPr>
          <w:rFonts w:cs="FrankRuehl" w:hint="cs"/>
          <w:sz w:val="28"/>
          <w:szCs w:val="28"/>
          <w:rtl/>
        </w:rPr>
        <w:t xml:space="preserve">שלום הציבור וביטחונו. לא רק שהנאשם נהג ברכב שאמור היה להיות מורד מהכביש, אלא שעשה כן שעה שמעולם לא הוציא רישיון, וכשהרכב אינו מורשה או מבוטח. הנאשם נהג ברכב תוך שהוא נמלט משוטרים תוך שהוא מסכן את הכלל ואת עצמו. לכך יש להוסיף את הסמים שנתפסו ואת הסכין, ויש בכך ללמד כי מידת הפגיעה בערכים המוגנים בינונית גבוהה. </w:t>
      </w:r>
    </w:p>
    <w:p w14:paraId="5D3B8B20" w14:textId="77777777" w:rsidR="00463F62" w:rsidRDefault="00463F62" w:rsidP="00463F62">
      <w:pPr>
        <w:spacing w:line="360" w:lineRule="auto"/>
        <w:jc w:val="both"/>
        <w:rPr>
          <w:rFonts w:cs="FrankRuehl"/>
          <w:sz w:val="28"/>
          <w:szCs w:val="28"/>
          <w:rtl/>
        </w:rPr>
      </w:pPr>
    </w:p>
    <w:p w14:paraId="50553D90" w14:textId="77777777" w:rsidR="00463F62" w:rsidRDefault="00463F62" w:rsidP="00463F62">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9" w:history="1">
        <w:r w:rsidR="000055BB" w:rsidRPr="000055BB">
          <w:rPr>
            <w:rStyle w:val="Hyperlink"/>
            <w:rFonts w:cs="FrankRuehl"/>
            <w:b/>
            <w:bCs/>
            <w:sz w:val="28"/>
            <w:szCs w:val="28"/>
            <w:rtl/>
          </w:rPr>
          <w:t>סעיף 40ט'</w:t>
        </w:r>
      </w:hyperlink>
      <w:r>
        <w:rPr>
          <w:rFonts w:cs="FrankRuehl"/>
          <w:b/>
          <w:bCs/>
          <w:sz w:val="28"/>
          <w:szCs w:val="28"/>
          <w:u w:val="single"/>
          <w:rtl/>
        </w:rPr>
        <w:t xml:space="preserve"> ל</w:t>
      </w:r>
      <w:hyperlink r:id="rId30" w:history="1">
        <w:r w:rsidR="00634D8E" w:rsidRPr="00634D8E">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מדובר בעבירה מתוכננת בהיבט של השימוש ברכב המושבת והנהיגה ללא רישיון וכן החזקת הסמים והסכין. התנהגות הנאשם מעידה כי "נלחץ" וניסה להימלט מאימת הדין, ותוך כדי כך התעלם מהסיכון שהציב בהימלטותו, כלפי כלל הציבור לרבות הוא עצמו והנוסע עמו ברכב. בפועל נגרם נזק מעצם ניהול המרדף והסיכון שבדרך, ופוטנציאל הנזק מכל אחד מרכיבי התנהגות הנאשם באירוע הוא משמעותי ביותר; הנאשם צריך היה להימנע מן המעשים והוא אחראי להם באופן בלעדי.</w:t>
      </w:r>
    </w:p>
    <w:p w14:paraId="7127AF93" w14:textId="77777777" w:rsidR="00463F62" w:rsidRDefault="00463F62" w:rsidP="00463F62">
      <w:pPr>
        <w:spacing w:line="360" w:lineRule="auto"/>
        <w:jc w:val="both"/>
        <w:rPr>
          <w:rFonts w:cs="FrankRuehl"/>
          <w:b/>
          <w:bCs/>
          <w:sz w:val="28"/>
          <w:szCs w:val="28"/>
          <w:u w:val="single"/>
          <w:rtl/>
        </w:rPr>
      </w:pPr>
    </w:p>
    <w:p w14:paraId="1A879AAF" w14:textId="77777777" w:rsidR="00463F62" w:rsidRPr="00D335FE" w:rsidRDefault="00463F62" w:rsidP="00463F62">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sidRPr="00D335FE">
        <w:rPr>
          <w:rFonts w:cs="FrankRuehl" w:hint="cs"/>
          <w:sz w:val="28"/>
          <w:szCs w:val="28"/>
          <w:rtl/>
        </w:rPr>
        <w:t xml:space="preserve">עבירות מסוג זה זוכות לרוב למענה בדמות מאסרים בפועל. </w:t>
      </w:r>
      <w:r>
        <w:rPr>
          <w:rFonts w:cs="FrankRuehl" w:hint="cs"/>
          <w:sz w:val="28"/>
          <w:szCs w:val="28"/>
          <w:rtl/>
        </w:rPr>
        <w:t xml:space="preserve"> ב</w:t>
      </w:r>
      <w:hyperlink r:id="rId31" w:history="1">
        <w:r w:rsidR="00634D8E" w:rsidRPr="00634D8E">
          <w:rPr>
            <w:rFonts w:cs="FrankRuehl"/>
            <w:color w:val="0000FF"/>
            <w:sz w:val="28"/>
            <w:szCs w:val="28"/>
            <w:u w:val="single"/>
            <w:rtl/>
          </w:rPr>
          <w:t>רע"פ 9269/17</w:t>
        </w:r>
      </w:hyperlink>
      <w:r>
        <w:rPr>
          <w:rFonts w:cs="FrankRuehl" w:hint="cs"/>
          <w:sz w:val="28"/>
          <w:szCs w:val="28"/>
          <w:rtl/>
        </w:rPr>
        <w:t xml:space="preserve"> </w:t>
      </w:r>
      <w:r w:rsidRPr="009A0978">
        <w:rPr>
          <w:rFonts w:cs="FrankRuehl" w:hint="cs"/>
          <w:b/>
          <w:bCs/>
          <w:sz w:val="28"/>
          <w:szCs w:val="28"/>
          <w:u w:val="single"/>
          <w:rtl/>
        </w:rPr>
        <w:t>אבו עישא</w:t>
      </w:r>
      <w:r>
        <w:rPr>
          <w:rFonts w:cs="FrankRuehl" w:hint="cs"/>
          <w:sz w:val="28"/>
          <w:szCs w:val="28"/>
          <w:rtl/>
        </w:rPr>
        <w:t xml:space="preserve"> נ' </w:t>
      </w:r>
      <w:r w:rsidRPr="009A0978">
        <w:rPr>
          <w:rFonts w:cs="FrankRuehl" w:hint="cs"/>
          <w:b/>
          <w:bCs/>
          <w:sz w:val="28"/>
          <w:szCs w:val="28"/>
          <w:u w:val="single"/>
          <w:rtl/>
        </w:rPr>
        <w:t>מ"י</w:t>
      </w:r>
      <w:r>
        <w:rPr>
          <w:rFonts w:cs="FrankRuehl" w:hint="cs"/>
          <w:sz w:val="28"/>
          <w:szCs w:val="28"/>
          <w:rtl/>
        </w:rPr>
        <w:t xml:space="preserve"> (מיום 15.1.2018) דובר בנסיבות חמורות יותר של גניבת רכב, בריחה מהשוטרים תוך כדי נהיגה פוחזת ללא ביטוח ונהיגה בפסילה. שם אושר מתחם שבין 15 ל-30 חודשי מאסר ו-15 חודשי מאסר; ב</w:t>
      </w:r>
      <w:hyperlink r:id="rId32" w:history="1">
        <w:r w:rsidR="00634D8E" w:rsidRPr="00634D8E">
          <w:rPr>
            <w:rFonts w:cs="FrankRuehl"/>
            <w:color w:val="0000FF"/>
            <w:sz w:val="28"/>
            <w:szCs w:val="28"/>
            <w:u w:val="single"/>
            <w:rtl/>
          </w:rPr>
          <w:t>רע"פ 6747/18</w:t>
        </w:r>
      </w:hyperlink>
      <w:r>
        <w:rPr>
          <w:rFonts w:cs="FrankRuehl" w:hint="cs"/>
          <w:sz w:val="28"/>
          <w:szCs w:val="28"/>
          <w:rtl/>
        </w:rPr>
        <w:t xml:space="preserve"> </w:t>
      </w:r>
      <w:r w:rsidRPr="009A0978">
        <w:rPr>
          <w:rFonts w:cs="FrankRuehl" w:hint="cs"/>
          <w:b/>
          <w:bCs/>
          <w:sz w:val="28"/>
          <w:szCs w:val="28"/>
          <w:u w:val="single"/>
          <w:rtl/>
        </w:rPr>
        <w:t>צ'וקול</w:t>
      </w:r>
      <w:r>
        <w:rPr>
          <w:rFonts w:cs="FrankRuehl" w:hint="cs"/>
          <w:sz w:val="28"/>
          <w:szCs w:val="28"/>
          <w:rtl/>
        </w:rPr>
        <w:t xml:space="preserve"> נ' </w:t>
      </w:r>
      <w:r w:rsidRPr="009A0978">
        <w:rPr>
          <w:rFonts w:cs="FrankRuehl" w:hint="cs"/>
          <w:b/>
          <w:bCs/>
          <w:sz w:val="28"/>
          <w:szCs w:val="28"/>
          <w:u w:val="single"/>
          <w:rtl/>
        </w:rPr>
        <w:t>מ"י</w:t>
      </w:r>
      <w:r>
        <w:rPr>
          <w:rFonts w:cs="FrankRuehl" w:hint="cs"/>
          <w:sz w:val="28"/>
          <w:szCs w:val="28"/>
          <w:rtl/>
        </w:rPr>
        <w:t xml:space="preserve"> (מיום 29.1.2018) אושר מתחם שבין 4 ל-15 חודשי מאסר בנסיבות של נהיגה בפזיזות ורשלנות תוך ניגוח ניידת אגב הימלטות משוטרים; ב</w:t>
      </w:r>
      <w:hyperlink r:id="rId33" w:history="1">
        <w:r w:rsidR="00634D8E" w:rsidRPr="00634D8E">
          <w:rPr>
            <w:rFonts w:cs="FrankRuehl"/>
            <w:color w:val="0000FF"/>
            <w:sz w:val="28"/>
            <w:szCs w:val="28"/>
            <w:u w:val="single"/>
            <w:rtl/>
          </w:rPr>
          <w:t>רע"פ 4628/17</w:t>
        </w:r>
      </w:hyperlink>
      <w:r>
        <w:rPr>
          <w:rFonts w:cs="FrankRuehl" w:hint="cs"/>
          <w:sz w:val="28"/>
          <w:szCs w:val="28"/>
          <w:rtl/>
        </w:rPr>
        <w:t xml:space="preserve"> </w:t>
      </w:r>
      <w:r w:rsidRPr="009A0978">
        <w:rPr>
          <w:rFonts w:cs="FrankRuehl" w:hint="cs"/>
          <w:b/>
          <w:bCs/>
          <w:sz w:val="28"/>
          <w:szCs w:val="28"/>
          <w:u w:val="single"/>
          <w:rtl/>
        </w:rPr>
        <w:t>טלאלקה</w:t>
      </w:r>
      <w:r>
        <w:rPr>
          <w:rFonts w:cs="FrankRuehl" w:hint="cs"/>
          <w:sz w:val="28"/>
          <w:szCs w:val="28"/>
          <w:rtl/>
        </w:rPr>
        <w:t xml:space="preserve"> נ' </w:t>
      </w:r>
      <w:r w:rsidRPr="009A0978">
        <w:rPr>
          <w:rFonts w:cs="FrankRuehl" w:hint="cs"/>
          <w:b/>
          <w:bCs/>
          <w:sz w:val="28"/>
          <w:szCs w:val="28"/>
          <w:u w:val="single"/>
          <w:rtl/>
        </w:rPr>
        <w:t>מ"י</w:t>
      </w:r>
      <w:r>
        <w:rPr>
          <w:rFonts w:cs="FrankRuehl" w:hint="cs"/>
          <w:sz w:val="28"/>
          <w:szCs w:val="28"/>
          <w:rtl/>
        </w:rPr>
        <w:t xml:space="preserve"> (מיום 8.4.2018) אושר מתחם שבין 3 ל-15 חודשי מאסר בנסיבות חמורות של נהיגה רשלנית; ב</w:t>
      </w:r>
      <w:hyperlink r:id="rId34" w:history="1">
        <w:r w:rsidR="00634D8E" w:rsidRPr="00634D8E">
          <w:rPr>
            <w:rFonts w:cs="FrankRuehl"/>
            <w:color w:val="0000FF"/>
            <w:sz w:val="28"/>
            <w:szCs w:val="28"/>
            <w:u w:val="single"/>
            <w:rtl/>
          </w:rPr>
          <w:t>רע"פ 1052/17</w:t>
        </w:r>
      </w:hyperlink>
      <w:r>
        <w:rPr>
          <w:rFonts w:cs="FrankRuehl" w:hint="cs"/>
          <w:sz w:val="28"/>
          <w:szCs w:val="28"/>
          <w:rtl/>
        </w:rPr>
        <w:t xml:space="preserve"> </w:t>
      </w:r>
      <w:r w:rsidRPr="009A0978">
        <w:rPr>
          <w:rFonts w:cs="FrankRuehl" w:hint="cs"/>
          <w:b/>
          <w:bCs/>
          <w:sz w:val="28"/>
          <w:szCs w:val="28"/>
          <w:u w:val="single"/>
          <w:rtl/>
        </w:rPr>
        <w:t>ג'ברין</w:t>
      </w:r>
      <w:r>
        <w:rPr>
          <w:rFonts w:cs="FrankRuehl" w:hint="cs"/>
          <w:sz w:val="28"/>
          <w:szCs w:val="28"/>
          <w:rtl/>
        </w:rPr>
        <w:t xml:space="preserve"> נ' </w:t>
      </w:r>
      <w:r w:rsidRPr="009A0978">
        <w:rPr>
          <w:rFonts w:cs="FrankRuehl" w:hint="cs"/>
          <w:b/>
          <w:bCs/>
          <w:sz w:val="28"/>
          <w:szCs w:val="28"/>
          <w:u w:val="single"/>
          <w:rtl/>
        </w:rPr>
        <w:t>מ"י</w:t>
      </w:r>
      <w:r>
        <w:rPr>
          <w:rFonts w:cs="FrankRuehl" w:hint="cs"/>
          <w:sz w:val="28"/>
          <w:szCs w:val="28"/>
          <w:rtl/>
        </w:rPr>
        <w:t xml:space="preserve"> (מיום 12.3.2017) אושר מתחם שבין מספר חודשי מאסר ועד 12 חודשי מאסר, ועונש של 8 חודשי מאסר בגין גניבת רכב ונהיגה ללא רישיון וביטוח. אמנם הנסיבות שתיארתי שונות ויכול שהן חמורות יותר, אך בענייננו הדבר "מתקזז" עם עבירות הסמים והחזקת הסכין. </w:t>
      </w:r>
    </w:p>
    <w:p w14:paraId="5F45DDD9" w14:textId="77777777" w:rsidR="00463F62" w:rsidRDefault="00463F62" w:rsidP="00463F62">
      <w:pPr>
        <w:spacing w:line="360" w:lineRule="auto"/>
        <w:jc w:val="both"/>
        <w:rPr>
          <w:rFonts w:cs="FrankRuehl"/>
          <w:sz w:val="28"/>
          <w:szCs w:val="28"/>
          <w:u w:val="single"/>
          <w:rtl/>
        </w:rPr>
      </w:pPr>
    </w:p>
    <w:p w14:paraId="165CC977" w14:textId="77777777" w:rsidR="00463F62" w:rsidRDefault="00463F62" w:rsidP="00463F62">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לפיכך, מתחם הענישה </w:t>
      </w:r>
      <w:r>
        <w:rPr>
          <w:rFonts w:cs="FrankRuehl" w:hint="cs"/>
          <w:sz w:val="28"/>
          <w:szCs w:val="28"/>
          <w:rtl/>
        </w:rPr>
        <w:t xml:space="preserve">הראוי </w:t>
      </w:r>
      <w:r>
        <w:rPr>
          <w:rFonts w:cs="FrankRuehl"/>
          <w:sz w:val="28"/>
          <w:szCs w:val="28"/>
          <w:rtl/>
        </w:rPr>
        <w:t xml:space="preserve">צריך לעמוד על </w:t>
      </w:r>
      <w:r>
        <w:rPr>
          <w:rFonts w:cs="FrankRuehl" w:hint="cs"/>
          <w:sz w:val="28"/>
          <w:szCs w:val="28"/>
          <w:rtl/>
        </w:rPr>
        <w:t xml:space="preserve">6 ועד 15 חודשי מאסר. </w:t>
      </w:r>
    </w:p>
    <w:p w14:paraId="00A9A8D6" w14:textId="77777777" w:rsidR="00463F62" w:rsidRDefault="00463F62" w:rsidP="00463F62">
      <w:pPr>
        <w:spacing w:line="360" w:lineRule="auto"/>
        <w:jc w:val="both"/>
        <w:rPr>
          <w:rFonts w:cs="FrankRuehl"/>
          <w:b/>
          <w:bCs/>
          <w:sz w:val="28"/>
          <w:szCs w:val="28"/>
          <w:u w:val="single"/>
          <w:rtl/>
        </w:rPr>
      </w:pPr>
    </w:p>
    <w:p w14:paraId="07BEBB9D" w14:textId="77777777" w:rsidR="00463F62" w:rsidRDefault="00463F62" w:rsidP="00463F62">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35" w:history="1">
        <w:r w:rsidR="000055BB" w:rsidRPr="000055BB">
          <w:rPr>
            <w:rStyle w:val="Hyperlink"/>
            <w:rFonts w:cs="FrankRuehl"/>
            <w:b/>
            <w:bCs/>
            <w:sz w:val="28"/>
            <w:szCs w:val="28"/>
            <w:rtl/>
          </w:rPr>
          <w:t>סעיף 40י"א</w:t>
        </w:r>
      </w:hyperlink>
      <w:r>
        <w:rPr>
          <w:rFonts w:cs="FrankRuehl"/>
          <w:b/>
          <w:bCs/>
          <w:sz w:val="28"/>
          <w:szCs w:val="28"/>
          <w:u w:val="single"/>
          <w:rtl/>
        </w:rPr>
        <w:t xml:space="preserve"> ל</w:t>
      </w:r>
      <w:hyperlink r:id="rId36" w:history="1">
        <w:r w:rsidR="00634D8E" w:rsidRPr="00634D8E">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הנאשם צעיר לימים, גדל בסביבה קשה ומורכבת, ולמרות זאת הוא בעל ערכים נורמטיביים ובעל שאיפות לנהל אורח חיים תקין. למרות קשייו, עובד ומתפרנס וכיום בדרך להוצאת רישיון נהיגה על רכב משא. הוא קיבל אחריות מלאה למעשים, ועבר תהליך טיפולי משמעותי שהביא להתייצבות חייו. מנגד, רישום פלילי מזערי בעבירת סמים, אך קיים רישום פלילי תעבורתי שאינו מחמיא לו. שליחת הנאשם למאסר ממש תדרדר אותו לעבר העולם העברייני, שהוא עושה מאמצים כה רבים לברוח ממנו. לכן יש להטיל עליו עונש של עבודות שירות.</w:t>
      </w:r>
    </w:p>
    <w:p w14:paraId="3B302D69" w14:textId="77777777" w:rsidR="00463F62" w:rsidRDefault="00463F62" w:rsidP="00463F62">
      <w:pPr>
        <w:spacing w:line="360" w:lineRule="auto"/>
        <w:jc w:val="both"/>
        <w:rPr>
          <w:rFonts w:cs="FrankRuehl"/>
          <w:sz w:val="28"/>
          <w:szCs w:val="28"/>
          <w:rtl/>
        </w:rPr>
      </w:pPr>
    </w:p>
    <w:p w14:paraId="424ADD0A" w14:textId="77777777" w:rsidR="00463F62" w:rsidRDefault="00463F62" w:rsidP="00463F62">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יש למקום את הנאשם בשליש הראשון של המתחם. </w:t>
      </w:r>
    </w:p>
    <w:p w14:paraId="4D0E9A28" w14:textId="77777777" w:rsidR="00463F62" w:rsidRDefault="00463F62" w:rsidP="00463F62">
      <w:pPr>
        <w:spacing w:line="360" w:lineRule="auto"/>
        <w:jc w:val="both"/>
        <w:rPr>
          <w:rFonts w:cs="FrankRuehl"/>
          <w:b/>
          <w:bCs/>
          <w:sz w:val="28"/>
          <w:szCs w:val="28"/>
          <w:u w:val="single"/>
          <w:rtl/>
        </w:rPr>
      </w:pPr>
      <w:r>
        <w:rPr>
          <w:rFonts w:cs="FrankRuehl"/>
          <w:b/>
          <w:bCs/>
          <w:sz w:val="28"/>
          <w:szCs w:val="28"/>
          <w:u w:val="single"/>
          <w:rtl/>
        </w:rPr>
        <w:t>גזירת הדין</w:t>
      </w:r>
    </w:p>
    <w:p w14:paraId="443CBBFC" w14:textId="77777777" w:rsidR="00463F62" w:rsidRDefault="00463F62" w:rsidP="00463F62">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69048903" w14:textId="77777777" w:rsidR="00463F62" w:rsidRDefault="00463F62" w:rsidP="00463F62">
      <w:pPr>
        <w:numPr>
          <w:ilvl w:val="0"/>
          <w:numId w:val="1"/>
        </w:numPr>
        <w:spacing w:after="160" w:line="360" w:lineRule="auto"/>
        <w:contextualSpacing/>
        <w:jc w:val="both"/>
        <w:rPr>
          <w:rFonts w:cs="FrankRuehl"/>
          <w:sz w:val="28"/>
          <w:szCs w:val="28"/>
          <w:rtl/>
        </w:rPr>
      </w:pPr>
      <w:r>
        <w:rPr>
          <w:rFonts w:cs="FrankRuehl" w:hint="cs"/>
          <w:sz w:val="28"/>
          <w:szCs w:val="28"/>
          <w:rtl/>
        </w:rPr>
        <w:t xml:space="preserve">7 חודשי מאסר </w:t>
      </w:r>
      <w:r>
        <w:rPr>
          <w:rFonts w:cs="FrankRuehl"/>
          <w:sz w:val="28"/>
          <w:szCs w:val="28"/>
          <w:rtl/>
        </w:rPr>
        <w:t xml:space="preserve">אשר ירוצו בעבודות שירות, החל מיום  </w:t>
      </w:r>
      <w:r>
        <w:rPr>
          <w:rFonts w:cs="FrankRuehl" w:hint="cs"/>
          <w:sz w:val="28"/>
          <w:szCs w:val="28"/>
          <w:rtl/>
        </w:rPr>
        <w:t>12.12.2022</w:t>
      </w:r>
      <w:r>
        <w:rPr>
          <w:rFonts w:cs="FrankRuehl"/>
          <w:sz w:val="28"/>
          <w:szCs w:val="28"/>
          <w:rtl/>
        </w:rPr>
        <w:t>, אשר ירוצו ב</w:t>
      </w:r>
      <w:r>
        <w:rPr>
          <w:rFonts w:cs="FrankRuehl" w:hint="cs"/>
          <w:sz w:val="28"/>
          <w:szCs w:val="28"/>
          <w:rtl/>
        </w:rPr>
        <w:t>עין יעל בירושלים</w:t>
      </w:r>
      <w:r>
        <w:rPr>
          <w:rFonts w:cs="FrankRuehl"/>
          <w:sz w:val="28"/>
          <w:szCs w:val="28"/>
          <w:rtl/>
        </w:rPr>
        <w:t xml:space="preserve">, וזאת על פי חוות דעת הממונה על עבודות השירות. על הנאשם להתייצב ביום  </w:t>
      </w:r>
      <w:r>
        <w:rPr>
          <w:rFonts w:cs="FrankRuehl" w:hint="cs"/>
          <w:sz w:val="28"/>
          <w:szCs w:val="28"/>
          <w:rtl/>
        </w:rPr>
        <w:t>זה</w:t>
      </w:r>
      <w:r>
        <w:rPr>
          <w:rFonts w:cs="FrankRuehl"/>
          <w:sz w:val="28"/>
          <w:szCs w:val="28"/>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6E092974" w14:textId="77777777" w:rsidR="00463F62" w:rsidRDefault="00463F62" w:rsidP="00463F62">
      <w:pPr>
        <w:numPr>
          <w:ilvl w:val="0"/>
          <w:numId w:val="1"/>
        </w:numPr>
        <w:spacing w:after="160" w:line="360" w:lineRule="auto"/>
        <w:contextualSpacing/>
        <w:jc w:val="both"/>
        <w:rPr>
          <w:rFonts w:cs="FrankRuehl"/>
          <w:sz w:val="28"/>
          <w:szCs w:val="28"/>
        </w:rPr>
      </w:pPr>
      <w:r>
        <w:rPr>
          <w:rFonts w:cs="FrankRuehl" w:hint="cs"/>
          <w:sz w:val="28"/>
          <w:szCs w:val="28"/>
          <w:rtl/>
        </w:rPr>
        <w:t xml:space="preserve">6 </w:t>
      </w:r>
      <w:r>
        <w:rPr>
          <w:rFonts w:cs="FrankRuehl"/>
          <w:sz w:val="28"/>
          <w:szCs w:val="28"/>
          <w:rtl/>
        </w:rPr>
        <w:t xml:space="preserve">חודשי מאסר, שלא ירוצו אלא אם יעבור הנאשם </w:t>
      </w:r>
      <w:r>
        <w:rPr>
          <w:rFonts w:cs="FrankRuehl" w:hint="cs"/>
          <w:sz w:val="28"/>
          <w:szCs w:val="28"/>
          <w:rtl/>
        </w:rPr>
        <w:t xml:space="preserve">את העבירות בהן הורשע בתוך 3 שנים </w:t>
      </w:r>
      <w:r>
        <w:rPr>
          <w:rFonts w:cs="FrankRuehl"/>
          <w:sz w:val="28"/>
          <w:szCs w:val="28"/>
          <w:rtl/>
        </w:rPr>
        <w:t>מהיום</w:t>
      </w:r>
      <w:r>
        <w:rPr>
          <w:rFonts w:cs="FrankRuehl" w:hint="cs"/>
          <w:sz w:val="28"/>
          <w:szCs w:val="28"/>
          <w:rtl/>
        </w:rPr>
        <w:t>, למעט שימוש עצמי בסמים ולמעט נהיגה ללא ביטוח</w:t>
      </w:r>
      <w:r>
        <w:rPr>
          <w:rFonts w:cs="FrankRuehl"/>
          <w:sz w:val="28"/>
          <w:szCs w:val="28"/>
          <w:rtl/>
        </w:rPr>
        <w:t>;</w:t>
      </w:r>
    </w:p>
    <w:p w14:paraId="70884086" w14:textId="77777777" w:rsidR="00463F62" w:rsidRDefault="00463F62" w:rsidP="00463F62">
      <w:pPr>
        <w:numPr>
          <w:ilvl w:val="0"/>
          <w:numId w:val="1"/>
        </w:numPr>
        <w:spacing w:after="160" w:line="360" w:lineRule="auto"/>
        <w:contextualSpacing/>
        <w:jc w:val="both"/>
        <w:rPr>
          <w:rFonts w:cs="FrankRuehl"/>
          <w:sz w:val="28"/>
          <w:szCs w:val="28"/>
          <w:rtl/>
        </w:rPr>
      </w:pPr>
      <w:r>
        <w:rPr>
          <w:rFonts w:cs="FrankRuehl" w:hint="cs"/>
          <w:sz w:val="28"/>
          <w:szCs w:val="28"/>
          <w:rtl/>
        </w:rPr>
        <w:t xml:space="preserve">חודש מאסר, שלא ירוצה אלא אם יעבור הנאשם עבירות עוון לפי </w:t>
      </w:r>
      <w:hyperlink r:id="rId37" w:history="1">
        <w:r w:rsidR="00634D8E" w:rsidRPr="00634D8E">
          <w:rPr>
            <w:rFonts w:cs="FrankRuehl"/>
            <w:color w:val="0000FF"/>
            <w:sz w:val="28"/>
            <w:szCs w:val="28"/>
            <w:u w:val="single"/>
            <w:rtl/>
          </w:rPr>
          <w:t>פקודת הסמים המסוכנים</w:t>
        </w:r>
      </w:hyperlink>
      <w:r>
        <w:rPr>
          <w:rFonts w:cs="FrankRuehl" w:hint="cs"/>
          <w:sz w:val="28"/>
          <w:szCs w:val="28"/>
          <w:rtl/>
        </w:rPr>
        <w:t xml:space="preserve"> במהלך 3 שנים מהיום;</w:t>
      </w:r>
    </w:p>
    <w:p w14:paraId="36203869" w14:textId="77777777" w:rsidR="00463F62" w:rsidRDefault="00463F62" w:rsidP="00463F62">
      <w:pPr>
        <w:numPr>
          <w:ilvl w:val="0"/>
          <w:numId w:val="1"/>
        </w:numPr>
        <w:spacing w:after="160" w:line="360" w:lineRule="auto"/>
        <w:contextualSpacing/>
        <w:jc w:val="both"/>
        <w:rPr>
          <w:rFonts w:cs="FrankRuehl"/>
          <w:sz w:val="28"/>
          <w:szCs w:val="28"/>
          <w:rtl/>
        </w:rPr>
      </w:pPr>
      <w:r>
        <w:rPr>
          <w:rFonts w:cs="FrankRuehl" w:hint="cs"/>
          <w:sz w:val="28"/>
          <w:szCs w:val="28"/>
          <w:rtl/>
        </w:rPr>
        <w:t>3 חודשי פסילה מקבלת רישיון או מהחזקה ברישיון נהיגה וזאת על תנאי למשך 3 שנים מהיום בכל העבירות בהן הורשע הנאשם ובכל עבירות עוון לפי פקודת הסמים;</w:t>
      </w:r>
    </w:p>
    <w:p w14:paraId="0D20E4FF" w14:textId="77777777" w:rsidR="00463F62" w:rsidRDefault="00463F62" w:rsidP="00463F62">
      <w:pPr>
        <w:numPr>
          <w:ilvl w:val="0"/>
          <w:numId w:val="1"/>
        </w:numPr>
        <w:spacing w:after="160" w:line="360" w:lineRule="auto"/>
        <w:contextualSpacing/>
        <w:jc w:val="both"/>
        <w:rPr>
          <w:rFonts w:cs="FrankRuehl"/>
          <w:sz w:val="28"/>
          <w:szCs w:val="28"/>
          <w:rtl/>
        </w:rPr>
      </w:pPr>
      <w:r>
        <w:rPr>
          <w:rFonts w:cs="FrankRuehl"/>
          <w:sz w:val="28"/>
          <w:szCs w:val="28"/>
          <w:rtl/>
        </w:rPr>
        <w:t xml:space="preserve">קנס בסך </w:t>
      </w:r>
      <w:r>
        <w:rPr>
          <w:rFonts w:cs="FrankRuehl" w:hint="cs"/>
          <w:sz w:val="28"/>
          <w:szCs w:val="28"/>
          <w:rtl/>
        </w:rPr>
        <w:t xml:space="preserve">1,000 </w:t>
      </w:r>
      <w:r>
        <w:rPr>
          <w:rFonts w:cs="FrankRuehl"/>
          <w:sz w:val="28"/>
          <w:szCs w:val="28"/>
          <w:rtl/>
        </w:rPr>
        <w:t xml:space="preserve">₪, או  </w:t>
      </w:r>
      <w:r>
        <w:rPr>
          <w:rFonts w:cs="FrankRuehl" w:hint="cs"/>
          <w:sz w:val="28"/>
          <w:szCs w:val="28"/>
          <w:rtl/>
        </w:rPr>
        <w:t xml:space="preserve">4 </w:t>
      </w:r>
      <w:r>
        <w:rPr>
          <w:rFonts w:cs="FrankRuehl"/>
          <w:sz w:val="28"/>
          <w:szCs w:val="28"/>
          <w:rtl/>
        </w:rPr>
        <w:t>ימי מאסר תמורתו אם לא ישולם. הקנס ישולם  ב-</w:t>
      </w:r>
      <w:r>
        <w:rPr>
          <w:rFonts w:cs="FrankRuehl" w:hint="cs"/>
          <w:sz w:val="28"/>
          <w:szCs w:val="28"/>
          <w:rtl/>
        </w:rPr>
        <w:t>4</w:t>
      </w:r>
      <w:r>
        <w:rPr>
          <w:rFonts w:cs="FrankRuehl"/>
          <w:sz w:val="28"/>
          <w:szCs w:val="28"/>
          <w:rtl/>
        </w:rPr>
        <w:t xml:space="preserve"> תשלומים שווים ורצופים ב-</w:t>
      </w:r>
      <w:r>
        <w:rPr>
          <w:rFonts w:cs="FrankRuehl" w:hint="cs"/>
          <w:sz w:val="28"/>
          <w:szCs w:val="28"/>
          <w:rtl/>
        </w:rPr>
        <w:t>1</w:t>
      </w:r>
      <w:r>
        <w:rPr>
          <w:rFonts w:cs="FrankRuehl"/>
          <w:sz w:val="28"/>
          <w:szCs w:val="28"/>
          <w:rtl/>
        </w:rPr>
        <w:t xml:space="preserve"> בכל  חודש</w:t>
      </w:r>
      <w:r>
        <w:rPr>
          <w:rFonts w:cs="FrankRuehl" w:hint="cs"/>
          <w:sz w:val="28"/>
          <w:szCs w:val="28"/>
          <w:rtl/>
        </w:rPr>
        <w:t xml:space="preserve"> החל מיום 1.1.2022</w:t>
      </w:r>
      <w:r>
        <w:rPr>
          <w:rFonts w:cs="FrankRuehl"/>
          <w:sz w:val="28"/>
          <w:szCs w:val="28"/>
          <w:rtl/>
        </w:rPr>
        <w:t>. לא ישולם תשלום במועד או לא ישולם כלל, יעמוד הקנס לפירעון מיידי. מורה על קיזוז הקנס מההפקדה שבתיק. ככל שתיוותר יתרת חובה, תשולם כפי שקבעתי. ככל שתיוותר יתרת זכות תוחזר לנאשם על אף כל הוראת עיקול;</w:t>
      </w:r>
    </w:p>
    <w:p w14:paraId="41FDBDBD" w14:textId="77777777" w:rsidR="00463F62" w:rsidRDefault="00463F62" w:rsidP="00463F62">
      <w:pPr>
        <w:numPr>
          <w:ilvl w:val="0"/>
          <w:numId w:val="1"/>
        </w:numPr>
        <w:spacing w:after="160" w:line="360" w:lineRule="auto"/>
        <w:contextualSpacing/>
        <w:jc w:val="both"/>
        <w:rPr>
          <w:rFonts w:cs="FrankRuehl"/>
          <w:sz w:val="28"/>
          <w:szCs w:val="28"/>
        </w:rPr>
      </w:pPr>
      <w:r>
        <w:rPr>
          <w:rFonts w:cs="FrankRuehl"/>
          <w:sz w:val="28"/>
          <w:szCs w:val="28"/>
          <w:rtl/>
        </w:rPr>
        <w:t xml:space="preserve">צו מבחן לתקופה של </w:t>
      </w:r>
      <w:r>
        <w:rPr>
          <w:rFonts w:cs="FrankRuehl" w:hint="cs"/>
          <w:sz w:val="28"/>
          <w:szCs w:val="28"/>
          <w:rtl/>
        </w:rPr>
        <w:t>18 חודשים</w:t>
      </w:r>
      <w:r>
        <w:rPr>
          <w:rFonts w:cs="FrankRuehl"/>
          <w:sz w:val="28"/>
          <w:szCs w:val="28"/>
          <w:rtl/>
        </w:rPr>
        <w:t>.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3E64D0DB" w14:textId="77777777" w:rsidR="00463F62" w:rsidRDefault="00463F62" w:rsidP="00463F62">
      <w:pPr>
        <w:numPr>
          <w:ilvl w:val="0"/>
          <w:numId w:val="1"/>
        </w:numPr>
        <w:spacing w:after="160" w:line="360" w:lineRule="auto"/>
        <w:contextualSpacing/>
        <w:jc w:val="both"/>
        <w:rPr>
          <w:rFonts w:cs="FrankRuehl"/>
          <w:sz w:val="28"/>
          <w:szCs w:val="28"/>
          <w:rtl/>
        </w:rPr>
      </w:pPr>
      <w:r>
        <w:rPr>
          <w:rFonts w:cs="FrankRuehl"/>
          <w:sz w:val="28"/>
          <w:szCs w:val="28"/>
          <w:rtl/>
        </w:rPr>
        <w:t xml:space="preserve">התחייבות בסך </w:t>
      </w:r>
      <w:r>
        <w:rPr>
          <w:rFonts w:cs="FrankRuehl" w:hint="cs"/>
          <w:sz w:val="28"/>
          <w:szCs w:val="28"/>
          <w:rtl/>
        </w:rPr>
        <w:t xml:space="preserve">5,000 </w:t>
      </w:r>
      <w:r>
        <w:rPr>
          <w:rFonts w:cs="FrankRuehl"/>
          <w:sz w:val="28"/>
          <w:szCs w:val="28"/>
          <w:rtl/>
        </w:rPr>
        <w:t xml:space="preserve">₪ שלא לעבור </w:t>
      </w:r>
      <w:r>
        <w:rPr>
          <w:rFonts w:cs="FrankRuehl" w:hint="cs"/>
          <w:sz w:val="28"/>
          <w:szCs w:val="28"/>
          <w:rtl/>
        </w:rPr>
        <w:t xml:space="preserve">את העבירות בהן הורשע הנאשם בתך </w:t>
      </w:r>
      <w:r>
        <w:rPr>
          <w:rFonts w:cs="FrankRuehl"/>
          <w:sz w:val="28"/>
          <w:szCs w:val="28"/>
          <w:rtl/>
        </w:rPr>
        <w:t>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3CAD2931" w14:textId="77777777" w:rsidR="00463F62" w:rsidRDefault="00463F62" w:rsidP="00463F62">
      <w:pPr>
        <w:spacing w:line="360" w:lineRule="auto"/>
        <w:rPr>
          <w:rFonts w:ascii="FrankRuehl" w:hAnsi="FrankRuehl" w:cs="FrankRuehl"/>
          <w:sz w:val="28"/>
          <w:szCs w:val="28"/>
          <w:rtl/>
        </w:rPr>
      </w:pPr>
    </w:p>
    <w:p w14:paraId="5A120927" w14:textId="77777777" w:rsidR="00463F62" w:rsidRDefault="00463F62" w:rsidP="00463F62">
      <w:pPr>
        <w:spacing w:line="360" w:lineRule="auto"/>
        <w:rPr>
          <w:rFonts w:ascii="FrankRuehl" w:hAnsi="FrankRuehl" w:cs="FrankRuehl"/>
          <w:sz w:val="28"/>
          <w:szCs w:val="28"/>
          <w:rtl/>
        </w:rPr>
      </w:pPr>
      <w:r>
        <w:rPr>
          <w:rFonts w:ascii="FrankRuehl" w:hAnsi="FrankRuehl" w:cs="FrankRuehl"/>
          <w:sz w:val="28"/>
          <w:szCs w:val="28"/>
          <w:rtl/>
        </w:rPr>
        <w:t>מורה על השמדת הסמים</w:t>
      </w:r>
      <w:r>
        <w:rPr>
          <w:rFonts w:ascii="FrankRuehl" w:hAnsi="FrankRuehl" w:cs="FrankRuehl" w:hint="cs"/>
          <w:sz w:val="28"/>
          <w:szCs w:val="28"/>
          <w:rtl/>
        </w:rPr>
        <w:t xml:space="preserve"> והמוצגים</w:t>
      </w:r>
      <w:r>
        <w:rPr>
          <w:rFonts w:ascii="FrankRuehl" w:hAnsi="FrankRuehl" w:cs="FrankRuehl"/>
          <w:sz w:val="28"/>
          <w:szCs w:val="28"/>
          <w:rtl/>
        </w:rPr>
        <w:t>.</w:t>
      </w:r>
    </w:p>
    <w:p w14:paraId="00F5FA88" w14:textId="77777777" w:rsidR="00463F62" w:rsidRDefault="00463F62" w:rsidP="00463F62">
      <w:pPr>
        <w:spacing w:line="360" w:lineRule="auto"/>
        <w:rPr>
          <w:rFonts w:ascii="FrankRuehl" w:hAnsi="FrankRuehl" w:cs="FrankRuehl"/>
          <w:sz w:val="28"/>
          <w:szCs w:val="28"/>
        </w:rPr>
      </w:pPr>
      <w:r>
        <w:rPr>
          <w:rFonts w:ascii="FrankRuehl" w:hAnsi="FrankRuehl" w:cs="FrankRuehl"/>
          <w:sz w:val="28"/>
          <w:szCs w:val="28"/>
          <w:rtl/>
        </w:rPr>
        <w:t>יש לשלוח לשירות המבחן ולממונה על עבודות שירות.</w:t>
      </w:r>
    </w:p>
    <w:p w14:paraId="7798F351" w14:textId="77777777" w:rsidR="00463F62" w:rsidRDefault="00463F62" w:rsidP="00463F62">
      <w:pPr>
        <w:rPr>
          <w:rFonts w:ascii="FrankRuehl" w:hAnsi="FrankRuehl" w:cs="FrankRuehl"/>
          <w:sz w:val="28"/>
          <w:szCs w:val="28"/>
          <w:rtl/>
        </w:rPr>
      </w:pPr>
    </w:p>
    <w:p w14:paraId="41BB684F" w14:textId="77777777" w:rsidR="00463F62" w:rsidRDefault="00463F62" w:rsidP="00463F62">
      <w:pPr>
        <w:rPr>
          <w:rFonts w:ascii="FrankRuehl" w:hAnsi="FrankRuehl" w:cs="FrankRuehl"/>
          <w:sz w:val="28"/>
          <w:szCs w:val="28"/>
          <w:rtl/>
        </w:rPr>
      </w:pPr>
      <w:r>
        <w:rPr>
          <w:rFonts w:ascii="FrankRuehl" w:hAnsi="FrankRuehl" w:cs="FrankRuehl"/>
          <w:sz w:val="28"/>
          <w:szCs w:val="28"/>
          <w:rtl/>
        </w:rPr>
        <w:t>זכות ערעור כחוק לבית המשפט המחוזי בירושלים בתוך 45 יום מהיום.</w:t>
      </w:r>
    </w:p>
    <w:p w14:paraId="4D9D63B5" w14:textId="77777777" w:rsidR="00463F62" w:rsidRPr="00634D8E" w:rsidRDefault="00634D8E" w:rsidP="00463F62">
      <w:pPr>
        <w:rPr>
          <w:color w:val="FFFFFF"/>
          <w:sz w:val="2"/>
          <w:szCs w:val="2"/>
          <w:rtl/>
        </w:rPr>
      </w:pPr>
      <w:r w:rsidRPr="00634D8E">
        <w:rPr>
          <w:color w:val="FFFFFF"/>
          <w:sz w:val="2"/>
          <w:szCs w:val="2"/>
          <w:rtl/>
        </w:rPr>
        <w:t>5129371</w:t>
      </w:r>
    </w:p>
    <w:p w14:paraId="2A06FBC2" w14:textId="77777777" w:rsidR="00463F62" w:rsidRDefault="00634D8E" w:rsidP="00463F62">
      <w:pPr>
        <w:rPr>
          <w:rFonts w:cs="FrankRuehl"/>
          <w:sz w:val="28"/>
          <w:szCs w:val="28"/>
          <w:rtl/>
        </w:rPr>
      </w:pPr>
      <w:bookmarkStart w:id="8" w:name="Nitan"/>
      <w:r w:rsidRPr="00634D8E">
        <w:rPr>
          <w:rFonts w:ascii="Arial" w:hAnsi="Arial"/>
          <w:color w:val="FFFFFF"/>
          <w:sz w:val="2"/>
          <w:szCs w:val="2"/>
          <w:rtl/>
        </w:rPr>
        <w:t>54678313</w:t>
      </w:r>
      <w:r>
        <w:rPr>
          <w:rFonts w:ascii="Arial" w:hAnsi="Arial"/>
          <w:rtl/>
        </w:rPr>
        <w:t xml:space="preserve">ניתן היום,  י"ט חשוון תשפ"ב, 25 אוקטובר 2021, במעמד הצדדים. </w:t>
      </w:r>
      <w:bookmarkEnd w:id="8"/>
    </w:p>
    <w:p w14:paraId="68F5159E" w14:textId="77777777" w:rsidR="00463F62" w:rsidRDefault="00463F62" w:rsidP="00634D8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D4B4DEE" w14:textId="77777777" w:rsidR="00463F62" w:rsidRDefault="00463F62" w:rsidP="00463F62">
      <w:pPr>
        <w:jc w:val="center"/>
        <w:rPr>
          <w:rFonts w:ascii="Arial" w:hAnsi="Arial" w:cs="FrankRuehl"/>
          <w:sz w:val="28"/>
          <w:szCs w:val="28"/>
          <w:rtl/>
        </w:rPr>
      </w:pPr>
    </w:p>
    <w:p w14:paraId="6CF95CC7" w14:textId="77777777" w:rsidR="00463F62" w:rsidRDefault="00463F62" w:rsidP="00463F62">
      <w:pPr>
        <w:rPr>
          <w:rFonts w:cs="FrankRuehl"/>
          <w:sz w:val="28"/>
          <w:szCs w:val="28"/>
          <w:rtl/>
        </w:rPr>
      </w:pPr>
    </w:p>
    <w:p w14:paraId="35693CC6" w14:textId="77777777" w:rsidR="00463F62" w:rsidRPr="000055BB" w:rsidRDefault="000055BB" w:rsidP="00463F62">
      <w:pPr>
        <w:pStyle w:val="a3"/>
        <w:jc w:val="center"/>
        <w:rPr>
          <w:color w:val="FFFFFF"/>
          <w:sz w:val="2"/>
          <w:szCs w:val="2"/>
          <w:rtl/>
        </w:rPr>
      </w:pPr>
      <w:r w:rsidRPr="000055BB">
        <w:rPr>
          <w:color w:val="FFFFFF"/>
          <w:sz w:val="2"/>
          <w:szCs w:val="2"/>
          <w:rtl/>
        </w:rPr>
        <w:t>5129371</w:t>
      </w:r>
    </w:p>
    <w:p w14:paraId="214D42C9" w14:textId="77777777" w:rsidR="00F60FF0" w:rsidRPr="000055BB" w:rsidRDefault="000055BB" w:rsidP="00634D8E">
      <w:pPr>
        <w:keepNext/>
        <w:rPr>
          <w:rFonts w:ascii="David" w:hAnsi="David"/>
          <w:color w:val="FFFFFF"/>
          <w:sz w:val="2"/>
          <w:szCs w:val="2"/>
          <w:rtl/>
        </w:rPr>
      </w:pPr>
      <w:r w:rsidRPr="000055BB">
        <w:rPr>
          <w:rFonts w:ascii="David" w:hAnsi="David"/>
          <w:color w:val="FFFFFF"/>
          <w:sz w:val="2"/>
          <w:szCs w:val="2"/>
          <w:rtl/>
        </w:rPr>
        <w:t>54678313</w:t>
      </w:r>
    </w:p>
    <w:p w14:paraId="2C07DE1B" w14:textId="77777777" w:rsidR="00634D8E" w:rsidRDefault="00634D8E" w:rsidP="00634D8E">
      <w:pPr>
        <w:rPr>
          <w:rtl/>
        </w:rPr>
      </w:pPr>
    </w:p>
    <w:p w14:paraId="44E0776B" w14:textId="77777777" w:rsidR="00634D8E" w:rsidRDefault="00634D8E" w:rsidP="00634D8E">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725213E4" w14:textId="77777777" w:rsidR="000055BB" w:rsidRPr="000055BB" w:rsidRDefault="000055BB" w:rsidP="000055BB">
      <w:pPr>
        <w:keepNext/>
        <w:rPr>
          <w:rFonts w:ascii="David" w:hAnsi="David"/>
          <w:color w:val="000000"/>
          <w:sz w:val="22"/>
          <w:szCs w:val="22"/>
          <w:rtl/>
        </w:rPr>
      </w:pPr>
    </w:p>
    <w:p w14:paraId="51D211BB" w14:textId="77777777" w:rsidR="000055BB" w:rsidRPr="000055BB" w:rsidRDefault="000055BB" w:rsidP="000055BB">
      <w:pPr>
        <w:keepNext/>
        <w:rPr>
          <w:rFonts w:ascii="David" w:hAnsi="David"/>
          <w:color w:val="000000"/>
          <w:sz w:val="22"/>
          <w:szCs w:val="22"/>
          <w:rtl/>
        </w:rPr>
      </w:pPr>
      <w:r w:rsidRPr="000055BB">
        <w:rPr>
          <w:rFonts w:ascii="David" w:hAnsi="David"/>
          <w:color w:val="000000"/>
          <w:sz w:val="22"/>
          <w:szCs w:val="22"/>
          <w:rtl/>
        </w:rPr>
        <w:t>דוד שאול גבאי ריכטר 54678313-/</w:t>
      </w:r>
    </w:p>
    <w:p w14:paraId="02FF0F2D" w14:textId="77777777" w:rsidR="00634D8E" w:rsidRPr="00634D8E" w:rsidRDefault="000055BB" w:rsidP="000055BB">
      <w:pPr>
        <w:rPr>
          <w:color w:val="0000FF"/>
          <w:u w:val="single"/>
        </w:rPr>
      </w:pPr>
      <w:r w:rsidRPr="000055BB">
        <w:rPr>
          <w:color w:val="000000"/>
          <w:u w:val="single"/>
          <w:rtl/>
        </w:rPr>
        <w:t>נוסח מסמך זה כפוף לשינויי ניסוח ועריכה</w:t>
      </w:r>
    </w:p>
    <w:sectPr w:rsidR="00634D8E" w:rsidRPr="00634D8E" w:rsidSect="000055BB">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65AC5" w14:textId="77777777" w:rsidR="00EA602C" w:rsidRDefault="00EA602C" w:rsidP="00F92A6F">
      <w:r>
        <w:separator/>
      </w:r>
    </w:p>
  </w:endnote>
  <w:endnote w:type="continuationSeparator" w:id="0">
    <w:p w14:paraId="4C4DD2D4" w14:textId="77777777" w:rsidR="00EA602C" w:rsidRDefault="00EA602C" w:rsidP="00F92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99806" w14:textId="77777777" w:rsidR="000055BB" w:rsidRDefault="000055BB" w:rsidP="000055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1A250E" w14:textId="77777777" w:rsidR="009443AF" w:rsidRPr="000055BB" w:rsidRDefault="000055BB" w:rsidP="000055BB">
    <w:pPr>
      <w:pStyle w:val="a5"/>
      <w:pBdr>
        <w:top w:val="single" w:sz="4" w:space="1" w:color="auto"/>
        <w:between w:val="single" w:sz="4" w:space="0" w:color="auto"/>
      </w:pBdr>
      <w:spacing w:after="60"/>
      <w:jc w:val="center"/>
      <w:rPr>
        <w:rFonts w:ascii="FrankRuehl" w:hAnsi="FrankRuehl" w:cs="FrankRuehl"/>
        <w:color w:val="000000"/>
      </w:rPr>
    </w:pPr>
    <w:r w:rsidRPr="000055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D9218" w14:textId="77777777" w:rsidR="000055BB" w:rsidRDefault="000055BB" w:rsidP="000055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86D01">
      <w:rPr>
        <w:rFonts w:ascii="FrankRuehl" w:hAnsi="FrankRuehl" w:cs="FrankRuehl"/>
        <w:noProof/>
        <w:rtl/>
      </w:rPr>
      <w:t>1</w:t>
    </w:r>
    <w:r>
      <w:rPr>
        <w:rFonts w:ascii="FrankRuehl" w:hAnsi="FrankRuehl" w:cs="FrankRuehl"/>
        <w:rtl/>
      </w:rPr>
      <w:fldChar w:fldCharType="end"/>
    </w:r>
  </w:p>
  <w:p w14:paraId="06BA53F0" w14:textId="77777777" w:rsidR="009443AF" w:rsidRPr="000055BB" w:rsidRDefault="000055BB" w:rsidP="000055BB">
    <w:pPr>
      <w:pStyle w:val="a5"/>
      <w:pBdr>
        <w:top w:val="single" w:sz="4" w:space="1" w:color="auto"/>
        <w:between w:val="single" w:sz="4" w:space="0" w:color="auto"/>
      </w:pBdr>
      <w:spacing w:after="60"/>
      <w:jc w:val="center"/>
      <w:rPr>
        <w:rFonts w:ascii="FrankRuehl" w:hAnsi="FrankRuehl" w:cs="FrankRuehl"/>
        <w:color w:val="000000"/>
      </w:rPr>
    </w:pPr>
    <w:r w:rsidRPr="000055BB">
      <w:rPr>
        <w:rFonts w:ascii="FrankRuehl" w:hAnsi="FrankRuehl" w:cs="FrankRuehl"/>
        <w:color w:val="000000"/>
      </w:rPr>
      <w:pict w14:anchorId="4BE9D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AFED7" w14:textId="77777777" w:rsidR="00EA602C" w:rsidRDefault="00EA602C" w:rsidP="00F92A6F">
      <w:r>
        <w:separator/>
      </w:r>
    </w:p>
  </w:footnote>
  <w:footnote w:type="continuationSeparator" w:id="0">
    <w:p w14:paraId="13FECA74" w14:textId="77777777" w:rsidR="00EA602C" w:rsidRDefault="00EA602C" w:rsidP="00F92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D6387" w14:textId="77777777" w:rsidR="00634D8E" w:rsidRPr="000055BB" w:rsidRDefault="000055BB" w:rsidP="000055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17384-09-17</w:t>
    </w:r>
    <w:r>
      <w:rPr>
        <w:rFonts w:ascii="David" w:hAnsi="David"/>
        <w:color w:val="000000"/>
        <w:sz w:val="22"/>
        <w:szCs w:val="22"/>
        <w:rtl/>
      </w:rPr>
      <w:tab/>
      <w:t xml:space="preserve"> מדינת ישראל נ' מוחמד אבו טיר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30E21" w14:textId="77777777" w:rsidR="00634D8E" w:rsidRPr="000055BB" w:rsidRDefault="000055BB" w:rsidP="000055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17384-09-17</w:t>
    </w:r>
    <w:r>
      <w:rPr>
        <w:rFonts w:ascii="David" w:hAnsi="David"/>
        <w:color w:val="000000"/>
        <w:sz w:val="22"/>
        <w:szCs w:val="22"/>
        <w:rtl/>
      </w:rPr>
      <w:tab/>
      <w:t xml:space="preserve"> מדינת ישראל נ' מוחמד אבו טיר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41330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3F62"/>
    <w:rsid w:val="000055BB"/>
    <w:rsid w:val="00071B52"/>
    <w:rsid w:val="001B5A3B"/>
    <w:rsid w:val="003A73ED"/>
    <w:rsid w:val="003D30E8"/>
    <w:rsid w:val="00463F62"/>
    <w:rsid w:val="005F2AF6"/>
    <w:rsid w:val="00634D8E"/>
    <w:rsid w:val="00852A7D"/>
    <w:rsid w:val="009443AF"/>
    <w:rsid w:val="00A4504B"/>
    <w:rsid w:val="00E86D01"/>
    <w:rsid w:val="00EA602C"/>
    <w:rsid w:val="00F153F0"/>
    <w:rsid w:val="00F60FF0"/>
    <w:rsid w:val="00F92A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31B7E8"/>
  <w15:chartTrackingRefBased/>
  <w15:docId w15:val="{7A906CA6-1D58-4371-AC91-C5169F5D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3F6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63F62"/>
    <w:pPr>
      <w:tabs>
        <w:tab w:val="center" w:pos="4153"/>
        <w:tab w:val="right" w:pos="8306"/>
      </w:tabs>
    </w:pPr>
  </w:style>
  <w:style w:type="character" w:customStyle="1" w:styleId="a4">
    <w:name w:val="כותרת עליונה תו"/>
    <w:link w:val="a3"/>
    <w:rsid w:val="00463F62"/>
    <w:rPr>
      <w:rFonts w:ascii="Times New Roman" w:eastAsia="Times New Roman" w:hAnsi="Times New Roman" w:cs="David"/>
      <w:sz w:val="24"/>
      <w:szCs w:val="24"/>
    </w:rPr>
  </w:style>
  <w:style w:type="paragraph" w:styleId="a5">
    <w:name w:val="footer"/>
    <w:basedOn w:val="a"/>
    <w:link w:val="a6"/>
    <w:rsid w:val="00463F62"/>
    <w:pPr>
      <w:tabs>
        <w:tab w:val="center" w:pos="4153"/>
        <w:tab w:val="right" w:pos="8306"/>
      </w:tabs>
    </w:pPr>
  </w:style>
  <w:style w:type="character" w:customStyle="1" w:styleId="a6">
    <w:name w:val="כותרת תחתונה תו"/>
    <w:link w:val="a5"/>
    <w:rsid w:val="00463F62"/>
    <w:rPr>
      <w:rFonts w:ascii="Times New Roman" w:eastAsia="Times New Roman" w:hAnsi="Times New Roman" w:cs="David"/>
      <w:sz w:val="24"/>
      <w:szCs w:val="24"/>
    </w:rPr>
  </w:style>
  <w:style w:type="table" w:styleId="a7">
    <w:name w:val="Table Grid"/>
    <w:basedOn w:val="a1"/>
    <w:rsid w:val="00463F6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63F62"/>
  </w:style>
  <w:style w:type="character" w:styleId="Hyperlink">
    <w:name w:val="Hyperlink"/>
    <w:rsid w:val="00634D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4501" TargetMode="External"/><Relationship Id="rId26" Type="http://schemas.openxmlformats.org/officeDocument/2006/relationships/hyperlink" Target="http://www.nevo.co.il/law/74501/2a" TargetMode="External"/><Relationship Id="rId39" Type="http://schemas.openxmlformats.org/officeDocument/2006/relationships/header" Target="header1.xml"/><Relationship Id="rId21" Type="http://schemas.openxmlformats.org/officeDocument/2006/relationships/hyperlink" Target="http://www.nevo.co.il/law/70301/186.a" TargetMode="External"/><Relationship Id="rId34" Type="http://schemas.openxmlformats.org/officeDocument/2006/relationships/hyperlink" Target="http://www.nevo.co.il/case/22211893"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0" Type="http://schemas.openxmlformats.org/officeDocument/2006/relationships/hyperlink" Target="http://www.nevo.co.il/law/4216/7.a.;7.c" TargetMode="External"/><Relationship Id="rId29" Type="http://schemas.openxmlformats.org/officeDocument/2006/relationships/hyperlink" Target="http://www.nevo.co.il/law/70301/40i"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5227" TargetMode="External"/><Relationship Id="rId32" Type="http://schemas.openxmlformats.org/officeDocument/2006/relationships/hyperlink" Target="http://www.nevo.co.il/case/25001972"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5227/10a" TargetMode="External"/><Relationship Id="rId28" Type="http://schemas.openxmlformats.org/officeDocument/2006/relationships/hyperlink" Target="http://www.nevo.co.il/law/70301/338.a.1"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4501/2a" TargetMode="External"/><Relationship Id="rId31" Type="http://schemas.openxmlformats.org/officeDocument/2006/relationships/hyperlink" Target="http://www.nevo.co.il/case/2350674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338.a.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45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40ja"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5227/10a" TargetMode="External"/><Relationship Id="rId25" Type="http://schemas.openxmlformats.org/officeDocument/2006/relationships/hyperlink" Target="http://www.nevo.co.il/law/70301/275" TargetMode="External"/><Relationship Id="rId33" Type="http://schemas.openxmlformats.org/officeDocument/2006/relationships/hyperlink" Target="http://www.nevo.co.il/case/22716832"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1601</Words>
  <Characters>8008</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9590</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3670143</vt:i4>
      </vt:variant>
      <vt:variant>
        <vt:i4>81</vt:i4>
      </vt:variant>
      <vt:variant>
        <vt:i4>0</vt:i4>
      </vt:variant>
      <vt:variant>
        <vt:i4>5</vt:i4>
      </vt:variant>
      <vt:variant>
        <vt:lpwstr>http://www.nevo.co.il/case/22211893</vt:lpwstr>
      </vt:variant>
      <vt:variant>
        <vt:lpwstr/>
      </vt:variant>
      <vt:variant>
        <vt:i4>3145855</vt:i4>
      </vt:variant>
      <vt:variant>
        <vt:i4>78</vt:i4>
      </vt:variant>
      <vt:variant>
        <vt:i4>0</vt:i4>
      </vt:variant>
      <vt:variant>
        <vt:i4>5</vt:i4>
      </vt:variant>
      <vt:variant>
        <vt:lpwstr>http://www.nevo.co.il/case/22716832</vt:lpwstr>
      </vt:variant>
      <vt:variant>
        <vt:lpwstr/>
      </vt:variant>
      <vt:variant>
        <vt:i4>3407992</vt:i4>
      </vt:variant>
      <vt:variant>
        <vt:i4>75</vt:i4>
      </vt:variant>
      <vt:variant>
        <vt:i4>0</vt:i4>
      </vt:variant>
      <vt:variant>
        <vt:i4>5</vt:i4>
      </vt:variant>
      <vt:variant>
        <vt:lpwstr>http://www.nevo.co.il/case/25001972</vt:lpwstr>
      </vt:variant>
      <vt:variant>
        <vt:lpwstr/>
      </vt:variant>
      <vt:variant>
        <vt:i4>3473520</vt:i4>
      </vt:variant>
      <vt:variant>
        <vt:i4>72</vt:i4>
      </vt:variant>
      <vt:variant>
        <vt:i4>0</vt:i4>
      </vt:variant>
      <vt:variant>
        <vt:i4>5</vt:i4>
      </vt:variant>
      <vt:variant>
        <vt:lpwstr>http://www.nevo.co.il/case/23506743</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6684735</vt:i4>
      </vt:variant>
      <vt:variant>
        <vt:i4>63</vt:i4>
      </vt:variant>
      <vt:variant>
        <vt:i4>0</vt:i4>
      </vt:variant>
      <vt:variant>
        <vt:i4>5</vt:i4>
      </vt:variant>
      <vt:variant>
        <vt:lpwstr>http://www.nevo.co.il/law/70301/338.a.1</vt:lpwstr>
      </vt:variant>
      <vt:variant>
        <vt:lpwstr/>
      </vt:variant>
      <vt:variant>
        <vt:i4>8257634</vt:i4>
      </vt:variant>
      <vt:variant>
        <vt:i4>60</vt:i4>
      </vt:variant>
      <vt:variant>
        <vt:i4>0</vt:i4>
      </vt:variant>
      <vt:variant>
        <vt:i4>5</vt:i4>
      </vt:variant>
      <vt:variant>
        <vt:lpwstr>http://www.nevo.co.il/law/74501</vt:lpwstr>
      </vt:variant>
      <vt:variant>
        <vt:lpwstr/>
      </vt:variant>
      <vt:variant>
        <vt:i4>3145825</vt:i4>
      </vt:variant>
      <vt:variant>
        <vt:i4>57</vt:i4>
      </vt:variant>
      <vt:variant>
        <vt:i4>0</vt:i4>
      </vt:variant>
      <vt:variant>
        <vt:i4>5</vt:i4>
      </vt:variant>
      <vt:variant>
        <vt:lpwstr>http://www.nevo.co.il/law/74501/2a</vt:lpwstr>
      </vt:variant>
      <vt:variant>
        <vt:lpwstr/>
      </vt:variant>
      <vt:variant>
        <vt:i4>6422631</vt:i4>
      </vt:variant>
      <vt:variant>
        <vt:i4>54</vt:i4>
      </vt:variant>
      <vt:variant>
        <vt:i4>0</vt:i4>
      </vt:variant>
      <vt:variant>
        <vt:i4>5</vt:i4>
      </vt:variant>
      <vt:variant>
        <vt:lpwstr>http://www.nevo.co.il/law/70301/275</vt:lpwstr>
      </vt:variant>
      <vt:variant>
        <vt:lpwstr/>
      </vt:variant>
      <vt:variant>
        <vt:i4>8323175</vt:i4>
      </vt:variant>
      <vt:variant>
        <vt:i4>51</vt:i4>
      </vt:variant>
      <vt:variant>
        <vt:i4>0</vt:i4>
      </vt:variant>
      <vt:variant>
        <vt:i4>5</vt:i4>
      </vt:variant>
      <vt:variant>
        <vt:lpwstr>http://www.nevo.co.il/law/5227</vt:lpwstr>
      </vt:variant>
      <vt:variant>
        <vt:lpwstr/>
      </vt:variant>
      <vt:variant>
        <vt:i4>3080312</vt:i4>
      </vt:variant>
      <vt:variant>
        <vt:i4>48</vt:i4>
      </vt:variant>
      <vt:variant>
        <vt:i4>0</vt:i4>
      </vt:variant>
      <vt:variant>
        <vt:i4>5</vt:i4>
      </vt:variant>
      <vt:variant>
        <vt:lpwstr>http://www.nevo.co.il/law/5227/10a</vt:lpwstr>
      </vt:variant>
      <vt:variant>
        <vt:lpwstr/>
      </vt:variant>
      <vt:variant>
        <vt:i4>7995492</vt:i4>
      </vt:variant>
      <vt:variant>
        <vt:i4>45</vt:i4>
      </vt:variant>
      <vt:variant>
        <vt:i4>0</vt:i4>
      </vt:variant>
      <vt:variant>
        <vt:i4>5</vt:i4>
      </vt:variant>
      <vt:variant>
        <vt:lpwstr>http://www.nevo.co.il/law/70301</vt:lpwstr>
      </vt:variant>
      <vt:variant>
        <vt:lpwstr/>
      </vt:variant>
      <vt:variant>
        <vt:i4>4390994</vt:i4>
      </vt:variant>
      <vt:variant>
        <vt:i4>42</vt:i4>
      </vt:variant>
      <vt:variant>
        <vt:i4>0</vt:i4>
      </vt:variant>
      <vt:variant>
        <vt:i4>5</vt:i4>
      </vt:variant>
      <vt:variant>
        <vt:lpwstr>http://www.nevo.co.il/law/70301/186.a</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3145825</vt:i4>
      </vt:variant>
      <vt:variant>
        <vt:i4>36</vt:i4>
      </vt:variant>
      <vt:variant>
        <vt:i4>0</vt:i4>
      </vt:variant>
      <vt:variant>
        <vt:i4>5</vt:i4>
      </vt:variant>
      <vt:variant>
        <vt:lpwstr>http://www.nevo.co.il/law/74501/2a</vt:lpwstr>
      </vt:variant>
      <vt:variant>
        <vt:lpwstr/>
      </vt:variant>
      <vt:variant>
        <vt:i4>8257634</vt:i4>
      </vt:variant>
      <vt:variant>
        <vt:i4>33</vt:i4>
      </vt:variant>
      <vt:variant>
        <vt:i4>0</vt:i4>
      </vt:variant>
      <vt:variant>
        <vt:i4>5</vt:i4>
      </vt:variant>
      <vt:variant>
        <vt:lpwstr>http://www.nevo.co.il/law/74501</vt:lpwstr>
      </vt:variant>
      <vt:variant>
        <vt:lpwstr/>
      </vt:variant>
      <vt:variant>
        <vt:i4>3080312</vt:i4>
      </vt:variant>
      <vt:variant>
        <vt:i4>30</vt:i4>
      </vt:variant>
      <vt:variant>
        <vt:i4>0</vt:i4>
      </vt:variant>
      <vt:variant>
        <vt:i4>5</vt:i4>
      </vt:variant>
      <vt:variant>
        <vt:lpwstr>http://www.nevo.co.il/law/5227/10a</vt:lpwstr>
      </vt:variant>
      <vt:variant>
        <vt:lpwstr/>
      </vt:variant>
      <vt:variant>
        <vt:i4>8323175</vt:i4>
      </vt:variant>
      <vt:variant>
        <vt:i4>27</vt:i4>
      </vt:variant>
      <vt:variant>
        <vt:i4>0</vt:i4>
      </vt:variant>
      <vt:variant>
        <vt:i4>5</vt:i4>
      </vt:variant>
      <vt:variant>
        <vt:lpwstr>http://www.nevo.co.il/law/5227</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6684735</vt:i4>
      </vt:variant>
      <vt:variant>
        <vt:i4>21</vt:i4>
      </vt:variant>
      <vt:variant>
        <vt:i4>0</vt:i4>
      </vt:variant>
      <vt:variant>
        <vt:i4>5</vt:i4>
      </vt:variant>
      <vt:variant>
        <vt:lpwstr>http://www.nevo.co.il/law/70301/338.a.1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2025-04-22T23:31:00Z</dcterms:created>
  <dcterms:modified xsi:type="dcterms:W3CDTF">2025-04-22T23:31:00Z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17384</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מוחמד אבו טיר</vt:lpwstr>
  </property>
  <property fmtid="{D5CDD505-2E9C-101B-9397-08002B2CF9AE}" pid="10" name="LAWYER">
    <vt:lpwstr>מאיר לוברבאום;אשרף חסן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20211025</vt:lpwstr>
  </property>
  <property fmtid="{D5CDD505-2E9C-101B-9397-08002B2CF9AE}" pid="14" name="TYPE_N_DATE">
    <vt:lpwstr>38020211025</vt:lpwstr>
  </property>
  <property fmtid="{D5CDD505-2E9C-101B-9397-08002B2CF9AE}" pid="15" name="WORDNUMPAGES">
    <vt:lpwstr>5</vt:lpwstr>
  </property>
  <property fmtid="{D5CDD505-2E9C-101B-9397-08002B2CF9AE}" pid="16" name="TYPE_ABS_DATE">
    <vt:lpwstr>380020211025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23506743;25001972;22716832;22211893</vt:lpwstr>
  </property>
  <property fmtid="{D5CDD505-2E9C-101B-9397-08002B2CF9AE}" pid="36" name="LAWLISTTMP1">
    <vt:lpwstr>4216/007.a;007.c</vt:lpwstr>
  </property>
  <property fmtid="{D5CDD505-2E9C-101B-9397-08002B2CF9AE}" pid="37" name="LAWLISTTMP2">
    <vt:lpwstr>70301/186.a;275;338.a.1;040i;40ja</vt:lpwstr>
  </property>
  <property fmtid="{D5CDD505-2E9C-101B-9397-08002B2CF9AE}" pid="38" name="LAWLISTTMP3">
    <vt:lpwstr>5227/010a</vt:lpwstr>
  </property>
  <property fmtid="{D5CDD505-2E9C-101B-9397-08002B2CF9AE}" pid="39" name="LAWLISTTMP4">
    <vt:lpwstr>74501/002a</vt:lpwstr>
  </property>
</Properties>
</file>