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342E7" w14:textId="77777777" w:rsidR="00F507C7" w:rsidRDefault="00F507C7" w:rsidP="00F507C7">
      <w:pPr>
        <w:pStyle w:val="a3"/>
        <w:rPr>
          <w:rFonts w:hint="cs"/>
          <w:rtl/>
        </w:rPr>
      </w:pPr>
      <w:bookmarkStart w:id="0" w:name="LastJudge"/>
    </w:p>
    <w:p w14:paraId="1BAA85FD" w14:textId="77777777" w:rsidR="0023687A" w:rsidRDefault="0023687A" w:rsidP="00F507C7">
      <w:pPr>
        <w:pStyle w:val="a3"/>
        <w:rPr>
          <w:rFonts w:hint="cs"/>
          <w:rtl/>
        </w:rPr>
      </w:pPr>
    </w:p>
    <w:p w14:paraId="77E30E3A" w14:textId="77777777" w:rsidR="0023687A" w:rsidRDefault="0023687A" w:rsidP="00F507C7">
      <w:pPr>
        <w:pStyle w:val="a3"/>
        <w:rPr>
          <w:rFonts w:hint="cs"/>
          <w:rtl/>
        </w:rPr>
      </w:pPr>
    </w:p>
    <w:tbl>
      <w:tblPr>
        <w:bidiVisual/>
        <w:tblW w:w="0" w:type="auto"/>
        <w:jc w:val="center"/>
        <w:tblLook w:val="0000" w:firstRow="0" w:lastRow="0" w:firstColumn="0" w:lastColumn="0" w:noHBand="0" w:noVBand="0"/>
      </w:tblPr>
      <w:tblGrid>
        <w:gridCol w:w="5054"/>
        <w:gridCol w:w="3667"/>
      </w:tblGrid>
      <w:tr w:rsidR="00B90ACA" w:rsidRPr="00F507C7" w14:paraId="5EC39B36" w14:textId="77777777" w:rsidTr="0023687A">
        <w:trPr>
          <w:trHeight w:hRule="exact" w:val="418"/>
          <w:jc w:val="center"/>
        </w:trPr>
        <w:tc>
          <w:tcPr>
            <w:tcW w:w="8721" w:type="dxa"/>
            <w:gridSpan w:val="2"/>
          </w:tcPr>
          <w:p w14:paraId="5CA5C6AC" w14:textId="77777777" w:rsidR="00B90ACA" w:rsidRPr="00F507C7" w:rsidRDefault="00B90ACA" w:rsidP="00A83A77">
            <w:pPr>
              <w:pStyle w:val="a3"/>
              <w:jc w:val="center"/>
              <w:rPr>
                <w:rFonts w:ascii="Tahoma" w:hAnsi="Tahoma" w:cs="FrankRuehl"/>
                <w:b/>
                <w:bCs/>
                <w:color w:val="000080"/>
                <w:sz w:val="28"/>
                <w:szCs w:val="28"/>
                <w:rtl/>
              </w:rPr>
            </w:pPr>
            <w:r w:rsidRPr="00F507C7">
              <w:rPr>
                <w:rFonts w:ascii="Tahoma" w:hAnsi="Tahoma" w:cs="FrankRuehl"/>
                <w:b/>
                <w:bCs/>
                <w:color w:val="000080"/>
                <w:sz w:val="28"/>
                <w:szCs w:val="28"/>
                <w:rtl/>
              </w:rPr>
              <w:t>בית משפט השלום בירושלים</w:t>
            </w:r>
          </w:p>
        </w:tc>
      </w:tr>
      <w:tr w:rsidR="00B90ACA" w:rsidRPr="00F507C7" w14:paraId="5C2F98ED" w14:textId="77777777" w:rsidTr="0023687A">
        <w:trPr>
          <w:trHeight w:val="337"/>
          <w:jc w:val="center"/>
        </w:trPr>
        <w:tc>
          <w:tcPr>
            <w:tcW w:w="5054" w:type="dxa"/>
          </w:tcPr>
          <w:p w14:paraId="11264195" w14:textId="77777777" w:rsidR="00B90ACA" w:rsidRPr="00F507C7" w:rsidRDefault="00B90ACA" w:rsidP="00A83A77">
            <w:pPr>
              <w:rPr>
                <w:rFonts w:cs="FrankRuehl"/>
                <w:b/>
                <w:bCs/>
                <w:sz w:val="28"/>
                <w:szCs w:val="28"/>
                <w:rtl/>
              </w:rPr>
            </w:pPr>
            <w:r w:rsidRPr="00F507C7">
              <w:rPr>
                <w:rFonts w:cs="FrankRuehl"/>
                <w:b/>
                <w:bCs/>
                <w:sz w:val="28"/>
                <w:szCs w:val="28"/>
                <w:rtl/>
              </w:rPr>
              <w:t>ת"פ</w:t>
            </w:r>
            <w:r w:rsidRPr="00F507C7">
              <w:rPr>
                <w:rFonts w:cs="FrankRuehl" w:hint="cs"/>
                <w:b/>
                <w:bCs/>
                <w:sz w:val="28"/>
                <w:szCs w:val="28"/>
                <w:rtl/>
              </w:rPr>
              <w:t xml:space="preserve"> </w:t>
            </w:r>
            <w:r w:rsidRPr="00F507C7">
              <w:rPr>
                <w:rFonts w:cs="FrankRuehl"/>
                <w:b/>
                <w:bCs/>
                <w:sz w:val="28"/>
                <w:szCs w:val="28"/>
                <w:rtl/>
              </w:rPr>
              <w:t>31332-09-17</w:t>
            </w:r>
            <w:r w:rsidRPr="00F507C7">
              <w:rPr>
                <w:rFonts w:cs="FrankRuehl" w:hint="cs"/>
                <w:b/>
                <w:bCs/>
                <w:sz w:val="28"/>
                <w:szCs w:val="28"/>
                <w:rtl/>
              </w:rPr>
              <w:t xml:space="preserve"> </w:t>
            </w:r>
            <w:r w:rsidRPr="00F507C7">
              <w:rPr>
                <w:rFonts w:cs="FrankRuehl"/>
                <w:b/>
                <w:bCs/>
                <w:sz w:val="28"/>
                <w:szCs w:val="28"/>
                <w:rtl/>
              </w:rPr>
              <w:t>מדינת ישראל נ' פלח</w:t>
            </w:r>
          </w:p>
          <w:p w14:paraId="03AEB83D" w14:textId="77777777" w:rsidR="00B90ACA" w:rsidRPr="00F507C7" w:rsidRDefault="00B90ACA" w:rsidP="00A83A77">
            <w:pPr>
              <w:pStyle w:val="a3"/>
              <w:rPr>
                <w:rFonts w:cs="FrankRuehl"/>
                <w:b/>
                <w:bCs/>
                <w:sz w:val="28"/>
                <w:szCs w:val="28"/>
                <w:rtl/>
              </w:rPr>
            </w:pPr>
          </w:p>
        </w:tc>
        <w:tc>
          <w:tcPr>
            <w:tcW w:w="3667" w:type="dxa"/>
          </w:tcPr>
          <w:p w14:paraId="60DEBE18" w14:textId="77777777" w:rsidR="00B90ACA" w:rsidRPr="00F507C7" w:rsidRDefault="00B90ACA" w:rsidP="00A83A77">
            <w:pPr>
              <w:pStyle w:val="a3"/>
              <w:jc w:val="right"/>
              <w:rPr>
                <w:rFonts w:cs="FrankRuehl"/>
                <w:sz w:val="28"/>
                <w:szCs w:val="28"/>
                <w:rtl/>
              </w:rPr>
            </w:pPr>
          </w:p>
        </w:tc>
      </w:tr>
    </w:tbl>
    <w:p w14:paraId="290A9FC1" w14:textId="77777777" w:rsidR="00B90ACA" w:rsidRPr="00F507C7" w:rsidRDefault="00B90ACA" w:rsidP="00B90ACA">
      <w:pPr>
        <w:pStyle w:val="a3"/>
        <w:rPr>
          <w:rtl/>
        </w:rPr>
      </w:pPr>
      <w:r w:rsidRPr="00F507C7">
        <w:rPr>
          <w:rFonts w:hint="cs"/>
          <w:rtl/>
        </w:rPr>
        <w:t xml:space="preserve"> </w:t>
      </w:r>
    </w:p>
    <w:p w14:paraId="179F78EC" w14:textId="77777777" w:rsidR="00B90ACA" w:rsidRPr="00F507C7" w:rsidRDefault="00B90ACA" w:rsidP="00B90ACA">
      <w:pPr>
        <w:rPr>
          <w:rtl/>
        </w:rPr>
      </w:pPr>
    </w:p>
    <w:p w14:paraId="5BEEA5FD" w14:textId="77777777" w:rsidR="00B90ACA" w:rsidRPr="00F507C7" w:rsidRDefault="00B90ACA" w:rsidP="00B90A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90ACA" w:rsidRPr="00F507C7" w14:paraId="29A8BAAC" w14:textId="77777777" w:rsidTr="00B90ACA">
        <w:trPr>
          <w:trHeight w:val="295"/>
          <w:jc w:val="center"/>
        </w:trPr>
        <w:tc>
          <w:tcPr>
            <w:tcW w:w="923" w:type="dxa"/>
            <w:tcBorders>
              <w:top w:val="nil"/>
              <w:left w:val="nil"/>
              <w:bottom w:val="nil"/>
              <w:right w:val="nil"/>
            </w:tcBorders>
            <w:shd w:val="clear" w:color="auto" w:fill="auto"/>
          </w:tcPr>
          <w:p w14:paraId="6D62B3D9" w14:textId="77777777" w:rsidR="00B90ACA" w:rsidRPr="00F507C7" w:rsidRDefault="00B90ACA" w:rsidP="00B90ACA">
            <w:pPr>
              <w:jc w:val="both"/>
              <w:rPr>
                <w:rFonts w:ascii="David" w:hAnsi="David" w:cs="FrankRuehl"/>
                <w:b/>
                <w:bCs/>
                <w:sz w:val="28"/>
                <w:szCs w:val="28"/>
              </w:rPr>
            </w:pPr>
            <w:r w:rsidRPr="00F507C7">
              <w:rPr>
                <w:rFonts w:ascii="David" w:hAnsi="David" w:cs="FrankRuehl"/>
                <w:b/>
                <w:bCs/>
                <w:sz w:val="28"/>
                <w:szCs w:val="28"/>
                <w:rtl/>
              </w:rPr>
              <w:t xml:space="preserve">בפני </w:t>
            </w:r>
          </w:p>
        </w:tc>
        <w:tc>
          <w:tcPr>
            <w:tcW w:w="7897" w:type="dxa"/>
            <w:gridSpan w:val="2"/>
            <w:tcBorders>
              <w:top w:val="nil"/>
              <w:left w:val="nil"/>
              <w:bottom w:val="nil"/>
              <w:right w:val="nil"/>
            </w:tcBorders>
            <w:shd w:val="clear" w:color="auto" w:fill="auto"/>
          </w:tcPr>
          <w:p w14:paraId="7E9A7CF8" w14:textId="77777777" w:rsidR="00B90ACA" w:rsidRPr="00F507C7" w:rsidRDefault="00B90ACA" w:rsidP="00A83A77">
            <w:pPr>
              <w:rPr>
                <w:rFonts w:ascii="David" w:hAnsi="David" w:cs="FrankRuehl"/>
                <w:b/>
                <w:bCs/>
                <w:sz w:val="28"/>
                <w:szCs w:val="28"/>
                <w:rtl/>
              </w:rPr>
            </w:pPr>
            <w:r w:rsidRPr="00F507C7">
              <w:rPr>
                <w:rFonts w:ascii="David" w:hAnsi="David" w:cs="FrankRuehl"/>
                <w:b/>
                <w:bCs/>
                <w:sz w:val="28"/>
                <w:szCs w:val="28"/>
                <w:rtl/>
              </w:rPr>
              <w:t>כבוד השופט  דוד שאול גבאי ריכטר</w:t>
            </w:r>
          </w:p>
          <w:p w14:paraId="07B94117" w14:textId="77777777" w:rsidR="00B90ACA" w:rsidRPr="00F507C7" w:rsidRDefault="00B90ACA" w:rsidP="00A83A77">
            <w:pPr>
              <w:rPr>
                <w:rFonts w:ascii="David" w:hAnsi="David" w:cs="FrankRuehl"/>
                <w:b/>
                <w:bCs/>
                <w:sz w:val="28"/>
                <w:szCs w:val="28"/>
                <w:rtl/>
              </w:rPr>
            </w:pPr>
          </w:p>
          <w:p w14:paraId="6902C0BB" w14:textId="77777777" w:rsidR="00B90ACA" w:rsidRPr="00F507C7" w:rsidRDefault="00B90ACA" w:rsidP="00B90ACA">
            <w:pPr>
              <w:jc w:val="both"/>
              <w:rPr>
                <w:rFonts w:ascii="David" w:hAnsi="David" w:cs="FrankRuehl"/>
                <w:b/>
                <w:bCs/>
                <w:sz w:val="28"/>
                <w:szCs w:val="28"/>
              </w:rPr>
            </w:pPr>
          </w:p>
        </w:tc>
      </w:tr>
      <w:tr w:rsidR="00B90ACA" w:rsidRPr="00F507C7" w14:paraId="32956ED1" w14:textId="77777777" w:rsidTr="00B90ACA">
        <w:trPr>
          <w:trHeight w:val="355"/>
          <w:jc w:val="center"/>
        </w:trPr>
        <w:tc>
          <w:tcPr>
            <w:tcW w:w="923" w:type="dxa"/>
            <w:tcBorders>
              <w:top w:val="nil"/>
              <w:left w:val="nil"/>
              <w:bottom w:val="nil"/>
              <w:right w:val="nil"/>
            </w:tcBorders>
            <w:shd w:val="clear" w:color="auto" w:fill="auto"/>
          </w:tcPr>
          <w:p w14:paraId="490E322C" w14:textId="77777777" w:rsidR="00B90ACA" w:rsidRPr="00F507C7" w:rsidRDefault="00B90ACA" w:rsidP="00B90ACA">
            <w:pPr>
              <w:jc w:val="both"/>
              <w:rPr>
                <w:rFonts w:ascii="David" w:hAnsi="David" w:cs="FrankRuehl"/>
                <w:b/>
                <w:bCs/>
                <w:sz w:val="28"/>
                <w:szCs w:val="28"/>
              </w:rPr>
            </w:pPr>
            <w:bookmarkStart w:id="1" w:name="FirstAppellant"/>
            <w:r w:rsidRPr="00F507C7">
              <w:rPr>
                <w:rFonts w:ascii="David" w:hAnsi="David" w:cs="FrankRuehl"/>
                <w:b/>
                <w:bCs/>
                <w:sz w:val="28"/>
                <w:szCs w:val="28"/>
                <w:rtl/>
              </w:rPr>
              <w:t>בעניין:</w:t>
            </w:r>
          </w:p>
        </w:tc>
        <w:tc>
          <w:tcPr>
            <w:tcW w:w="4126" w:type="dxa"/>
            <w:tcBorders>
              <w:top w:val="nil"/>
              <w:left w:val="nil"/>
              <w:bottom w:val="nil"/>
              <w:right w:val="nil"/>
            </w:tcBorders>
            <w:shd w:val="clear" w:color="auto" w:fill="auto"/>
          </w:tcPr>
          <w:p w14:paraId="40A7AC15" w14:textId="77777777" w:rsidR="00B90ACA" w:rsidRPr="00F507C7" w:rsidRDefault="00B90ACA" w:rsidP="00A83A77">
            <w:pPr>
              <w:rPr>
                <w:rFonts w:ascii="David" w:hAnsi="David" w:cs="FrankRuehl"/>
                <w:b/>
                <w:bCs/>
                <w:sz w:val="28"/>
                <w:szCs w:val="28"/>
              </w:rPr>
            </w:pPr>
            <w:r w:rsidRPr="00F507C7">
              <w:rPr>
                <w:rFonts w:ascii="David" w:hAnsi="David" w:cs="FrankRuehl"/>
                <w:b/>
                <w:bCs/>
                <w:sz w:val="28"/>
                <w:szCs w:val="28"/>
                <w:rtl/>
              </w:rPr>
              <w:t>מדינת ישראל</w:t>
            </w:r>
          </w:p>
        </w:tc>
        <w:tc>
          <w:tcPr>
            <w:tcW w:w="3771" w:type="dxa"/>
            <w:tcBorders>
              <w:top w:val="nil"/>
              <w:left w:val="nil"/>
              <w:bottom w:val="nil"/>
              <w:right w:val="nil"/>
            </w:tcBorders>
            <w:shd w:val="clear" w:color="auto" w:fill="auto"/>
          </w:tcPr>
          <w:p w14:paraId="7B818342" w14:textId="77777777" w:rsidR="00B90ACA" w:rsidRPr="00F507C7" w:rsidRDefault="00B90ACA" w:rsidP="00B90ACA">
            <w:pPr>
              <w:jc w:val="both"/>
              <w:rPr>
                <w:rFonts w:ascii="David" w:hAnsi="David" w:cs="FrankRuehl"/>
                <w:b/>
                <w:bCs/>
                <w:sz w:val="28"/>
                <w:szCs w:val="28"/>
              </w:rPr>
            </w:pPr>
          </w:p>
        </w:tc>
      </w:tr>
      <w:bookmarkEnd w:id="1"/>
      <w:tr w:rsidR="00B90ACA" w:rsidRPr="00F507C7" w14:paraId="1E9B31C7" w14:textId="77777777" w:rsidTr="00B90ACA">
        <w:trPr>
          <w:trHeight w:val="355"/>
          <w:jc w:val="center"/>
        </w:trPr>
        <w:tc>
          <w:tcPr>
            <w:tcW w:w="923" w:type="dxa"/>
            <w:tcBorders>
              <w:top w:val="nil"/>
              <w:left w:val="nil"/>
              <w:bottom w:val="nil"/>
              <w:right w:val="nil"/>
            </w:tcBorders>
            <w:shd w:val="clear" w:color="auto" w:fill="auto"/>
          </w:tcPr>
          <w:p w14:paraId="29C91AE0" w14:textId="77777777" w:rsidR="00B90ACA" w:rsidRPr="00F507C7" w:rsidRDefault="00B90ACA" w:rsidP="00B90ACA">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2318B9C6" w14:textId="77777777" w:rsidR="00B90ACA" w:rsidRPr="00F507C7" w:rsidRDefault="00B90ACA" w:rsidP="00B90ACA">
            <w:pPr>
              <w:jc w:val="both"/>
              <w:rPr>
                <w:rFonts w:ascii="David" w:hAnsi="David" w:cs="FrankRuehl"/>
                <w:b/>
                <w:bCs/>
                <w:sz w:val="28"/>
                <w:szCs w:val="28"/>
                <w:rtl/>
              </w:rPr>
            </w:pPr>
            <w:r w:rsidRPr="00F507C7">
              <w:rPr>
                <w:rFonts w:ascii="David" w:hAnsi="David" w:cs="FrankRuehl" w:hint="cs"/>
                <w:b/>
                <w:bCs/>
                <w:sz w:val="28"/>
                <w:szCs w:val="28"/>
                <w:rtl/>
              </w:rPr>
              <w:t>ע"י תביעות ירושלים</w:t>
            </w:r>
          </w:p>
        </w:tc>
        <w:tc>
          <w:tcPr>
            <w:tcW w:w="3771" w:type="dxa"/>
            <w:tcBorders>
              <w:top w:val="nil"/>
              <w:left w:val="nil"/>
              <w:bottom w:val="nil"/>
              <w:right w:val="nil"/>
            </w:tcBorders>
            <w:shd w:val="clear" w:color="auto" w:fill="auto"/>
          </w:tcPr>
          <w:p w14:paraId="069BB5D4" w14:textId="77777777" w:rsidR="00B90ACA" w:rsidRPr="00F507C7" w:rsidRDefault="00B90ACA" w:rsidP="00B90ACA">
            <w:pPr>
              <w:jc w:val="right"/>
              <w:rPr>
                <w:rFonts w:ascii="David" w:hAnsi="David" w:cs="FrankRuehl"/>
                <w:b/>
                <w:bCs/>
                <w:sz w:val="28"/>
                <w:szCs w:val="28"/>
                <w:rtl/>
              </w:rPr>
            </w:pPr>
            <w:r w:rsidRPr="00F507C7">
              <w:rPr>
                <w:rFonts w:ascii="David" w:hAnsi="David" w:cs="FrankRuehl"/>
                <w:b/>
                <w:bCs/>
                <w:sz w:val="28"/>
                <w:szCs w:val="28"/>
                <w:rtl/>
              </w:rPr>
              <w:t>המאשימה</w:t>
            </w:r>
          </w:p>
        </w:tc>
      </w:tr>
      <w:tr w:rsidR="00B90ACA" w:rsidRPr="00F507C7" w14:paraId="21CAAB2A" w14:textId="77777777" w:rsidTr="00B90ACA">
        <w:trPr>
          <w:trHeight w:val="355"/>
          <w:jc w:val="center"/>
        </w:trPr>
        <w:tc>
          <w:tcPr>
            <w:tcW w:w="923" w:type="dxa"/>
            <w:tcBorders>
              <w:top w:val="nil"/>
              <w:left w:val="nil"/>
              <w:bottom w:val="nil"/>
              <w:right w:val="nil"/>
            </w:tcBorders>
            <w:shd w:val="clear" w:color="auto" w:fill="auto"/>
          </w:tcPr>
          <w:p w14:paraId="42D155C4" w14:textId="77777777" w:rsidR="00B90ACA" w:rsidRPr="00F507C7" w:rsidRDefault="00B90ACA" w:rsidP="00B90ACA">
            <w:pPr>
              <w:jc w:val="both"/>
              <w:rPr>
                <w:rFonts w:ascii="David" w:hAnsi="David" w:cs="FrankRuehl"/>
                <w:b/>
                <w:bCs/>
                <w:sz w:val="28"/>
                <w:szCs w:val="28"/>
                <w:rtl/>
              </w:rPr>
            </w:pPr>
          </w:p>
        </w:tc>
        <w:tc>
          <w:tcPr>
            <w:tcW w:w="7897" w:type="dxa"/>
            <w:gridSpan w:val="2"/>
            <w:tcBorders>
              <w:top w:val="nil"/>
              <w:left w:val="nil"/>
              <w:bottom w:val="nil"/>
              <w:right w:val="nil"/>
            </w:tcBorders>
            <w:shd w:val="clear" w:color="auto" w:fill="auto"/>
          </w:tcPr>
          <w:p w14:paraId="73D41C10" w14:textId="77777777" w:rsidR="00B90ACA" w:rsidRPr="00F507C7" w:rsidRDefault="00B90ACA" w:rsidP="00B90ACA">
            <w:pPr>
              <w:jc w:val="center"/>
              <w:rPr>
                <w:rFonts w:ascii="David" w:hAnsi="David" w:cs="FrankRuehl"/>
                <w:b/>
                <w:bCs/>
                <w:sz w:val="28"/>
                <w:szCs w:val="28"/>
                <w:rtl/>
              </w:rPr>
            </w:pPr>
          </w:p>
          <w:p w14:paraId="2B45862D" w14:textId="77777777" w:rsidR="00B90ACA" w:rsidRPr="00F507C7" w:rsidRDefault="00B90ACA" w:rsidP="00B90ACA">
            <w:pPr>
              <w:jc w:val="center"/>
              <w:rPr>
                <w:rFonts w:ascii="David" w:hAnsi="David" w:cs="FrankRuehl"/>
                <w:b/>
                <w:bCs/>
                <w:sz w:val="28"/>
                <w:szCs w:val="28"/>
                <w:rtl/>
              </w:rPr>
            </w:pPr>
            <w:r w:rsidRPr="00F507C7">
              <w:rPr>
                <w:rFonts w:ascii="David" w:hAnsi="David" w:cs="FrankRuehl"/>
                <w:b/>
                <w:bCs/>
                <w:sz w:val="28"/>
                <w:szCs w:val="28"/>
                <w:rtl/>
              </w:rPr>
              <w:t>נגד</w:t>
            </w:r>
          </w:p>
          <w:p w14:paraId="253949A3" w14:textId="77777777" w:rsidR="00B90ACA" w:rsidRPr="00F507C7" w:rsidRDefault="00B90ACA" w:rsidP="00B90ACA">
            <w:pPr>
              <w:jc w:val="both"/>
              <w:rPr>
                <w:rFonts w:ascii="David" w:hAnsi="David" w:cs="FrankRuehl"/>
                <w:b/>
                <w:bCs/>
                <w:sz w:val="28"/>
                <w:szCs w:val="28"/>
              </w:rPr>
            </w:pPr>
          </w:p>
        </w:tc>
      </w:tr>
      <w:tr w:rsidR="00B90ACA" w:rsidRPr="00F507C7" w14:paraId="49F2F4E2" w14:textId="77777777" w:rsidTr="00B90ACA">
        <w:trPr>
          <w:trHeight w:val="355"/>
          <w:jc w:val="center"/>
        </w:trPr>
        <w:tc>
          <w:tcPr>
            <w:tcW w:w="923" w:type="dxa"/>
            <w:tcBorders>
              <w:top w:val="nil"/>
              <w:left w:val="nil"/>
              <w:bottom w:val="nil"/>
              <w:right w:val="nil"/>
            </w:tcBorders>
            <w:shd w:val="clear" w:color="auto" w:fill="auto"/>
          </w:tcPr>
          <w:p w14:paraId="77151F87" w14:textId="77777777" w:rsidR="00B90ACA" w:rsidRPr="00F507C7" w:rsidRDefault="00B90ACA" w:rsidP="00A83A77">
            <w:pPr>
              <w:rPr>
                <w:rFonts w:ascii="David" w:hAnsi="David" w:cs="FrankRuehl"/>
                <w:b/>
                <w:bCs/>
                <w:sz w:val="28"/>
                <w:szCs w:val="28"/>
                <w:rtl/>
              </w:rPr>
            </w:pPr>
          </w:p>
        </w:tc>
        <w:tc>
          <w:tcPr>
            <w:tcW w:w="4126" w:type="dxa"/>
            <w:tcBorders>
              <w:top w:val="nil"/>
              <w:left w:val="nil"/>
              <w:bottom w:val="nil"/>
              <w:right w:val="nil"/>
            </w:tcBorders>
            <w:shd w:val="clear" w:color="auto" w:fill="auto"/>
          </w:tcPr>
          <w:p w14:paraId="006783DE" w14:textId="77777777" w:rsidR="00B90ACA" w:rsidRPr="00F507C7" w:rsidRDefault="00B90ACA" w:rsidP="00A83A77">
            <w:pPr>
              <w:rPr>
                <w:rFonts w:ascii="David" w:hAnsi="David" w:cs="FrankRuehl"/>
                <w:b/>
                <w:bCs/>
                <w:sz w:val="28"/>
                <w:szCs w:val="28"/>
                <w:rtl/>
              </w:rPr>
            </w:pPr>
            <w:r w:rsidRPr="00F507C7">
              <w:rPr>
                <w:rFonts w:ascii="David" w:hAnsi="David" w:cs="FrankRuehl"/>
                <w:b/>
                <w:bCs/>
                <w:sz w:val="28"/>
                <w:szCs w:val="28"/>
                <w:rtl/>
              </w:rPr>
              <w:t xml:space="preserve">גבריאל פלח </w:t>
            </w:r>
          </w:p>
        </w:tc>
        <w:tc>
          <w:tcPr>
            <w:tcW w:w="3771" w:type="dxa"/>
            <w:tcBorders>
              <w:top w:val="nil"/>
              <w:left w:val="nil"/>
              <w:bottom w:val="nil"/>
              <w:right w:val="nil"/>
            </w:tcBorders>
            <w:shd w:val="clear" w:color="auto" w:fill="auto"/>
          </w:tcPr>
          <w:p w14:paraId="1E3A9F03" w14:textId="77777777" w:rsidR="00B90ACA" w:rsidRPr="00F507C7" w:rsidRDefault="00B90ACA" w:rsidP="00B90ACA">
            <w:pPr>
              <w:jc w:val="right"/>
              <w:rPr>
                <w:rFonts w:ascii="David" w:hAnsi="David" w:cs="FrankRuehl"/>
                <w:b/>
                <w:bCs/>
                <w:sz w:val="28"/>
                <w:szCs w:val="28"/>
              </w:rPr>
            </w:pPr>
          </w:p>
        </w:tc>
      </w:tr>
      <w:tr w:rsidR="00B90ACA" w:rsidRPr="00F507C7" w14:paraId="305984BA" w14:textId="77777777" w:rsidTr="00B90ACA">
        <w:trPr>
          <w:trHeight w:val="355"/>
          <w:jc w:val="center"/>
        </w:trPr>
        <w:tc>
          <w:tcPr>
            <w:tcW w:w="923" w:type="dxa"/>
            <w:tcBorders>
              <w:top w:val="nil"/>
              <w:left w:val="nil"/>
              <w:bottom w:val="nil"/>
              <w:right w:val="nil"/>
            </w:tcBorders>
            <w:shd w:val="clear" w:color="auto" w:fill="auto"/>
          </w:tcPr>
          <w:p w14:paraId="08A94C36" w14:textId="77777777" w:rsidR="00B90ACA" w:rsidRPr="00F507C7" w:rsidRDefault="00B90ACA" w:rsidP="00B90ACA">
            <w:pPr>
              <w:jc w:val="both"/>
              <w:rPr>
                <w:rFonts w:ascii="David" w:hAnsi="David" w:cs="FrankRuehl"/>
                <w:b/>
                <w:bCs/>
                <w:sz w:val="28"/>
                <w:szCs w:val="28"/>
                <w:rtl/>
              </w:rPr>
            </w:pPr>
            <w:bookmarkStart w:id="2" w:name="FirstLawyer"/>
          </w:p>
        </w:tc>
        <w:tc>
          <w:tcPr>
            <w:tcW w:w="4126" w:type="dxa"/>
            <w:tcBorders>
              <w:top w:val="nil"/>
              <w:left w:val="nil"/>
              <w:bottom w:val="nil"/>
              <w:right w:val="nil"/>
            </w:tcBorders>
            <w:shd w:val="clear" w:color="auto" w:fill="auto"/>
          </w:tcPr>
          <w:p w14:paraId="61DD5961" w14:textId="77777777" w:rsidR="00B90ACA" w:rsidRPr="00F507C7" w:rsidRDefault="00B90ACA" w:rsidP="00B90ACA">
            <w:pPr>
              <w:jc w:val="both"/>
              <w:rPr>
                <w:rFonts w:ascii="David" w:hAnsi="David" w:cs="FrankRuehl"/>
                <w:b/>
                <w:bCs/>
                <w:sz w:val="28"/>
                <w:szCs w:val="28"/>
                <w:rtl/>
              </w:rPr>
            </w:pPr>
            <w:r w:rsidRPr="00F507C7">
              <w:rPr>
                <w:rFonts w:ascii="David" w:hAnsi="David" w:cs="FrankRuehl" w:hint="cs"/>
                <w:b/>
                <w:bCs/>
                <w:sz w:val="28"/>
                <w:szCs w:val="28"/>
                <w:rtl/>
              </w:rPr>
              <w:t>ע"י ב"כ עו"ד יעקב מלול</w:t>
            </w:r>
          </w:p>
        </w:tc>
        <w:tc>
          <w:tcPr>
            <w:tcW w:w="3771" w:type="dxa"/>
            <w:tcBorders>
              <w:top w:val="nil"/>
              <w:left w:val="nil"/>
              <w:bottom w:val="nil"/>
              <w:right w:val="nil"/>
            </w:tcBorders>
            <w:shd w:val="clear" w:color="auto" w:fill="auto"/>
          </w:tcPr>
          <w:p w14:paraId="03BACD10" w14:textId="77777777" w:rsidR="00B90ACA" w:rsidRPr="00F507C7" w:rsidRDefault="00B90ACA" w:rsidP="00B90ACA">
            <w:pPr>
              <w:jc w:val="right"/>
              <w:rPr>
                <w:rFonts w:ascii="David" w:hAnsi="David" w:cs="FrankRuehl"/>
                <w:b/>
                <w:bCs/>
                <w:sz w:val="28"/>
                <w:szCs w:val="28"/>
              </w:rPr>
            </w:pPr>
            <w:r w:rsidRPr="00F507C7">
              <w:rPr>
                <w:rFonts w:ascii="David" w:hAnsi="David" w:cs="FrankRuehl"/>
                <w:b/>
                <w:bCs/>
                <w:sz w:val="28"/>
                <w:szCs w:val="28"/>
                <w:rtl/>
              </w:rPr>
              <w:t>הנאשם</w:t>
            </w:r>
          </w:p>
        </w:tc>
      </w:tr>
      <w:bookmarkEnd w:id="2"/>
    </w:tbl>
    <w:p w14:paraId="7545A9F6" w14:textId="77777777" w:rsidR="00B90ACA" w:rsidRPr="00F507C7" w:rsidRDefault="00B90ACA" w:rsidP="00B90ACA">
      <w:pPr>
        <w:rPr>
          <w:rtl/>
        </w:rPr>
      </w:pPr>
    </w:p>
    <w:p w14:paraId="0C962CC5" w14:textId="77777777" w:rsidR="00B90ACA" w:rsidRPr="00F507C7" w:rsidRDefault="00B90ACA" w:rsidP="00B90ACA">
      <w:pPr>
        <w:rPr>
          <w:rtl/>
        </w:rPr>
      </w:pPr>
    </w:p>
    <w:p w14:paraId="78403257" w14:textId="77777777" w:rsidR="00F507C7" w:rsidRPr="00F507C7" w:rsidRDefault="00F507C7" w:rsidP="00F507C7">
      <w:pPr>
        <w:spacing w:before="120" w:after="120" w:line="240" w:lineRule="exact"/>
        <w:ind w:left="283" w:hanging="283"/>
        <w:jc w:val="both"/>
        <w:rPr>
          <w:rFonts w:ascii="FrankRuehl" w:hAnsi="FrankRuehl" w:cs="FrankRuehl"/>
          <w:rtl/>
        </w:rPr>
      </w:pPr>
    </w:p>
    <w:p w14:paraId="51D83D53" w14:textId="77777777" w:rsidR="00F507C7" w:rsidRPr="00F507C7" w:rsidRDefault="00F507C7" w:rsidP="00F507C7">
      <w:pPr>
        <w:rPr>
          <w:rtl/>
        </w:rPr>
      </w:pPr>
    </w:p>
    <w:p w14:paraId="6FB56D98" w14:textId="77777777" w:rsidR="0023687A" w:rsidRPr="0023687A" w:rsidRDefault="0023687A" w:rsidP="0023687A">
      <w:pPr>
        <w:spacing w:before="120" w:after="120" w:line="240" w:lineRule="exact"/>
        <w:ind w:left="283" w:hanging="283"/>
        <w:jc w:val="both"/>
        <w:rPr>
          <w:rFonts w:ascii="FrankRuehl" w:hAnsi="FrankRuehl" w:cs="FrankRuehl"/>
          <w:rtl/>
        </w:rPr>
      </w:pPr>
      <w:bookmarkStart w:id="3" w:name="LawTable"/>
      <w:bookmarkEnd w:id="3"/>
    </w:p>
    <w:p w14:paraId="1E3A5542" w14:textId="77777777" w:rsidR="0023687A" w:rsidRPr="0023687A" w:rsidRDefault="0023687A" w:rsidP="0023687A">
      <w:pPr>
        <w:spacing w:before="120" w:after="120" w:line="240" w:lineRule="exact"/>
        <w:ind w:left="283" w:hanging="283"/>
        <w:jc w:val="both"/>
        <w:rPr>
          <w:rFonts w:ascii="FrankRuehl" w:hAnsi="FrankRuehl" w:cs="FrankRuehl"/>
          <w:rtl/>
        </w:rPr>
      </w:pPr>
    </w:p>
    <w:p w14:paraId="3EE59453" w14:textId="77777777" w:rsidR="0023687A" w:rsidRPr="0023687A" w:rsidRDefault="0023687A" w:rsidP="0023687A">
      <w:pPr>
        <w:spacing w:before="120" w:after="120" w:line="240" w:lineRule="exact"/>
        <w:ind w:left="283" w:hanging="283"/>
        <w:jc w:val="both"/>
        <w:rPr>
          <w:rFonts w:ascii="FrankRuehl" w:hAnsi="FrankRuehl" w:cs="FrankRuehl"/>
          <w:rtl/>
        </w:rPr>
      </w:pPr>
      <w:r w:rsidRPr="0023687A">
        <w:rPr>
          <w:rFonts w:ascii="FrankRuehl" w:hAnsi="FrankRuehl" w:cs="FrankRuehl"/>
          <w:rtl/>
        </w:rPr>
        <w:t xml:space="preserve">חקיקה שאוזכרה: </w:t>
      </w:r>
    </w:p>
    <w:p w14:paraId="08781BB5" w14:textId="77777777" w:rsidR="0023687A" w:rsidRPr="0023687A" w:rsidRDefault="0023687A" w:rsidP="0023687A">
      <w:pPr>
        <w:spacing w:before="120" w:after="120" w:line="240" w:lineRule="exact"/>
        <w:ind w:left="283" w:hanging="283"/>
        <w:jc w:val="both"/>
        <w:rPr>
          <w:rFonts w:ascii="FrankRuehl" w:hAnsi="FrankRuehl" w:cs="FrankRuehl"/>
          <w:color w:val="0000FF"/>
          <w:u w:val="single"/>
          <w:rtl/>
        </w:rPr>
      </w:pPr>
      <w:hyperlink r:id="rId7" w:history="1">
        <w:r w:rsidRPr="0023687A">
          <w:rPr>
            <w:rStyle w:val="Hyperlink"/>
            <w:rFonts w:ascii="FrankRuehl" w:hAnsi="FrankRuehl" w:cs="FrankRuehl"/>
            <w:rtl/>
          </w:rPr>
          <w:t>פקודת הסמים המסוכנים [נוסח חדש], תשל"ג-1973</w:t>
        </w:r>
      </w:hyperlink>
      <w:r w:rsidRPr="0023687A">
        <w:rPr>
          <w:rFonts w:ascii="FrankRuehl" w:hAnsi="FrankRuehl" w:cs="FrankRuehl"/>
          <w:color w:val="0000FF"/>
          <w:u w:val="single"/>
          <w:rtl/>
        </w:rPr>
        <w:t xml:space="preserve">: סע'  </w:t>
      </w:r>
      <w:hyperlink r:id="rId8" w:history="1">
        <w:r w:rsidRPr="0023687A">
          <w:rPr>
            <w:rStyle w:val="Hyperlink"/>
            <w:rFonts w:ascii="FrankRuehl" w:hAnsi="FrankRuehl" w:cs="FrankRuehl"/>
          </w:rPr>
          <w:t>7.</w:t>
        </w:r>
        <w:r w:rsidRPr="0023687A">
          <w:rPr>
            <w:rStyle w:val="Hyperlink"/>
            <w:rFonts w:ascii="FrankRuehl" w:hAnsi="FrankRuehl" w:cs="FrankRuehl"/>
            <w:rtl/>
          </w:rPr>
          <w:t>א</w:t>
        </w:r>
        <w:r w:rsidRPr="0023687A">
          <w:rPr>
            <w:rStyle w:val="Hyperlink"/>
            <w:rFonts w:ascii="FrankRuehl" w:hAnsi="FrankRuehl" w:cs="FrankRuehl"/>
          </w:rPr>
          <w:t>.</w:t>
        </w:r>
      </w:hyperlink>
      <w:r w:rsidRPr="0023687A">
        <w:rPr>
          <w:rFonts w:ascii="FrankRuehl" w:hAnsi="FrankRuehl" w:cs="FrankRuehl"/>
          <w:color w:val="0000FF"/>
          <w:u w:val="single"/>
          <w:rtl/>
        </w:rPr>
        <w:t xml:space="preserve">, </w:t>
      </w:r>
      <w:hyperlink r:id="rId9" w:history="1">
        <w:r w:rsidRPr="0023687A">
          <w:rPr>
            <w:rStyle w:val="Hyperlink"/>
            <w:rFonts w:ascii="FrankRuehl" w:hAnsi="FrankRuehl" w:cs="FrankRuehl"/>
          </w:rPr>
          <w:t>7.</w:t>
        </w:r>
        <w:r w:rsidRPr="0023687A">
          <w:rPr>
            <w:rStyle w:val="Hyperlink"/>
            <w:rFonts w:ascii="FrankRuehl" w:hAnsi="FrankRuehl" w:cs="FrankRuehl"/>
            <w:rtl/>
          </w:rPr>
          <w:t>ג</w:t>
        </w:r>
      </w:hyperlink>
      <w:r w:rsidRPr="0023687A">
        <w:rPr>
          <w:rFonts w:ascii="FrankRuehl" w:hAnsi="FrankRuehl" w:cs="FrankRuehl"/>
          <w:color w:val="0000FF"/>
          <w:u w:val="single"/>
          <w:rtl/>
        </w:rPr>
        <w:t xml:space="preserve">, </w:t>
      </w:r>
      <w:hyperlink r:id="rId10" w:history="1">
        <w:r w:rsidRPr="0023687A">
          <w:rPr>
            <w:rStyle w:val="Hyperlink"/>
            <w:rFonts w:ascii="FrankRuehl" w:hAnsi="FrankRuehl" w:cs="FrankRuehl"/>
          </w:rPr>
          <w:t>13</w:t>
        </w:r>
      </w:hyperlink>
      <w:r w:rsidRPr="0023687A">
        <w:rPr>
          <w:rFonts w:ascii="FrankRuehl" w:hAnsi="FrankRuehl" w:cs="FrankRuehl"/>
          <w:color w:val="0000FF"/>
          <w:u w:val="single"/>
          <w:rtl/>
        </w:rPr>
        <w:t xml:space="preserve">, </w:t>
      </w:r>
      <w:hyperlink r:id="rId11" w:history="1">
        <w:r w:rsidRPr="0023687A">
          <w:rPr>
            <w:rStyle w:val="Hyperlink"/>
            <w:rFonts w:ascii="FrankRuehl" w:hAnsi="FrankRuehl" w:cs="FrankRuehl"/>
          </w:rPr>
          <w:t>19.</w:t>
        </w:r>
        <w:r w:rsidRPr="0023687A">
          <w:rPr>
            <w:rStyle w:val="Hyperlink"/>
            <w:rFonts w:ascii="FrankRuehl" w:hAnsi="FrankRuehl" w:cs="FrankRuehl"/>
            <w:rtl/>
          </w:rPr>
          <w:t>א</w:t>
        </w:r>
      </w:hyperlink>
    </w:p>
    <w:p w14:paraId="02CBA348" w14:textId="77777777" w:rsidR="0023687A" w:rsidRPr="0023687A" w:rsidRDefault="0023687A" w:rsidP="0023687A">
      <w:pPr>
        <w:spacing w:before="120" w:after="120" w:line="240" w:lineRule="exact"/>
        <w:ind w:left="283" w:hanging="283"/>
        <w:jc w:val="both"/>
        <w:rPr>
          <w:rFonts w:ascii="FrankRuehl" w:hAnsi="FrankRuehl" w:cs="FrankRuehl"/>
          <w:color w:val="0000FF"/>
          <w:u w:val="single"/>
          <w:rtl/>
        </w:rPr>
      </w:pPr>
      <w:hyperlink r:id="rId12" w:history="1">
        <w:r w:rsidRPr="0023687A">
          <w:rPr>
            <w:rStyle w:val="Hyperlink"/>
            <w:rFonts w:ascii="FrankRuehl" w:hAnsi="FrankRuehl" w:cs="FrankRuehl"/>
            <w:rtl/>
          </w:rPr>
          <w:t>חוק העונשין, תשל"ז-1977</w:t>
        </w:r>
      </w:hyperlink>
      <w:r w:rsidRPr="0023687A">
        <w:rPr>
          <w:rFonts w:ascii="FrankRuehl" w:hAnsi="FrankRuehl" w:cs="FrankRuehl"/>
          <w:color w:val="0000FF"/>
          <w:u w:val="single"/>
          <w:rtl/>
        </w:rPr>
        <w:t xml:space="preserve">: סע'  </w:t>
      </w:r>
      <w:hyperlink r:id="rId13" w:history="1">
        <w:r w:rsidRPr="0023687A">
          <w:rPr>
            <w:rStyle w:val="Hyperlink"/>
            <w:rFonts w:ascii="FrankRuehl" w:hAnsi="FrankRuehl" w:cs="FrankRuehl"/>
          </w:rPr>
          <w:t>40</w:t>
        </w:r>
        <w:r w:rsidRPr="0023687A">
          <w:rPr>
            <w:rStyle w:val="Hyperlink"/>
            <w:rFonts w:ascii="FrankRuehl" w:hAnsi="FrankRuehl" w:cs="FrankRuehl"/>
            <w:rtl/>
          </w:rPr>
          <w:t>ט</w:t>
        </w:r>
        <w:r w:rsidRPr="0023687A">
          <w:rPr>
            <w:rStyle w:val="Hyperlink"/>
            <w:rFonts w:ascii="FrankRuehl" w:hAnsi="FrankRuehl" w:cs="FrankRuehl"/>
          </w:rPr>
          <w:t>'</w:t>
        </w:r>
      </w:hyperlink>
      <w:r w:rsidRPr="0023687A">
        <w:rPr>
          <w:rFonts w:ascii="FrankRuehl" w:hAnsi="FrankRuehl" w:cs="FrankRuehl"/>
          <w:color w:val="0000FF"/>
          <w:u w:val="single"/>
          <w:rtl/>
        </w:rPr>
        <w:t xml:space="preserve">, </w:t>
      </w:r>
      <w:hyperlink r:id="rId14" w:history="1">
        <w:r w:rsidRPr="0023687A">
          <w:rPr>
            <w:rStyle w:val="Hyperlink"/>
            <w:rFonts w:ascii="FrankRuehl" w:hAnsi="FrankRuehl" w:cs="FrankRuehl"/>
          </w:rPr>
          <w:t>40</w:t>
        </w:r>
        <w:r w:rsidRPr="0023687A">
          <w:rPr>
            <w:rStyle w:val="Hyperlink"/>
            <w:rFonts w:ascii="FrankRuehl" w:hAnsi="FrankRuehl" w:cs="FrankRuehl"/>
            <w:rtl/>
          </w:rPr>
          <w:t>יא</w:t>
        </w:r>
      </w:hyperlink>
    </w:p>
    <w:p w14:paraId="5943C14B" w14:textId="77777777" w:rsidR="0023687A" w:rsidRDefault="0023687A" w:rsidP="0023687A">
      <w:pPr>
        <w:rPr>
          <w:rFonts w:hint="cs"/>
          <w:rtl/>
        </w:rPr>
      </w:pPr>
      <w:bookmarkStart w:id="4" w:name="LawTable_End"/>
      <w:bookmarkEnd w:id="4"/>
    </w:p>
    <w:p w14:paraId="175B46AC" w14:textId="77777777" w:rsidR="0023687A" w:rsidRPr="0023687A" w:rsidRDefault="0023687A" w:rsidP="0023687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0ACA" w14:paraId="72271EBF" w14:textId="77777777" w:rsidTr="00B90ACA">
        <w:trPr>
          <w:trHeight w:val="355"/>
          <w:jc w:val="center"/>
        </w:trPr>
        <w:tc>
          <w:tcPr>
            <w:tcW w:w="8820" w:type="dxa"/>
            <w:tcBorders>
              <w:top w:val="nil"/>
              <w:left w:val="nil"/>
              <w:bottom w:val="nil"/>
              <w:right w:val="nil"/>
            </w:tcBorders>
            <w:shd w:val="clear" w:color="auto" w:fill="auto"/>
          </w:tcPr>
          <w:p w14:paraId="23B2F899" w14:textId="77777777" w:rsidR="00F507C7" w:rsidRPr="00F507C7" w:rsidRDefault="00F507C7" w:rsidP="00F507C7">
            <w:pPr>
              <w:jc w:val="center"/>
              <w:rPr>
                <w:rFonts w:ascii="Arial" w:hAnsi="Arial" w:cs="FrankRuehl"/>
                <w:b/>
                <w:bCs/>
                <w:sz w:val="32"/>
                <w:szCs w:val="32"/>
                <w:u w:val="single"/>
                <w:rtl/>
              </w:rPr>
            </w:pPr>
            <w:bookmarkStart w:id="5" w:name="PsakDin" w:colFirst="0" w:colLast="0"/>
            <w:bookmarkEnd w:id="0"/>
            <w:r w:rsidRPr="00F507C7">
              <w:rPr>
                <w:rFonts w:ascii="Arial" w:hAnsi="Arial" w:cs="FrankRuehl"/>
                <w:b/>
                <w:bCs/>
                <w:sz w:val="32"/>
                <w:szCs w:val="32"/>
                <w:u w:val="single"/>
                <w:rtl/>
              </w:rPr>
              <w:t>גזר דין</w:t>
            </w:r>
          </w:p>
          <w:p w14:paraId="23F7BD55" w14:textId="77777777" w:rsidR="00B90ACA" w:rsidRPr="00F507C7" w:rsidRDefault="00B90ACA" w:rsidP="00F507C7">
            <w:pPr>
              <w:jc w:val="center"/>
              <w:rPr>
                <w:rFonts w:ascii="Arial" w:hAnsi="Arial" w:cs="FrankRuehl"/>
                <w:bCs/>
                <w:sz w:val="32"/>
                <w:szCs w:val="32"/>
                <w:u w:val="single"/>
                <w:rtl/>
              </w:rPr>
            </w:pPr>
          </w:p>
        </w:tc>
      </w:tr>
      <w:bookmarkEnd w:id="5"/>
    </w:tbl>
    <w:p w14:paraId="61D3806B" w14:textId="77777777" w:rsidR="00B90ACA" w:rsidRPr="00B05847" w:rsidRDefault="00B90ACA" w:rsidP="00B90ACA">
      <w:pPr>
        <w:rPr>
          <w:rFonts w:ascii="Arial" w:hAnsi="Arial"/>
          <w:rtl/>
        </w:rPr>
      </w:pPr>
    </w:p>
    <w:p w14:paraId="09F26C9B" w14:textId="77777777" w:rsidR="00B90ACA" w:rsidRPr="00B05847" w:rsidRDefault="00B90ACA" w:rsidP="00B90ACA">
      <w:pPr>
        <w:rPr>
          <w:rFonts w:ascii="Arial" w:hAnsi="Arial"/>
          <w:rtl/>
        </w:rPr>
      </w:pPr>
    </w:p>
    <w:p w14:paraId="343D20B8" w14:textId="77777777" w:rsidR="00B90ACA" w:rsidRPr="00B05847" w:rsidRDefault="00B90ACA" w:rsidP="00B90ACA">
      <w:pPr>
        <w:rPr>
          <w:rtl/>
        </w:rPr>
      </w:pPr>
    </w:p>
    <w:p w14:paraId="281D0557" w14:textId="77777777" w:rsidR="00B90ACA" w:rsidRDefault="00B90ACA" w:rsidP="00B90ACA">
      <w:pPr>
        <w:spacing w:line="360" w:lineRule="auto"/>
        <w:rPr>
          <w:rFonts w:cs="FrankRuehl"/>
          <w:b/>
          <w:bCs/>
          <w:sz w:val="28"/>
          <w:szCs w:val="28"/>
          <w:u w:val="single"/>
        </w:rPr>
      </w:pPr>
      <w:r>
        <w:rPr>
          <w:rFonts w:cs="FrankRuehl" w:hint="cs"/>
          <w:b/>
          <w:bCs/>
          <w:sz w:val="28"/>
          <w:szCs w:val="28"/>
          <w:u w:val="single"/>
          <w:rtl/>
        </w:rPr>
        <w:t>כתב האישום המתוקן</w:t>
      </w:r>
    </w:p>
    <w:p w14:paraId="7C62B3EB" w14:textId="77777777" w:rsidR="00B90ACA" w:rsidRDefault="00B90ACA" w:rsidP="00B90ACA">
      <w:pPr>
        <w:spacing w:line="360" w:lineRule="auto"/>
        <w:jc w:val="both"/>
        <w:rPr>
          <w:rFonts w:cs="FrankRuehl"/>
          <w:sz w:val="28"/>
          <w:szCs w:val="28"/>
          <w:rtl/>
        </w:rPr>
      </w:pPr>
      <w:bookmarkStart w:id="6" w:name="ABSTRACT_START"/>
      <w:bookmarkEnd w:id="6"/>
      <w:r>
        <w:rPr>
          <w:rFonts w:cs="FrankRuehl" w:hint="cs"/>
          <w:sz w:val="28"/>
          <w:szCs w:val="28"/>
          <w:rtl/>
        </w:rPr>
        <w:t xml:space="preserve">עניינו של כתב האישום המתוקן בעבירות סמים. </w:t>
      </w:r>
    </w:p>
    <w:p w14:paraId="719D2BFD" w14:textId="77777777" w:rsidR="00B90ACA" w:rsidRDefault="00B90ACA" w:rsidP="00B90ACA">
      <w:pPr>
        <w:spacing w:line="360" w:lineRule="auto"/>
        <w:jc w:val="both"/>
        <w:rPr>
          <w:rFonts w:cs="FrankRuehl"/>
          <w:sz w:val="28"/>
          <w:szCs w:val="28"/>
          <w:rtl/>
        </w:rPr>
      </w:pPr>
      <w:r>
        <w:rPr>
          <w:rFonts w:cs="FrankRuehl" w:hint="cs"/>
          <w:sz w:val="28"/>
          <w:szCs w:val="28"/>
          <w:rtl/>
        </w:rPr>
        <w:t xml:space="preserve">מעובדות </w:t>
      </w:r>
      <w:r w:rsidRPr="00545D68">
        <w:rPr>
          <w:rFonts w:cs="FrankRuehl" w:hint="cs"/>
          <w:sz w:val="28"/>
          <w:szCs w:val="28"/>
          <w:u w:val="single"/>
          <w:rtl/>
        </w:rPr>
        <w:t>החלק הכללי</w:t>
      </w:r>
      <w:r>
        <w:rPr>
          <w:rFonts w:cs="FrankRuehl" w:hint="cs"/>
          <w:sz w:val="28"/>
          <w:szCs w:val="28"/>
          <w:rtl/>
        </w:rPr>
        <w:t xml:space="preserve"> עולה, כי הנאשם הכיר היכרות מוקדמת את הסוכן נ"</w:t>
      </w:r>
      <w:hyperlink r:id="rId15" w:history="1">
        <w:r w:rsidR="00F507C7" w:rsidRPr="00F507C7">
          <w:rPr>
            <w:rFonts w:cs="FrankRuehl"/>
            <w:color w:val="0000FF"/>
            <w:sz w:val="28"/>
            <w:szCs w:val="28"/>
            <w:u w:val="single"/>
            <w:rtl/>
          </w:rPr>
          <w:t>פ 29-17</w:t>
        </w:r>
      </w:hyperlink>
      <w:r>
        <w:rPr>
          <w:rFonts w:cs="FrankRuehl" w:hint="cs"/>
          <w:sz w:val="28"/>
          <w:szCs w:val="28"/>
          <w:rtl/>
        </w:rPr>
        <w:t xml:space="preserve"> (להלן </w:t>
      </w:r>
      <w:r>
        <w:rPr>
          <w:rFonts w:cs="FrankRuehl"/>
          <w:sz w:val="28"/>
          <w:szCs w:val="28"/>
          <w:rtl/>
        </w:rPr>
        <w:t>–</w:t>
      </w:r>
      <w:r>
        <w:rPr>
          <w:rFonts w:cs="FrankRuehl" w:hint="cs"/>
          <w:sz w:val="28"/>
          <w:szCs w:val="28"/>
          <w:rtl/>
        </w:rPr>
        <w:t xml:space="preserve"> </w:t>
      </w:r>
      <w:r w:rsidRPr="007B09AC">
        <w:rPr>
          <w:rFonts w:cs="FrankRuehl" w:hint="cs"/>
          <w:b/>
          <w:bCs/>
          <w:sz w:val="28"/>
          <w:szCs w:val="28"/>
          <w:rtl/>
        </w:rPr>
        <w:t>הסוכן</w:t>
      </w:r>
      <w:r>
        <w:rPr>
          <w:rFonts w:cs="FrankRuehl" w:hint="cs"/>
          <w:sz w:val="28"/>
          <w:szCs w:val="28"/>
          <w:rtl/>
        </w:rPr>
        <w:t>), שפעל עבור המשטרה בין ינואר לספטמבר 2017.</w:t>
      </w:r>
    </w:p>
    <w:p w14:paraId="35AD7F39" w14:textId="77777777" w:rsidR="00B90ACA" w:rsidRDefault="00B90ACA" w:rsidP="00B90ACA">
      <w:pPr>
        <w:spacing w:line="360" w:lineRule="auto"/>
        <w:jc w:val="both"/>
        <w:rPr>
          <w:rFonts w:cs="FrankRuehl"/>
          <w:sz w:val="28"/>
          <w:szCs w:val="28"/>
          <w:rtl/>
        </w:rPr>
      </w:pPr>
      <w:r w:rsidRPr="007B09AC">
        <w:rPr>
          <w:rFonts w:cs="FrankRuehl" w:hint="cs"/>
          <w:sz w:val="28"/>
          <w:szCs w:val="28"/>
          <w:u w:val="single"/>
          <w:rtl/>
        </w:rPr>
        <w:lastRenderedPageBreak/>
        <w:t>ע"פ האישום הראשון</w:t>
      </w:r>
      <w:r>
        <w:rPr>
          <w:rFonts w:cs="FrankRuehl" w:hint="cs"/>
          <w:sz w:val="28"/>
          <w:szCs w:val="28"/>
          <w:rtl/>
        </w:rPr>
        <w:t xml:space="preserve">, בחודש יוני 2017, החזיק הנאשם בפלטת חשיש במשקל 97.31 גרם נטו, אותה התכוון להעביר לסוכן תמורת 3,200 ₪. השניים תיאמו ביניהם העברת הסם כאשר בתחילה </w:t>
      </w:r>
      <w:bookmarkStart w:id="7" w:name="ABSTRACT_END"/>
      <w:bookmarkEnd w:id="7"/>
      <w:r>
        <w:rPr>
          <w:rFonts w:cs="FrankRuehl" w:hint="cs"/>
          <w:sz w:val="28"/>
          <w:szCs w:val="28"/>
          <w:rtl/>
        </w:rPr>
        <w:t xml:space="preserve">סבר הנאשם כי מדובר בהזמנת קילו חשיש. בהמשך הובהר כי התמורה עבור הפלטה תהיה 2,600 ₪ ועוד 600 ₪ עבור הנסיעה (העסקה בוצעה בירושלים ולשם כך הגיע הנאשם מנתניה). בהקשר לעסקה זו הלין הנאשם כי הרווח הקטן שלו הסתכם ב-200, 300 ₪ בלבד. בגין אישום זה הורשע הנאשם </w:t>
      </w:r>
      <w:r w:rsidRPr="007B09AC">
        <w:rPr>
          <w:rFonts w:cs="FrankRuehl" w:hint="cs"/>
          <w:b/>
          <w:bCs/>
          <w:sz w:val="28"/>
          <w:szCs w:val="28"/>
          <w:rtl/>
        </w:rPr>
        <w:t>בהחזקת סם שלא לצריכה עצמית</w:t>
      </w:r>
      <w:r>
        <w:rPr>
          <w:rFonts w:cs="FrankRuehl" w:hint="cs"/>
          <w:sz w:val="28"/>
          <w:szCs w:val="28"/>
          <w:rtl/>
        </w:rPr>
        <w:t xml:space="preserve">, לפי סעיפים </w:t>
      </w:r>
      <w:hyperlink r:id="rId16" w:history="1">
        <w:r w:rsidR="0023687A" w:rsidRPr="0023687A">
          <w:rPr>
            <w:rStyle w:val="Hyperlink"/>
            <w:rFonts w:cs="FrankRuehl"/>
            <w:color w:val="0000FF"/>
            <w:sz w:val="28"/>
            <w:szCs w:val="28"/>
            <w:rtl/>
          </w:rPr>
          <w:t>7(א) + (ג)</w:t>
        </w:r>
      </w:hyperlink>
      <w:r>
        <w:rPr>
          <w:rFonts w:cs="FrankRuehl" w:hint="cs"/>
          <w:sz w:val="28"/>
          <w:szCs w:val="28"/>
          <w:rtl/>
        </w:rPr>
        <w:t xml:space="preserve"> רישא ל</w:t>
      </w:r>
      <w:hyperlink r:id="rId17" w:history="1">
        <w:r w:rsidR="00F507C7" w:rsidRPr="00F507C7">
          <w:rPr>
            <w:rFonts w:cs="FrankRuehl"/>
            <w:color w:val="0000FF"/>
            <w:sz w:val="28"/>
            <w:szCs w:val="28"/>
            <w:u w:val="single"/>
            <w:rtl/>
          </w:rPr>
          <w:t>פקודת הסמים המסוכנים</w:t>
        </w:r>
      </w:hyperlink>
      <w:r>
        <w:rPr>
          <w:rFonts w:cs="FrankRuehl" w:hint="cs"/>
          <w:sz w:val="28"/>
          <w:szCs w:val="28"/>
          <w:rtl/>
        </w:rPr>
        <w:t>.</w:t>
      </w:r>
    </w:p>
    <w:p w14:paraId="5BF6805A" w14:textId="77777777" w:rsidR="00B90ACA" w:rsidRDefault="00B90ACA" w:rsidP="00B90ACA">
      <w:pPr>
        <w:spacing w:line="360" w:lineRule="auto"/>
        <w:jc w:val="both"/>
        <w:rPr>
          <w:rFonts w:cs="FrankRuehl"/>
          <w:sz w:val="28"/>
          <w:szCs w:val="28"/>
        </w:rPr>
      </w:pPr>
      <w:r w:rsidRPr="00545D68">
        <w:rPr>
          <w:rFonts w:cs="FrankRuehl" w:hint="cs"/>
          <w:sz w:val="28"/>
          <w:szCs w:val="28"/>
          <w:u w:val="single"/>
          <w:rtl/>
        </w:rPr>
        <w:t>ע"פ האישומים השני והשלישי</w:t>
      </w:r>
      <w:r>
        <w:rPr>
          <w:rFonts w:cs="FrankRuehl" w:hint="cs"/>
          <w:sz w:val="28"/>
          <w:szCs w:val="28"/>
          <w:rtl/>
        </w:rPr>
        <w:t xml:space="preserve">, בחודשים פברואר  ואפריל 2017 סחר הנאשם אל מול הסוכן ב-2 פלטות חשיש בכל פעם (כ-192 גרם נטו) תמורת 6,400 ₪ לכל עסקה. העסקאות תואמו ובוצעו בהתראה קצרה יחסית, כאשר בשתיהן נסע הנאשם לירושלים לצורך ביצוען כשהבטיח שאיכות החומר שמכר טובה מאוד. בגין כך הואשם והורשע בשתי עבירות של </w:t>
      </w:r>
      <w:r w:rsidRPr="007B09AC">
        <w:rPr>
          <w:rFonts w:cs="FrankRuehl" w:hint="cs"/>
          <w:b/>
          <w:bCs/>
          <w:sz w:val="28"/>
          <w:szCs w:val="28"/>
          <w:rtl/>
        </w:rPr>
        <w:t>סחר בסמים</w:t>
      </w:r>
      <w:r>
        <w:rPr>
          <w:rFonts w:cs="FrankRuehl" w:hint="cs"/>
          <w:sz w:val="28"/>
          <w:szCs w:val="28"/>
          <w:rtl/>
        </w:rPr>
        <w:t xml:space="preserve">, לפי סעיפים </w:t>
      </w:r>
      <w:hyperlink r:id="rId18" w:history="1">
        <w:r w:rsidR="0023687A" w:rsidRPr="0023687A">
          <w:rPr>
            <w:rStyle w:val="Hyperlink"/>
            <w:rFonts w:cs="FrankRuehl"/>
            <w:color w:val="0000FF"/>
            <w:sz w:val="28"/>
            <w:szCs w:val="28"/>
            <w:rtl/>
          </w:rPr>
          <w:t>13 + 19א</w:t>
        </w:r>
      </w:hyperlink>
      <w:r>
        <w:rPr>
          <w:rFonts w:cs="FrankRuehl" w:hint="cs"/>
          <w:sz w:val="28"/>
          <w:szCs w:val="28"/>
          <w:rtl/>
        </w:rPr>
        <w:t xml:space="preserve"> לפקודה.</w:t>
      </w:r>
    </w:p>
    <w:p w14:paraId="1AA6E3F3" w14:textId="77777777" w:rsidR="00B90ACA" w:rsidRDefault="00B90ACA" w:rsidP="00B90ACA">
      <w:pPr>
        <w:spacing w:line="360" w:lineRule="auto"/>
        <w:jc w:val="both"/>
        <w:rPr>
          <w:rFonts w:cs="FrankRuehl"/>
          <w:b/>
          <w:bCs/>
          <w:sz w:val="28"/>
          <w:szCs w:val="28"/>
          <w:u w:val="single"/>
        </w:rPr>
      </w:pPr>
    </w:p>
    <w:p w14:paraId="0F83A04C" w14:textId="77777777" w:rsidR="00B90ACA" w:rsidRDefault="00B90ACA" w:rsidP="00B90ACA">
      <w:pPr>
        <w:spacing w:line="360" w:lineRule="auto"/>
        <w:jc w:val="both"/>
        <w:rPr>
          <w:rFonts w:cs="FrankRuehl"/>
          <w:b/>
          <w:bCs/>
          <w:sz w:val="28"/>
          <w:szCs w:val="28"/>
          <w:u w:val="single"/>
        </w:rPr>
      </w:pPr>
      <w:r>
        <w:rPr>
          <w:rFonts w:cs="FrankRuehl" w:hint="cs"/>
          <w:b/>
          <w:bCs/>
          <w:sz w:val="28"/>
          <w:szCs w:val="28"/>
          <w:u w:val="single"/>
          <w:rtl/>
        </w:rPr>
        <w:t>מהלך הדיון</w:t>
      </w:r>
    </w:p>
    <w:p w14:paraId="47A92DDE" w14:textId="77777777" w:rsidR="00B90ACA" w:rsidRDefault="00B90ACA" w:rsidP="00B90ACA">
      <w:pPr>
        <w:spacing w:line="360" w:lineRule="auto"/>
        <w:jc w:val="both"/>
        <w:rPr>
          <w:rFonts w:cs="FrankRuehl"/>
          <w:sz w:val="28"/>
          <w:szCs w:val="28"/>
        </w:rPr>
      </w:pPr>
      <w:r>
        <w:rPr>
          <w:rFonts w:cs="FrankRuehl" w:hint="cs"/>
          <w:sz w:val="28"/>
          <w:szCs w:val="28"/>
          <w:rtl/>
        </w:rPr>
        <w:t>הנאשם נעצר לחקירה במסגרת תיק זה ביום 8.9.2017, הוגשו נגדו כתב אישום יחד עם בקשה למעצר תום הליכים ביום 13.9.2017, והוא שוחרר למעצר בית מלא ביום 26.10.2017. בהמשך בחודש ינואר 2018 ניתנה לנאשם הקלה מסוימת במעצר הבית, וביום 8.8.2018 נותר הנאשם במעצר בית לילי בלבד. ביום 4.10.2018 הגיעו הצדדים להסדר טיעון, לפיו הנאשם יודה בכתב האישום המתוקן, והצדדים יטענו לעונש בטווח שבין 15 חודשי מאסר כעתירת המאשימה המקסימלית, לבין 6 חודשי מאסר בעבודות שירות, כעתירת הסניגור המינימלית. עוד הוסכם להטיל על הנאשם ענישה נלווית בדמות מאסר על-תנאי, פסילה על-תנאי, קנס והתחייבות. הוסכם לשלוח את הנאשם לשירות המבחן ולממונה על עבודות השירות.</w:t>
      </w:r>
    </w:p>
    <w:p w14:paraId="40518892" w14:textId="77777777" w:rsidR="00B90ACA" w:rsidRDefault="00B90ACA" w:rsidP="00B90ACA">
      <w:pPr>
        <w:spacing w:line="360" w:lineRule="auto"/>
        <w:jc w:val="both"/>
        <w:rPr>
          <w:rFonts w:cs="FrankRuehl"/>
          <w:b/>
          <w:bCs/>
          <w:sz w:val="28"/>
          <w:szCs w:val="28"/>
          <w:u w:val="single"/>
          <w:rtl/>
        </w:rPr>
      </w:pPr>
    </w:p>
    <w:p w14:paraId="12F12A99" w14:textId="77777777" w:rsidR="00B90ACA" w:rsidRDefault="00B90ACA" w:rsidP="00B90ACA">
      <w:pPr>
        <w:spacing w:line="360" w:lineRule="auto"/>
        <w:jc w:val="both"/>
        <w:rPr>
          <w:rFonts w:cs="FrankRuehl"/>
          <w:b/>
          <w:bCs/>
          <w:sz w:val="28"/>
          <w:szCs w:val="28"/>
          <w:u w:val="single"/>
          <w:rtl/>
        </w:rPr>
      </w:pPr>
      <w:r>
        <w:rPr>
          <w:rFonts w:cs="FrankRuehl" w:hint="cs"/>
          <w:b/>
          <w:bCs/>
          <w:sz w:val="28"/>
          <w:szCs w:val="28"/>
          <w:u w:val="single"/>
          <w:rtl/>
        </w:rPr>
        <w:t xml:space="preserve">תסקירי שירות המבחן </w:t>
      </w:r>
    </w:p>
    <w:p w14:paraId="48FBF617" w14:textId="77777777" w:rsidR="00B90ACA" w:rsidRDefault="00B90ACA" w:rsidP="00B90ACA">
      <w:pPr>
        <w:spacing w:line="360" w:lineRule="auto"/>
        <w:jc w:val="both"/>
        <w:rPr>
          <w:rFonts w:cs="FrankRuehl"/>
          <w:sz w:val="28"/>
          <w:szCs w:val="28"/>
          <w:rtl/>
        </w:rPr>
      </w:pPr>
      <w:r>
        <w:rPr>
          <w:rFonts w:cs="FrankRuehl" w:hint="cs"/>
          <w:sz w:val="28"/>
          <w:szCs w:val="28"/>
          <w:rtl/>
        </w:rPr>
        <w:t xml:space="preserve">בחודש מאי 2019 הוגש התסקיר הראשון בעניינו של הנאשם. מהתסקיר עולה כי הנאשם כבן 52, רווק ואב לחמישה ילדים וכן סב לנכד. הוא מתגורר בנתניה. הוא סיים 11 שנות לימוד, שירת שירות צבאי חלקי וחי חיי זוגיות ללא נישואין במשך שנים רבות, כשממערכת יחסים זו נולדו לו ילדיו. הוא עבד בתחום היהלומים שנים רבות, עד למשבר שחל בענף בשנת 2010. מאז ועד היום עוסק הנאשם באופן לא מוסדר בתחום הסחר ביהלומים. הנאשם סובל מבעיות בריאותיות משמעותיות כמפורט בתסקיר. הוא החל להתמכר להימורים בשנת 2004, והדבר הסב לו נזק </w:t>
      </w:r>
      <w:r>
        <w:rPr>
          <w:rFonts w:cs="FrankRuehl" w:hint="cs"/>
          <w:sz w:val="28"/>
          <w:szCs w:val="28"/>
          <w:rtl/>
        </w:rPr>
        <w:lastRenderedPageBreak/>
        <w:t>רכושי וממוני רב, לרבות היקלעות לחובות לשוק האפור, ונקיטת דרכי מרמה כלפי אביו. לנאשם רישום פלילי הכולל ביצוע עבירות אלימות כלפי בת זוג, בגינן אף ריצה מאסר בפועל קצר. הוא השתמש בסמים מסוג חשיש לאורך תקופה, ולטענתו נגמל, כאשר בדיקות שתן שמסר לאורך תקופת שחרורו (למעט הראשונה) נמצאו נקיות מסמים. שירות המבחן עמד על השתלבותו של הנאשם בתהליך טיפולי ועל חלקו הדומיננטי במפגשים קבוצתיים ושיתוף הפעולה שלו עם הטיפול. הנאשם נטל אחריות לעבירה אך טען כי ביצע את המעשים כטובה לאותו סוכן, שהיה מכר וחבר מתקופת העיסוק המשותף בתחום היהלומים, וכי למעשה, לא השיא רווחים משמעותיים, למעט כיסוי הוצאות הנסיעות שהיו כרוכות באותן עסקאות. בעת עריכת התסקיר, סבר שירות המבחן כי יש להעמיק לחקור את מניעיו של הנאשם ואת יכולותיו להשתקם, ולכן המליץ על דחייה בת 3 חודשים.</w:t>
      </w:r>
    </w:p>
    <w:p w14:paraId="051CA747" w14:textId="77777777" w:rsidR="00B90ACA" w:rsidRDefault="00B90ACA" w:rsidP="00B90ACA">
      <w:pPr>
        <w:spacing w:line="360" w:lineRule="auto"/>
        <w:jc w:val="both"/>
        <w:rPr>
          <w:rFonts w:cs="FrankRuehl"/>
          <w:sz w:val="28"/>
          <w:szCs w:val="28"/>
          <w:rtl/>
        </w:rPr>
      </w:pPr>
    </w:p>
    <w:p w14:paraId="3749F6E1" w14:textId="77777777" w:rsidR="00B90ACA" w:rsidRDefault="00B90ACA" w:rsidP="00B90ACA">
      <w:pPr>
        <w:spacing w:line="360" w:lineRule="auto"/>
        <w:jc w:val="both"/>
        <w:rPr>
          <w:rFonts w:cs="FrankRuehl"/>
          <w:sz w:val="28"/>
          <w:szCs w:val="28"/>
          <w:rtl/>
        </w:rPr>
      </w:pPr>
      <w:r>
        <w:rPr>
          <w:rFonts w:cs="FrankRuehl" w:hint="cs"/>
          <w:sz w:val="28"/>
          <w:szCs w:val="28"/>
          <w:rtl/>
        </w:rPr>
        <w:t xml:space="preserve">בחודש ספטמבר 2019 הוגש תסקיר שני. שירות המבחן עמד על כך שבתקופת הדחיה, המשיך הנאשם לעמוד בקשר רציף עם שירות המבחן והתמיד בטיפול וכן במתן בדיקות שתן נקיות. שירות המבחן סבר כי ניתן לסיים את ההליכים בהמלצתו הטיפולית, שעיקרה, הטלת עונש מרתיע של עבודות שירות לצד הטלת צו מבחן. </w:t>
      </w:r>
    </w:p>
    <w:p w14:paraId="2B90F666" w14:textId="77777777" w:rsidR="00B90ACA" w:rsidRDefault="00B90ACA" w:rsidP="00B90ACA">
      <w:pPr>
        <w:spacing w:line="360" w:lineRule="auto"/>
        <w:jc w:val="both"/>
        <w:rPr>
          <w:rFonts w:cs="FrankRuehl"/>
          <w:b/>
          <w:bCs/>
          <w:sz w:val="28"/>
          <w:szCs w:val="28"/>
          <w:u w:val="single"/>
        </w:rPr>
      </w:pPr>
    </w:p>
    <w:p w14:paraId="734966AA" w14:textId="77777777" w:rsidR="00B90ACA" w:rsidRDefault="00B90ACA" w:rsidP="00B90ACA">
      <w:pPr>
        <w:spacing w:line="360" w:lineRule="auto"/>
        <w:jc w:val="both"/>
        <w:rPr>
          <w:rFonts w:cs="FrankRuehl"/>
          <w:b/>
          <w:bCs/>
          <w:sz w:val="28"/>
          <w:szCs w:val="28"/>
          <w:u w:val="single"/>
          <w:rtl/>
        </w:rPr>
      </w:pPr>
      <w:r>
        <w:rPr>
          <w:rFonts w:cs="FrankRuehl" w:hint="cs"/>
          <w:b/>
          <w:bCs/>
          <w:sz w:val="28"/>
          <w:szCs w:val="28"/>
          <w:u w:val="single"/>
          <w:rtl/>
        </w:rPr>
        <w:t>חוות דעת של הממונה על עבודות השירות</w:t>
      </w:r>
    </w:p>
    <w:p w14:paraId="61F49020" w14:textId="77777777" w:rsidR="00B90ACA" w:rsidRDefault="00B90ACA" w:rsidP="00B90ACA">
      <w:pPr>
        <w:spacing w:line="360" w:lineRule="auto"/>
        <w:jc w:val="both"/>
        <w:rPr>
          <w:rFonts w:cs="FrankRuehl"/>
          <w:sz w:val="28"/>
          <w:szCs w:val="28"/>
          <w:rtl/>
        </w:rPr>
      </w:pPr>
      <w:r>
        <w:rPr>
          <w:rFonts w:cs="FrankRuehl" w:hint="cs"/>
          <w:sz w:val="28"/>
          <w:szCs w:val="28"/>
          <w:rtl/>
        </w:rPr>
        <w:t xml:space="preserve">הממונה הגיש חוות דעת על אודות כשירות הנאשם לבצע מאסר בעבודות שירות. מחוות הדעת עולה, כי הנאשם כשיר לבצע עבודות שירות במסגרת "שווים עמותה לשיקום תעסוקתי" בנתניה, במגבלות פיזיות מסוימות, לנוכח מצבו הרפואי.  </w:t>
      </w:r>
    </w:p>
    <w:p w14:paraId="7E4A0BF0" w14:textId="77777777" w:rsidR="00B90ACA" w:rsidRDefault="00B90ACA" w:rsidP="00B90ACA">
      <w:pPr>
        <w:spacing w:line="360" w:lineRule="auto"/>
        <w:jc w:val="both"/>
        <w:rPr>
          <w:rFonts w:cs="FrankRuehl"/>
          <w:sz w:val="28"/>
          <w:szCs w:val="28"/>
          <w:rtl/>
        </w:rPr>
      </w:pPr>
    </w:p>
    <w:p w14:paraId="79B9011A" w14:textId="77777777" w:rsidR="00B90ACA" w:rsidRDefault="00B90ACA" w:rsidP="00B90ACA">
      <w:pPr>
        <w:spacing w:line="360" w:lineRule="auto"/>
        <w:jc w:val="both"/>
        <w:rPr>
          <w:rFonts w:cs="FrankRuehl"/>
          <w:b/>
          <w:bCs/>
          <w:sz w:val="28"/>
          <w:szCs w:val="28"/>
          <w:u w:val="single"/>
          <w:rtl/>
        </w:rPr>
      </w:pPr>
      <w:r>
        <w:rPr>
          <w:rFonts w:cs="FrankRuehl" w:hint="cs"/>
          <w:b/>
          <w:bCs/>
          <w:sz w:val="28"/>
          <w:szCs w:val="28"/>
          <w:u w:val="single"/>
          <w:rtl/>
        </w:rPr>
        <w:t>טיעונים לעונש</w:t>
      </w:r>
    </w:p>
    <w:p w14:paraId="496C39A8" w14:textId="77777777" w:rsidR="00B90ACA" w:rsidRDefault="00B90ACA" w:rsidP="00B90ACA">
      <w:pPr>
        <w:spacing w:line="360" w:lineRule="auto"/>
        <w:jc w:val="both"/>
        <w:rPr>
          <w:rFonts w:cs="FrankRuehl"/>
          <w:sz w:val="28"/>
          <w:szCs w:val="28"/>
          <w:rtl/>
        </w:rPr>
      </w:pPr>
      <w:r>
        <w:rPr>
          <w:rFonts w:cs="FrankRuehl" w:hint="cs"/>
          <w:sz w:val="28"/>
          <w:szCs w:val="28"/>
          <w:rtl/>
        </w:rPr>
        <w:t xml:space="preserve">כאמור, הצדדים הציגו "הסדר טווח". </w:t>
      </w:r>
    </w:p>
    <w:p w14:paraId="57ECBB92" w14:textId="77777777" w:rsidR="00B90ACA" w:rsidRDefault="00B90ACA" w:rsidP="00B90ACA">
      <w:pPr>
        <w:spacing w:line="360" w:lineRule="auto"/>
        <w:jc w:val="both"/>
        <w:rPr>
          <w:rFonts w:cs="FrankRuehl"/>
          <w:sz w:val="28"/>
          <w:szCs w:val="28"/>
          <w:rtl/>
        </w:rPr>
      </w:pPr>
      <w:r>
        <w:rPr>
          <w:rFonts w:cs="FrankRuehl" w:hint="cs"/>
          <w:sz w:val="28"/>
          <w:szCs w:val="28"/>
          <w:rtl/>
        </w:rPr>
        <w:t xml:space="preserve">מחד, המאשימה עתרה להטיל על הנאשם מאסר בפועל של 15 חודשים וענישה נלווית. ב"כ המאשימה הדגיש את חומרת העבירות, את זמינות הנאשם לסם, ואת הכמויות שנמכרו, תוך הפניה לפסיקה הנוהגת. </w:t>
      </w:r>
    </w:p>
    <w:p w14:paraId="2FE4AC34" w14:textId="77777777" w:rsidR="00B90ACA" w:rsidRDefault="00B90ACA" w:rsidP="00B90ACA">
      <w:pPr>
        <w:spacing w:line="360" w:lineRule="auto"/>
        <w:jc w:val="both"/>
        <w:rPr>
          <w:rFonts w:cs="FrankRuehl"/>
          <w:sz w:val="28"/>
          <w:szCs w:val="28"/>
        </w:rPr>
      </w:pPr>
      <w:r>
        <w:rPr>
          <w:rFonts w:cs="FrankRuehl" w:hint="cs"/>
          <w:sz w:val="28"/>
          <w:szCs w:val="28"/>
          <w:rtl/>
        </w:rPr>
        <w:t xml:space="preserve">מאידך, הסניגור עתר לאמץ את המלצת שירות המבחן, ולגזור על הנאשם עונש של 6 חודשי מאסר בעבודות שירות וענישה נלווית, תוך שהוא מדגיש את נסיבותיו של הנאשם, ואת חשיבות צו המבחן כגורם מרתיע ומפקח. </w:t>
      </w:r>
    </w:p>
    <w:p w14:paraId="72AF0A66" w14:textId="77777777" w:rsidR="00B90ACA" w:rsidRDefault="00B90ACA" w:rsidP="00B90ACA">
      <w:pPr>
        <w:spacing w:line="360" w:lineRule="auto"/>
        <w:jc w:val="both"/>
        <w:rPr>
          <w:rFonts w:cs="FrankRuehl"/>
          <w:b/>
          <w:bCs/>
          <w:sz w:val="28"/>
          <w:szCs w:val="28"/>
          <w:u w:val="single"/>
          <w:rtl/>
        </w:rPr>
      </w:pPr>
    </w:p>
    <w:p w14:paraId="402EDE25"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היחס שבין הסדר טיעון לבין מתחם ענישה  ו"תיקון 113 ל</w:t>
      </w:r>
      <w:hyperlink r:id="rId19" w:history="1">
        <w:r w:rsidR="00F507C7" w:rsidRPr="00F507C7">
          <w:rPr>
            <w:rFonts w:cs="FrankRuehl"/>
            <w:b/>
            <w:bCs/>
            <w:color w:val="0000FF"/>
            <w:sz w:val="28"/>
            <w:szCs w:val="28"/>
            <w:u w:val="single"/>
            <w:rtl/>
          </w:rPr>
          <w:t>חוק העונשין</w:t>
        </w:r>
      </w:hyperlink>
      <w:r>
        <w:rPr>
          <w:rFonts w:cs="FrankRuehl" w:hint="cs"/>
          <w:b/>
          <w:bCs/>
          <w:sz w:val="28"/>
          <w:szCs w:val="28"/>
          <w:u w:val="single"/>
          <w:rtl/>
        </w:rPr>
        <w:t>"</w:t>
      </w:r>
      <w:r>
        <w:rPr>
          <w:rFonts w:cs="FrankRuehl" w:hint="cs"/>
          <w:sz w:val="28"/>
          <w:szCs w:val="28"/>
          <w:rtl/>
        </w:rPr>
        <w:t xml:space="preserve"> – בידוע, כי בית המשפט אינו כבול בהסדר טיעון אליו הגיעו הצדדים, הגם שלרוב, בית המשפט לא יתערב בהסדר, אלא בנסיבות חריגות. נקבע גם לא אחת, כי השיקולים המביאים צדדים להגיע להסדר טיעון לסוגיו (לרבות "הסדר טווח ענישה") שונים מהשיקולים עליהם אמון בית המשפט, ואשר לאורם עליו לקבוע את מתחם הענישה לנוכח עקרון ההלימה והקריטריונים הקבועים בתיקון 113 ל</w:t>
      </w:r>
      <w:hyperlink r:id="rId20" w:history="1">
        <w:r w:rsidR="00F507C7" w:rsidRPr="00F507C7">
          <w:rPr>
            <w:rFonts w:cs="FrankRuehl"/>
            <w:color w:val="0000FF"/>
            <w:sz w:val="28"/>
            <w:szCs w:val="28"/>
            <w:u w:val="single"/>
            <w:rtl/>
          </w:rPr>
          <w:t>חוק העונשין</w:t>
        </w:r>
      </w:hyperlink>
      <w:r>
        <w:rPr>
          <w:rFonts w:cs="FrankRuehl" w:hint="cs"/>
          <w:sz w:val="28"/>
          <w:szCs w:val="28"/>
          <w:rtl/>
        </w:rPr>
        <w:t xml:space="preserve">. יחד עם זאת נקבע, כי קביעת מתחם הענישה על-פי המתווה האמור, אמורה לשמש אבן בוחן לבית המשפט, בהתייחסו לסבירות ונאותות ההסדר המוצג לפניו, בוודאי בבואו של בית המשפט להכריע בשאלת שיעור העונש בתוך מתחם ענישה מוצע. ראו בהקשר זה: </w:t>
      </w:r>
      <w:hyperlink r:id="rId21" w:history="1">
        <w:r w:rsidR="00F507C7" w:rsidRPr="00F507C7">
          <w:rPr>
            <w:rFonts w:cs="FrankRuehl"/>
            <w:color w:val="0000FF"/>
            <w:sz w:val="28"/>
            <w:szCs w:val="28"/>
            <w:u w:val="single"/>
            <w:rtl/>
          </w:rPr>
          <w:t>ע"פ 921/17</w:t>
        </w:r>
      </w:hyperlink>
      <w:r>
        <w:rPr>
          <w:rFonts w:cs="FrankRuehl" w:hint="cs"/>
          <w:sz w:val="28"/>
          <w:szCs w:val="28"/>
          <w:rtl/>
        </w:rPr>
        <w:t xml:space="preserve"> </w:t>
      </w:r>
      <w:r>
        <w:rPr>
          <w:rFonts w:cs="FrankRuehl" w:hint="cs"/>
          <w:b/>
          <w:bCs/>
          <w:sz w:val="28"/>
          <w:szCs w:val="28"/>
          <w:u w:val="single"/>
          <w:rtl/>
        </w:rPr>
        <w:t>אבו זעילה</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(מיום 28.5.2017).</w:t>
      </w:r>
    </w:p>
    <w:p w14:paraId="610D0B47" w14:textId="77777777" w:rsidR="00B90ACA" w:rsidRDefault="00B90ACA" w:rsidP="00B90ACA">
      <w:pPr>
        <w:spacing w:line="360" w:lineRule="auto"/>
        <w:jc w:val="both"/>
        <w:rPr>
          <w:rFonts w:cs="FrankRuehl"/>
          <w:sz w:val="28"/>
          <w:szCs w:val="28"/>
          <w:rtl/>
        </w:rPr>
      </w:pPr>
    </w:p>
    <w:p w14:paraId="4C769AD4" w14:textId="77777777" w:rsidR="00B90ACA" w:rsidRDefault="00B90ACA" w:rsidP="00B90ACA">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D1E9067" w14:textId="77777777" w:rsidR="00B90ACA" w:rsidRDefault="00B90ACA" w:rsidP="00B90ACA">
      <w:pPr>
        <w:spacing w:line="360" w:lineRule="auto"/>
        <w:jc w:val="both"/>
        <w:rPr>
          <w:rFonts w:cs="FrankRuehl"/>
          <w:b/>
          <w:bCs/>
          <w:sz w:val="28"/>
          <w:szCs w:val="28"/>
          <w:u w:val="single"/>
          <w:rtl/>
        </w:rPr>
      </w:pPr>
    </w:p>
    <w:p w14:paraId="1896B402"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xml:space="preserve">– סחר בסמים הוא מטיבו, מעשה ברף חומרה גבוה, הפוגע בערכים המוגנים של שלום הציבור, בריאותו וביטחונו, ועל-כן מצוות בית המשפט העליון היא להחמיר בענישה בהקשר זה, ולרוב, לבכר את האינטרס הציבורי על פני זה הפרטני, של הנאשם. ר' בהקשר זה: רע"פ 3343/07 </w:t>
      </w:r>
      <w:r>
        <w:rPr>
          <w:rFonts w:cs="FrankRuehl" w:hint="cs"/>
          <w:b/>
          <w:bCs/>
          <w:sz w:val="28"/>
          <w:szCs w:val="28"/>
          <w:u w:val="single"/>
          <w:rtl/>
        </w:rPr>
        <w:t>מכאוי</w:t>
      </w:r>
      <w:r>
        <w:rPr>
          <w:rFonts w:cs="FrankRuehl" w:hint="cs"/>
          <w:sz w:val="28"/>
          <w:szCs w:val="28"/>
          <w:rtl/>
        </w:rPr>
        <w:t xml:space="preserve"> נ' </w:t>
      </w:r>
      <w:r>
        <w:rPr>
          <w:rFonts w:cs="FrankRuehl" w:hint="cs"/>
          <w:b/>
          <w:bCs/>
          <w:sz w:val="28"/>
          <w:szCs w:val="28"/>
          <w:u w:val="single"/>
          <w:rtl/>
        </w:rPr>
        <w:t>מ"</w:t>
      </w:r>
      <w:r>
        <w:rPr>
          <w:rFonts w:cs="FrankRuehl" w:hint="cs"/>
          <w:sz w:val="28"/>
          <w:szCs w:val="28"/>
          <w:rtl/>
        </w:rPr>
        <w:t>י (מיום 26.7.2017).</w:t>
      </w:r>
    </w:p>
    <w:p w14:paraId="68847C7A" w14:textId="77777777" w:rsidR="00B90ACA" w:rsidRDefault="00B90ACA" w:rsidP="00B90ACA">
      <w:pPr>
        <w:spacing w:line="360" w:lineRule="auto"/>
        <w:jc w:val="both"/>
        <w:rPr>
          <w:rFonts w:cs="FrankRuehl"/>
          <w:sz w:val="28"/>
          <w:szCs w:val="28"/>
          <w:rtl/>
        </w:rPr>
      </w:pPr>
    </w:p>
    <w:p w14:paraId="3DA846A9"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 xml:space="preserve">נסיבות הקשורות בביצוע העבירה, לפי </w:t>
      </w:r>
      <w:hyperlink r:id="rId22" w:history="1">
        <w:r w:rsidR="0023687A" w:rsidRPr="0023687A">
          <w:rPr>
            <w:rStyle w:val="Hyperlink"/>
            <w:rFonts w:cs="FrankRuehl"/>
            <w:b/>
            <w:bCs/>
            <w:color w:val="0000FF"/>
            <w:sz w:val="28"/>
            <w:szCs w:val="28"/>
            <w:rtl/>
          </w:rPr>
          <w:t>סעיף 40ט'</w:t>
        </w:r>
      </w:hyperlink>
      <w:r>
        <w:rPr>
          <w:rFonts w:cs="FrankRuehl" w:hint="cs"/>
          <w:b/>
          <w:bCs/>
          <w:sz w:val="28"/>
          <w:szCs w:val="28"/>
          <w:u w:val="single"/>
          <w:rtl/>
        </w:rPr>
        <w:t xml:space="preserve"> ל</w:t>
      </w:r>
      <w:hyperlink r:id="rId23" w:history="1">
        <w:r w:rsidR="00F507C7" w:rsidRPr="00F507C7">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בין הנסיבות הקשורות בביצוע העבירה יש לשקול את אלה, לעניין קביעת המתחם: לחומרה, מדובר בעבירות מתוכננות, כאשר אכן, צודקת המאשימה, כאשר טענה שהנאשם גילה זמינות לסם, מבחינת כמות, התמצאות בטיבו, ויכולת לספקו מיידית לפי דרישה. עם זאת, יש גם בסיס בכתב האישום לכך שהנאשם הכיר היכרות מוקדמת את הסוכן, והדבר מקהה מחומרת העבירות בהיבט של הפצתן לכל דורש וממתן את הנזק הקונקרטי, אם כי לא את הנזק הפוטנציאלי העלול להיגרם מעבירות מסוג זה. ר' בהקשר זה: </w:t>
      </w:r>
      <w:hyperlink r:id="rId24" w:history="1">
        <w:r w:rsidR="00F507C7" w:rsidRPr="00F507C7">
          <w:rPr>
            <w:rFonts w:cs="FrankRuehl"/>
            <w:color w:val="0000FF"/>
            <w:sz w:val="28"/>
            <w:szCs w:val="28"/>
            <w:u w:val="single"/>
            <w:rtl/>
          </w:rPr>
          <w:t>עפ"ג (י-ם) 65233-03-17</w:t>
        </w:r>
      </w:hyperlink>
      <w:r>
        <w:rPr>
          <w:rFonts w:cs="FrankRuehl" w:hint="cs"/>
          <w:sz w:val="28"/>
          <w:szCs w:val="28"/>
          <w:rtl/>
        </w:rPr>
        <w:t xml:space="preserve"> </w:t>
      </w:r>
      <w:r w:rsidRPr="003842F4">
        <w:rPr>
          <w:rFonts w:cs="FrankRuehl" w:hint="cs"/>
          <w:b/>
          <w:bCs/>
          <w:sz w:val="28"/>
          <w:szCs w:val="28"/>
          <w:u w:val="single"/>
          <w:rtl/>
        </w:rPr>
        <w:t>רוזנברג</w:t>
      </w:r>
      <w:r>
        <w:rPr>
          <w:rFonts w:cs="FrankRuehl" w:hint="cs"/>
          <w:sz w:val="28"/>
          <w:szCs w:val="28"/>
          <w:rtl/>
        </w:rPr>
        <w:t xml:space="preserve"> נ' </w:t>
      </w:r>
      <w:r w:rsidRPr="003842F4">
        <w:rPr>
          <w:rFonts w:cs="FrankRuehl" w:hint="cs"/>
          <w:b/>
          <w:bCs/>
          <w:sz w:val="28"/>
          <w:szCs w:val="28"/>
          <w:u w:val="single"/>
          <w:rtl/>
        </w:rPr>
        <w:t>מ"י</w:t>
      </w:r>
      <w:r>
        <w:rPr>
          <w:rFonts w:cs="FrankRuehl" w:hint="cs"/>
          <w:sz w:val="28"/>
          <w:szCs w:val="28"/>
          <w:rtl/>
        </w:rPr>
        <w:t xml:space="preserve"> (מיום 26.6.2017). כמו כן יש בסיס בכתב האישום לכך שהנאשם לא פעל באופן מובהק לעשיית רווח; סוג הסם (חשיש) אינו מהחמורים, אך הדבר מתאזן עם כמותו של הסם שהיא גדולה, יחסית. הנאשם אחראי בלעדית למעשים וכאדם בוגר אב וסב, צריך היה להימנע ממעשים אסורים ופסולים אלו.</w:t>
      </w:r>
    </w:p>
    <w:p w14:paraId="7BABA246" w14:textId="77777777" w:rsidR="00B90ACA" w:rsidRDefault="00B90ACA" w:rsidP="00B90ACA">
      <w:pPr>
        <w:spacing w:line="360" w:lineRule="auto"/>
        <w:jc w:val="both"/>
        <w:rPr>
          <w:rFonts w:cs="FrankRuehl"/>
          <w:b/>
          <w:bCs/>
          <w:sz w:val="28"/>
          <w:szCs w:val="28"/>
          <w:u w:val="single"/>
          <w:rtl/>
        </w:rPr>
      </w:pPr>
    </w:p>
    <w:p w14:paraId="027D5251"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מדיניות הענישה הנוהגת</w:t>
      </w:r>
      <w:r>
        <w:rPr>
          <w:rFonts w:cs="FrankRuehl" w:hint="cs"/>
          <w:b/>
          <w:bCs/>
          <w:sz w:val="28"/>
          <w:szCs w:val="28"/>
          <w:rtl/>
        </w:rPr>
        <w:t xml:space="preserve"> –</w:t>
      </w:r>
      <w:r>
        <w:rPr>
          <w:rFonts w:cs="FrankRuehl" w:hint="cs"/>
          <w:sz w:val="28"/>
          <w:szCs w:val="28"/>
          <w:rtl/>
        </w:rPr>
        <w:t xml:space="preserve">סקירת הפסיקה בנסיבות דומות מלמדת על טווח עונשי הכולל בעיקר מאסר בעבודות שירות וענישה במאסר דו-ספרתי.  ר' למשל: </w:t>
      </w:r>
      <w:hyperlink r:id="rId25" w:history="1">
        <w:r w:rsidR="00F507C7" w:rsidRPr="00F507C7">
          <w:rPr>
            <w:rFonts w:cs="FrankRuehl"/>
            <w:color w:val="0000FF"/>
            <w:sz w:val="28"/>
            <w:szCs w:val="28"/>
            <w:u w:val="single"/>
            <w:rtl/>
          </w:rPr>
          <w:t>רע"פ 1370/17</w:t>
        </w:r>
      </w:hyperlink>
      <w:r>
        <w:rPr>
          <w:rFonts w:cs="FrankRuehl" w:hint="cs"/>
          <w:sz w:val="28"/>
          <w:szCs w:val="28"/>
          <w:rtl/>
        </w:rPr>
        <w:t xml:space="preserve"> </w:t>
      </w:r>
      <w:r w:rsidRPr="003842F4">
        <w:rPr>
          <w:rFonts w:cs="FrankRuehl" w:hint="cs"/>
          <w:b/>
          <w:bCs/>
          <w:sz w:val="28"/>
          <w:szCs w:val="28"/>
          <w:u w:val="single"/>
          <w:rtl/>
        </w:rPr>
        <w:t>בן נעים</w:t>
      </w:r>
      <w:r>
        <w:rPr>
          <w:rFonts w:cs="FrankRuehl" w:hint="cs"/>
          <w:sz w:val="28"/>
          <w:szCs w:val="28"/>
          <w:rtl/>
        </w:rPr>
        <w:t xml:space="preserve"> נ' </w:t>
      </w:r>
      <w:r w:rsidRPr="003842F4">
        <w:rPr>
          <w:rFonts w:cs="FrankRuehl" w:hint="cs"/>
          <w:b/>
          <w:bCs/>
          <w:sz w:val="28"/>
          <w:szCs w:val="28"/>
          <w:u w:val="single"/>
          <w:rtl/>
        </w:rPr>
        <w:t>מ"י</w:t>
      </w:r>
      <w:r>
        <w:rPr>
          <w:rFonts w:cs="FrankRuehl" w:hint="cs"/>
          <w:sz w:val="28"/>
          <w:szCs w:val="28"/>
          <w:rtl/>
        </w:rPr>
        <w:t xml:space="preserve"> (מיום 20.4.2017) שם אושר מתחם שבין 12 ל-24 חודשים בגין ריבוי מקרי סחר בחשיש לרבות בכמות של פלטה, והוטל עונש של 16 חודשי מאסר;  ב</w:t>
      </w:r>
      <w:hyperlink r:id="rId26" w:history="1">
        <w:r w:rsidR="00F507C7" w:rsidRPr="00F507C7">
          <w:rPr>
            <w:rFonts w:cs="FrankRuehl"/>
            <w:color w:val="0000FF"/>
            <w:sz w:val="28"/>
            <w:szCs w:val="28"/>
            <w:u w:val="single"/>
            <w:rtl/>
          </w:rPr>
          <w:t>רע"פ 2139/16</w:t>
        </w:r>
      </w:hyperlink>
      <w:r>
        <w:rPr>
          <w:rFonts w:cs="FrankRuehl" w:hint="cs"/>
          <w:sz w:val="28"/>
          <w:szCs w:val="28"/>
          <w:rtl/>
        </w:rPr>
        <w:t xml:space="preserve"> </w:t>
      </w:r>
      <w:r w:rsidRPr="003842F4">
        <w:rPr>
          <w:rFonts w:cs="FrankRuehl" w:hint="cs"/>
          <w:b/>
          <w:bCs/>
          <w:sz w:val="28"/>
          <w:szCs w:val="28"/>
          <w:u w:val="single"/>
          <w:rtl/>
        </w:rPr>
        <w:t>אברמס</w:t>
      </w:r>
      <w:r>
        <w:rPr>
          <w:rFonts w:cs="FrankRuehl" w:hint="cs"/>
          <w:sz w:val="28"/>
          <w:szCs w:val="28"/>
          <w:rtl/>
        </w:rPr>
        <w:t xml:space="preserve"> נ' </w:t>
      </w:r>
      <w:r w:rsidRPr="003842F4">
        <w:rPr>
          <w:rFonts w:cs="FrankRuehl" w:hint="cs"/>
          <w:b/>
          <w:bCs/>
          <w:sz w:val="28"/>
          <w:szCs w:val="28"/>
          <w:u w:val="single"/>
          <w:rtl/>
        </w:rPr>
        <w:t>מ"י</w:t>
      </w:r>
      <w:r>
        <w:rPr>
          <w:rFonts w:cs="FrankRuehl" w:hint="cs"/>
          <w:sz w:val="28"/>
          <w:szCs w:val="28"/>
          <w:rtl/>
        </w:rPr>
        <w:t xml:space="preserve"> (מיום 18.5.2016) אושר מתחם שבין 8 ל-27 חודשי מאסר כשהוטל על הנאשם עונש של 8 חודשי מאסר בפועל, בשל 3 עסקאות סמים במשקל פלטה כל אחת. </w:t>
      </w:r>
    </w:p>
    <w:p w14:paraId="1CCB9CB5" w14:textId="77777777" w:rsidR="00B90ACA" w:rsidRDefault="00B90ACA" w:rsidP="00B90ACA">
      <w:pPr>
        <w:spacing w:line="360" w:lineRule="auto"/>
        <w:jc w:val="both"/>
        <w:rPr>
          <w:rFonts w:cs="FrankRuehl"/>
          <w:b/>
          <w:bCs/>
          <w:sz w:val="28"/>
          <w:szCs w:val="28"/>
          <w:u w:val="single"/>
          <w:rtl/>
        </w:rPr>
      </w:pPr>
    </w:p>
    <w:p w14:paraId="4A4796D6"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לפיכך, טווח הענישה עליו הסכימו הצדדים, מתאים לרמת הענישה הנוהגת ואני מאמצו כמתחם הענישה בנסיבות מקרה זה. לא הייתה מחלוקת כי יש להתייחס לכך כאל "אירוע אחד". </w:t>
      </w:r>
    </w:p>
    <w:p w14:paraId="37725A5F" w14:textId="77777777" w:rsidR="00B90ACA" w:rsidRDefault="00B90ACA" w:rsidP="00B90ACA">
      <w:pPr>
        <w:spacing w:line="360" w:lineRule="auto"/>
        <w:jc w:val="both"/>
        <w:rPr>
          <w:rFonts w:cs="FrankRuehl"/>
          <w:sz w:val="28"/>
          <w:szCs w:val="28"/>
          <w:rtl/>
        </w:rPr>
      </w:pPr>
    </w:p>
    <w:p w14:paraId="3901C50E"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7" w:history="1">
        <w:r w:rsidR="0023687A" w:rsidRPr="0023687A">
          <w:rPr>
            <w:rStyle w:val="Hyperlink"/>
            <w:rFonts w:cs="FrankRuehl" w:hint="eastAsia"/>
            <w:b/>
            <w:bCs/>
            <w:color w:val="0000FF"/>
            <w:sz w:val="28"/>
            <w:szCs w:val="28"/>
            <w:rtl/>
          </w:rPr>
          <w:t>סעיף</w:t>
        </w:r>
        <w:r w:rsidR="0023687A" w:rsidRPr="0023687A">
          <w:rPr>
            <w:rStyle w:val="Hyperlink"/>
            <w:rFonts w:cs="FrankRuehl"/>
            <w:b/>
            <w:bCs/>
            <w:color w:val="0000FF"/>
            <w:sz w:val="28"/>
            <w:szCs w:val="28"/>
            <w:rtl/>
          </w:rPr>
          <w:t xml:space="preserve"> 40י"א</w:t>
        </w:r>
      </w:hyperlink>
      <w:r>
        <w:rPr>
          <w:rFonts w:cs="FrankRuehl" w:hint="cs"/>
          <w:b/>
          <w:bCs/>
          <w:sz w:val="28"/>
          <w:szCs w:val="28"/>
          <w:u w:val="single"/>
          <w:rtl/>
        </w:rPr>
        <w:t xml:space="preserve"> ל</w:t>
      </w:r>
      <w:hyperlink r:id="rId28" w:history="1">
        <w:r w:rsidR="00F507C7" w:rsidRPr="00F507C7">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ניתן  לתת משקל לנסיבות הבאות שאינן קשורות בביצוע העבירה, במסגרת גזירת העונש בתוך המתחם: לנאשם אין עבר פלילי בתחום הסמים, ועיקר עברו הפלילי, בתחום האלימות במשפחה (מבלי להקל בכך ראש, אלא שעברו אינו רלבנטי לסוג העבירות שלפניי); הנאשם התמודד לאורך שנים עם בעיית התמכרות להימורים ואף התמכרות לסמים לצד בעיות בריאות. עם זאת תפקד ברמה התעסוקתית והצליח להסדיר את חובותיו כפי שניתן להבין; הנאשם סובל מבעיות בריאות שונות ומשמעותיות, ולטעמי, שליחתו למאסר ממש, תפגע בו פגיעה יתרה; הוא נטל אחריות למעשים, שיתף פעולה עם שירות המבחן ולא הפר תנאים. השירות אף סבר כי הנאשם הורתע במידה מסוימת מההליכים בתיק זה וממעצרו באופן ממשי לאורך חודש ו-19 ימים. </w:t>
      </w:r>
    </w:p>
    <w:p w14:paraId="13F17C0F" w14:textId="77777777" w:rsidR="00B90ACA" w:rsidRDefault="00B90ACA" w:rsidP="00B90ACA">
      <w:pPr>
        <w:spacing w:line="360" w:lineRule="auto"/>
        <w:jc w:val="both"/>
        <w:rPr>
          <w:rFonts w:cs="FrankRuehl"/>
          <w:sz w:val="28"/>
          <w:szCs w:val="28"/>
          <w:rtl/>
        </w:rPr>
      </w:pPr>
    </w:p>
    <w:p w14:paraId="32311A5A" w14:textId="77777777" w:rsidR="00B90ACA" w:rsidRDefault="00B90ACA" w:rsidP="00B90ACA">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w:t>
      </w:r>
      <w:r>
        <w:rPr>
          <w:rFonts w:cs="FrankRuehl"/>
          <w:sz w:val="28"/>
          <w:szCs w:val="28"/>
          <w:rtl/>
        </w:rPr>
        <w:t>–</w:t>
      </w:r>
      <w:r>
        <w:rPr>
          <w:rFonts w:cs="FrankRuehl" w:hint="cs"/>
          <w:sz w:val="28"/>
          <w:szCs w:val="28"/>
          <w:rtl/>
        </w:rPr>
        <w:t xml:space="preserve"> בנסיבות אלו יש למקם את הנאשם בחלק הראשון של המתחם. </w:t>
      </w:r>
    </w:p>
    <w:p w14:paraId="20CCAC70" w14:textId="77777777" w:rsidR="00B90ACA" w:rsidRDefault="00B90ACA" w:rsidP="00B90ACA">
      <w:pPr>
        <w:spacing w:line="360" w:lineRule="auto"/>
        <w:jc w:val="both"/>
        <w:rPr>
          <w:rFonts w:cs="FrankRuehl"/>
          <w:b/>
          <w:bCs/>
          <w:sz w:val="28"/>
          <w:szCs w:val="28"/>
          <w:u w:val="single"/>
          <w:rtl/>
        </w:rPr>
      </w:pPr>
    </w:p>
    <w:p w14:paraId="670011F0" w14:textId="77777777" w:rsidR="00B90ACA" w:rsidRDefault="00B90ACA" w:rsidP="00B90ACA">
      <w:pPr>
        <w:spacing w:line="360" w:lineRule="auto"/>
        <w:jc w:val="both"/>
        <w:rPr>
          <w:rFonts w:cs="FrankRuehl"/>
          <w:b/>
          <w:bCs/>
          <w:sz w:val="28"/>
          <w:szCs w:val="28"/>
          <w:u w:val="single"/>
          <w:rtl/>
        </w:rPr>
      </w:pPr>
      <w:r>
        <w:rPr>
          <w:rFonts w:cs="FrankRuehl" w:hint="cs"/>
          <w:b/>
          <w:bCs/>
          <w:sz w:val="28"/>
          <w:szCs w:val="28"/>
          <w:u w:val="single"/>
          <w:rtl/>
        </w:rPr>
        <w:t>גזירת הדין</w:t>
      </w:r>
    </w:p>
    <w:p w14:paraId="08BD0872" w14:textId="77777777" w:rsidR="00B90ACA" w:rsidRDefault="00B90ACA" w:rsidP="00B90ACA">
      <w:pPr>
        <w:spacing w:line="360" w:lineRule="auto"/>
        <w:jc w:val="both"/>
        <w:rPr>
          <w:rFonts w:cs="FrankRuehl"/>
          <w:sz w:val="28"/>
          <w:szCs w:val="28"/>
          <w:rtl/>
        </w:rPr>
      </w:pPr>
      <w:r>
        <w:rPr>
          <w:rFonts w:cs="FrankRuehl" w:hint="cs"/>
          <w:sz w:val="28"/>
          <w:szCs w:val="28"/>
          <w:rtl/>
        </w:rPr>
        <w:t>לפיכך, אני מחליט לגזור על הנאשם את העונשים הבאים:</w:t>
      </w:r>
    </w:p>
    <w:p w14:paraId="56F9B23D" w14:textId="77777777" w:rsidR="00B90ACA" w:rsidRDefault="00B90ACA" w:rsidP="00B90ACA">
      <w:pPr>
        <w:numPr>
          <w:ilvl w:val="0"/>
          <w:numId w:val="1"/>
        </w:numPr>
        <w:spacing w:after="160" w:line="360" w:lineRule="auto"/>
        <w:contextualSpacing/>
        <w:jc w:val="both"/>
        <w:rPr>
          <w:rFonts w:cs="FrankRuehl"/>
          <w:sz w:val="28"/>
          <w:szCs w:val="28"/>
          <w:rtl/>
        </w:rPr>
      </w:pPr>
      <w:r>
        <w:rPr>
          <w:rFonts w:cs="FrankRuehl" w:hint="cs"/>
          <w:sz w:val="28"/>
          <w:szCs w:val="28"/>
          <w:rtl/>
        </w:rPr>
        <w:t>8 חודשי מאסר, אשר ירוצו בעבודות שירות, החל מיום 26.4.2020 בשעה 08:00 , אשר ירוצו ב"שווים עמותה לשיקום תעסוקתי" בנתניה, וזאת על פי חוות דעת הממונה על עבודות השירות. על הנאשם להתייצב ביום זה עד לשעה 08:00 במשרד הממונה על עבודות שירות ברמלה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 מהתקופה שקבעתי יש לנכות את מלוא ימי מעצרו של הנאשם על-פי חישוב שב"ס שיכריע;</w:t>
      </w:r>
    </w:p>
    <w:p w14:paraId="4437AA2C" w14:textId="77777777" w:rsidR="00B90ACA" w:rsidRDefault="00B90ACA" w:rsidP="00B90ACA">
      <w:pPr>
        <w:numPr>
          <w:ilvl w:val="0"/>
          <w:numId w:val="1"/>
        </w:numPr>
        <w:spacing w:after="160" w:line="360" w:lineRule="auto"/>
        <w:contextualSpacing/>
        <w:jc w:val="both"/>
        <w:rPr>
          <w:rFonts w:cs="FrankRuehl"/>
          <w:sz w:val="28"/>
          <w:szCs w:val="28"/>
        </w:rPr>
      </w:pPr>
      <w:r>
        <w:rPr>
          <w:rFonts w:cs="FrankRuehl" w:hint="cs"/>
          <w:sz w:val="28"/>
          <w:szCs w:val="28"/>
          <w:rtl/>
        </w:rPr>
        <w:t>10 חודשי מאסר, שלא ירוצו אלא אם יעבור הנאשם כל עבירת סחר בסמים, עסקה אחרת, ייבוא סם והחזקת סם שלא לצריכה עצמית, בתוך שלוש שנים מתום עבודות השירות;</w:t>
      </w:r>
    </w:p>
    <w:p w14:paraId="268835EC" w14:textId="77777777" w:rsidR="00B90ACA" w:rsidRDefault="00B90ACA" w:rsidP="00B90ACA">
      <w:pPr>
        <w:numPr>
          <w:ilvl w:val="0"/>
          <w:numId w:val="1"/>
        </w:numPr>
        <w:spacing w:after="160" w:line="360" w:lineRule="auto"/>
        <w:contextualSpacing/>
        <w:jc w:val="both"/>
        <w:rPr>
          <w:rFonts w:cs="FrankRuehl"/>
          <w:sz w:val="28"/>
          <w:szCs w:val="28"/>
        </w:rPr>
      </w:pPr>
      <w:r>
        <w:rPr>
          <w:rFonts w:cs="FrankRuehl" w:hint="cs"/>
          <w:sz w:val="28"/>
          <w:szCs w:val="28"/>
          <w:rtl/>
        </w:rPr>
        <w:t>4 חודשי מאסר, שלא ירוצו, אלא אם יעבור הנאשם כל עבירת שימוש עצמי ו/או החזקת כלים לצריכה עצמית, בתוך שלוש שנים מעת סיום עבודות השירות;</w:t>
      </w:r>
    </w:p>
    <w:p w14:paraId="528973B4" w14:textId="77777777" w:rsidR="00B90ACA" w:rsidRDefault="00B90ACA" w:rsidP="00B90ACA">
      <w:pPr>
        <w:numPr>
          <w:ilvl w:val="0"/>
          <w:numId w:val="1"/>
        </w:numPr>
        <w:spacing w:after="160" w:line="360" w:lineRule="auto"/>
        <w:contextualSpacing/>
        <w:jc w:val="both"/>
        <w:rPr>
          <w:rFonts w:cs="FrankRuehl"/>
          <w:sz w:val="28"/>
          <w:szCs w:val="28"/>
          <w:rtl/>
        </w:rPr>
      </w:pPr>
      <w:r>
        <w:rPr>
          <w:rFonts w:cs="FrankRuehl" w:hint="cs"/>
          <w:sz w:val="28"/>
          <w:szCs w:val="28"/>
          <w:rtl/>
        </w:rPr>
        <w:t xml:space="preserve">שנה פסילה מלהחזיק או מלקבל רישיון נהיגה, וזאת על-תנאי למשך שלוש שנים מהיום, בהן לא יעבור הנאשם כל עבירה לפי </w:t>
      </w:r>
      <w:hyperlink r:id="rId29" w:history="1">
        <w:r w:rsidR="00F507C7" w:rsidRPr="00F507C7">
          <w:rPr>
            <w:rFonts w:cs="FrankRuehl"/>
            <w:color w:val="0000FF"/>
            <w:sz w:val="28"/>
            <w:szCs w:val="28"/>
            <w:u w:val="single"/>
            <w:rtl/>
          </w:rPr>
          <w:t>פקודת הסמים המסוכנים</w:t>
        </w:r>
      </w:hyperlink>
      <w:r>
        <w:rPr>
          <w:rFonts w:cs="FrankRuehl" w:hint="cs"/>
          <w:sz w:val="28"/>
          <w:szCs w:val="28"/>
          <w:rtl/>
        </w:rPr>
        <w:t>;</w:t>
      </w:r>
    </w:p>
    <w:p w14:paraId="7E28997A" w14:textId="77777777" w:rsidR="00B90ACA" w:rsidRDefault="00B90ACA" w:rsidP="00B90ACA">
      <w:pPr>
        <w:numPr>
          <w:ilvl w:val="0"/>
          <w:numId w:val="1"/>
        </w:numPr>
        <w:spacing w:after="160" w:line="360" w:lineRule="auto"/>
        <w:contextualSpacing/>
        <w:jc w:val="both"/>
        <w:rPr>
          <w:rFonts w:cs="FrankRuehl"/>
          <w:sz w:val="28"/>
          <w:szCs w:val="28"/>
        </w:rPr>
      </w:pPr>
      <w:r>
        <w:rPr>
          <w:rFonts w:cs="FrankRuehl" w:hint="cs"/>
          <w:sz w:val="28"/>
          <w:szCs w:val="28"/>
          <w:rtl/>
        </w:rPr>
        <w:t xml:space="preserve">קנס בסך 7,000  ₪, אשר יקוזז במלואו מההפקדה שבתיק על אף כל הוראת עיקול. לא ישולם הקנס, ירצה הנאשם חודש מאסר תמורתו. היה ותיוותר יתרת חובה </w:t>
      </w:r>
      <w:r>
        <w:rPr>
          <w:rFonts w:cs="FrankRuehl"/>
          <w:sz w:val="28"/>
          <w:szCs w:val="28"/>
          <w:rtl/>
        </w:rPr>
        <w:t>–</w:t>
      </w:r>
      <w:r>
        <w:rPr>
          <w:rFonts w:cs="FrankRuehl" w:hint="cs"/>
          <w:sz w:val="28"/>
          <w:szCs w:val="28"/>
          <w:rtl/>
        </w:rPr>
        <w:t xml:space="preserve"> הקנס ישולם עד ליום 1.8.2020;</w:t>
      </w:r>
    </w:p>
    <w:p w14:paraId="7694DC65" w14:textId="77777777" w:rsidR="00B90ACA" w:rsidRDefault="00B90ACA" w:rsidP="00B90ACA">
      <w:pPr>
        <w:numPr>
          <w:ilvl w:val="0"/>
          <w:numId w:val="1"/>
        </w:numPr>
        <w:spacing w:after="160" w:line="360" w:lineRule="auto"/>
        <w:contextualSpacing/>
        <w:jc w:val="both"/>
        <w:rPr>
          <w:rFonts w:cs="FrankRuehl"/>
          <w:sz w:val="28"/>
          <w:szCs w:val="28"/>
          <w:rtl/>
        </w:rPr>
      </w:pPr>
      <w:r>
        <w:rPr>
          <w:rFonts w:cs="FrankRuehl" w:hint="cs"/>
          <w:sz w:val="28"/>
          <w:szCs w:val="28"/>
          <w:rtl/>
        </w:rPr>
        <w:t>צו מבחן לתקופה של 18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47D8114B" w14:textId="77777777" w:rsidR="00B90ACA" w:rsidRDefault="00B90ACA" w:rsidP="00B90ACA">
      <w:pPr>
        <w:numPr>
          <w:ilvl w:val="0"/>
          <w:numId w:val="1"/>
        </w:numPr>
        <w:spacing w:after="160" w:line="360" w:lineRule="auto"/>
        <w:contextualSpacing/>
        <w:jc w:val="both"/>
        <w:rPr>
          <w:rFonts w:cs="FrankRuehl"/>
          <w:sz w:val="28"/>
          <w:szCs w:val="28"/>
          <w:rtl/>
        </w:rPr>
      </w:pPr>
      <w:r>
        <w:rPr>
          <w:rFonts w:cs="FrankRuehl" w:hint="cs"/>
          <w:sz w:val="28"/>
          <w:szCs w:val="28"/>
          <w:rtl/>
        </w:rPr>
        <w:t>התחייבות בסך 5,000 ₪ שלא לעבור כל עבירה לפי פקודת הסמים בתוך שנתיים מהיום. הנאשם הוזהר, כי אם יעבור את העבירה בתוך התקופה שצוינה, בית המשפט שיגזור את הדין יהא חייב לחלט את ההתחייבות כקנס.</w:t>
      </w:r>
    </w:p>
    <w:p w14:paraId="471C34CD" w14:textId="77777777" w:rsidR="00B90ACA" w:rsidRDefault="00B90ACA" w:rsidP="00B90ACA">
      <w:pPr>
        <w:spacing w:line="360" w:lineRule="auto"/>
        <w:rPr>
          <w:rFonts w:ascii="FrankRuehl" w:hAnsi="FrankRuehl" w:cs="FrankRuehl"/>
          <w:sz w:val="28"/>
          <w:szCs w:val="28"/>
          <w:rtl/>
        </w:rPr>
      </w:pPr>
    </w:p>
    <w:p w14:paraId="20226C0C" w14:textId="77777777" w:rsidR="00B90ACA" w:rsidRDefault="00B90ACA" w:rsidP="00B90ACA">
      <w:pPr>
        <w:spacing w:line="360" w:lineRule="auto"/>
        <w:rPr>
          <w:rFonts w:ascii="FrankRuehl" w:hAnsi="FrankRuehl" w:cs="FrankRuehl"/>
          <w:sz w:val="28"/>
          <w:szCs w:val="28"/>
          <w:rtl/>
        </w:rPr>
      </w:pPr>
      <w:r>
        <w:rPr>
          <w:rFonts w:ascii="FrankRuehl" w:hAnsi="FrankRuehl" w:cs="FrankRuehl" w:hint="cs"/>
          <w:sz w:val="28"/>
          <w:szCs w:val="28"/>
          <w:rtl/>
        </w:rPr>
        <w:t>מורה על השמדת הסמים.</w:t>
      </w:r>
    </w:p>
    <w:p w14:paraId="6397DE73" w14:textId="77777777" w:rsidR="00B90ACA" w:rsidRDefault="00B90ACA" w:rsidP="00B90ACA">
      <w:pPr>
        <w:spacing w:line="360" w:lineRule="auto"/>
        <w:rPr>
          <w:rFonts w:ascii="FrankRuehl" w:hAnsi="FrankRuehl" w:cs="FrankRuehl"/>
          <w:sz w:val="28"/>
          <w:szCs w:val="28"/>
          <w:rtl/>
        </w:rPr>
      </w:pPr>
    </w:p>
    <w:p w14:paraId="543DD6AA" w14:textId="77777777" w:rsidR="00B90ACA" w:rsidRDefault="00B90ACA" w:rsidP="00B90ACA">
      <w:pPr>
        <w:spacing w:line="360" w:lineRule="auto"/>
        <w:rPr>
          <w:rFonts w:ascii="FrankRuehl" w:hAnsi="FrankRuehl" w:cs="FrankRuehl"/>
          <w:sz w:val="28"/>
          <w:szCs w:val="28"/>
          <w:rtl/>
        </w:rPr>
      </w:pPr>
      <w:r>
        <w:rPr>
          <w:rFonts w:ascii="FrankRuehl" w:hAnsi="FrankRuehl" w:cs="FrankRuehl" w:hint="cs"/>
          <w:sz w:val="28"/>
          <w:szCs w:val="28"/>
          <w:rtl/>
        </w:rPr>
        <w:t xml:space="preserve">יתר התפוסים יוחזרו לנאשם. </w:t>
      </w:r>
    </w:p>
    <w:p w14:paraId="63611F62" w14:textId="77777777" w:rsidR="00B90ACA" w:rsidRDefault="00B90ACA" w:rsidP="00B90ACA">
      <w:pPr>
        <w:spacing w:line="360" w:lineRule="auto"/>
        <w:rPr>
          <w:rFonts w:ascii="FrankRuehl" w:hAnsi="FrankRuehl" w:cs="FrankRuehl"/>
          <w:sz w:val="28"/>
          <w:szCs w:val="28"/>
          <w:rtl/>
        </w:rPr>
      </w:pPr>
    </w:p>
    <w:p w14:paraId="1FFDD476" w14:textId="77777777" w:rsidR="00B90ACA" w:rsidRDefault="00B90ACA" w:rsidP="00B90ACA">
      <w:pPr>
        <w:spacing w:line="360" w:lineRule="auto"/>
        <w:rPr>
          <w:rFonts w:ascii="FrankRuehl" w:hAnsi="FrankRuehl" w:cs="FrankRuehl"/>
          <w:sz w:val="28"/>
          <w:szCs w:val="28"/>
        </w:rPr>
      </w:pPr>
      <w:r>
        <w:rPr>
          <w:rFonts w:ascii="FrankRuehl" w:hAnsi="FrankRuehl" w:cs="FrankRuehl" w:hint="cs"/>
          <w:sz w:val="28"/>
          <w:szCs w:val="28"/>
          <w:rtl/>
        </w:rPr>
        <w:t>יש לשלוח לשירות המבחן ולממונה על עבודות שירות.</w:t>
      </w:r>
    </w:p>
    <w:p w14:paraId="67CC6EE2" w14:textId="77777777" w:rsidR="00B90ACA" w:rsidRDefault="00B90ACA" w:rsidP="00B90ACA">
      <w:pPr>
        <w:rPr>
          <w:rFonts w:ascii="FrankRuehl" w:hAnsi="FrankRuehl" w:cs="FrankRuehl"/>
          <w:sz w:val="28"/>
          <w:szCs w:val="28"/>
          <w:rtl/>
        </w:rPr>
      </w:pPr>
    </w:p>
    <w:p w14:paraId="28C6C0E6" w14:textId="77777777" w:rsidR="00B90ACA" w:rsidRDefault="00B90ACA" w:rsidP="00B90ACA">
      <w:pPr>
        <w:rPr>
          <w:rFonts w:ascii="FrankRuehl" w:hAnsi="FrankRuehl" w:cs="FrankRuehl"/>
          <w:sz w:val="28"/>
          <w:szCs w:val="28"/>
          <w:rtl/>
        </w:rPr>
      </w:pPr>
      <w:r>
        <w:rPr>
          <w:rFonts w:ascii="FrankRuehl" w:hAnsi="FrankRuehl" w:cs="FrankRuehl" w:hint="cs"/>
          <w:sz w:val="28"/>
          <w:szCs w:val="28"/>
          <w:rtl/>
        </w:rPr>
        <w:t>זכות ערעור כחוק לבית המשפט המחוזי בירושלים בתוך 45 יום מהיום.</w:t>
      </w:r>
    </w:p>
    <w:p w14:paraId="6BE30780" w14:textId="77777777" w:rsidR="00B90ACA" w:rsidRPr="00B05847" w:rsidRDefault="00B90ACA" w:rsidP="00B90ACA">
      <w:pPr>
        <w:rPr>
          <w:rtl/>
        </w:rPr>
      </w:pPr>
    </w:p>
    <w:p w14:paraId="7FA3B26E" w14:textId="77777777" w:rsidR="00B90ACA" w:rsidRPr="00F507C7" w:rsidRDefault="00F507C7" w:rsidP="00B90ACA">
      <w:pPr>
        <w:rPr>
          <w:color w:val="FFFFFF"/>
          <w:sz w:val="2"/>
          <w:szCs w:val="2"/>
          <w:rtl/>
        </w:rPr>
      </w:pPr>
      <w:r w:rsidRPr="00F507C7">
        <w:rPr>
          <w:color w:val="FFFFFF"/>
          <w:sz w:val="2"/>
          <w:szCs w:val="2"/>
          <w:rtl/>
        </w:rPr>
        <w:t>5129371</w:t>
      </w:r>
    </w:p>
    <w:p w14:paraId="46012CC2" w14:textId="77777777" w:rsidR="00B90ACA" w:rsidRDefault="00F507C7" w:rsidP="00B90ACA">
      <w:pPr>
        <w:rPr>
          <w:rFonts w:cs="FrankRuehl"/>
          <w:sz w:val="28"/>
          <w:szCs w:val="28"/>
          <w:rtl/>
        </w:rPr>
      </w:pPr>
      <w:bookmarkStart w:id="8" w:name="Nitan"/>
      <w:r w:rsidRPr="00F507C7">
        <w:rPr>
          <w:rFonts w:ascii="Arial" w:hAnsi="Arial"/>
          <w:color w:val="FFFFFF"/>
          <w:sz w:val="2"/>
          <w:szCs w:val="2"/>
          <w:rtl/>
        </w:rPr>
        <w:t>54678313</w:t>
      </w:r>
      <w:r>
        <w:rPr>
          <w:rFonts w:ascii="Arial" w:hAnsi="Arial"/>
          <w:rtl/>
        </w:rPr>
        <w:t xml:space="preserve">ניתן היום,  כ"ט שבט תש"פ, 24 פברואר 2020, במעמד הצדדים. </w:t>
      </w:r>
      <w:bookmarkEnd w:id="8"/>
    </w:p>
    <w:p w14:paraId="361EDFA0" w14:textId="77777777" w:rsidR="00B90ACA" w:rsidRDefault="00B90ACA" w:rsidP="00F507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975CC19" w14:textId="77777777" w:rsidR="00B90ACA" w:rsidRDefault="00B90ACA" w:rsidP="00B90ACA">
      <w:pPr>
        <w:jc w:val="center"/>
        <w:rPr>
          <w:rFonts w:ascii="Arial" w:hAnsi="Arial" w:cs="FrankRuehl"/>
          <w:sz w:val="28"/>
          <w:szCs w:val="28"/>
          <w:rtl/>
        </w:rPr>
      </w:pPr>
    </w:p>
    <w:p w14:paraId="1723C628" w14:textId="77777777" w:rsidR="00B90ACA" w:rsidRDefault="00B90ACA" w:rsidP="00B90ACA">
      <w:pPr>
        <w:rPr>
          <w:rFonts w:cs="FrankRuehl"/>
          <w:sz w:val="28"/>
          <w:szCs w:val="28"/>
          <w:rtl/>
        </w:rPr>
      </w:pPr>
    </w:p>
    <w:p w14:paraId="5275B5A9" w14:textId="77777777" w:rsidR="00B90ACA" w:rsidRPr="0023687A" w:rsidRDefault="0023687A" w:rsidP="00B90ACA">
      <w:pPr>
        <w:pStyle w:val="a3"/>
        <w:jc w:val="center"/>
        <w:rPr>
          <w:color w:val="FFFFFF"/>
          <w:sz w:val="2"/>
          <w:szCs w:val="2"/>
          <w:rtl/>
        </w:rPr>
      </w:pPr>
      <w:r w:rsidRPr="0023687A">
        <w:rPr>
          <w:color w:val="FFFFFF"/>
          <w:sz w:val="2"/>
          <w:szCs w:val="2"/>
          <w:rtl/>
        </w:rPr>
        <w:t>5129371</w:t>
      </w:r>
    </w:p>
    <w:p w14:paraId="08C6F907" w14:textId="77777777" w:rsidR="004D16B5" w:rsidRPr="0023687A" w:rsidRDefault="0023687A" w:rsidP="00F507C7">
      <w:pPr>
        <w:keepNext/>
        <w:rPr>
          <w:rFonts w:ascii="David" w:hAnsi="David"/>
          <w:color w:val="FFFFFF"/>
          <w:sz w:val="2"/>
          <w:szCs w:val="2"/>
          <w:rtl/>
        </w:rPr>
      </w:pPr>
      <w:r w:rsidRPr="0023687A">
        <w:rPr>
          <w:rFonts w:ascii="David" w:hAnsi="David"/>
          <w:color w:val="FFFFFF"/>
          <w:sz w:val="2"/>
          <w:szCs w:val="2"/>
          <w:rtl/>
        </w:rPr>
        <w:t>54678313</w:t>
      </w:r>
    </w:p>
    <w:p w14:paraId="544C32D8" w14:textId="77777777" w:rsidR="00F507C7" w:rsidRDefault="00F507C7" w:rsidP="00F507C7">
      <w:pPr>
        <w:rPr>
          <w:rtl/>
        </w:rPr>
      </w:pPr>
    </w:p>
    <w:p w14:paraId="0A47763E" w14:textId="77777777" w:rsidR="00F507C7" w:rsidRDefault="00F507C7" w:rsidP="00F507C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728FDFF8" w14:textId="77777777" w:rsidR="0023687A" w:rsidRPr="0023687A" w:rsidRDefault="0023687A" w:rsidP="0023687A">
      <w:pPr>
        <w:keepNext/>
        <w:rPr>
          <w:rFonts w:ascii="David" w:hAnsi="David"/>
          <w:color w:val="000000"/>
          <w:sz w:val="22"/>
          <w:szCs w:val="22"/>
          <w:rtl/>
        </w:rPr>
      </w:pPr>
    </w:p>
    <w:p w14:paraId="149016D2" w14:textId="77777777" w:rsidR="0023687A" w:rsidRPr="0023687A" w:rsidRDefault="0023687A" w:rsidP="0023687A">
      <w:pPr>
        <w:keepNext/>
        <w:rPr>
          <w:rFonts w:ascii="David" w:hAnsi="David"/>
          <w:color w:val="000000"/>
          <w:sz w:val="22"/>
          <w:szCs w:val="22"/>
          <w:rtl/>
        </w:rPr>
      </w:pPr>
      <w:r w:rsidRPr="0023687A">
        <w:rPr>
          <w:rFonts w:ascii="David" w:hAnsi="David"/>
          <w:color w:val="000000"/>
          <w:sz w:val="22"/>
          <w:szCs w:val="22"/>
          <w:rtl/>
        </w:rPr>
        <w:t>דוד שאול גבאי ריכטר 54678313-/</w:t>
      </w:r>
    </w:p>
    <w:p w14:paraId="76C83527" w14:textId="77777777" w:rsidR="00F507C7" w:rsidRPr="00F507C7" w:rsidRDefault="0023687A" w:rsidP="0023687A">
      <w:pPr>
        <w:rPr>
          <w:color w:val="0000FF"/>
          <w:u w:val="single"/>
        </w:rPr>
      </w:pPr>
      <w:r w:rsidRPr="0023687A">
        <w:rPr>
          <w:color w:val="000000"/>
          <w:u w:val="single"/>
          <w:rtl/>
        </w:rPr>
        <w:t>נוסח מסמך זה כפוף לשינויי ניסוח ועריכה</w:t>
      </w:r>
    </w:p>
    <w:sectPr w:rsidR="00F507C7" w:rsidRPr="00F507C7" w:rsidSect="0023687A">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272CD" w14:textId="77777777" w:rsidR="00805D4C" w:rsidRDefault="00805D4C" w:rsidP="007D2A06">
      <w:r>
        <w:separator/>
      </w:r>
    </w:p>
  </w:endnote>
  <w:endnote w:type="continuationSeparator" w:id="0">
    <w:p w14:paraId="7C069D3F" w14:textId="77777777" w:rsidR="00805D4C" w:rsidRDefault="00805D4C" w:rsidP="007D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8643" w14:textId="77777777" w:rsidR="0023687A" w:rsidRDefault="0023687A" w:rsidP="0023687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2E6D3E" w14:textId="77777777" w:rsidR="00A83A77" w:rsidRPr="0023687A" w:rsidRDefault="0023687A" w:rsidP="0023687A">
    <w:pPr>
      <w:pStyle w:val="a5"/>
      <w:pBdr>
        <w:top w:val="single" w:sz="4" w:space="1" w:color="auto"/>
        <w:between w:val="single" w:sz="4" w:space="0" w:color="auto"/>
      </w:pBdr>
      <w:spacing w:after="60"/>
      <w:jc w:val="center"/>
      <w:rPr>
        <w:rFonts w:ascii="FrankRuehl" w:hAnsi="FrankRuehl" w:cs="FrankRuehl"/>
        <w:color w:val="000000"/>
      </w:rPr>
    </w:pPr>
    <w:r w:rsidRPr="002368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95CE4" w14:textId="77777777" w:rsidR="0023687A" w:rsidRDefault="0023687A" w:rsidP="0023687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304A">
      <w:rPr>
        <w:rFonts w:ascii="FrankRuehl" w:hAnsi="FrankRuehl" w:cs="FrankRuehl"/>
        <w:noProof/>
        <w:rtl/>
      </w:rPr>
      <w:t>1</w:t>
    </w:r>
    <w:r>
      <w:rPr>
        <w:rFonts w:ascii="FrankRuehl" w:hAnsi="FrankRuehl" w:cs="FrankRuehl"/>
        <w:rtl/>
      </w:rPr>
      <w:fldChar w:fldCharType="end"/>
    </w:r>
  </w:p>
  <w:p w14:paraId="3F3D9289" w14:textId="77777777" w:rsidR="00A83A77" w:rsidRPr="0023687A" w:rsidRDefault="0023687A" w:rsidP="0023687A">
    <w:pPr>
      <w:pStyle w:val="a5"/>
      <w:pBdr>
        <w:top w:val="single" w:sz="4" w:space="1" w:color="auto"/>
        <w:between w:val="single" w:sz="4" w:space="0" w:color="auto"/>
      </w:pBdr>
      <w:spacing w:after="60"/>
      <w:jc w:val="center"/>
      <w:rPr>
        <w:rFonts w:ascii="FrankRuehl" w:hAnsi="FrankRuehl" w:cs="FrankRuehl"/>
        <w:color w:val="000000"/>
      </w:rPr>
    </w:pPr>
    <w:r w:rsidRPr="0023687A">
      <w:rPr>
        <w:rFonts w:ascii="FrankRuehl" w:hAnsi="FrankRuehl" w:cs="FrankRuehl"/>
        <w:color w:val="000000"/>
      </w:rPr>
      <w:pict w14:anchorId="4614A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DEB4B" w14:textId="77777777" w:rsidR="00805D4C" w:rsidRDefault="00805D4C" w:rsidP="007D2A06">
      <w:r>
        <w:separator/>
      </w:r>
    </w:p>
  </w:footnote>
  <w:footnote w:type="continuationSeparator" w:id="0">
    <w:p w14:paraId="691BD773" w14:textId="77777777" w:rsidR="00805D4C" w:rsidRDefault="00805D4C" w:rsidP="007D2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E33B9" w14:textId="77777777" w:rsidR="00F507C7" w:rsidRPr="0023687A" w:rsidRDefault="0023687A" w:rsidP="002368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31332-09-17</w:t>
    </w:r>
    <w:r>
      <w:rPr>
        <w:rFonts w:ascii="David" w:hAnsi="David"/>
        <w:color w:val="000000"/>
        <w:sz w:val="22"/>
        <w:szCs w:val="22"/>
        <w:rtl/>
      </w:rPr>
      <w:tab/>
      <w:t xml:space="preserve"> מדינת ישראל נ' גבריאל פלח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45DAF" w14:textId="77777777" w:rsidR="00F507C7" w:rsidRPr="0023687A" w:rsidRDefault="0023687A" w:rsidP="002368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31332-09-17</w:t>
    </w:r>
    <w:r>
      <w:rPr>
        <w:rFonts w:ascii="David" w:hAnsi="David"/>
        <w:color w:val="000000"/>
        <w:sz w:val="22"/>
        <w:szCs w:val="22"/>
        <w:rtl/>
      </w:rPr>
      <w:tab/>
      <w:t xml:space="preserve"> מדינת ישראל נ' גבריאל פלח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32672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0ACA"/>
    <w:rsid w:val="000D385D"/>
    <w:rsid w:val="0023687A"/>
    <w:rsid w:val="004D16B5"/>
    <w:rsid w:val="006C304A"/>
    <w:rsid w:val="007D2A06"/>
    <w:rsid w:val="00805D4C"/>
    <w:rsid w:val="00A83A77"/>
    <w:rsid w:val="00B90ACA"/>
    <w:rsid w:val="00C501AB"/>
    <w:rsid w:val="00D656F6"/>
    <w:rsid w:val="00F50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C2F906"/>
  <w15:chartTrackingRefBased/>
  <w15:docId w15:val="{BECB6F6C-8F03-41A5-89D5-092F861D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0A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0ACA"/>
    <w:pPr>
      <w:tabs>
        <w:tab w:val="center" w:pos="4153"/>
        <w:tab w:val="right" w:pos="8306"/>
      </w:tabs>
    </w:pPr>
  </w:style>
  <w:style w:type="character" w:customStyle="1" w:styleId="a4">
    <w:name w:val="כותרת עליונה תו"/>
    <w:link w:val="a3"/>
    <w:rsid w:val="00B90ACA"/>
    <w:rPr>
      <w:rFonts w:ascii="Times New Roman" w:eastAsia="Times New Roman" w:hAnsi="Times New Roman" w:cs="David"/>
      <w:sz w:val="24"/>
      <w:szCs w:val="24"/>
    </w:rPr>
  </w:style>
  <w:style w:type="paragraph" w:styleId="a5">
    <w:name w:val="footer"/>
    <w:basedOn w:val="a"/>
    <w:link w:val="a6"/>
    <w:rsid w:val="00B90ACA"/>
    <w:pPr>
      <w:tabs>
        <w:tab w:val="center" w:pos="4153"/>
        <w:tab w:val="right" w:pos="8306"/>
      </w:tabs>
    </w:pPr>
  </w:style>
  <w:style w:type="character" w:customStyle="1" w:styleId="a6">
    <w:name w:val="כותרת תחתונה תו"/>
    <w:link w:val="a5"/>
    <w:rsid w:val="00B90ACA"/>
    <w:rPr>
      <w:rFonts w:ascii="Times New Roman" w:eastAsia="Times New Roman" w:hAnsi="Times New Roman" w:cs="David"/>
      <w:sz w:val="24"/>
      <w:szCs w:val="24"/>
    </w:rPr>
  </w:style>
  <w:style w:type="table" w:styleId="a7">
    <w:name w:val="Table Grid"/>
    <w:basedOn w:val="a1"/>
    <w:rsid w:val="00B90A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0ACA"/>
  </w:style>
  <w:style w:type="character" w:styleId="Hyperlink">
    <w:name w:val="Hyperlink"/>
    <w:rsid w:val="00F507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21035570" TargetMode="External"/><Relationship Id="rId3" Type="http://schemas.openxmlformats.org/officeDocument/2006/relationships/settings" Target="settings.xml"/><Relationship Id="rId21" Type="http://schemas.openxmlformats.org/officeDocument/2006/relationships/hyperlink" Target="http://www.nevo.co.il/case/22201884"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24005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2368098"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38434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1773</Words>
  <Characters>8867</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10619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3145843</vt:i4>
      </vt:variant>
      <vt:variant>
        <vt:i4>57</vt:i4>
      </vt:variant>
      <vt:variant>
        <vt:i4>0</vt:i4>
      </vt:variant>
      <vt:variant>
        <vt:i4>5</vt:i4>
      </vt:variant>
      <vt:variant>
        <vt:lpwstr>http://www.nevo.co.il/case/21035570</vt:lpwstr>
      </vt:variant>
      <vt:variant>
        <vt:lpwstr/>
      </vt:variant>
      <vt:variant>
        <vt:i4>3473522</vt:i4>
      </vt:variant>
      <vt:variant>
        <vt:i4>54</vt:i4>
      </vt:variant>
      <vt:variant>
        <vt:i4>0</vt:i4>
      </vt:variant>
      <vt:variant>
        <vt:i4>5</vt:i4>
      </vt:variant>
      <vt:variant>
        <vt:lpwstr>http://www.nevo.co.il/case/22240058</vt:lpwstr>
      </vt:variant>
      <vt:variant>
        <vt:lpwstr/>
      </vt:variant>
      <vt:variant>
        <vt:i4>3145840</vt:i4>
      </vt:variant>
      <vt:variant>
        <vt:i4>51</vt:i4>
      </vt:variant>
      <vt:variant>
        <vt:i4>0</vt:i4>
      </vt:variant>
      <vt:variant>
        <vt:i4>5</vt:i4>
      </vt:variant>
      <vt:variant>
        <vt:lpwstr>http://www.nevo.co.il/case/22368098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3735678</vt:i4>
      </vt:variant>
      <vt:variant>
        <vt:i4>42</vt:i4>
      </vt:variant>
      <vt:variant>
        <vt:i4>0</vt:i4>
      </vt:variant>
      <vt:variant>
        <vt:i4>5</vt:i4>
      </vt:variant>
      <vt:variant>
        <vt:lpwstr>http://www.nevo.co.il/case/22201884</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3211386</vt:i4>
      </vt:variant>
      <vt:variant>
        <vt:i4>24</vt:i4>
      </vt:variant>
      <vt:variant>
        <vt:i4>0</vt:i4>
      </vt:variant>
      <vt:variant>
        <vt:i4>5</vt:i4>
      </vt:variant>
      <vt:variant>
        <vt:lpwstr>http://www.nevo.co.il/case/25384344</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31332</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גבריאל פלח</vt:lpwstr>
  </property>
  <property fmtid="{D5CDD505-2E9C-101B-9397-08002B2CF9AE}" pid="10" name="LAWYER">
    <vt:lpwstr>יעקב מלול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20200224</vt:lpwstr>
  </property>
  <property fmtid="{D5CDD505-2E9C-101B-9397-08002B2CF9AE}" pid="14" name="TYPE_N_DATE">
    <vt:lpwstr>38020200224</vt:lpwstr>
  </property>
  <property fmtid="{D5CDD505-2E9C-101B-9397-08002B2CF9AE}" pid="15" name="CASESLISTTMP1">
    <vt:lpwstr>25384344;22201884;22368098;22240058;21035570</vt:lpwstr>
  </property>
  <property fmtid="{D5CDD505-2E9C-101B-9397-08002B2CF9AE}" pid="16" name="CASENOTES1">
    <vt:lpwstr>ProcID=174;133;209&amp;PartA=3343&amp;PartC=07</vt:lpwstr>
  </property>
  <property fmtid="{D5CDD505-2E9C-101B-9397-08002B2CF9AE}" pid="17" name="WORDNUMPAGES">
    <vt:lpwstr>6</vt:lpwstr>
  </property>
  <property fmtid="{D5CDD505-2E9C-101B-9397-08002B2CF9AE}" pid="18" name="TYPE_ABS_DATE">
    <vt:lpwstr>380020200224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4216/007.a;007.c;013;019.a</vt:lpwstr>
  </property>
  <property fmtid="{D5CDD505-2E9C-101B-9397-08002B2CF9AE}" pid="38" name="LAWLISTTMP2">
    <vt:lpwstr>70301/040i;40ja</vt:lpwstr>
  </property>
</Properties>
</file>