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D58DD" w:rsidRPr="005D28F4" w14:paraId="6047A0C5" w14:textId="77777777" w:rsidTr="00583938">
        <w:trPr>
          <w:trHeight w:hRule="exact" w:val="418"/>
          <w:jc w:val="center"/>
        </w:trPr>
        <w:tc>
          <w:tcPr>
            <w:tcW w:w="8721" w:type="dxa"/>
            <w:gridSpan w:val="2"/>
          </w:tcPr>
          <w:p w14:paraId="574336FA" w14:textId="77777777" w:rsidR="001D58DD" w:rsidRPr="005D28F4" w:rsidRDefault="001D58DD" w:rsidP="00221B68">
            <w:pPr>
              <w:pStyle w:val="a3"/>
              <w:jc w:val="center"/>
              <w:rPr>
                <w:rFonts w:ascii="Tahoma" w:hAnsi="Tahoma" w:cs="Tahoma"/>
                <w:b/>
                <w:bCs/>
                <w:color w:val="000080"/>
                <w:rtl/>
              </w:rPr>
            </w:pPr>
            <w:bookmarkStart w:id="0" w:name="FirstLawyer"/>
            <w:bookmarkStart w:id="1" w:name="LastJudge"/>
            <w:r w:rsidRPr="005D28F4">
              <w:rPr>
                <w:rFonts w:ascii="Tahoma" w:hAnsi="Tahoma" w:cs="Tahoma"/>
                <w:b/>
                <w:bCs/>
                <w:color w:val="000080"/>
                <w:rtl/>
              </w:rPr>
              <w:t>בית משפט השלום בקריית גת</w:t>
            </w:r>
          </w:p>
          <w:p w14:paraId="48A0F601" w14:textId="77777777" w:rsidR="001D58DD" w:rsidRPr="005D28F4" w:rsidRDefault="001D58DD" w:rsidP="00221B68">
            <w:pPr>
              <w:pStyle w:val="a3"/>
              <w:jc w:val="center"/>
              <w:rPr>
                <w:rFonts w:ascii="Tahoma" w:hAnsi="Tahoma" w:cs="Tahoma"/>
                <w:color w:val="000080"/>
                <w:rtl/>
              </w:rPr>
            </w:pPr>
          </w:p>
          <w:p w14:paraId="620A4E64" w14:textId="77777777" w:rsidR="001D58DD" w:rsidRPr="005D28F4" w:rsidRDefault="001D58DD" w:rsidP="00221B68">
            <w:pPr>
              <w:pStyle w:val="a3"/>
              <w:jc w:val="center"/>
              <w:rPr>
                <w:rFonts w:ascii="Tahoma" w:hAnsi="Tahoma" w:cs="Tahoma"/>
                <w:color w:val="000080"/>
                <w:rtl/>
              </w:rPr>
            </w:pPr>
            <w:r w:rsidRPr="005D28F4">
              <w:rPr>
                <w:rFonts w:ascii="Tahoma" w:hAnsi="Tahoma" w:cs="Tahoma" w:hint="cs"/>
                <w:color w:val="000080"/>
                <w:rtl/>
              </w:rPr>
              <w:t>ב</w:t>
            </w:r>
          </w:p>
          <w:p w14:paraId="406E3DDA" w14:textId="77777777" w:rsidR="001D58DD" w:rsidRPr="005D28F4" w:rsidRDefault="001D58DD" w:rsidP="00221B68">
            <w:pPr>
              <w:pStyle w:val="a3"/>
              <w:rPr>
                <w:rFonts w:ascii="Tahoma" w:hAnsi="Tahoma" w:cs="Tahoma"/>
                <w:color w:val="000080"/>
                <w:rtl/>
              </w:rPr>
            </w:pPr>
          </w:p>
        </w:tc>
      </w:tr>
      <w:tr w:rsidR="001D58DD" w:rsidRPr="005D28F4" w14:paraId="20A0A04C" w14:textId="77777777" w:rsidTr="00583938">
        <w:trPr>
          <w:trHeight w:hRule="exact" w:val="418"/>
          <w:jc w:val="center"/>
        </w:trPr>
        <w:tc>
          <w:tcPr>
            <w:tcW w:w="8721" w:type="dxa"/>
            <w:gridSpan w:val="2"/>
          </w:tcPr>
          <w:p w14:paraId="36EF97D5" w14:textId="77777777" w:rsidR="001D58DD" w:rsidRPr="005D28F4" w:rsidRDefault="001D58DD" w:rsidP="00221B68">
            <w:pPr>
              <w:pStyle w:val="a3"/>
              <w:jc w:val="center"/>
              <w:rPr>
                <w:rFonts w:ascii="Tahoma" w:hAnsi="Tahoma" w:cs="Tahoma"/>
                <w:b/>
                <w:bCs/>
                <w:color w:val="000080"/>
                <w:rtl/>
              </w:rPr>
            </w:pPr>
            <w:r w:rsidRPr="005D28F4">
              <w:rPr>
                <w:rFonts w:ascii="Tahoma" w:hAnsi="Tahoma" w:cs="Tahoma" w:hint="cs"/>
                <w:b/>
                <w:bCs/>
                <w:color w:val="000080"/>
                <w:rtl/>
              </w:rPr>
              <w:t>בשבתו בבית משפט המחוזי בבאר-שבע</w:t>
            </w:r>
          </w:p>
        </w:tc>
      </w:tr>
      <w:tr w:rsidR="001D58DD" w:rsidRPr="005D28F4" w14:paraId="4D8E7BC9" w14:textId="77777777" w:rsidTr="00583938">
        <w:trPr>
          <w:trHeight w:val="337"/>
          <w:jc w:val="center"/>
        </w:trPr>
        <w:tc>
          <w:tcPr>
            <w:tcW w:w="5057" w:type="dxa"/>
          </w:tcPr>
          <w:p w14:paraId="4D3235E3" w14:textId="77777777" w:rsidR="001D58DD" w:rsidRPr="005D28F4" w:rsidRDefault="005D28F4" w:rsidP="00221B68">
            <w:pPr>
              <w:rPr>
                <w:rFonts w:cs="FrankRuehl"/>
                <w:b/>
                <w:bCs/>
                <w:sz w:val="28"/>
                <w:szCs w:val="28"/>
                <w:rtl/>
              </w:rPr>
            </w:pPr>
            <w:hyperlink r:id="rId7" w:history="1">
              <w:r w:rsidRPr="005D28F4">
                <w:rPr>
                  <w:rFonts w:cs="FrankRuehl"/>
                  <w:b/>
                  <w:bCs/>
                  <w:color w:val="0000FF"/>
                  <w:sz w:val="28"/>
                  <w:szCs w:val="28"/>
                  <w:u w:val="single"/>
                  <w:rtl/>
                </w:rPr>
                <w:t>ת"פ 33037-09-17</w:t>
              </w:r>
            </w:hyperlink>
            <w:r w:rsidR="001D58DD" w:rsidRPr="005D28F4">
              <w:rPr>
                <w:rFonts w:cs="FrankRuehl" w:hint="cs"/>
                <w:b/>
                <w:bCs/>
                <w:sz w:val="28"/>
                <w:szCs w:val="28"/>
                <w:rtl/>
              </w:rPr>
              <w:t xml:space="preserve"> </w:t>
            </w:r>
            <w:r w:rsidR="001D58DD" w:rsidRPr="005D28F4">
              <w:rPr>
                <w:rFonts w:cs="FrankRuehl"/>
                <w:b/>
                <w:bCs/>
                <w:sz w:val="28"/>
                <w:szCs w:val="28"/>
                <w:rtl/>
              </w:rPr>
              <w:t>מדינת ישראל נ' ביטון</w:t>
            </w:r>
          </w:p>
          <w:p w14:paraId="1A4A1ABC" w14:textId="77777777" w:rsidR="001D58DD" w:rsidRPr="005D28F4" w:rsidRDefault="001D58DD" w:rsidP="00221B68">
            <w:pPr>
              <w:pStyle w:val="a3"/>
              <w:rPr>
                <w:rFonts w:cs="FrankRuehl"/>
                <w:sz w:val="28"/>
                <w:szCs w:val="28"/>
                <w:rtl/>
              </w:rPr>
            </w:pPr>
            <w:r w:rsidRPr="005D28F4">
              <w:rPr>
                <w:rFonts w:cs="FrankRuehl" w:hint="cs"/>
                <w:sz w:val="28"/>
                <w:szCs w:val="28"/>
                <w:rtl/>
              </w:rPr>
              <w:t>פל"א 346223/18</w:t>
            </w:r>
          </w:p>
        </w:tc>
        <w:tc>
          <w:tcPr>
            <w:tcW w:w="3664" w:type="dxa"/>
          </w:tcPr>
          <w:p w14:paraId="27F06CE6" w14:textId="77777777" w:rsidR="001D58DD" w:rsidRPr="005D28F4" w:rsidRDefault="001D58DD" w:rsidP="00221B68">
            <w:pPr>
              <w:pStyle w:val="a3"/>
              <w:jc w:val="right"/>
              <w:rPr>
                <w:rFonts w:cs="FrankRuehl"/>
                <w:sz w:val="28"/>
                <w:szCs w:val="28"/>
                <w:rtl/>
              </w:rPr>
            </w:pPr>
          </w:p>
        </w:tc>
      </w:tr>
    </w:tbl>
    <w:p w14:paraId="6E2FABC1" w14:textId="77777777" w:rsidR="001D58DD" w:rsidRPr="005D28F4" w:rsidRDefault="001D58DD" w:rsidP="001D58DD">
      <w:pPr>
        <w:pStyle w:val="a3"/>
        <w:rPr>
          <w:rtl/>
        </w:rPr>
      </w:pPr>
    </w:p>
    <w:p w14:paraId="35DCEDDF" w14:textId="77777777" w:rsidR="001D58DD" w:rsidRPr="005D28F4" w:rsidRDefault="001D58DD" w:rsidP="001D58DD">
      <w:pPr>
        <w:rPr>
          <w:rtl/>
        </w:rPr>
      </w:pPr>
    </w:p>
    <w:p w14:paraId="779E4712" w14:textId="77777777" w:rsidR="001D58DD" w:rsidRPr="005D28F4" w:rsidRDefault="001D58DD" w:rsidP="001D58D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D58DD" w:rsidRPr="005D28F4" w14:paraId="193A282D" w14:textId="77777777" w:rsidTr="001D58DD">
        <w:trPr>
          <w:trHeight w:val="295"/>
          <w:jc w:val="center"/>
        </w:trPr>
        <w:tc>
          <w:tcPr>
            <w:tcW w:w="923" w:type="dxa"/>
            <w:tcBorders>
              <w:top w:val="nil"/>
              <w:left w:val="nil"/>
              <w:bottom w:val="nil"/>
              <w:right w:val="nil"/>
            </w:tcBorders>
            <w:shd w:val="clear" w:color="auto" w:fill="auto"/>
          </w:tcPr>
          <w:p w14:paraId="0E196D30" w14:textId="77777777" w:rsidR="001D58DD" w:rsidRPr="005D28F4" w:rsidRDefault="001D58DD" w:rsidP="001D58DD">
            <w:pPr>
              <w:jc w:val="both"/>
              <w:rPr>
                <w:rFonts w:ascii="David" w:hAnsi="David"/>
                <w:sz w:val="28"/>
                <w:szCs w:val="28"/>
              </w:rPr>
            </w:pPr>
            <w:r w:rsidRPr="005D28F4">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007E706E" w14:textId="77777777" w:rsidR="001D58DD" w:rsidRPr="005D28F4" w:rsidRDefault="001D58DD" w:rsidP="00221B68">
            <w:pPr>
              <w:rPr>
                <w:rFonts w:ascii="David" w:hAnsi="David"/>
                <w:b/>
                <w:bCs/>
                <w:sz w:val="28"/>
                <w:szCs w:val="28"/>
                <w:rtl/>
              </w:rPr>
            </w:pPr>
            <w:r w:rsidRPr="005D28F4">
              <w:rPr>
                <w:rFonts w:ascii="David" w:hAnsi="David"/>
                <w:b/>
                <w:bCs/>
                <w:sz w:val="28"/>
                <w:szCs w:val="28"/>
                <w:rtl/>
              </w:rPr>
              <w:t>כבוד השופטת  טל לחיאני שהם</w:t>
            </w:r>
          </w:p>
          <w:p w14:paraId="0DABE2F6" w14:textId="77777777" w:rsidR="001D58DD" w:rsidRPr="005D28F4" w:rsidRDefault="001D58DD" w:rsidP="00221B68">
            <w:pPr>
              <w:rPr>
                <w:rFonts w:ascii="David" w:hAnsi="David"/>
                <w:sz w:val="28"/>
                <w:szCs w:val="28"/>
                <w:rtl/>
              </w:rPr>
            </w:pPr>
          </w:p>
          <w:p w14:paraId="162EB749" w14:textId="77777777" w:rsidR="001D58DD" w:rsidRPr="005D28F4" w:rsidRDefault="001D58DD" w:rsidP="001D58DD">
            <w:pPr>
              <w:jc w:val="both"/>
              <w:rPr>
                <w:rFonts w:ascii="David" w:hAnsi="David"/>
                <w:sz w:val="28"/>
                <w:szCs w:val="28"/>
              </w:rPr>
            </w:pPr>
          </w:p>
        </w:tc>
      </w:tr>
      <w:tr w:rsidR="001D58DD" w:rsidRPr="005D28F4" w14:paraId="0E95D4A7" w14:textId="77777777" w:rsidTr="001D58DD">
        <w:trPr>
          <w:trHeight w:val="355"/>
          <w:jc w:val="center"/>
        </w:trPr>
        <w:tc>
          <w:tcPr>
            <w:tcW w:w="923" w:type="dxa"/>
            <w:tcBorders>
              <w:top w:val="nil"/>
              <w:left w:val="nil"/>
              <w:bottom w:val="nil"/>
              <w:right w:val="nil"/>
            </w:tcBorders>
            <w:shd w:val="clear" w:color="auto" w:fill="auto"/>
          </w:tcPr>
          <w:p w14:paraId="67240E77" w14:textId="77777777" w:rsidR="001D58DD" w:rsidRPr="005D28F4" w:rsidRDefault="001D58DD" w:rsidP="001D58DD">
            <w:pPr>
              <w:jc w:val="both"/>
              <w:rPr>
                <w:rFonts w:ascii="David" w:hAnsi="David"/>
                <w:b/>
                <w:bCs/>
                <w:sz w:val="28"/>
                <w:szCs w:val="28"/>
              </w:rPr>
            </w:pPr>
            <w:bookmarkStart w:id="2" w:name="FirstAppellant"/>
            <w:r w:rsidRPr="005D28F4">
              <w:rPr>
                <w:rFonts w:ascii="David" w:hAnsi="David"/>
                <w:sz w:val="28"/>
                <w:szCs w:val="28"/>
                <w:rtl/>
              </w:rPr>
              <w:t>בעניין:</w:t>
            </w:r>
          </w:p>
        </w:tc>
        <w:tc>
          <w:tcPr>
            <w:tcW w:w="4126" w:type="dxa"/>
            <w:tcBorders>
              <w:top w:val="nil"/>
              <w:left w:val="nil"/>
              <w:bottom w:val="nil"/>
              <w:right w:val="nil"/>
            </w:tcBorders>
            <w:shd w:val="clear" w:color="auto" w:fill="auto"/>
          </w:tcPr>
          <w:p w14:paraId="6D4BD1B1" w14:textId="77777777" w:rsidR="001D58DD" w:rsidRPr="005D28F4" w:rsidRDefault="001D58DD" w:rsidP="00221B68">
            <w:pPr>
              <w:rPr>
                <w:rFonts w:ascii="David" w:hAnsi="David"/>
                <w:sz w:val="28"/>
                <w:szCs w:val="28"/>
              </w:rPr>
            </w:pPr>
            <w:r w:rsidRPr="005D28F4">
              <w:rPr>
                <w:rFonts w:ascii="David" w:hAnsi="David"/>
                <w:b/>
                <w:bCs/>
                <w:sz w:val="28"/>
                <w:szCs w:val="28"/>
                <w:rtl/>
              </w:rPr>
              <w:t>מדינת ישראל</w:t>
            </w:r>
            <w:r w:rsidRPr="005D28F4">
              <w:rPr>
                <w:rFonts w:ascii="David" w:hAnsi="David"/>
                <w:b/>
                <w:bCs/>
                <w:sz w:val="28"/>
                <w:szCs w:val="28"/>
                <w:rtl/>
              </w:rPr>
              <w:br/>
            </w:r>
            <w:r w:rsidRPr="005D28F4">
              <w:rPr>
                <w:rFonts w:ascii="David" w:hAnsi="David" w:hint="cs"/>
                <w:b/>
                <w:bCs/>
                <w:sz w:val="28"/>
                <w:szCs w:val="28"/>
                <w:rtl/>
              </w:rPr>
              <w:t xml:space="preserve">באמצעות ב"כ עו"ד  פיני סויסה </w:t>
            </w:r>
          </w:p>
        </w:tc>
        <w:tc>
          <w:tcPr>
            <w:tcW w:w="3771" w:type="dxa"/>
            <w:tcBorders>
              <w:top w:val="nil"/>
              <w:left w:val="nil"/>
              <w:bottom w:val="nil"/>
              <w:right w:val="nil"/>
            </w:tcBorders>
            <w:shd w:val="clear" w:color="auto" w:fill="auto"/>
          </w:tcPr>
          <w:p w14:paraId="10B86F63" w14:textId="77777777" w:rsidR="001D58DD" w:rsidRPr="005D28F4" w:rsidRDefault="001D58DD" w:rsidP="001D58DD">
            <w:pPr>
              <w:jc w:val="both"/>
              <w:rPr>
                <w:rFonts w:ascii="David" w:hAnsi="David"/>
                <w:sz w:val="28"/>
                <w:szCs w:val="28"/>
              </w:rPr>
            </w:pPr>
          </w:p>
        </w:tc>
      </w:tr>
      <w:bookmarkEnd w:id="2"/>
      <w:tr w:rsidR="001D58DD" w:rsidRPr="005D28F4" w14:paraId="01A73F95" w14:textId="77777777" w:rsidTr="001D58DD">
        <w:trPr>
          <w:trHeight w:val="355"/>
          <w:jc w:val="center"/>
        </w:trPr>
        <w:tc>
          <w:tcPr>
            <w:tcW w:w="923" w:type="dxa"/>
            <w:tcBorders>
              <w:top w:val="nil"/>
              <w:left w:val="nil"/>
              <w:bottom w:val="nil"/>
              <w:right w:val="nil"/>
            </w:tcBorders>
            <w:shd w:val="clear" w:color="auto" w:fill="auto"/>
          </w:tcPr>
          <w:p w14:paraId="250BBA2D" w14:textId="77777777" w:rsidR="001D58DD" w:rsidRPr="005D28F4" w:rsidRDefault="001D58DD" w:rsidP="001D58DD">
            <w:pPr>
              <w:jc w:val="both"/>
              <w:rPr>
                <w:rFonts w:ascii="David" w:hAnsi="David"/>
                <w:sz w:val="28"/>
                <w:szCs w:val="28"/>
                <w:rtl/>
              </w:rPr>
            </w:pPr>
          </w:p>
        </w:tc>
        <w:tc>
          <w:tcPr>
            <w:tcW w:w="4126" w:type="dxa"/>
            <w:tcBorders>
              <w:top w:val="nil"/>
              <w:left w:val="nil"/>
              <w:bottom w:val="nil"/>
              <w:right w:val="nil"/>
            </w:tcBorders>
            <w:shd w:val="clear" w:color="auto" w:fill="auto"/>
          </w:tcPr>
          <w:p w14:paraId="4DF209F8" w14:textId="77777777" w:rsidR="001D58DD" w:rsidRPr="005D28F4" w:rsidRDefault="001D58DD" w:rsidP="001D58DD">
            <w:pPr>
              <w:jc w:val="both"/>
              <w:rPr>
                <w:rFonts w:ascii="David" w:hAnsi="David"/>
                <w:sz w:val="28"/>
                <w:szCs w:val="28"/>
                <w:rtl/>
              </w:rPr>
            </w:pPr>
          </w:p>
        </w:tc>
        <w:tc>
          <w:tcPr>
            <w:tcW w:w="3771" w:type="dxa"/>
            <w:tcBorders>
              <w:top w:val="nil"/>
              <w:left w:val="nil"/>
              <w:bottom w:val="nil"/>
              <w:right w:val="nil"/>
            </w:tcBorders>
            <w:shd w:val="clear" w:color="auto" w:fill="auto"/>
          </w:tcPr>
          <w:p w14:paraId="59753CB8" w14:textId="77777777" w:rsidR="001D58DD" w:rsidRPr="005D28F4" w:rsidRDefault="001D58DD" w:rsidP="001D58DD">
            <w:pPr>
              <w:jc w:val="right"/>
              <w:rPr>
                <w:rFonts w:ascii="David" w:hAnsi="David"/>
                <w:b/>
                <w:bCs/>
                <w:sz w:val="28"/>
                <w:szCs w:val="28"/>
                <w:rtl/>
              </w:rPr>
            </w:pPr>
            <w:r w:rsidRPr="005D28F4">
              <w:rPr>
                <w:rFonts w:ascii="David" w:hAnsi="David"/>
                <w:b/>
                <w:bCs/>
                <w:sz w:val="28"/>
                <w:szCs w:val="28"/>
                <w:rtl/>
              </w:rPr>
              <w:t>המאשימה</w:t>
            </w:r>
          </w:p>
        </w:tc>
      </w:tr>
      <w:tr w:rsidR="001D58DD" w:rsidRPr="005D28F4" w14:paraId="4CB7EC90" w14:textId="77777777" w:rsidTr="001D58DD">
        <w:trPr>
          <w:trHeight w:val="355"/>
          <w:jc w:val="center"/>
        </w:trPr>
        <w:tc>
          <w:tcPr>
            <w:tcW w:w="923" w:type="dxa"/>
            <w:tcBorders>
              <w:top w:val="nil"/>
              <w:left w:val="nil"/>
              <w:bottom w:val="nil"/>
              <w:right w:val="nil"/>
            </w:tcBorders>
            <w:shd w:val="clear" w:color="auto" w:fill="auto"/>
          </w:tcPr>
          <w:p w14:paraId="083ED75A" w14:textId="77777777" w:rsidR="001D58DD" w:rsidRPr="005D28F4" w:rsidRDefault="001D58DD" w:rsidP="001D58DD">
            <w:pPr>
              <w:jc w:val="both"/>
              <w:rPr>
                <w:rFonts w:ascii="David" w:hAnsi="David"/>
                <w:sz w:val="28"/>
                <w:szCs w:val="28"/>
                <w:rtl/>
              </w:rPr>
            </w:pPr>
          </w:p>
        </w:tc>
        <w:tc>
          <w:tcPr>
            <w:tcW w:w="7897" w:type="dxa"/>
            <w:gridSpan w:val="2"/>
            <w:tcBorders>
              <w:top w:val="nil"/>
              <w:left w:val="nil"/>
              <w:bottom w:val="nil"/>
              <w:right w:val="nil"/>
            </w:tcBorders>
            <w:shd w:val="clear" w:color="auto" w:fill="auto"/>
          </w:tcPr>
          <w:p w14:paraId="6DD84F37" w14:textId="77777777" w:rsidR="001D58DD" w:rsidRPr="005D28F4" w:rsidRDefault="001D58DD" w:rsidP="001D58DD">
            <w:pPr>
              <w:jc w:val="center"/>
              <w:rPr>
                <w:rFonts w:ascii="David" w:hAnsi="David"/>
                <w:b/>
                <w:bCs/>
                <w:sz w:val="28"/>
                <w:szCs w:val="28"/>
                <w:rtl/>
              </w:rPr>
            </w:pPr>
          </w:p>
          <w:p w14:paraId="1E63ED2D" w14:textId="77777777" w:rsidR="001D58DD" w:rsidRPr="005D28F4" w:rsidRDefault="001D58DD" w:rsidP="001D58DD">
            <w:pPr>
              <w:jc w:val="center"/>
              <w:rPr>
                <w:rFonts w:ascii="David" w:hAnsi="David"/>
                <w:b/>
                <w:bCs/>
                <w:sz w:val="28"/>
                <w:szCs w:val="28"/>
                <w:rtl/>
              </w:rPr>
            </w:pPr>
            <w:r w:rsidRPr="005D28F4">
              <w:rPr>
                <w:rFonts w:ascii="David" w:hAnsi="David"/>
                <w:b/>
                <w:bCs/>
                <w:sz w:val="28"/>
                <w:szCs w:val="28"/>
                <w:rtl/>
              </w:rPr>
              <w:t>נגד</w:t>
            </w:r>
          </w:p>
          <w:p w14:paraId="7A8EA0B3" w14:textId="77777777" w:rsidR="001D58DD" w:rsidRPr="005D28F4" w:rsidRDefault="001D58DD" w:rsidP="001D58DD">
            <w:pPr>
              <w:jc w:val="both"/>
              <w:rPr>
                <w:rFonts w:ascii="David" w:hAnsi="David"/>
                <w:sz w:val="28"/>
                <w:szCs w:val="28"/>
              </w:rPr>
            </w:pPr>
          </w:p>
        </w:tc>
      </w:tr>
      <w:tr w:rsidR="001D58DD" w:rsidRPr="005D28F4" w14:paraId="0AEC5F6F" w14:textId="77777777" w:rsidTr="001D58DD">
        <w:trPr>
          <w:trHeight w:val="355"/>
          <w:jc w:val="center"/>
        </w:trPr>
        <w:tc>
          <w:tcPr>
            <w:tcW w:w="923" w:type="dxa"/>
            <w:tcBorders>
              <w:top w:val="nil"/>
              <w:left w:val="nil"/>
              <w:bottom w:val="nil"/>
              <w:right w:val="nil"/>
            </w:tcBorders>
            <w:shd w:val="clear" w:color="auto" w:fill="auto"/>
          </w:tcPr>
          <w:p w14:paraId="46FB1BC4" w14:textId="77777777" w:rsidR="001D58DD" w:rsidRPr="005D28F4" w:rsidRDefault="001D58DD" w:rsidP="00221B68">
            <w:pPr>
              <w:rPr>
                <w:rFonts w:ascii="David" w:hAnsi="David"/>
                <w:sz w:val="28"/>
                <w:szCs w:val="28"/>
                <w:rtl/>
              </w:rPr>
            </w:pPr>
          </w:p>
        </w:tc>
        <w:tc>
          <w:tcPr>
            <w:tcW w:w="4126" w:type="dxa"/>
            <w:tcBorders>
              <w:top w:val="nil"/>
              <w:left w:val="nil"/>
              <w:bottom w:val="nil"/>
              <w:right w:val="nil"/>
            </w:tcBorders>
            <w:shd w:val="clear" w:color="auto" w:fill="auto"/>
          </w:tcPr>
          <w:p w14:paraId="2A6504AC" w14:textId="77777777" w:rsidR="001D58DD" w:rsidRPr="005D28F4" w:rsidRDefault="001D58DD" w:rsidP="00221B68">
            <w:pPr>
              <w:rPr>
                <w:rFonts w:ascii="David" w:hAnsi="David"/>
                <w:sz w:val="28"/>
                <w:szCs w:val="28"/>
                <w:rtl/>
              </w:rPr>
            </w:pPr>
            <w:r w:rsidRPr="005D28F4">
              <w:rPr>
                <w:rFonts w:ascii="David" w:hAnsi="David"/>
                <w:b/>
                <w:bCs/>
                <w:sz w:val="28"/>
                <w:szCs w:val="28"/>
                <w:rtl/>
              </w:rPr>
              <w:t>עמרם ביטון</w:t>
            </w:r>
            <w:r w:rsidRPr="005D28F4">
              <w:rPr>
                <w:rFonts w:ascii="David" w:hAnsi="David"/>
                <w:b/>
                <w:bCs/>
                <w:sz w:val="28"/>
                <w:szCs w:val="28"/>
                <w:rtl/>
              </w:rPr>
              <w:br/>
              <w:t>באמצעות ב"כ עו"ד שני פרג'ון</w:t>
            </w:r>
          </w:p>
        </w:tc>
        <w:tc>
          <w:tcPr>
            <w:tcW w:w="3771" w:type="dxa"/>
            <w:tcBorders>
              <w:top w:val="nil"/>
              <w:left w:val="nil"/>
              <w:bottom w:val="nil"/>
              <w:right w:val="nil"/>
            </w:tcBorders>
            <w:shd w:val="clear" w:color="auto" w:fill="auto"/>
          </w:tcPr>
          <w:p w14:paraId="0071057E" w14:textId="77777777" w:rsidR="001D58DD" w:rsidRPr="005D28F4" w:rsidRDefault="001D58DD" w:rsidP="001D58DD">
            <w:pPr>
              <w:jc w:val="right"/>
              <w:rPr>
                <w:rFonts w:ascii="David" w:hAnsi="David"/>
                <w:sz w:val="28"/>
                <w:szCs w:val="28"/>
              </w:rPr>
            </w:pPr>
          </w:p>
        </w:tc>
      </w:tr>
      <w:tr w:rsidR="001D58DD" w:rsidRPr="005D28F4" w14:paraId="5483789F" w14:textId="77777777" w:rsidTr="001D58DD">
        <w:trPr>
          <w:trHeight w:val="355"/>
          <w:jc w:val="center"/>
        </w:trPr>
        <w:tc>
          <w:tcPr>
            <w:tcW w:w="923" w:type="dxa"/>
            <w:tcBorders>
              <w:top w:val="nil"/>
              <w:left w:val="nil"/>
              <w:bottom w:val="nil"/>
              <w:right w:val="nil"/>
            </w:tcBorders>
            <w:shd w:val="clear" w:color="auto" w:fill="auto"/>
          </w:tcPr>
          <w:p w14:paraId="2915E2B2" w14:textId="77777777" w:rsidR="001D58DD" w:rsidRPr="005D28F4" w:rsidRDefault="001D58DD" w:rsidP="001D58DD">
            <w:pPr>
              <w:jc w:val="both"/>
              <w:rPr>
                <w:rFonts w:ascii="David" w:hAnsi="David"/>
                <w:sz w:val="28"/>
                <w:szCs w:val="28"/>
                <w:rtl/>
              </w:rPr>
            </w:pPr>
          </w:p>
        </w:tc>
        <w:tc>
          <w:tcPr>
            <w:tcW w:w="4126" w:type="dxa"/>
            <w:tcBorders>
              <w:top w:val="nil"/>
              <w:left w:val="nil"/>
              <w:bottom w:val="nil"/>
              <w:right w:val="nil"/>
            </w:tcBorders>
            <w:shd w:val="clear" w:color="auto" w:fill="auto"/>
          </w:tcPr>
          <w:p w14:paraId="47A67C93" w14:textId="77777777" w:rsidR="001D58DD" w:rsidRPr="005D28F4" w:rsidRDefault="001D58DD" w:rsidP="001D58DD">
            <w:pPr>
              <w:jc w:val="both"/>
              <w:rPr>
                <w:rFonts w:ascii="David" w:hAnsi="David"/>
                <w:sz w:val="28"/>
                <w:szCs w:val="28"/>
                <w:rtl/>
              </w:rPr>
            </w:pPr>
          </w:p>
        </w:tc>
        <w:tc>
          <w:tcPr>
            <w:tcW w:w="3771" w:type="dxa"/>
            <w:tcBorders>
              <w:top w:val="nil"/>
              <w:left w:val="nil"/>
              <w:bottom w:val="nil"/>
              <w:right w:val="nil"/>
            </w:tcBorders>
            <w:shd w:val="clear" w:color="auto" w:fill="auto"/>
          </w:tcPr>
          <w:p w14:paraId="5905F48C" w14:textId="77777777" w:rsidR="001D58DD" w:rsidRPr="005D28F4" w:rsidRDefault="001D58DD" w:rsidP="001D58DD">
            <w:pPr>
              <w:jc w:val="right"/>
              <w:rPr>
                <w:rFonts w:ascii="David" w:hAnsi="David"/>
                <w:sz w:val="28"/>
                <w:szCs w:val="28"/>
              </w:rPr>
            </w:pPr>
            <w:r w:rsidRPr="005D28F4">
              <w:rPr>
                <w:rFonts w:ascii="David" w:hAnsi="David"/>
                <w:b/>
                <w:bCs/>
                <w:sz w:val="28"/>
                <w:szCs w:val="28"/>
                <w:rtl/>
              </w:rPr>
              <w:t>הנאשם</w:t>
            </w:r>
          </w:p>
        </w:tc>
      </w:tr>
    </w:tbl>
    <w:p w14:paraId="52B75CD4" w14:textId="77777777" w:rsidR="00583938" w:rsidRDefault="00583938" w:rsidP="005D28F4">
      <w:pPr>
        <w:rPr>
          <w:rtl/>
        </w:rPr>
      </w:pPr>
    </w:p>
    <w:p w14:paraId="5F710E86" w14:textId="77777777" w:rsidR="00583938" w:rsidRPr="00583938" w:rsidRDefault="00583938" w:rsidP="00583938">
      <w:pPr>
        <w:spacing w:after="120" w:line="240" w:lineRule="exact"/>
        <w:ind w:left="283" w:hanging="283"/>
        <w:jc w:val="both"/>
        <w:rPr>
          <w:rFonts w:ascii="FrankRuehl" w:hAnsi="FrankRuehl" w:cs="FrankRuehl"/>
          <w:rtl/>
        </w:rPr>
      </w:pPr>
    </w:p>
    <w:p w14:paraId="0F471EE6" w14:textId="77777777" w:rsidR="0071037D" w:rsidRPr="0071037D" w:rsidRDefault="0071037D" w:rsidP="0071037D">
      <w:pPr>
        <w:spacing w:before="120" w:after="120" w:line="240" w:lineRule="exact"/>
        <w:ind w:left="283" w:hanging="283"/>
        <w:jc w:val="both"/>
        <w:rPr>
          <w:rFonts w:ascii="FrankRuehl" w:hAnsi="FrankRuehl" w:cs="FrankRuehl"/>
          <w:rtl/>
        </w:rPr>
      </w:pPr>
    </w:p>
    <w:p w14:paraId="36790677" w14:textId="77777777" w:rsidR="00AF4B31" w:rsidRDefault="00AF4B31" w:rsidP="00AF4B31">
      <w:pPr>
        <w:rPr>
          <w:rtl/>
        </w:rPr>
      </w:pPr>
      <w:bookmarkStart w:id="3" w:name="LawTable"/>
      <w:bookmarkEnd w:id="3"/>
    </w:p>
    <w:p w14:paraId="5BF9E3D0" w14:textId="77777777" w:rsidR="00AF4B31" w:rsidRPr="00AF4B31" w:rsidRDefault="00AF4B31" w:rsidP="00AF4B31">
      <w:pPr>
        <w:spacing w:before="120" w:after="120" w:line="240" w:lineRule="exact"/>
        <w:ind w:left="283" w:hanging="283"/>
        <w:jc w:val="both"/>
        <w:rPr>
          <w:rFonts w:ascii="FrankRuehl" w:hAnsi="FrankRuehl" w:cs="FrankRuehl"/>
          <w:rtl/>
        </w:rPr>
      </w:pPr>
    </w:p>
    <w:p w14:paraId="1CA58193" w14:textId="77777777" w:rsidR="00AF4B31" w:rsidRPr="00AF4B31" w:rsidRDefault="00AF4B31" w:rsidP="00AF4B31">
      <w:pPr>
        <w:spacing w:before="120" w:after="120" w:line="240" w:lineRule="exact"/>
        <w:ind w:left="283" w:hanging="283"/>
        <w:jc w:val="both"/>
        <w:rPr>
          <w:rFonts w:ascii="FrankRuehl" w:hAnsi="FrankRuehl" w:cs="FrankRuehl"/>
          <w:rtl/>
        </w:rPr>
      </w:pPr>
    </w:p>
    <w:p w14:paraId="1468A42B" w14:textId="77777777" w:rsidR="00AF4B31" w:rsidRPr="00AF4B31" w:rsidRDefault="00AF4B31" w:rsidP="00AF4B31">
      <w:pPr>
        <w:spacing w:before="120" w:after="120" w:line="240" w:lineRule="exact"/>
        <w:ind w:left="283" w:hanging="283"/>
        <w:jc w:val="both"/>
        <w:rPr>
          <w:rFonts w:ascii="FrankRuehl" w:hAnsi="FrankRuehl" w:cs="FrankRuehl"/>
          <w:rtl/>
        </w:rPr>
      </w:pPr>
      <w:r w:rsidRPr="00AF4B31">
        <w:rPr>
          <w:rFonts w:ascii="FrankRuehl" w:hAnsi="FrankRuehl" w:cs="FrankRuehl"/>
          <w:rtl/>
        </w:rPr>
        <w:t xml:space="preserve">חקיקה שאוזכרה: </w:t>
      </w:r>
    </w:p>
    <w:p w14:paraId="0D6ECF34" w14:textId="77777777" w:rsidR="00AF4B31" w:rsidRPr="00AF4B31" w:rsidRDefault="00AF4B31" w:rsidP="00AF4B31">
      <w:pPr>
        <w:spacing w:before="120" w:after="120" w:line="240" w:lineRule="exact"/>
        <w:ind w:left="283" w:hanging="283"/>
        <w:jc w:val="both"/>
        <w:rPr>
          <w:rFonts w:ascii="FrankRuehl" w:hAnsi="FrankRuehl" w:cs="FrankRuehl"/>
          <w:rtl/>
        </w:rPr>
      </w:pPr>
      <w:hyperlink r:id="rId8" w:history="1">
        <w:r w:rsidRPr="00AF4B31">
          <w:rPr>
            <w:rFonts w:ascii="FrankRuehl" w:hAnsi="FrankRuehl" w:cs="FrankRuehl"/>
            <w:color w:val="0000FF"/>
            <w:rtl/>
          </w:rPr>
          <w:t>פקודת הסמים המסוכנים [נוסח חדש], תשל"ג-1973</w:t>
        </w:r>
      </w:hyperlink>
      <w:r w:rsidRPr="00AF4B31">
        <w:rPr>
          <w:rFonts w:ascii="FrankRuehl" w:hAnsi="FrankRuehl" w:cs="FrankRuehl"/>
          <w:rtl/>
        </w:rPr>
        <w:t xml:space="preserve">: סע'  </w:t>
      </w:r>
      <w:hyperlink r:id="rId9" w:history="1">
        <w:r w:rsidRPr="00AF4B31">
          <w:rPr>
            <w:rFonts w:ascii="FrankRuehl" w:hAnsi="FrankRuehl" w:cs="FrankRuehl"/>
            <w:color w:val="0000FF"/>
            <w:rtl/>
          </w:rPr>
          <w:t>7.א.</w:t>
        </w:r>
      </w:hyperlink>
      <w:r w:rsidRPr="00AF4B31">
        <w:rPr>
          <w:rFonts w:ascii="FrankRuehl" w:hAnsi="FrankRuehl" w:cs="FrankRuehl"/>
          <w:rtl/>
        </w:rPr>
        <w:t xml:space="preserve">, </w:t>
      </w:r>
      <w:hyperlink r:id="rId10" w:history="1">
        <w:r w:rsidRPr="00AF4B31">
          <w:rPr>
            <w:rFonts w:ascii="FrankRuehl" w:hAnsi="FrankRuehl" w:cs="FrankRuehl"/>
            <w:color w:val="0000FF"/>
            <w:rtl/>
          </w:rPr>
          <w:t>7.ג</w:t>
        </w:r>
      </w:hyperlink>
    </w:p>
    <w:p w14:paraId="6F0FBF9A" w14:textId="77777777" w:rsidR="00AF4B31" w:rsidRPr="00AF4B31" w:rsidRDefault="00AF4B31" w:rsidP="00AF4B31">
      <w:pPr>
        <w:spacing w:before="120" w:after="120" w:line="240" w:lineRule="exact"/>
        <w:ind w:left="283" w:hanging="283"/>
        <w:jc w:val="both"/>
        <w:rPr>
          <w:rFonts w:ascii="FrankRuehl" w:hAnsi="FrankRuehl" w:cs="FrankRuehl"/>
          <w:rtl/>
        </w:rPr>
      </w:pPr>
      <w:hyperlink r:id="rId11" w:history="1">
        <w:r w:rsidRPr="00AF4B31">
          <w:rPr>
            <w:rFonts w:ascii="FrankRuehl" w:hAnsi="FrankRuehl" w:cs="FrankRuehl"/>
            <w:color w:val="0000FF"/>
            <w:rtl/>
          </w:rPr>
          <w:t>חוק העונשין, תשל"ז-1977</w:t>
        </w:r>
      </w:hyperlink>
      <w:r w:rsidRPr="00AF4B31">
        <w:rPr>
          <w:rFonts w:ascii="FrankRuehl" w:hAnsi="FrankRuehl" w:cs="FrankRuehl"/>
          <w:rtl/>
        </w:rPr>
        <w:t xml:space="preserve">: סע'  </w:t>
      </w:r>
      <w:hyperlink r:id="rId12" w:history="1">
        <w:r w:rsidRPr="00AF4B31">
          <w:rPr>
            <w:rFonts w:ascii="FrankRuehl" w:hAnsi="FrankRuehl" w:cs="FrankRuehl"/>
            <w:color w:val="0000FF"/>
            <w:rtl/>
          </w:rPr>
          <w:t>40ט</w:t>
        </w:r>
      </w:hyperlink>
      <w:r w:rsidRPr="00AF4B31">
        <w:rPr>
          <w:rFonts w:ascii="FrankRuehl" w:hAnsi="FrankRuehl" w:cs="FrankRuehl"/>
          <w:rtl/>
        </w:rPr>
        <w:t xml:space="preserve">, </w:t>
      </w:r>
      <w:hyperlink r:id="rId13" w:history="1">
        <w:r w:rsidRPr="00AF4B31">
          <w:rPr>
            <w:rFonts w:ascii="FrankRuehl" w:hAnsi="FrankRuehl" w:cs="FrankRuehl"/>
            <w:color w:val="0000FF"/>
            <w:rtl/>
          </w:rPr>
          <w:t>56</w:t>
        </w:r>
      </w:hyperlink>
      <w:r w:rsidRPr="00AF4B31">
        <w:rPr>
          <w:rFonts w:ascii="FrankRuehl" w:hAnsi="FrankRuehl" w:cs="FrankRuehl"/>
          <w:rtl/>
        </w:rPr>
        <w:t xml:space="preserve">, </w:t>
      </w:r>
      <w:hyperlink r:id="rId14" w:history="1">
        <w:r w:rsidRPr="00AF4B31">
          <w:rPr>
            <w:rFonts w:ascii="FrankRuehl" w:hAnsi="FrankRuehl" w:cs="FrankRuehl"/>
            <w:color w:val="0000FF"/>
            <w:rtl/>
          </w:rPr>
          <w:t>40יא</w:t>
        </w:r>
      </w:hyperlink>
      <w:r w:rsidRPr="00AF4B31">
        <w:rPr>
          <w:rFonts w:ascii="FrankRuehl" w:hAnsi="FrankRuehl" w:cs="FrankRuehl"/>
          <w:rtl/>
        </w:rPr>
        <w:t xml:space="preserve">, </w:t>
      </w:r>
      <w:hyperlink r:id="rId15" w:history="1">
        <w:r w:rsidRPr="00AF4B31">
          <w:rPr>
            <w:rFonts w:ascii="FrankRuehl" w:hAnsi="FrankRuehl" w:cs="FrankRuehl"/>
            <w:color w:val="0000FF"/>
            <w:rtl/>
          </w:rPr>
          <w:t>40 יג</w:t>
        </w:r>
      </w:hyperlink>
      <w:r w:rsidRPr="00AF4B31">
        <w:rPr>
          <w:rFonts w:ascii="FrankRuehl" w:hAnsi="FrankRuehl" w:cs="FrankRuehl"/>
          <w:rtl/>
        </w:rPr>
        <w:t xml:space="preserve">, </w:t>
      </w:r>
      <w:hyperlink r:id="rId16" w:history="1">
        <w:r w:rsidRPr="00AF4B31">
          <w:rPr>
            <w:rFonts w:ascii="FrankRuehl" w:hAnsi="FrankRuehl" w:cs="FrankRuehl"/>
            <w:color w:val="0000FF"/>
            <w:rtl/>
          </w:rPr>
          <w:t>40יג(ג)</w:t>
        </w:r>
      </w:hyperlink>
    </w:p>
    <w:p w14:paraId="4A365C40" w14:textId="77777777" w:rsidR="00AF4B31" w:rsidRPr="00AF4B31" w:rsidRDefault="00AF4B31" w:rsidP="00AF4B31">
      <w:pPr>
        <w:rPr>
          <w:rtl/>
        </w:rPr>
      </w:pPr>
      <w:bookmarkStart w:id="4" w:name="LawTable_End"/>
      <w:bookmarkEnd w:id="4"/>
    </w:p>
    <w:p w14:paraId="227DCCE8" w14:textId="77777777" w:rsidR="001D58DD" w:rsidRPr="0071037D" w:rsidRDefault="001D58DD" w:rsidP="0071037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58DD" w14:paraId="5CEDD940" w14:textId="77777777" w:rsidTr="001D58DD">
        <w:trPr>
          <w:trHeight w:val="355"/>
          <w:jc w:val="center"/>
        </w:trPr>
        <w:tc>
          <w:tcPr>
            <w:tcW w:w="8820" w:type="dxa"/>
            <w:tcBorders>
              <w:top w:val="nil"/>
              <w:left w:val="nil"/>
              <w:bottom w:val="nil"/>
              <w:right w:val="nil"/>
            </w:tcBorders>
            <w:shd w:val="clear" w:color="auto" w:fill="auto"/>
          </w:tcPr>
          <w:p w14:paraId="4F2AA8F6" w14:textId="77777777" w:rsidR="005D28F4" w:rsidRPr="005D28F4" w:rsidRDefault="005D28F4" w:rsidP="005D28F4">
            <w:pPr>
              <w:jc w:val="center"/>
              <w:rPr>
                <w:rFonts w:ascii="David" w:hAnsi="David"/>
                <w:b/>
                <w:bCs/>
                <w:sz w:val="32"/>
                <w:szCs w:val="32"/>
                <w:u w:val="single"/>
                <w:rtl/>
              </w:rPr>
            </w:pPr>
            <w:bookmarkStart w:id="5" w:name="PsakDin" w:colFirst="0" w:colLast="0"/>
            <w:bookmarkEnd w:id="0"/>
            <w:bookmarkEnd w:id="1"/>
            <w:r w:rsidRPr="005D28F4">
              <w:rPr>
                <w:rFonts w:ascii="David" w:hAnsi="David"/>
                <w:b/>
                <w:bCs/>
                <w:sz w:val="32"/>
                <w:szCs w:val="32"/>
                <w:u w:val="single"/>
                <w:rtl/>
              </w:rPr>
              <w:t>גזר דין</w:t>
            </w:r>
          </w:p>
          <w:p w14:paraId="32A0C68D" w14:textId="77777777" w:rsidR="001D58DD" w:rsidRPr="005D28F4" w:rsidRDefault="001D58DD" w:rsidP="005D28F4">
            <w:pPr>
              <w:jc w:val="center"/>
              <w:rPr>
                <w:rFonts w:ascii="David" w:hAnsi="David"/>
                <w:bCs/>
                <w:sz w:val="32"/>
                <w:szCs w:val="32"/>
                <w:u w:val="single"/>
                <w:rtl/>
              </w:rPr>
            </w:pPr>
          </w:p>
        </w:tc>
      </w:tr>
      <w:bookmarkEnd w:id="5"/>
    </w:tbl>
    <w:p w14:paraId="2BB457C6" w14:textId="77777777" w:rsidR="001D58DD" w:rsidRPr="0002343A" w:rsidRDefault="001D58DD" w:rsidP="001D58DD"/>
    <w:p w14:paraId="40981382" w14:textId="77777777" w:rsidR="001D58DD" w:rsidRPr="0002343A" w:rsidRDefault="001D58DD" w:rsidP="001D58DD">
      <w:pPr>
        <w:spacing w:line="360" w:lineRule="auto"/>
        <w:jc w:val="both"/>
        <w:rPr>
          <w:rFonts w:ascii="David" w:hAnsi="David"/>
          <w:b/>
          <w:bCs/>
          <w:rtl/>
        </w:rPr>
      </w:pPr>
      <w:bookmarkStart w:id="6" w:name="ABSTRACT_START"/>
      <w:bookmarkEnd w:id="6"/>
      <w:r w:rsidRPr="0002343A">
        <w:rPr>
          <w:rFonts w:ascii="David" w:hAnsi="David"/>
          <w:b/>
          <w:bCs/>
          <w:rtl/>
        </w:rPr>
        <w:t>1</w:t>
      </w:r>
      <w:r w:rsidRPr="0002343A">
        <w:rPr>
          <w:rFonts w:ascii="David" w:hAnsi="David"/>
          <w:rtl/>
        </w:rPr>
        <w:t xml:space="preserve">. הנאשם הורשע בהתאם להודאתו בביצוע עבירת החזקת סמים לצריכה עצמית, עבירה לפי </w:t>
      </w:r>
      <w:hyperlink r:id="rId17" w:history="1">
        <w:r w:rsidR="00583938" w:rsidRPr="00583938">
          <w:rPr>
            <w:rStyle w:val="Hyperlink"/>
            <w:rFonts w:ascii="David" w:hAnsi="David"/>
            <w:b/>
            <w:bCs/>
            <w:rtl/>
          </w:rPr>
          <w:t>סעיף 7(א)+(ג)</w:t>
        </w:r>
      </w:hyperlink>
      <w:r w:rsidRPr="0002343A">
        <w:rPr>
          <w:rFonts w:ascii="David" w:hAnsi="David"/>
          <w:b/>
          <w:bCs/>
          <w:rtl/>
        </w:rPr>
        <w:t xml:space="preserve"> סיפא ל</w:t>
      </w:r>
      <w:hyperlink r:id="rId18" w:history="1">
        <w:r w:rsidR="005D28F4" w:rsidRPr="005D28F4">
          <w:rPr>
            <w:rFonts w:ascii="David" w:hAnsi="David"/>
            <w:b/>
            <w:bCs/>
            <w:color w:val="0000FF"/>
            <w:u w:val="single"/>
            <w:rtl/>
          </w:rPr>
          <w:t>פקודת הסמים המסוכנים</w:t>
        </w:r>
      </w:hyperlink>
      <w:r w:rsidRPr="0002343A">
        <w:rPr>
          <w:rFonts w:ascii="David" w:hAnsi="David"/>
          <w:b/>
          <w:bCs/>
          <w:rtl/>
        </w:rPr>
        <w:t xml:space="preserve"> [נוסח חדש], תשל"ג-1973 </w:t>
      </w:r>
      <w:r w:rsidRPr="0002343A">
        <w:rPr>
          <w:rFonts w:ascii="David" w:hAnsi="David"/>
          <w:rtl/>
        </w:rPr>
        <w:t>(להלן:</w:t>
      </w:r>
      <w:r w:rsidRPr="0002343A">
        <w:rPr>
          <w:rFonts w:ascii="David" w:hAnsi="David"/>
          <w:b/>
          <w:bCs/>
          <w:rtl/>
        </w:rPr>
        <w:t xml:space="preserve"> </w:t>
      </w:r>
      <w:r w:rsidRPr="0002343A">
        <w:rPr>
          <w:rFonts w:ascii="David" w:hAnsi="David"/>
          <w:rtl/>
        </w:rPr>
        <w:t>"</w:t>
      </w:r>
      <w:r w:rsidRPr="0002343A">
        <w:rPr>
          <w:rFonts w:ascii="David" w:hAnsi="David"/>
          <w:b/>
          <w:bCs/>
          <w:rtl/>
        </w:rPr>
        <w:t>פקודת הסמים המסוכנים</w:t>
      </w:r>
      <w:r w:rsidRPr="0002343A">
        <w:rPr>
          <w:rFonts w:ascii="David" w:hAnsi="David"/>
          <w:rtl/>
        </w:rPr>
        <w:t>").</w:t>
      </w:r>
    </w:p>
    <w:p w14:paraId="25312E22" w14:textId="77777777" w:rsidR="001D58DD" w:rsidRPr="0002343A" w:rsidRDefault="001D58DD" w:rsidP="001D58DD">
      <w:pPr>
        <w:spacing w:line="360" w:lineRule="auto"/>
        <w:contextualSpacing/>
        <w:jc w:val="both"/>
        <w:rPr>
          <w:rFonts w:ascii="David" w:hAnsi="David"/>
        </w:rPr>
      </w:pPr>
    </w:p>
    <w:p w14:paraId="6AC381E6" w14:textId="77777777" w:rsidR="001D58DD" w:rsidRPr="0002343A" w:rsidRDefault="001D58DD" w:rsidP="001D58DD">
      <w:pPr>
        <w:spacing w:line="360" w:lineRule="auto"/>
        <w:contextualSpacing/>
        <w:jc w:val="both"/>
        <w:rPr>
          <w:rFonts w:ascii="David" w:hAnsi="David"/>
          <w:b/>
          <w:bCs/>
          <w:rtl/>
        </w:rPr>
      </w:pPr>
      <w:r w:rsidRPr="0002343A">
        <w:rPr>
          <w:rFonts w:ascii="David" w:hAnsi="David"/>
          <w:rtl/>
        </w:rPr>
        <w:t xml:space="preserve">מעובדות כתב האישום המתוקן עולה כי בתאריך 21/12/16 בשעה 14:18 או בסמוך לכך, ברחוב החשמונאים 6 בשדרות, בדלת הנוסע שליד הנהג ברכב מיצובישי, החזיק הנאשם בסם מסוכן מסוג חשיש במשקל של 0.7160 גרם נטו, לצריכתו העצמית, וזאת ללא היתר או רישיון לעשות כן. </w:t>
      </w:r>
    </w:p>
    <w:p w14:paraId="695B538E" w14:textId="77777777" w:rsidR="001D58DD" w:rsidRPr="0002343A" w:rsidRDefault="001D58DD" w:rsidP="001D58DD">
      <w:pPr>
        <w:spacing w:line="360" w:lineRule="auto"/>
        <w:contextualSpacing/>
        <w:jc w:val="both"/>
        <w:rPr>
          <w:rFonts w:ascii="David" w:hAnsi="David"/>
          <w:b/>
          <w:bCs/>
          <w:rtl/>
        </w:rPr>
      </w:pPr>
      <w:bookmarkStart w:id="7" w:name="ABSTRACT_END"/>
      <w:bookmarkEnd w:id="7"/>
    </w:p>
    <w:p w14:paraId="6FA16A37" w14:textId="77777777" w:rsidR="001D58DD" w:rsidRPr="0002343A" w:rsidRDefault="001D58DD" w:rsidP="001D58DD">
      <w:pPr>
        <w:spacing w:line="360" w:lineRule="auto"/>
        <w:jc w:val="both"/>
        <w:rPr>
          <w:rFonts w:ascii="David" w:hAnsi="David"/>
          <w:b/>
          <w:bCs/>
          <w:rtl/>
        </w:rPr>
      </w:pPr>
      <w:r w:rsidRPr="0002343A">
        <w:rPr>
          <w:rFonts w:ascii="David" w:hAnsi="David"/>
          <w:b/>
          <w:bCs/>
          <w:rtl/>
        </w:rPr>
        <w:t xml:space="preserve">2. </w:t>
      </w:r>
      <w:r w:rsidRPr="0002343A">
        <w:rPr>
          <w:rFonts w:ascii="David" w:hAnsi="David"/>
          <w:rtl/>
        </w:rPr>
        <w:t>לבקשת הנאשם צורף תיק נוסף,</w:t>
      </w:r>
      <w:r w:rsidRPr="0002343A">
        <w:rPr>
          <w:rFonts w:ascii="David" w:hAnsi="David"/>
          <w:b/>
          <w:bCs/>
          <w:rtl/>
        </w:rPr>
        <w:t xml:space="preserve"> פל"א 346223/18</w:t>
      </w:r>
      <w:r w:rsidRPr="0002343A">
        <w:rPr>
          <w:rFonts w:ascii="David" w:hAnsi="David"/>
          <w:rtl/>
        </w:rPr>
        <w:t xml:space="preserve">, בו הורשע הנאשם, בהתאם להודאתו, בביצוע עבירת החזקת סמים לצריכה עצמית, עבירה לפי </w:t>
      </w:r>
      <w:hyperlink r:id="rId19" w:history="1">
        <w:r w:rsidR="00583938" w:rsidRPr="00583938">
          <w:rPr>
            <w:rStyle w:val="Hyperlink"/>
            <w:rFonts w:ascii="David" w:hAnsi="David"/>
            <w:b/>
            <w:bCs/>
            <w:rtl/>
          </w:rPr>
          <w:t>סעיף 7(א)+(ג)</w:t>
        </w:r>
      </w:hyperlink>
      <w:r w:rsidRPr="0002343A">
        <w:rPr>
          <w:rFonts w:ascii="David" w:hAnsi="David"/>
          <w:b/>
          <w:bCs/>
          <w:rtl/>
        </w:rPr>
        <w:t xml:space="preserve"> סיפא ל</w:t>
      </w:r>
      <w:hyperlink r:id="rId20" w:history="1">
        <w:r w:rsidR="005D28F4" w:rsidRPr="005D28F4">
          <w:rPr>
            <w:rFonts w:ascii="David" w:hAnsi="David"/>
            <w:b/>
            <w:bCs/>
            <w:color w:val="0000FF"/>
            <w:u w:val="single"/>
            <w:rtl/>
          </w:rPr>
          <w:t>פקודת הסמים המסוכנים</w:t>
        </w:r>
      </w:hyperlink>
      <w:r w:rsidRPr="0002343A">
        <w:rPr>
          <w:rFonts w:ascii="David" w:hAnsi="David"/>
          <w:rtl/>
        </w:rPr>
        <w:t>.</w:t>
      </w:r>
    </w:p>
    <w:p w14:paraId="1E74B4F2" w14:textId="77777777" w:rsidR="001D58DD" w:rsidRPr="0002343A" w:rsidRDefault="001D58DD" w:rsidP="001D58DD">
      <w:pPr>
        <w:spacing w:line="360" w:lineRule="auto"/>
        <w:contextualSpacing/>
        <w:jc w:val="both"/>
        <w:rPr>
          <w:rFonts w:ascii="David" w:hAnsi="David"/>
          <w:b/>
          <w:bCs/>
        </w:rPr>
      </w:pPr>
    </w:p>
    <w:p w14:paraId="7E4E7037" w14:textId="77777777" w:rsidR="001D58DD" w:rsidRPr="0002343A" w:rsidRDefault="001D58DD" w:rsidP="001D58DD">
      <w:pPr>
        <w:spacing w:line="360" w:lineRule="auto"/>
        <w:contextualSpacing/>
        <w:jc w:val="both"/>
        <w:rPr>
          <w:rFonts w:ascii="David" w:hAnsi="David"/>
          <w:rtl/>
        </w:rPr>
      </w:pPr>
      <w:r w:rsidRPr="0002343A">
        <w:rPr>
          <w:rFonts w:ascii="David" w:hAnsi="David"/>
          <w:rtl/>
        </w:rPr>
        <w:t>מעובדות כתב האישום עולה כי בתאריך 31/07/18 בשעה 17:00 או בסמוך לכך, במהלך חיפוש בהתאם לצו בית משפט בבית הנאשם שברחוב העונות 2/48 באשקלון, נמצא כי הנאשם החזיק, בתוך צנצנת בשידה בסלון, בסם מסוכן מסוג קנבוס במשקל 13.20 גרם נטו, לצריכתו העצמית, וזאת ללא רישיון או היתר.</w:t>
      </w:r>
    </w:p>
    <w:p w14:paraId="2233F90D" w14:textId="77777777" w:rsidR="001D58DD" w:rsidRPr="0002343A" w:rsidRDefault="001D58DD" w:rsidP="001D58DD">
      <w:pPr>
        <w:spacing w:line="360" w:lineRule="auto"/>
        <w:contextualSpacing/>
        <w:jc w:val="both"/>
        <w:rPr>
          <w:rFonts w:ascii="David" w:hAnsi="David"/>
          <w:rtl/>
        </w:rPr>
      </w:pPr>
    </w:p>
    <w:p w14:paraId="3EE61FFF" w14:textId="77777777" w:rsidR="001D58DD" w:rsidRPr="0002343A" w:rsidRDefault="001D58DD" w:rsidP="001D58DD">
      <w:pPr>
        <w:spacing w:line="360" w:lineRule="auto"/>
        <w:contextualSpacing/>
        <w:jc w:val="both"/>
        <w:rPr>
          <w:rFonts w:ascii="David" w:hAnsi="David"/>
          <w:b/>
          <w:bCs/>
          <w:u w:val="single"/>
          <w:rtl/>
        </w:rPr>
      </w:pPr>
      <w:r w:rsidRPr="0002343A">
        <w:rPr>
          <w:rFonts w:ascii="David" w:hAnsi="David"/>
          <w:b/>
          <w:bCs/>
          <w:u w:val="single"/>
          <w:rtl/>
        </w:rPr>
        <w:t>הסדר הטיעון</w:t>
      </w:r>
    </w:p>
    <w:p w14:paraId="1D663CED" w14:textId="77777777" w:rsidR="001D58DD" w:rsidRPr="0002343A" w:rsidRDefault="001D58DD" w:rsidP="001D58DD">
      <w:pPr>
        <w:spacing w:line="360" w:lineRule="auto"/>
        <w:contextualSpacing/>
        <w:jc w:val="both"/>
        <w:rPr>
          <w:rFonts w:ascii="David" w:hAnsi="David"/>
          <w:b/>
          <w:rtl/>
        </w:rPr>
      </w:pPr>
      <w:r w:rsidRPr="0002343A">
        <w:rPr>
          <w:rFonts w:ascii="David" w:hAnsi="David"/>
          <w:b/>
          <w:bCs/>
          <w:rtl/>
        </w:rPr>
        <w:t xml:space="preserve">3. </w:t>
      </w:r>
      <w:r w:rsidRPr="0002343A">
        <w:rPr>
          <w:rFonts w:ascii="David" w:hAnsi="David"/>
          <w:b/>
          <w:rtl/>
        </w:rPr>
        <w:t>במסגרת ההסדר אשר הציגו ב"כ הצדדים ביום 19/12/18 הוסכם כי הנאשם יודה בעובדות כתבי האישום, כמפורט, יורשע וישלח לקבלת תסקיר שירות מבחן, וכי הצדדים ישובו להידבר לאחר קבלת התסקיר.</w:t>
      </w:r>
    </w:p>
    <w:p w14:paraId="763C07EB" w14:textId="77777777" w:rsidR="001D58DD" w:rsidRPr="0002343A" w:rsidRDefault="001D58DD" w:rsidP="001D58DD">
      <w:pPr>
        <w:spacing w:line="360" w:lineRule="auto"/>
        <w:jc w:val="both"/>
        <w:rPr>
          <w:rFonts w:ascii="David" w:hAnsi="David"/>
          <w:rtl/>
        </w:rPr>
      </w:pPr>
      <w:r w:rsidRPr="0002343A">
        <w:rPr>
          <w:rFonts w:ascii="David" w:hAnsi="David"/>
          <w:rtl/>
        </w:rPr>
        <w:t xml:space="preserve">ב"כ הנאשם עתרה כי שירות המבחן יתייחס לשאלת הארכת המאסר המותנה אשר תלוי ועומד כנגד הנאשם. </w:t>
      </w:r>
    </w:p>
    <w:p w14:paraId="7808A892" w14:textId="77777777" w:rsidR="001D58DD" w:rsidRPr="0002343A" w:rsidRDefault="001D58DD" w:rsidP="001D58DD">
      <w:pPr>
        <w:spacing w:line="360" w:lineRule="auto"/>
        <w:contextualSpacing/>
        <w:jc w:val="both"/>
        <w:rPr>
          <w:rFonts w:ascii="David" w:hAnsi="David"/>
          <w:b/>
          <w:rtl/>
        </w:rPr>
      </w:pPr>
    </w:p>
    <w:p w14:paraId="7F37DFF2" w14:textId="77777777" w:rsidR="001D58DD" w:rsidRPr="0002343A" w:rsidRDefault="001D58DD" w:rsidP="001D58DD">
      <w:pPr>
        <w:spacing w:line="360" w:lineRule="auto"/>
        <w:jc w:val="both"/>
        <w:rPr>
          <w:rFonts w:ascii="David" w:hAnsi="David"/>
          <w:b/>
          <w:bCs/>
          <w:u w:val="single"/>
          <w:rtl/>
        </w:rPr>
      </w:pPr>
      <w:r w:rsidRPr="0002343A">
        <w:rPr>
          <w:rFonts w:ascii="David" w:hAnsi="David"/>
          <w:b/>
          <w:bCs/>
          <w:u w:val="single"/>
          <w:rtl/>
        </w:rPr>
        <w:t xml:space="preserve">שירות המבחן </w:t>
      </w:r>
    </w:p>
    <w:p w14:paraId="1D97514F" w14:textId="77777777" w:rsidR="001D58DD" w:rsidRPr="0002343A" w:rsidRDefault="001D58DD" w:rsidP="001D58DD">
      <w:pPr>
        <w:spacing w:line="360" w:lineRule="auto"/>
        <w:jc w:val="both"/>
        <w:rPr>
          <w:rFonts w:ascii="David" w:hAnsi="David"/>
          <w:rtl/>
        </w:rPr>
      </w:pPr>
      <w:r w:rsidRPr="0002343A">
        <w:rPr>
          <w:rFonts w:ascii="David" w:hAnsi="David"/>
          <w:b/>
          <w:bCs/>
          <w:rtl/>
        </w:rPr>
        <w:t>4</w:t>
      </w:r>
      <w:r w:rsidRPr="0002343A">
        <w:rPr>
          <w:rFonts w:ascii="David" w:hAnsi="David"/>
          <w:rtl/>
        </w:rPr>
        <w:t xml:space="preserve">. מעדכון שירות המבחן מיום 17/06/19 עלה כי מספר ניסיונות ליצור קשר עם הנאשם ולזמנו לפגישה, אף באמצעות באת כוחו - לא צלחו. לאחר מספר חודשים, תואם עם הנאשם מועד נוסף לפגישה, אולם הנאשם לא התייצב אליה ולא יצר קשר. גם ל-3 מועדים של מסירת בדיקות שתן – לא התייצב הנאשם. </w:t>
      </w:r>
    </w:p>
    <w:p w14:paraId="51170A0E" w14:textId="77777777" w:rsidR="001D58DD" w:rsidRPr="0002343A" w:rsidRDefault="001D58DD" w:rsidP="001D58DD">
      <w:pPr>
        <w:spacing w:line="360" w:lineRule="auto"/>
        <w:jc w:val="both"/>
        <w:rPr>
          <w:rFonts w:ascii="David" w:hAnsi="David"/>
          <w:rtl/>
        </w:rPr>
      </w:pPr>
    </w:p>
    <w:p w14:paraId="7BE9AA6D" w14:textId="77777777" w:rsidR="001D58DD" w:rsidRPr="0002343A" w:rsidRDefault="001D58DD" w:rsidP="001D58DD">
      <w:pPr>
        <w:spacing w:line="360" w:lineRule="auto"/>
        <w:jc w:val="both"/>
        <w:rPr>
          <w:rFonts w:ascii="David" w:hAnsi="David"/>
          <w:rtl/>
        </w:rPr>
      </w:pPr>
      <w:r w:rsidRPr="0002343A">
        <w:rPr>
          <w:rFonts w:ascii="David" w:hAnsi="David"/>
          <w:rtl/>
        </w:rPr>
        <w:t xml:space="preserve">מעדכון נוסף מיום 19/09/19 עלה כי גם לפגישה נוספת שתואמה עם הנאשם, לאחר שזה טען כי שכח את מועד הפגישה הקודמת – לא התייצב הנאשם ולא יצר קשר. </w:t>
      </w:r>
    </w:p>
    <w:p w14:paraId="4E3C14A7" w14:textId="77777777" w:rsidR="001D58DD" w:rsidRPr="0002343A" w:rsidRDefault="001D58DD" w:rsidP="001D58DD">
      <w:pPr>
        <w:spacing w:line="360" w:lineRule="auto"/>
        <w:jc w:val="both"/>
        <w:rPr>
          <w:rFonts w:ascii="David" w:hAnsi="David"/>
          <w:rtl/>
        </w:rPr>
      </w:pPr>
      <w:r w:rsidRPr="0002343A">
        <w:rPr>
          <w:rFonts w:ascii="David" w:hAnsi="David"/>
          <w:rtl/>
        </w:rPr>
        <w:t xml:space="preserve">בהמשך טען הנאשם כי בשל בעיה רפואית נבצר ממנו להגיע לפגישה, תואמה עבורו פגישה נוספת, אך גם אליה לא התייצב הנאשם. עוד דיווח כי הנאשם לא התייצב לסדרה של 7 בדיקות שתן לאיתור שרידי סם בין החודשים יוני 2019 ועד לאוגוסט 2019. </w:t>
      </w:r>
    </w:p>
    <w:p w14:paraId="71F12AA6" w14:textId="77777777" w:rsidR="001D58DD" w:rsidRPr="0002343A" w:rsidRDefault="001D58DD" w:rsidP="001D58DD">
      <w:pPr>
        <w:spacing w:line="360" w:lineRule="auto"/>
        <w:jc w:val="both"/>
        <w:rPr>
          <w:rFonts w:ascii="David" w:hAnsi="David"/>
          <w:rtl/>
        </w:rPr>
      </w:pPr>
    </w:p>
    <w:p w14:paraId="4BFE164B" w14:textId="77777777" w:rsidR="001D58DD" w:rsidRPr="0002343A" w:rsidRDefault="001D58DD" w:rsidP="001D58DD">
      <w:pPr>
        <w:spacing w:line="360" w:lineRule="auto"/>
        <w:jc w:val="both"/>
        <w:rPr>
          <w:rFonts w:ascii="David" w:hAnsi="David"/>
          <w:rtl/>
        </w:rPr>
      </w:pPr>
      <w:r w:rsidRPr="0002343A">
        <w:rPr>
          <w:rFonts w:ascii="David" w:hAnsi="David"/>
          <w:rtl/>
        </w:rPr>
        <w:t xml:space="preserve">במועד הדיון אשר התקיים ביום 15/09/19 טענה ב"כ הנאשם כי הנאשם לא התייצב בשל מעורבות בתאונת דרכים, וכי התחייב לשתף פעולה עם שירות המבחן במידה ותינתן לו הזדמנות נוספת. ב"כ המאשימה טענה כי לאור המפורט בתסקירים - יש לטעון לעונש באותו המועד. </w:t>
      </w:r>
    </w:p>
    <w:p w14:paraId="6DAA1BFA" w14:textId="77777777" w:rsidR="001D58DD" w:rsidRPr="0002343A" w:rsidRDefault="001D58DD" w:rsidP="001D58DD">
      <w:pPr>
        <w:spacing w:line="360" w:lineRule="auto"/>
        <w:jc w:val="both"/>
        <w:rPr>
          <w:rFonts w:ascii="David" w:hAnsi="David"/>
          <w:rtl/>
        </w:rPr>
      </w:pPr>
      <w:r w:rsidRPr="0002343A">
        <w:rPr>
          <w:rFonts w:ascii="David" w:hAnsi="David"/>
          <w:rtl/>
        </w:rPr>
        <w:t xml:space="preserve">כיוון שבהיעדר התייצבות נדחה הדיון – הורתי על הפניית הנאשם, פעם נוספת, לשירות המבחן. </w:t>
      </w:r>
    </w:p>
    <w:p w14:paraId="320032C4" w14:textId="77777777" w:rsidR="001D58DD" w:rsidRPr="0002343A" w:rsidRDefault="001D58DD" w:rsidP="001D58DD">
      <w:pPr>
        <w:spacing w:line="360" w:lineRule="auto"/>
        <w:jc w:val="both"/>
        <w:rPr>
          <w:rFonts w:ascii="David" w:hAnsi="David"/>
          <w:rtl/>
        </w:rPr>
      </w:pPr>
    </w:p>
    <w:p w14:paraId="4CA8673D" w14:textId="77777777" w:rsidR="001D58DD" w:rsidRPr="0002343A" w:rsidRDefault="001D58DD" w:rsidP="001D58DD">
      <w:pPr>
        <w:spacing w:line="360" w:lineRule="auto"/>
        <w:jc w:val="both"/>
        <w:rPr>
          <w:rFonts w:ascii="David" w:hAnsi="David"/>
          <w:rtl/>
        </w:rPr>
      </w:pPr>
      <w:r w:rsidRPr="0002343A">
        <w:rPr>
          <w:rFonts w:ascii="David" w:hAnsi="David"/>
          <w:rtl/>
        </w:rPr>
        <w:t>מהעדכון הנוסף מיום 15/12/19 עלה כי ניסיונות נוספים לתאם פגישות עם הנאשם – לא צלחו, והנאשם לא יצר קשר. כמו כן, בשיחה עם באת כוח הנאשם על</w:t>
      </w:r>
      <w:r>
        <w:rPr>
          <w:rFonts w:ascii="David" w:hAnsi="David"/>
          <w:rtl/>
        </w:rPr>
        <w:t>ה כי אף היא לא יכולה לסייע ביצי</w:t>
      </w:r>
      <w:r>
        <w:rPr>
          <w:rFonts w:ascii="David" w:hAnsi="David" w:hint="cs"/>
          <w:rtl/>
        </w:rPr>
        <w:t>ר</w:t>
      </w:r>
      <w:r w:rsidRPr="0002343A">
        <w:rPr>
          <w:rFonts w:ascii="David" w:hAnsi="David"/>
          <w:rtl/>
        </w:rPr>
        <w:t xml:space="preserve">ת </w:t>
      </w:r>
      <w:r w:rsidRPr="0002343A">
        <w:rPr>
          <w:rFonts w:ascii="David" w:hAnsi="David"/>
          <w:rtl/>
        </w:rPr>
        <w:lastRenderedPageBreak/>
        <w:t xml:space="preserve">קשר עמו מאחר והקשר ביניהם נותק. לאור האמור, נשלחו אף 2 זימונים לפגישות בשירות המבחן באמצעות הדואר לכתובתו של הנאשם – אולם הנאשם לא התייצב אף לפגישות אלה. </w:t>
      </w:r>
    </w:p>
    <w:p w14:paraId="738D676C" w14:textId="77777777" w:rsidR="001D58DD" w:rsidRPr="0002343A" w:rsidRDefault="001D58DD" w:rsidP="001D58DD">
      <w:pPr>
        <w:spacing w:line="360" w:lineRule="auto"/>
        <w:jc w:val="both"/>
        <w:rPr>
          <w:rFonts w:ascii="David" w:hAnsi="David"/>
          <w:rtl/>
        </w:rPr>
      </w:pPr>
    </w:p>
    <w:p w14:paraId="12C59964" w14:textId="77777777" w:rsidR="001D58DD" w:rsidRPr="0002343A" w:rsidRDefault="001D58DD" w:rsidP="001D58DD">
      <w:pPr>
        <w:spacing w:line="360" w:lineRule="auto"/>
        <w:jc w:val="both"/>
        <w:rPr>
          <w:rFonts w:ascii="David" w:hAnsi="David"/>
          <w:rtl/>
        </w:rPr>
      </w:pPr>
      <w:r w:rsidRPr="0002343A">
        <w:rPr>
          <w:rFonts w:ascii="David" w:hAnsi="David"/>
          <w:rtl/>
        </w:rPr>
        <w:t xml:space="preserve">במצב דברים זה, הבהיר שירות המבחן כי אין באפשרותו להגיש תסקיר בעניינו של הנאשם. </w:t>
      </w:r>
    </w:p>
    <w:p w14:paraId="419A4E3F" w14:textId="77777777" w:rsidR="001D58DD" w:rsidRPr="0002343A" w:rsidRDefault="001D58DD" w:rsidP="001D58DD">
      <w:pPr>
        <w:spacing w:line="360" w:lineRule="auto"/>
        <w:jc w:val="both"/>
        <w:rPr>
          <w:rFonts w:ascii="David" w:hAnsi="David"/>
          <w:rtl/>
        </w:rPr>
      </w:pPr>
    </w:p>
    <w:p w14:paraId="57B89436" w14:textId="77777777" w:rsidR="001D58DD" w:rsidRPr="0002343A" w:rsidRDefault="001D58DD" w:rsidP="001D58DD">
      <w:pPr>
        <w:spacing w:line="360" w:lineRule="auto"/>
        <w:contextualSpacing/>
        <w:jc w:val="both"/>
        <w:rPr>
          <w:rFonts w:ascii="David" w:hAnsi="David"/>
          <w:rtl/>
        </w:rPr>
      </w:pPr>
      <w:r w:rsidRPr="0002343A">
        <w:rPr>
          <w:rFonts w:ascii="David" w:hAnsi="David"/>
          <w:b/>
          <w:bCs/>
          <w:rtl/>
        </w:rPr>
        <w:t>5.</w:t>
      </w:r>
      <w:r w:rsidRPr="0002343A">
        <w:rPr>
          <w:rFonts w:ascii="David" w:hAnsi="David"/>
          <w:rtl/>
        </w:rPr>
        <w:t xml:space="preserve"> בהמשך למתואר, הנאשם לא התייצב ל-8 דיונים אשר נקבעו בעניינו במהלך החודשים ספטמבר 2019 – אוקטובר 2021, למעט דיון 1 אליו התייצב בחודש פברואר 2020, מטעמים שונים, חלקם מוצדקים, ואף הוצאו כנגדו צווי הבאה. לאחר שהאחרון מביניהם לא בוצע - הותלו ההליכים כנגדו ביום 20/10/21. </w:t>
      </w:r>
    </w:p>
    <w:p w14:paraId="5F1AC6D7" w14:textId="77777777" w:rsidR="001D58DD" w:rsidRPr="0002343A" w:rsidRDefault="001D58DD" w:rsidP="001D58DD">
      <w:pPr>
        <w:spacing w:line="360" w:lineRule="auto"/>
        <w:contextualSpacing/>
        <w:jc w:val="both"/>
        <w:rPr>
          <w:rFonts w:ascii="David" w:hAnsi="David"/>
          <w:rtl/>
        </w:rPr>
      </w:pPr>
    </w:p>
    <w:p w14:paraId="214AFD2D" w14:textId="77777777" w:rsidR="001D58DD" w:rsidRPr="0002343A" w:rsidRDefault="001D58DD" w:rsidP="001D58DD">
      <w:pPr>
        <w:spacing w:line="360" w:lineRule="auto"/>
        <w:contextualSpacing/>
        <w:jc w:val="both"/>
        <w:rPr>
          <w:rFonts w:ascii="David" w:hAnsi="David"/>
          <w:rtl/>
        </w:rPr>
      </w:pPr>
      <w:r w:rsidRPr="0002343A">
        <w:rPr>
          <w:rFonts w:ascii="David" w:hAnsi="David"/>
          <w:rtl/>
        </w:rPr>
        <w:t xml:space="preserve">לאחר איתור הנאשם, התקיים דיון בעניינו ביום 09/01/22. </w:t>
      </w:r>
    </w:p>
    <w:p w14:paraId="54DF5D5F" w14:textId="77777777" w:rsidR="001D58DD" w:rsidRPr="0002343A" w:rsidRDefault="001D58DD" w:rsidP="001D58DD">
      <w:pPr>
        <w:spacing w:line="360" w:lineRule="auto"/>
        <w:contextualSpacing/>
        <w:jc w:val="both"/>
        <w:rPr>
          <w:rFonts w:ascii="David" w:hAnsi="David"/>
          <w:rtl/>
        </w:rPr>
      </w:pPr>
      <w:r w:rsidRPr="0002343A">
        <w:rPr>
          <w:rFonts w:ascii="David" w:hAnsi="David"/>
          <w:rtl/>
        </w:rPr>
        <w:t xml:space="preserve">במועד זה טען הנאשם כי לאחר מות אביו, לפני כשנה, נכנס לחובות והיה חסר כל, ומשכך עתרה באת כוחו ליתן לו הזדמנות נוספת להתייצב אצל הממונה ובשירות המבחן. </w:t>
      </w:r>
    </w:p>
    <w:p w14:paraId="180DDDEE" w14:textId="77777777" w:rsidR="001D58DD" w:rsidRPr="0002343A" w:rsidRDefault="001D58DD" w:rsidP="001D58DD">
      <w:pPr>
        <w:spacing w:line="360" w:lineRule="auto"/>
        <w:contextualSpacing/>
        <w:jc w:val="both"/>
        <w:rPr>
          <w:rFonts w:ascii="David" w:hAnsi="David"/>
          <w:b/>
          <w:rtl/>
        </w:rPr>
      </w:pPr>
      <w:r w:rsidRPr="0002343A">
        <w:rPr>
          <w:rFonts w:ascii="David" w:hAnsi="David"/>
          <w:rtl/>
        </w:rPr>
        <w:t xml:space="preserve">במועד זה הבהרתי כי </w:t>
      </w:r>
      <w:r w:rsidRPr="0002343A">
        <w:rPr>
          <w:rFonts w:ascii="David" w:hAnsi="David"/>
          <w:b/>
          <w:rtl/>
        </w:rPr>
        <w:t>התסקירים שהוגשו בעניינו של הנאשם קדמו למות אביו, ומשכך מצבו לאחר מכן איננו רלוונטי להיעדר שיתוף הפעולה של הנאשם עם גורמי הטיפול.</w:t>
      </w:r>
      <w:r w:rsidRPr="0002343A">
        <w:rPr>
          <w:rFonts w:ascii="David" w:hAnsi="David"/>
          <w:rtl/>
        </w:rPr>
        <w:t xml:space="preserve"> </w:t>
      </w:r>
    </w:p>
    <w:p w14:paraId="6707B3D3" w14:textId="77777777" w:rsidR="001D58DD" w:rsidRPr="0002343A" w:rsidRDefault="001D58DD" w:rsidP="001D58DD">
      <w:pPr>
        <w:spacing w:line="360" w:lineRule="auto"/>
        <w:contextualSpacing/>
        <w:rPr>
          <w:rFonts w:ascii="David" w:hAnsi="David"/>
          <w:b/>
          <w:rtl/>
        </w:rPr>
      </w:pPr>
      <w:r w:rsidRPr="0002343A">
        <w:rPr>
          <w:rFonts w:ascii="David" w:hAnsi="David"/>
          <w:b/>
          <w:rtl/>
        </w:rPr>
        <w:t xml:space="preserve">לאור המפורט לעיל, טיעוני הצדדים נשמעו באותו המועד. </w:t>
      </w:r>
    </w:p>
    <w:p w14:paraId="2D8A809E" w14:textId="77777777" w:rsidR="001D58DD" w:rsidRPr="0002343A" w:rsidRDefault="001D58DD" w:rsidP="001D58DD">
      <w:pPr>
        <w:spacing w:line="360" w:lineRule="auto"/>
        <w:contextualSpacing/>
        <w:jc w:val="both"/>
        <w:rPr>
          <w:rFonts w:ascii="David" w:hAnsi="David"/>
          <w:b/>
          <w:rtl/>
        </w:rPr>
      </w:pPr>
    </w:p>
    <w:p w14:paraId="3574F482" w14:textId="77777777" w:rsidR="001D58DD" w:rsidRPr="0002343A" w:rsidRDefault="001D58DD" w:rsidP="001D58DD">
      <w:pPr>
        <w:spacing w:line="360" w:lineRule="auto"/>
        <w:contextualSpacing/>
        <w:jc w:val="both"/>
        <w:rPr>
          <w:rFonts w:ascii="David" w:hAnsi="David"/>
          <w:bCs/>
          <w:u w:val="single"/>
          <w:rtl/>
        </w:rPr>
      </w:pPr>
      <w:r w:rsidRPr="0002343A">
        <w:rPr>
          <w:rFonts w:ascii="David" w:hAnsi="David"/>
          <w:bCs/>
          <w:u w:val="single"/>
          <w:rtl/>
        </w:rPr>
        <w:t>טיעוני הצדדים</w:t>
      </w:r>
    </w:p>
    <w:p w14:paraId="62D4E129" w14:textId="77777777" w:rsidR="001D58DD" w:rsidRPr="0002343A" w:rsidRDefault="001D58DD" w:rsidP="001D58DD">
      <w:pPr>
        <w:spacing w:line="360" w:lineRule="auto"/>
        <w:contextualSpacing/>
        <w:jc w:val="both"/>
        <w:rPr>
          <w:rFonts w:ascii="David" w:hAnsi="David"/>
          <w:b/>
          <w:rtl/>
        </w:rPr>
      </w:pPr>
      <w:r w:rsidRPr="0002343A">
        <w:rPr>
          <w:rFonts w:ascii="David" w:hAnsi="David"/>
          <w:b/>
          <w:bCs/>
          <w:rtl/>
        </w:rPr>
        <w:t>6.</w:t>
      </w:r>
      <w:r w:rsidRPr="0002343A">
        <w:rPr>
          <w:rFonts w:ascii="David" w:hAnsi="David"/>
          <w:b/>
          <w:rtl/>
        </w:rPr>
        <w:t xml:space="preserve"> ב"כ המאשימה טענה למתחם ענישה הנע בין מספר חודשי מאסר מותנה ועד למספר חודשי מאסר בפועל אשר יכול וירוצו בעבודות שירות. </w:t>
      </w:r>
    </w:p>
    <w:p w14:paraId="1BCEDC1B"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ב"כ המאשימה הפנתה בטיעוניה לערכים המוגנים אשר נפגעו כתוצאה מביצוע העבירות, לחומרתן ולצורך בענישה מחמירה בגין ביצוען.</w:t>
      </w:r>
    </w:p>
    <w:p w14:paraId="69DEB519" w14:textId="77777777" w:rsidR="001D58DD" w:rsidRPr="0002343A" w:rsidRDefault="001D58DD" w:rsidP="001D58DD">
      <w:pPr>
        <w:spacing w:line="360" w:lineRule="auto"/>
        <w:contextualSpacing/>
        <w:jc w:val="both"/>
        <w:rPr>
          <w:rFonts w:ascii="David" w:hAnsi="David"/>
          <w:b/>
          <w:rtl/>
        </w:rPr>
      </w:pPr>
    </w:p>
    <w:p w14:paraId="1FD67041"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 xml:space="preserve">בתוככי המתחם עתרה ב"כ המאשימה להטיל על הנאשם ענישה ברף הבינוני של המתחם, לצד הפעלת המאסר המותנה אשר תלוי ועומד כנגדו, במצטבר, ולהטלת קנס, פסילת רישיון בפועל ועל תנאי, והתחייבות, וכן הפעלת ההתחייבות עליה חתם. </w:t>
      </w:r>
    </w:p>
    <w:p w14:paraId="009D1DDF" w14:textId="77777777" w:rsidR="001D58DD" w:rsidRPr="0002343A" w:rsidRDefault="001D58DD" w:rsidP="001D58DD">
      <w:pPr>
        <w:spacing w:line="360" w:lineRule="auto"/>
        <w:contextualSpacing/>
        <w:jc w:val="both"/>
        <w:rPr>
          <w:rFonts w:ascii="David" w:hAnsi="David"/>
          <w:b/>
          <w:rtl/>
        </w:rPr>
      </w:pPr>
    </w:p>
    <w:p w14:paraId="268FA697" w14:textId="77777777" w:rsidR="001D58DD" w:rsidRPr="0002343A" w:rsidRDefault="001D58DD" w:rsidP="001D58DD">
      <w:pPr>
        <w:spacing w:line="360" w:lineRule="auto"/>
        <w:contextualSpacing/>
        <w:jc w:val="both"/>
        <w:rPr>
          <w:rFonts w:ascii="David" w:hAnsi="David"/>
          <w:b/>
          <w:rtl/>
        </w:rPr>
      </w:pPr>
      <w:r>
        <w:rPr>
          <w:rFonts w:ascii="David" w:hAnsi="David" w:hint="cs"/>
          <w:b/>
          <w:rtl/>
        </w:rPr>
        <w:t xml:space="preserve">בטיעוניה הפנתה </w:t>
      </w:r>
      <w:r w:rsidRPr="0002343A">
        <w:rPr>
          <w:rFonts w:ascii="David" w:hAnsi="David"/>
          <w:b/>
          <w:rtl/>
        </w:rPr>
        <w:t>לעברו הפלילי של הנאשם, ולעובדה כי ביצע את העבירה השנייה כשתלויים ועומדים כנגדו מאסר מותנה והתחייבות, וכן בהיעדר שיתוף פעולה עם שירות המבחן ועם המ</w:t>
      </w:r>
      <w:r>
        <w:rPr>
          <w:rFonts w:ascii="David" w:hAnsi="David" w:hint="cs"/>
          <w:b/>
          <w:rtl/>
        </w:rPr>
        <w:t>מ</w:t>
      </w:r>
      <w:r w:rsidRPr="0002343A">
        <w:rPr>
          <w:rFonts w:ascii="David" w:hAnsi="David"/>
          <w:b/>
          <w:rtl/>
        </w:rPr>
        <w:t xml:space="preserve">ונה על עבודות השירות. </w:t>
      </w:r>
    </w:p>
    <w:p w14:paraId="6FF6B9A2" w14:textId="77777777" w:rsidR="001D58DD" w:rsidRPr="0002343A" w:rsidRDefault="001D58DD" w:rsidP="001D58DD">
      <w:pPr>
        <w:spacing w:line="360" w:lineRule="auto"/>
        <w:contextualSpacing/>
        <w:jc w:val="both"/>
        <w:rPr>
          <w:rFonts w:ascii="David" w:hAnsi="David"/>
          <w:b/>
          <w:rtl/>
        </w:rPr>
      </w:pPr>
    </w:p>
    <w:p w14:paraId="673C6BD4"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 xml:space="preserve">ב"כ המאשימה הגישה גיליון רישום פלילי של הנאשם </w:t>
      </w:r>
      <w:r w:rsidRPr="0002343A">
        <w:rPr>
          <w:rFonts w:ascii="David" w:hAnsi="David"/>
          <w:bCs/>
          <w:rtl/>
        </w:rPr>
        <w:t>(ת/1)</w:t>
      </w:r>
      <w:r w:rsidRPr="0002343A">
        <w:rPr>
          <w:rFonts w:ascii="David" w:hAnsi="David"/>
          <w:b/>
          <w:rtl/>
        </w:rPr>
        <w:t xml:space="preserve">, מאסר מותנה אשר ניתן בעניינו במסגרת </w:t>
      </w:r>
      <w:hyperlink r:id="rId21" w:history="1">
        <w:r w:rsidR="005D28F4" w:rsidRPr="005D28F4">
          <w:rPr>
            <w:rFonts w:ascii="David" w:hAnsi="David"/>
            <w:bCs/>
            <w:color w:val="0000FF"/>
            <w:u w:val="single"/>
            <w:rtl/>
          </w:rPr>
          <w:t>ת"פ 51131-08-17</w:t>
        </w:r>
      </w:hyperlink>
      <w:r w:rsidRPr="0002343A">
        <w:rPr>
          <w:rFonts w:ascii="David" w:hAnsi="David"/>
          <w:b/>
          <w:rtl/>
        </w:rPr>
        <w:t xml:space="preserve"> </w:t>
      </w:r>
      <w:r w:rsidRPr="0002343A">
        <w:rPr>
          <w:rFonts w:ascii="David" w:hAnsi="David"/>
          <w:bCs/>
          <w:rtl/>
        </w:rPr>
        <w:t>(ת/2)</w:t>
      </w:r>
      <w:r w:rsidRPr="0002343A">
        <w:rPr>
          <w:rFonts w:ascii="David" w:hAnsi="David"/>
          <w:b/>
          <w:rtl/>
        </w:rPr>
        <w:t xml:space="preserve"> והתחייבות עליה חתם ביום 10/04/18 במסגרת אותו תיק </w:t>
      </w:r>
      <w:r w:rsidRPr="0002343A">
        <w:rPr>
          <w:rFonts w:ascii="David" w:hAnsi="David"/>
          <w:bCs/>
          <w:rtl/>
        </w:rPr>
        <w:t xml:space="preserve">(ת/3). </w:t>
      </w:r>
    </w:p>
    <w:p w14:paraId="1401A2DF" w14:textId="77777777" w:rsidR="001D58DD" w:rsidRPr="0002343A" w:rsidRDefault="001D58DD" w:rsidP="001D58DD">
      <w:pPr>
        <w:spacing w:line="360" w:lineRule="auto"/>
        <w:contextualSpacing/>
        <w:jc w:val="both"/>
        <w:rPr>
          <w:rFonts w:ascii="David" w:hAnsi="David"/>
          <w:b/>
          <w:rtl/>
        </w:rPr>
      </w:pPr>
    </w:p>
    <w:p w14:paraId="1DD20C59" w14:textId="77777777" w:rsidR="001D58DD" w:rsidRPr="0002343A" w:rsidRDefault="001D58DD" w:rsidP="001D58DD">
      <w:pPr>
        <w:spacing w:line="360" w:lineRule="auto"/>
        <w:contextualSpacing/>
        <w:jc w:val="both"/>
        <w:rPr>
          <w:rFonts w:ascii="David" w:hAnsi="David"/>
          <w:b/>
          <w:rtl/>
        </w:rPr>
      </w:pPr>
      <w:r w:rsidRPr="0002343A">
        <w:rPr>
          <w:rFonts w:ascii="David" w:hAnsi="David"/>
          <w:b/>
          <w:bCs/>
          <w:rtl/>
        </w:rPr>
        <w:t xml:space="preserve">7. </w:t>
      </w:r>
      <w:r w:rsidRPr="0002343A">
        <w:rPr>
          <w:rFonts w:ascii="David" w:hAnsi="David"/>
          <w:b/>
          <w:rtl/>
        </w:rPr>
        <w:t xml:space="preserve">ב"כ הנאשם טענה כי בתיקים מסוג זה מוטלים בדרך כלל עונשי מאסר מותנה, ומשכך עתרה לעשות כן גם בתיק זה, ולהורות על הארכת המאסר המותנה אשר תלוי ועומד כנגד הנאשם, וזאת על אף היעדר תסקיר אשר ממליץ כאמור. </w:t>
      </w:r>
    </w:p>
    <w:p w14:paraId="1E3062D0" w14:textId="77777777" w:rsidR="001D58DD" w:rsidRPr="0002343A" w:rsidRDefault="001D58DD" w:rsidP="001D58DD">
      <w:pPr>
        <w:spacing w:line="360" w:lineRule="auto"/>
        <w:contextualSpacing/>
        <w:jc w:val="both"/>
        <w:rPr>
          <w:rFonts w:ascii="David" w:hAnsi="David"/>
          <w:b/>
          <w:rtl/>
        </w:rPr>
      </w:pPr>
    </w:p>
    <w:p w14:paraId="414B8D0B"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 xml:space="preserve">ב"כ הנאשם נימקה עתירתה במצבו של הנאשם, בייחוד בשנה האחרונה, כאמור לעיל, להיותו אב ל-3 ילדים, וכן בשים לה לכמות הסמים וסוגם. עוד הפנתה לזמן הרב שחלף מביצוע העבירות ועד כה, וכן לכך שממועד זה ועד היום לא נפתחו כנגד הנאשם תיקים נוספים. </w:t>
      </w:r>
    </w:p>
    <w:p w14:paraId="0A6EC3C7" w14:textId="77777777" w:rsidR="001D58DD" w:rsidRPr="0002343A" w:rsidRDefault="001D58DD" w:rsidP="001D58DD">
      <w:pPr>
        <w:spacing w:line="360" w:lineRule="auto"/>
        <w:contextualSpacing/>
        <w:jc w:val="both"/>
        <w:rPr>
          <w:rFonts w:ascii="David" w:hAnsi="David"/>
          <w:b/>
          <w:rtl/>
        </w:rPr>
      </w:pPr>
    </w:p>
    <w:p w14:paraId="56596888"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 xml:space="preserve">לחילופין, עתרה כי במידה ובית המשפט סבור כי יש מקום להחלת התנאי – יופנה הנאשם פעם נוספת לממונה על עבודות השירות לצורך בחינת התאמתו לריצוי המאסר בעבודות שירות. </w:t>
      </w:r>
    </w:p>
    <w:p w14:paraId="3F0C0EEF" w14:textId="77777777" w:rsidR="001D58DD" w:rsidRPr="0002343A" w:rsidRDefault="001D58DD" w:rsidP="001D58DD">
      <w:pPr>
        <w:spacing w:line="360" w:lineRule="auto"/>
        <w:contextualSpacing/>
        <w:jc w:val="both"/>
        <w:rPr>
          <w:rFonts w:ascii="David" w:hAnsi="David"/>
          <w:b/>
          <w:rtl/>
        </w:rPr>
      </w:pPr>
    </w:p>
    <w:p w14:paraId="4CA5C562" w14:textId="77777777" w:rsidR="001D58DD" w:rsidRPr="0002343A" w:rsidRDefault="001D58DD" w:rsidP="001D58DD">
      <w:pPr>
        <w:spacing w:line="360" w:lineRule="auto"/>
        <w:contextualSpacing/>
        <w:jc w:val="both"/>
        <w:rPr>
          <w:rFonts w:ascii="David" w:hAnsi="David"/>
          <w:b/>
          <w:rtl/>
        </w:rPr>
      </w:pPr>
      <w:r w:rsidRPr="0002343A">
        <w:rPr>
          <w:rFonts w:ascii="David" w:hAnsi="David"/>
          <w:b/>
          <w:bCs/>
          <w:rtl/>
        </w:rPr>
        <w:t xml:space="preserve">8. </w:t>
      </w:r>
      <w:r w:rsidRPr="0002343A">
        <w:rPr>
          <w:rFonts w:ascii="David" w:hAnsi="David"/>
          <w:b/>
          <w:rtl/>
        </w:rPr>
        <w:t xml:space="preserve">במועד זה טען הנאשם כי השתלב בתעסוקה בשיפוצים, קיבל דירה מעמיגור, וכיום דואג לילדיו ומנהל את ביתו בצורה תקינה, וטען כי לא מעוניין לקטוע את האמור וכי 'אין לו בעיה' לבצע עבודות שירות ככל שאלה יוטלו עליו. </w:t>
      </w:r>
    </w:p>
    <w:p w14:paraId="0E922349" w14:textId="77777777" w:rsidR="001D58DD" w:rsidRPr="0002343A" w:rsidRDefault="001D58DD" w:rsidP="001D58DD">
      <w:pPr>
        <w:spacing w:line="360" w:lineRule="auto"/>
        <w:contextualSpacing/>
        <w:jc w:val="both"/>
        <w:rPr>
          <w:rFonts w:ascii="David" w:hAnsi="David"/>
          <w:b/>
          <w:rtl/>
        </w:rPr>
      </w:pPr>
    </w:p>
    <w:p w14:paraId="17606377" w14:textId="77777777" w:rsidR="001D58DD" w:rsidRDefault="001D58DD" w:rsidP="001D58DD">
      <w:pPr>
        <w:spacing w:line="360" w:lineRule="auto"/>
        <w:contextualSpacing/>
        <w:jc w:val="both"/>
        <w:rPr>
          <w:rFonts w:ascii="David" w:hAnsi="David"/>
          <w:b/>
          <w:rtl/>
        </w:rPr>
      </w:pPr>
      <w:r w:rsidRPr="0002343A">
        <w:rPr>
          <w:rFonts w:ascii="David" w:hAnsi="David"/>
          <w:bCs/>
          <w:rtl/>
        </w:rPr>
        <w:t xml:space="preserve">9. </w:t>
      </w:r>
      <w:r w:rsidRPr="0002343A">
        <w:rPr>
          <w:rFonts w:ascii="David" w:hAnsi="David"/>
          <w:b/>
          <w:rtl/>
        </w:rPr>
        <w:t xml:space="preserve">כבר במועד הטיעונים לעונש ציינתי כי לאור חוסר שיתוף הפעולה עם שירות המבחן והיעדר  התייצבות אצל הממונה על עבודות השירות, בשים לב למתחמי ענישה המקובלים לעבירות מסוג זה, עברו הפלילי של הנאשם ומאסר על תנאי שלא הרתיעו - יש להטיל ענישה ברף הבינוני של המתחם, </w:t>
      </w:r>
      <w:r>
        <w:rPr>
          <w:rFonts w:ascii="David" w:hAnsi="David" w:hint="cs"/>
          <w:b/>
          <w:rtl/>
        </w:rPr>
        <w:t>דבר שעשוי להוביל</w:t>
      </w:r>
      <w:r w:rsidRPr="0002343A">
        <w:rPr>
          <w:rFonts w:ascii="David" w:hAnsi="David"/>
          <w:b/>
          <w:rtl/>
        </w:rPr>
        <w:t xml:space="preserve"> להפעלת המאסר המותנה.</w:t>
      </w:r>
      <w:r>
        <w:rPr>
          <w:rFonts w:ascii="David" w:hAnsi="David" w:hint="cs"/>
          <w:b/>
          <w:rtl/>
        </w:rPr>
        <w:t xml:space="preserve"> </w:t>
      </w:r>
    </w:p>
    <w:p w14:paraId="67D48BB1" w14:textId="77777777" w:rsidR="001D58DD" w:rsidRPr="0002343A" w:rsidRDefault="001D58DD" w:rsidP="001D58DD">
      <w:pPr>
        <w:spacing w:line="360" w:lineRule="auto"/>
        <w:contextualSpacing/>
        <w:jc w:val="both"/>
        <w:rPr>
          <w:rFonts w:ascii="David" w:hAnsi="David"/>
          <w:b/>
          <w:rtl/>
        </w:rPr>
      </w:pPr>
    </w:p>
    <w:p w14:paraId="5FFFFFBB" w14:textId="77777777" w:rsidR="001D58DD" w:rsidRPr="0002343A" w:rsidRDefault="001D58DD" w:rsidP="001D58DD">
      <w:pPr>
        <w:spacing w:line="360" w:lineRule="auto"/>
        <w:contextualSpacing/>
        <w:jc w:val="both"/>
        <w:rPr>
          <w:rFonts w:ascii="David" w:hAnsi="David"/>
          <w:b/>
          <w:rtl/>
        </w:rPr>
      </w:pPr>
      <w:r w:rsidRPr="0002343A">
        <w:rPr>
          <w:rFonts w:ascii="David" w:hAnsi="David"/>
          <w:b/>
          <w:rtl/>
        </w:rPr>
        <w:t xml:space="preserve">על אף האמור, כיוון שמדובר באירועים ישנם ומאז 2018 לא הורשע הנאשם בעבירות נוספות – קבעתי כי לא יהא זה מידתי לשלוח </w:t>
      </w:r>
      <w:r>
        <w:rPr>
          <w:rFonts w:ascii="David" w:hAnsi="David"/>
          <w:b/>
          <w:rtl/>
        </w:rPr>
        <w:t xml:space="preserve">את הנאשם מאחורי סורג ובריח </w:t>
      </w:r>
      <w:r>
        <w:rPr>
          <w:rFonts w:ascii="David" w:hAnsi="David" w:hint="cs"/>
          <w:b/>
          <w:rtl/>
        </w:rPr>
        <w:t xml:space="preserve">והפניתי את הנאשם פעם נוספת לקבלת חוות דעתו של הממונה. </w:t>
      </w:r>
    </w:p>
    <w:p w14:paraId="7B02A17D" w14:textId="77777777" w:rsidR="001D58DD" w:rsidRDefault="001D58DD" w:rsidP="001D58DD">
      <w:pPr>
        <w:spacing w:line="360" w:lineRule="auto"/>
        <w:contextualSpacing/>
        <w:jc w:val="both"/>
        <w:rPr>
          <w:rFonts w:ascii="David" w:hAnsi="David"/>
          <w:b/>
          <w:rtl/>
        </w:rPr>
      </w:pPr>
    </w:p>
    <w:p w14:paraId="2EFA4294" w14:textId="77777777" w:rsidR="001D58DD" w:rsidRPr="0002343A" w:rsidRDefault="001D58DD" w:rsidP="001D58DD">
      <w:pPr>
        <w:spacing w:line="360" w:lineRule="auto"/>
        <w:jc w:val="both"/>
        <w:rPr>
          <w:rFonts w:ascii="David" w:hAnsi="David"/>
          <w:b/>
          <w:bCs/>
          <w:u w:val="single"/>
          <w:rtl/>
        </w:rPr>
      </w:pPr>
      <w:r w:rsidRPr="0002343A">
        <w:rPr>
          <w:rFonts w:ascii="David" w:hAnsi="David"/>
          <w:b/>
          <w:bCs/>
          <w:u w:val="single"/>
          <w:rtl/>
        </w:rPr>
        <w:t>קביעת מתחם העונש ההולם</w:t>
      </w:r>
    </w:p>
    <w:p w14:paraId="51D8FF82" w14:textId="77777777" w:rsidR="001D58DD" w:rsidRPr="0002343A" w:rsidRDefault="001D58DD" w:rsidP="001D58DD">
      <w:pPr>
        <w:spacing w:line="360" w:lineRule="auto"/>
        <w:jc w:val="both"/>
        <w:rPr>
          <w:rFonts w:ascii="David" w:hAnsi="David"/>
          <w:rtl/>
        </w:rPr>
      </w:pPr>
      <w:r w:rsidRPr="0002343A">
        <w:rPr>
          <w:rFonts w:ascii="David" w:hAnsi="David"/>
          <w:b/>
          <w:bCs/>
          <w:rtl/>
        </w:rPr>
        <w:t>10.</w:t>
      </w:r>
      <w:r w:rsidRPr="0002343A">
        <w:rPr>
          <w:rFonts w:ascii="David" w:hAnsi="David"/>
          <w:rtl/>
        </w:rPr>
        <w:t xml:space="preserve"> </w:t>
      </w:r>
      <w:r w:rsidRPr="0002343A">
        <w:rPr>
          <w:rFonts w:ascii="David" w:hAnsi="David"/>
          <w:b/>
          <w:bCs/>
          <w:rtl/>
        </w:rPr>
        <w:t>תיקון 113 ל</w:t>
      </w:r>
      <w:hyperlink r:id="rId22" w:history="1">
        <w:r w:rsidR="005D28F4" w:rsidRPr="005D28F4">
          <w:rPr>
            <w:rFonts w:ascii="David" w:hAnsi="David"/>
            <w:b/>
            <w:bCs/>
            <w:color w:val="0000FF"/>
            <w:u w:val="single"/>
            <w:rtl/>
          </w:rPr>
          <w:t>חוק העונשין</w:t>
        </w:r>
      </w:hyperlink>
      <w:r w:rsidRPr="0002343A">
        <w:rPr>
          <w:rFonts w:ascii="David" w:hAnsi="David"/>
          <w:b/>
          <w:bCs/>
          <w:rtl/>
        </w:rPr>
        <w:t xml:space="preserve"> </w:t>
      </w:r>
      <w:r w:rsidRPr="0002343A">
        <w:rPr>
          <w:rFonts w:ascii="David" w:hAnsi="David"/>
          <w:rtl/>
        </w:rPr>
        <w:t>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במידה ונקבע כי אין מקום לחורג ממתחם העונש, ייגזר העונש הראוי בתוככי המתחם שנקבע, בהתחשב בנסיבות שאינן קשורות לביצוע העבירה.</w:t>
      </w:r>
    </w:p>
    <w:p w14:paraId="0CCEEC9B" w14:textId="77777777" w:rsidR="001D58DD" w:rsidRPr="0002343A" w:rsidRDefault="001D58DD" w:rsidP="001D58DD">
      <w:pPr>
        <w:spacing w:line="360" w:lineRule="auto"/>
        <w:rPr>
          <w:rFonts w:ascii="David" w:hAnsi="David"/>
          <w:rtl/>
        </w:rPr>
      </w:pPr>
    </w:p>
    <w:p w14:paraId="7957A9A2" w14:textId="77777777" w:rsidR="001D58DD" w:rsidRPr="0002343A" w:rsidRDefault="001D58DD" w:rsidP="001D58DD">
      <w:pPr>
        <w:spacing w:line="360" w:lineRule="auto"/>
        <w:rPr>
          <w:rFonts w:ascii="David" w:hAnsi="David"/>
          <w:rtl/>
        </w:rPr>
      </w:pPr>
      <w:r w:rsidRPr="0002343A">
        <w:rPr>
          <w:rFonts w:ascii="David" w:hAnsi="David"/>
          <w:b/>
          <w:bCs/>
          <w:rtl/>
        </w:rPr>
        <w:t>11</w:t>
      </w:r>
      <w:r w:rsidRPr="0002343A">
        <w:rPr>
          <w:rFonts w:ascii="David" w:hAnsi="David"/>
          <w:rtl/>
        </w:rPr>
        <w:t xml:space="preserve">. במקרה זה מדובר </w:t>
      </w:r>
      <w:r w:rsidRPr="0002343A">
        <w:rPr>
          <w:rFonts w:ascii="David" w:hAnsi="David"/>
          <w:b/>
          <w:bCs/>
          <w:rtl/>
        </w:rPr>
        <w:t>בשני אירועים</w:t>
      </w:r>
      <w:r w:rsidRPr="0002343A">
        <w:rPr>
          <w:rFonts w:ascii="David" w:hAnsi="David"/>
          <w:rtl/>
        </w:rPr>
        <w:t xml:space="preserve"> אשר בגינם ניתן לקבוע מתחמי עונש הולם דומים. </w:t>
      </w:r>
    </w:p>
    <w:p w14:paraId="331395F3" w14:textId="77777777" w:rsidR="001D58DD" w:rsidRPr="0002343A" w:rsidRDefault="001D58DD" w:rsidP="001D58DD">
      <w:pPr>
        <w:spacing w:line="360" w:lineRule="auto"/>
        <w:rPr>
          <w:rFonts w:ascii="David" w:hAnsi="David"/>
          <w:rtl/>
        </w:rPr>
      </w:pPr>
    </w:p>
    <w:p w14:paraId="116C6CE9" w14:textId="77777777" w:rsidR="001D58DD" w:rsidRPr="0002343A" w:rsidRDefault="001D58DD" w:rsidP="001D58DD">
      <w:pPr>
        <w:spacing w:line="360" w:lineRule="auto"/>
        <w:jc w:val="both"/>
        <w:rPr>
          <w:rFonts w:ascii="David" w:hAnsi="David"/>
          <w:rtl/>
        </w:rPr>
      </w:pPr>
      <w:r w:rsidRPr="0002343A">
        <w:rPr>
          <w:rFonts w:ascii="David" w:hAnsi="David"/>
          <w:b/>
          <w:bCs/>
          <w:rtl/>
        </w:rPr>
        <w:t>12</w:t>
      </w:r>
      <w:r w:rsidRPr="0002343A">
        <w:rPr>
          <w:rFonts w:ascii="David" w:hAnsi="David"/>
          <w:rtl/>
        </w:rPr>
        <w:t>. קביעת מתחם העונש ההולם למעשה העבירה נעשית בהתאם ל</w:t>
      </w:r>
      <w:r w:rsidRPr="0002343A">
        <w:rPr>
          <w:rFonts w:ascii="David" w:hAnsi="David"/>
          <w:b/>
          <w:bCs/>
          <w:rtl/>
        </w:rPr>
        <w:t>עקרון ההלימה</w:t>
      </w:r>
      <w:r w:rsidRPr="0002343A">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079AF420" w14:textId="77777777" w:rsidR="001D58DD" w:rsidRPr="0002343A" w:rsidRDefault="001D58DD" w:rsidP="001D58DD">
      <w:pPr>
        <w:spacing w:line="360" w:lineRule="auto"/>
        <w:jc w:val="both"/>
        <w:rPr>
          <w:rFonts w:ascii="David" w:hAnsi="David"/>
          <w:rtl/>
        </w:rPr>
      </w:pPr>
    </w:p>
    <w:p w14:paraId="5E941C0E" w14:textId="77777777" w:rsidR="001D58DD" w:rsidRPr="0002343A" w:rsidRDefault="001D58DD" w:rsidP="001D58DD">
      <w:pPr>
        <w:spacing w:line="360" w:lineRule="auto"/>
        <w:jc w:val="both"/>
        <w:rPr>
          <w:rFonts w:ascii="David" w:hAnsi="David"/>
          <w:rtl/>
        </w:rPr>
      </w:pPr>
      <w:r w:rsidRPr="0002343A">
        <w:rPr>
          <w:rFonts w:ascii="David" w:hAnsi="David"/>
          <w:b/>
          <w:bCs/>
          <w:rtl/>
        </w:rPr>
        <w:t>13</w:t>
      </w:r>
      <w:r w:rsidRPr="0002343A">
        <w:rPr>
          <w:rFonts w:ascii="David" w:hAnsi="David"/>
          <w:rtl/>
        </w:rPr>
        <w:t xml:space="preserve">. במקרה דנן, </w:t>
      </w:r>
      <w:r w:rsidRPr="0002343A">
        <w:rPr>
          <w:rFonts w:ascii="David" w:hAnsi="David"/>
          <w:b/>
          <w:bCs/>
          <w:rtl/>
        </w:rPr>
        <w:t xml:space="preserve">הערכים החברתיים </w:t>
      </w:r>
      <w:r w:rsidRPr="0002343A">
        <w:rPr>
          <w:rFonts w:ascii="David" w:hAnsi="David"/>
          <w:rtl/>
        </w:rPr>
        <w:t>אשר נפגעו כתוצאה מביצוע עבירות הסמים עליהן נותן הנאשם את הדין הם ההגנה על שלום הציבור, בריאותו ובטחונו מפני הנזקים הישירים והעקיפים הנגרמים כתוצאה משימוש בסמים.</w:t>
      </w:r>
    </w:p>
    <w:p w14:paraId="73053A45" w14:textId="77777777" w:rsidR="001D58DD" w:rsidRPr="0002343A" w:rsidRDefault="001D58DD" w:rsidP="001D58DD">
      <w:pPr>
        <w:spacing w:line="360" w:lineRule="auto"/>
        <w:contextualSpacing/>
        <w:jc w:val="both"/>
        <w:rPr>
          <w:rFonts w:ascii="David" w:hAnsi="David"/>
          <w:rtl/>
        </w:rPr>
      </w:pPr>
    </w:p>
    <w:p w14:paraId="2A996C91" w14:textId="77777777" w:rsidR="001D58DD" w:rsidRPr="0002343A" w:rsidRDefault="001D58DD" w:rsidP="001D58DD">
      <w:pPr>
        <w:spacing w:line="360" w:lineRule="auto"/>
        <w:contextualSpacing/>
        <w:jc w:val="both"/>
        <w:rPr>
          <w:rFonts w:ascii="David" w:hAnsi="David"/>
        </w:rPr>
      </w:pPr>
      <w:r w:rsidRPr="0002343A">
        <w:rPr>
          <w:rFonts w:ascii="David" w:hAnsi="David"/>
          <w:b/>
          <w:bCs/>
          <w:rtl/>
        </w:rPr>
        <w:t>14</w:t>
      </w:r>
      <w:r w:rsidRPr="0002343A">
        <w:rPr>
          <w:rFonts w:ascii="David" w:hAnsi="David"/>
          <w:rtl/>
        </w:rPr>
        <w:t xml:space="preserve">. </w:t>
      </w:r>
      <w:r w:rsidRPr="0002343A">
        <w:rPr>
          <w:rFonts w:ascii="David" w:hAnsi="David"/>
          <w:b/>
          <w:bCs/>
          <w:rtl/>
        </w:rPr>
        <w:t>מידת הפגיעה בערכים המוגנים</w:t>
      </w:r>
      <w:r w:rsidRPr="0002343A">
        <w:rPr>
          <w:rFonts w:ascii="David" w:hAnsi="David"/>
          <w:rtl/>
        </w:rPr>
        <w:t xml:space="preserve"> בגין ביצוע כל אחת מעבירות החזקת הסמים היא ברף ה</w:t>
      </w:r>
      <w:r>
        <w:rPr>
          <w:rFonts w:ascii="David" w:hAnsi="David" w:hint="cs"/>
          <w:rtl/>
        </w:rPr>
        <w:t>נמוך-</w:t>
      </w:r>
      <w:r w:rsidRPr="0002343A">
        <w:rPr>
          <w:rFonts w:ascii="David" w:hAnsi="David"/>
          <w:rtl/>
        </w:rPr>
        <w:t xml:space="preserve">בינוני, וזאת בשים לב לסוגי הסמים, לכמותם ולמקום בו נתפסו. </w:t>
      </w:r>
    </w:p>
    <w:p w14:paraId="5AE6C81F" w14:textId="77777777" w:rsidR="001D58DD" w:rsidRPr="00302BA1" w:rsidRDefault="001D58DD" w:rsidP="001D58DD">
      <w:pPr>
        <w:spacing w:line="360" w:lineRule="auto"/>
        <w:contextualSpacing/>
        <w:jc w:val="both"/>
        <w:rPr>
          <w:rFonts w:ascii="David" w:hAnsi="David"/>
          <w:rtl/>
        </w:rPr>
      </w:pPr>
    </w:p>
    <w:p w14:paraId="6298381C" w14:textId="77777777" w:rsidR="001D58DD" w:rsidRPr="0002343A" w:rsidRDefault="001D58DD" w:rsidP="001D58DD">
      <w:pPr>
        <w:spacing w:line="360" w:lineRule="auto"/>
        <w:contextualSpacing/>
        <w:jc w:val="both"/>
        <w:rPr>
          <w:b/>
          <w:rtl/>
          <w:lang w:eastAsia="he-IL"/>
        </w:rPr>
      </w:pPr>
      <w:r w:rsidRPr="0002343A">
        <w:rPr>
          <w:bCs/>
          <w:rtl/>
          <w:lang w:eastAsia="he-IL"/>
        </w:rPr>
        <w:t>15</w:t>
      </w:r>
      <w:r w:rsidRPr="0002343A">
        <w:rPr>
          <w:b/>
          <w:rtl/>
          <w:lang w:eastAsia="he-IL"/>
        </w:rPr>
        <w:t xml:space="preserve">. בחינת </w:t>
      </w:r>
      <w:r w:rsidRPr="0002343A">
        <w:rPr>
          <w:bCs/>
          <w:rtl/>
          <w:lang w:eastAsia="he-IL"/>
        </w:rPr>
        <w:t>מדיניות הענישה הנוהגת</w:t>
      </w:r>
      <w:r w:rsidRPr="0002343A">
        <w:rPr>
          <w:b/>
          <w:rtl/>
          <w:lang w:eastAsia="he-IL"/>
        </w:rPr>
        <w:t xml:space="preserve"> </w:t>
      </w:r>
      <w:r w:rsidRPr="0002343A">
        <w:rPr>
          <w:rFonts w:ascii="David" w:hAnsi="David"/>
          <w:rtl/>
        </w:rPr>
        <w:t>בגין עבירות החזקת הסמים לצריכה עצמית מעלה כי במקרים דומים הוטלו על נאשמים עונשים כמפורט להלן</w:t>
      </w:r>
      <w:r w:rsidRPr="0002343A">
        <w:rPr>
          <w:b/>
          <w:rtl/>
          <w:lang w:eastAsia="he-IL"/>
        </w:rPr>
        <w:t xml:space="preserve">:  </w:t>
      </w:r>
    </w:p>
    <w:p w14:paraId="04AD64C4" w14:textId="77777777" w:rsidR="001D58DD" w:rsidRPr="0002343A" w:rsidRDefault="001D58DD" w:rsidP="001D58DD">
      <w:pPr>
        <w:spacing w:line="360" w:lineRule="auto"/>
        <w:contextualSpacing/>
        <w:jc w:val="both"/>
        <w:rPr>
          <w:rFonts w:ascii="David" w:hAnsi="David"/>
          <w:b/>
          <w:lang w:eastAsia="he-IL"/>
        </w:rPr>
      </w:pPr>
      <w:r w:rsidRPr="0002343A">
        <w:rPr>
          <w:rFonts w:ascii="David" w:hAnsi="David"/>
          <w:bCs/>
          <w:rtl/>
          <w:lang w:eastAsia="he-IL"/>
        </w:rPr>
        <w:t xml:space="preserve">א. </w:t>
      </w:r>
      <w:r w:rsidRPr="0002343A">
        <w:rPr>
          <w:rFonts w:ascii="David" w:hAnsi="David"/>
          <w:b/>
          <w:rtl/>
          <w:lang w:eastAsia="he-IL"/>
        </w:rPr>
        <w:t>ב</w:t>
      </w:r>
      <w:hyperlink r:id="rId23" w:history="1">
        <w:r w:rsidR="005D28F4" w:rsidRPr="005D28F4">
          <w:rPr>
            <w:rFonts w:ascii="David" w:hAnsi="David"/>
            <w:bCs/>
            <w:color w:val="0000FF"/>
            <w:u w:val="single"/>
            <w:rtl/>
            <w:lang w:eastAsia="he-IL"/>
          </w:rPr>
          <w:t>רע"פ 6138/09</w:t>
        </w:r>
      </w:hyperlink>
      <w:r w:rsidRPr="0002343A">
        <w:rPr>
          <w:rFonts w:ascii="David" w:hAnsi="David"/>
          <w:b/>
          <w:rtl/>
          <w:lang w:eastAsia="he-IL"/>
        </w:rPr>
        <w:t xml:space="preserve"> </w:t>
      </w:r>
      <w:r w:rsidRPr="0002343A">
        <w:rPr>
          <w:rFonts w:ascii="David" w:hAnsi="David"/>
          <w:bCs/>
          <w:rtl/>
          <w:lang w:eastAsia="he-IL"/>
        </w:rPr>
        <w:t>פרדזב נגד מדינת ישראל (02/08/09)</w:t>
      </w:r>
      <w:r w:rsidRPr="0002343A">
        <w:rPr>
          <w:rFonts w:ascii="David" w:hAnsi="David"/>
          <w:b/>
          <w:rtl/>
          <w:lang w:eastAsia="he-IL"/>
        </w:rPr>
        <w:t xml:space="preserve"> - הנאשם הורשע בביצוע מספר עבירות של החזקת סם מסוכן מסוג חשיש לצריכה עצמית ונדון ל-6 חודשי מאסר וענישה נלווית. כמו כן, הופעל מאסר מותנה בן 4 חודשים אשר נקבע כי ירוצה חציו בחופף וחציו במצטבר. ערעורו של הנאשם נדחה.</w:t>
      </w:r>
    </w:p>
    <w:p w14:paraId="0AFF5779" w14:textId="77777777" w:rsidR="001D58DD" w:rsidRPr="0002343A" w:rsidRDefault="001D58DD" w:rsidP="001D58DD">
      <w:pPr>
        <w:spacing w:line="360" w:lineRule="auto"/>
        <w:contextualSpacing/>
        <w:jc w:val="both"/>
        <w:rPr>
          <w:rFonts w:ascii="David" w:hAnsi="David"/>
          <w:rtl/>
        </w:rPr>
      </w:pPr>
      <w:r w:rsidRPr="0002343A">
        <w:rPr>
          <w:b/>
          <w:bCs/>
          <w:rtl/>
        </w:rPr>
        <w:t>ב</w:t>
      </w:r>
      <w:r w:rsidRPr="0002343A">
        <w:rPr>
          <w:rtl/>
        </w:rPr>
        <w:t>.</w:t>
      </w:r>
      <w:r w:rsidRPr="0002343A">
        <w:rPr>
          <w:rFonts w:ascii="David" w:hAnsi="David"/>
          <w:bCs/>
          <w:rtl/>
          <w:lang w:eastAsia="he-IL"/>
        </w:rPr>
        <w:t xml:space="preserve"> </w:t>
      </w:r>
      <w:r w:rsidRPr="0002343A">
        <w:rPr>
          <w:rFonts w:ascii="David" w:hAnsi="David"/>
          <w:b/>
          <w:rtl/>
          <w:lang w:eastAsia="he-IL"/>
        </w:rPr>
        <w:t>ב</w:t>
      </w:r>
      <w:hyperlink r:id="rId24" w:history="1">
        <w:r w:rsidR="005D28F4" w:rsidRPr="005D28F4">
          <w:rPr>
            <w:rFonts w:ascii="David" w:hAnsi="David"/>
            <w:bCs/>
            <w:color w:val="0000FF"/>
            <w:u w:val="single"/>
            <w:rtl/>
            <w:lang w:eastAsia="he-IL"/>
          </w:rPr>
          <w:t>ת"פ (מחוזי מרכז) 32746-11-09</w:t>
        </w:r>
      </w:hyperlink>
      <w:r w:rsidRPr="0002343A">
        <w:rPr>
          <w:rFonts w:ascii="David" w:hAnsi="David"/>
          <w:bCs/>
          <w:rtl/>
          <w:lang w:eastAsia="he-IL"/>
        </w:rPr>
        <w:t xml:space="preserve"> מדינת ישראל נגד ביטון ואח' (16/05/10)</w:t>
      </w:r>
      <w:r w:rsidRPr="0002343A">
        <w:rPr>
          <w:rFonts w:ascii="David" w:hAnsi="David"/>
          <w:b/>
          <w:rtl/>
          <w:lang w:eastAsia="he-IL"/>
        </w:rPr>
        <w:t xml:space="preserve"> – נאשם 2, נעדר עבר פלילי, הורשע בהחזקת קנבוס במשקל של כ-18 גרם, נדון למאסר החופף את תקופת מעצרו למשך חודשיים ושבוע, וענישה נלווית. </w:t>
      </w:r>
    </w:p>
    <w:p w14:paraId="00CB6D24" w14:textId="77777777" w:rsidR="001D58DD" w:rsidRPr="0002343A" w:rsidRDefault="001D58DD" w:rsidP="001D58DD">
      <w:pPr>
        <w:spacing w:line="360" w:lineRule="auto"/>
        <w:contextualSpacing/>
        <w:jc w:val="both"/>
        <w:rPr>
          <w:rFonts w:ascii="David" w:hAnsi="David"/>
          <w:rtl/>
        </w:rPr>
      </w:pPr>
      <w:r w:rsidRPr="0002343A">
        <w:rPr>
          <w:rFonts w:ascii="David" w:hAnsi="David"/>
          <w:b/>
          <w:bCs/>
          <w:rtl/>
        </w:rPr>
        <w:t>ג.</w:t>
      </w:r>
      <w:r w:rsidRPr="0002343A">
        <w:rPr>
          <w:b/>
          <w:bCs/>
          <w:rtl/>
        </w:rPr>
        <w:t xml:space="preserve"> </w:t>
      </w:r>
      <w:r w:rsidRPr="0002343A">
        <w:rPr>
          <w:rtl/>
        </w:rPr>
        <w:t>ב</w:t>
      </w:r>
      <w:hyperlink r:id="rId25" w:history="1">
        <w:r w:rsidR="005D28F4" w:rsidRPr="005D28F4">
          <w:rPr>
            <w:rFonts w:ascii="David" w:hAnsi="David"/>
            <w:b/>
            <w:bCs/>
            <w:color w:val="0000FF"/>
            <w:u w:val="single"/>
            <w:rtl/>
            <w:lang w:eastAsia="he-IL"/>
          </w:rPr>
          <w:t>ת"פ (רחובות) 30653-04-12</w:t>
        </w:r>
      </w:hyperlink>
      <w:r w:rsidRPr="0002343A">
        <w:rPr>
          <w:rFonts w:ascii="David" w:hAnsi="David"/>
          <w:rtl/>
          <w:lang w:eastAsia="he-IL"/>
        </w:rPr>
        <w:t xml:space="preserve"> </w:t>
      </w:r>
      <w:r w:rsidRPr="0002343A">
        <w:rPr>
          <w:rFonts w:ascii="David" w:hAnsi="David" w:hint="cs"/>
          <w:b/>
          <w:bCs/>
          <w:rtl/>
          <w:lang w:eastAsia="he-IL"/>
        </w:rPr>
        <w:t>מדינת ישראל נגד הרמס (20/05/13)</w:t>
      </w:r>
      <w:r w:rsidRPr="0002343A">
        <w:rPr>
          <w:rFonts w:ascii="David" w:hAnsi="David" w:hint="cs"/>
          <w:rtl/>
          <w:lang w:eastAsia="he-IL"/>
        </w:rPr>
        <w:t xml:space="preserve"> - הנאשם הורשע בהחזקת סם לצריכה עצמית מסוג חשיש במשקל 8.4 גרם. על הנאשם הוטל של"צ, צו מבחן, הארכת מאסר על תנאי ופסילה בפועל. </w:t>
      </w:r>
    </w:p>
    <w:p w14:paraId="1726A9B0" w14:textId="77777777" w:rsidR="001D58DD" w:rsidRPr="0002343A" w:rsidRDefault="001D58DD" w:rsidP="001D58DD">
      <w:pPr>
        <w:spacing w:line="360" w:lineRule="auto"/>
        <w:contextualSpacing/>
        <w:jc w:val="both"/>
        <w:rPr>
          <w:rFonts w:ascii="David" w:hAnsi="David"/>
          <w:rtl/>
        </w:rPr>
      </w:pPr>
      <w:r w:rsidRPr="0002343A">
        <w:rPr>
          <w:rFonts w:ascii="David" w:hAnsi="David"/>
          <w:b/>
          <w:bCs/>
          <w:rtl/>
        </w:rPr>
        <w:t>ד.</w:t>
      </w:r>
      <w:r w:rsidRPr="0002343A">
        <w:rPr>
          <w:rFonts w:ascii="David" w:hAnsi="David"/>
          <w:rtl/>
        </w:rPr>
        <w:t xml:space="preserve"> ב</w:t>
      </w:r>
      <w:hyperlink r:id="rId26" w:history="1">
        <w:r w:rsidR="005D28F4" w:rsidRPr="005D28F4">
          <w:rPr>
            <w:rFonts w:ascii="David" w:hAnsi="David"/>
            <w:b/>
            <w:bCs/>
            <w:color w:val="0000FF"/>
            <w:u w:val="single"/>
            <w:rtl/>
          </w:rPr>
          <w:t>ת"פ (בית שמש) 50810-12-10</w:t>
        </w:r>
      </w:hyperlink>
      <w:r w:rsidRPr="0002343A">
        <w:rPr>
          <w:rFonts w:ascii="David" w:hAnsi="David"/>
          <w:b/>
          <w:bCs/>
          <w:rtl/>
        </w:rPr>
        <w:t xml:space="preserve"> מדינת ישראל נגד בראונשטיין (05/03/12) </w:t>
      </w:r>
      <w:r w:rsidRPr="0002343A">
        <w:rPr>
          <w:rFonts w:ascii="David" w:hAnsi="David"/>
          <w:rtl/>
        </w:rPr>
        <w:t>- נאשם בעל עבר פלילי מכביד הורשע בהחזקת 0.3 גרם חשיש. בית המשפט הפעיל מאסר מותנה בן 6 חודשים שהוטל על הנאשם במסגרת תיק אחר, והטיל עליו בנוסף מאסר מותנה.</w:t>
      </w:r>
    </w:p>
    <w:p w14:paraId="414893D7" w14:textId="77777777" w:rsidR="001D58DD" w:rsidRPr="0002343A" w:rsidRDefault="001D58DD" w:rsidP="001D58DD">
      <w:pPr>
        <w:spacing w:line="360" w:lineRule="auto"/>
        <w:contextualSpacing/>
        <w:jc w:val="both"/>
        <w:rPr>
          <w:rFonts w:ascii="David" w:hAnsi="David"/>
          <w:rtl/>
        </w:rPr>
      </w:pPr>
      <w:r w:rsidRPr="0002343A">
        <w:rPr>
          <w:rFonts w:ascii="David" w:hAnsi="David"/>
          <w:bCs/>
          <w:rtl/>
          <w:lang w:eastAsia="he-IL"/>
        </w:rPr>
        <w:t xml:space="preserve">ה. </w:t>
      </w:r>
      <w:r w:rsidRPr="0002343A">
        <w:rPr>
          <w:rFonts w:ascii="David" w:hAnsi="David"/>
          <w:b/>
          <w:rtl/>
          <w:lang w:eastAsia="he-IL"/>
        </w:rPr>
        <w:t>ב</w:t>
      </w:r>
      <w:hyperlink r:id="rId27" w:history="1">
        <w:r w:rsidR="005D28F4" w:rsidRPr="005D28F4">
          <w:rPr>
            <w:rFonts w:ascii="David" w:hAnsi="David"/>
            <w:bCs/>
            <w:color w:val="0000FF"/>
            <w:u w:val="single"/>
            <w:rtl/>
            <w:lang w:eastAsia="he-IL"/>
          </w:rPr>
          <w:t>ת"פ (עכו) 4864-05-11</w:t>
        </w:r>
      </w:hyperlink>
      <w:r w:rsidRPr="0002343A">
        <w:rPr>
          <w:rFonts w:ascii="David" w:hAnsi="David"/>
          <w:b/>
          <w:rtl/>
          <w:lang w:eastAsia="he-IL"/>
        </w:rPr>
        <w:t xml:space="preserve"> </w:t>
      </w:r>
      <w:r w:rsidRPr="0002343A">
        <w:rPr>
          <w:rFonts w:ascii="David" w:hAnsi="David"/>
          <w:bCs/>
          <w:rtl/>
          <w:lang w:eastAsia="he-IL"/>
        </w:rPr>
        <w:t>מדינת ישראל נגד גבריס (18/01/12)</w:t>
      </w:r>
      <w:r w:rsidRPr="0002343A">
        <w:rPr>
          <w:rFonts w:ascii="David" w:hAnsi="David"/>
          <w:b/>
          <w:rtl/>
          <w:lang w:eastAsia="he-IL"/>
        </w:rPr>
        <w:t xml:space="preserve"> -  הנאשם הורשע בהחזקת 3.99 גרם חשיש לצריכה עצמית, ונדון למאסר על תנאי וענישה נלווית.</w:t>
      </w:r>
    </w:p>
    <w:p w14:paraId="185C685A" w14:textId="77777777" w:rsidR="001D58DD" w:rsidRPr="0002343A" w:rsidRDefault="001D58DD" w:rsidP="001D58DD">
      <w:pPr>
        <w:spacing w:line="360" w:lineRule="auto"/>
        <w:contextualSpacing/>
        <w:jc w:val="both"/>
        <w:rPr>
          <w:rFonts w:ascii="David" w:hAnsi="David"/>
          <w:rtl/>
        </w:rPr>
      </w:pPr>
    </w:p>
    <w:p w14:paraId="2C1BFA32" w14:textId="77777777" w:rsidR="001D58DD" w:rsidRPr="0002343A" w:rsidRDefault="001D58DD" w:rsidP="001D58DD">
      <w:pPr>
        <w:spacing w:line="360" w:lineRule="auto"/>
        <w:contextualSpacing/>
        <w:jc w:val="both"/>
        <w:rPr>
          <w:rFonts w:ascii="David" w:hAnsi="David"/>
          <w:rtl/>
        </w:rPr>
      </w:pPr>
      <w:r w:rsidRPr="0002343A">
        <w:rPr>
          <w:b/>
          <w:bCs/>
          <w:rtl/>
        </w:rPr>
        <w:t>16</w:t>
      </w:r>
      <w:r w:rsidRPr="0002343A">
        <w:rPr>
          <w:rtl/>
        </w:rPr>
        <w:t xml:space="preserve">. במסגרת </w:t>
      </w:r>
      <w:r w:rsidRPr="0002343A">
        <w:rPr>
          <w:b/>
          <w:bCs/>
          <w:rtl/>
        </w:rPr>
        <w:t>הנסיבות הקשורות בביצוע העבירה</w:t>
      </w:r>
      <w:r w:rsidRPr="0002343A">
        <w:rPr>
          <w:rtl/>
        </w:rPr>
        <w:t xml:space="preserve"> (</w:t>
      </w:r>
      <w:hyperlink r:id="rId28" w:history="1">
        <w:r w:rsidR="00583938" w:rsidRPr="00583938">
          <w:rPr>
            <w:rStyle w:val="Hyperlink"/>
            <w:b/>
            <w:bCs/>
            <w:rtl/>
          </w:rPr>
          <w:t>סעיף 40ט</w:t>
        </w:r>
      </w:hyperlink>
      <w:r w:rsidRPr="0002343A">
        <w:rPr>
          <w:b/>
          <w:bCs/>
          <w:rtl/>
        </w:rPr>
        <w:t xml:space="preserve"> לחוק</w:t>
      </w:r>
      <w:r w:rsidRPr="0002343A">
        <w:rPr>
          <w:rtl/>
        </w:rPr>
        <w:t>) יש לתת את הדעת לנזק אשר היה צפוי להיגרם מהשימוש בסמים.</w:t>
      </w:r>
    </w:p>
    <w:p w14:paraId="485A1E2A" w14:textId="77777777" w:rsidR="001D58DD" w:rsidRPr="0002343A" w:rsidRDefault="001D58DD" w:rsidP="001D58DD">
      <w:pPr>
        <w:spacing w:line="360" w:lineRule="auto"/>
        <w:jc w:val="both"/>
        <w:rPr>
          <w:rFonts w:ascii="David" w:hAnsi="David"/>
          <w:rtl/>
        </w:rPr>
      </w:pPr>
      <w:r w:rsidRPr="0002343A">
        <w:rPr>
          <w:rFonts w:ascii="David" w:hAnsi="David"/>
          <w:rtl/>
        </w:rPr>
        <w:t>כמו כן, יש לתת את הדעת לכך שהעבירה בתיק המצורף בוצעה כאשר תלוי ועומד כנגד הנאשם מאסר מותנה, וגם בכך יש כדי להשליך על מתחם העונש ההולם אשר יקבע.</w:t>
      </w:r>
    </w:p>
    <w:p w14:paraId="44440E78" w14:textId="77777777" w:rsidR="001D58DD" w:rsidRPr="0002343A" w:rsidRDefault="001D58DD" w:rsidP="001D58DD">
      <w:pPr>
        <w:spacing w:line="360" w:lineRule="auto"/>
        <w:jc w:val="both"/>
        <w:rPr>
          <w:rFonts w:ascii="David" w:hAnsi="David"/>
          <w:b/>
          <w:bCs/>
          <w:rtl/>
        </w:rPr>
      </w:pPr>
      <w:r w:rsidRPr="0002343A">
        <w:rPr>
          <w:rFonts w:ascii="David" w:hAnsi="David"/>
          <w:b/>
          <w:bCs/>
          <w:rtl/>
        </w:rPr>
        <w:t xml:space="preserve">[ראו </w:t>
      </w:r>
      <w:hyperlink r:id="rId29" w:history="1">
        <w:r w:rsidR="005D28F4" w:rsidRPr="005D28F4">
          <w:rPr>
            <w:rFonts w:ascii="David" w:hAnsi="David"/>
            <w:b/>
            <w:bCs/>
            <w:color w:val="0000FF"/>
            <w:u w:val="single"/>
            <w:rtl/>
          </w:rPr>
          <w:t>ע"פ  328/20</w:t>
        </w:r>
      </w:hyperlink>
      <w:r w:rsidRPr="0002343A">
        <w:rPr>
          <w:rFonts w:ascii="David" w:hAnsi="David"/>
          <w:b/>
          <w:bCs/>
          <w:rtl/>
        </w:rPr>
        <w:t xml:space="preserve"> פלוני נגד מדינת ישראל (07/06/20)]</w:t>
      </w:r>
    </w:p>
    <w:p w14:paraId="01EBE9F0" w14:textId="77777777" w:rsidR="001D58DD" w:rsidRPr="0002343A" w:rsidRDefault="001D58DD" w:rsidP="001D58DD">
      <w:pPr>
        <w:spacing w:line="360" w:lineRule="auto"/>
        <w:jc w:val="both"/>
        <w:rPr>
          <w:rFonts w:ascii="David" w:hAnsi="David"/>
          <w:rtl/>
        </w:rPr>
      </w:pPr>
    </w:p>
    <w:p w14:paraId="527A5595" w14:textId="77777777" w:rsidR="001D58DD" w:rsidRPr="0002343A" w:rsidRDefault="001D58DD" w:rsidP="001D58DD">
      <w:pPr>
        <w:spacing w:line="360" w:lineRule="auto"/>
        <w:contextualSpacing/>
        <w:jc w:val="both"/>
        <w:rPr>
          <w:rFonts w:ascii="David" w:hAnsi="David"/>
        </w:rPr>
      </w:pPr>
      <w:r w:rsidRPr="0002343A">
        <w:rPr>
          <w:rFonts w:ascii="David" w:hAnsi="David"/>
          <w:b/>
          <w:bCs/>
          <w:rtl/>
        </w:rPr>
        <w:t>17</w:t>
      </w:r>
      <w:r w:rsidRPr="0002343A">
        <w:rPr>
          <w:rFonts w:ascii="David" w:hAnsi="David"/>
          <w:rtl/>
        </w:rPr>
        <w:t>. בהתאם לתיקון 113 ל</w:t>
      </w:r>
      <w:hyperlink r:id="rId30" w:history="1">
        <w:r w:rsidR="005D28F4" w:rsidRPr="005D28F4">
          <w:rPr>
            <w:rFonts w:ascii="David" w:hAnsi="David"/>
            <w:color w:val="0000FF"/>
            <w:u w:val="single"/>
            <w:rtl/>
          </w:rPr>
          <w:t>חוק העונשין</w:t>
        </w:r>
      </w:hyperlink>
      <w:r w:rsidRPr="0002343A">
        <w:rPr>
          <w:rFonts w:ascii="David" w:hAnsi="David"/>
          <w:rtl/>
        </w:rPr>
        <w:t xml:space="preserve"> (</w:t>
      </w:r>
      <w:r w:rsidRPr="0002343A">
        <w:rPr>
          <w:rFonts w:ascii="David" w:hAnsi="David"/>
          <w:b/>
          <w:bCs/>
          <w:rtl/>
        </w:rPr>
        <w:t xml:space="preserve">סעיף </w:t>
      </w:r>
      <w:hyperlink r:id="rId31" w:history="1">
        <w:r w:rsidR="00583938" w:rsidRPr="00583938">
          <w:rPr>
            <w:rStyle w:val="Hyperlink"/>
            <w:rFonts w:ascii="David" w:hAnsi="David"/>
            <w:b/>
            <w:bCs/>
            <w:rtl/>
          </w:rPr>
          <w:t>40 יג</w:t>
        </w:r>
      </w:hyperlink>
      <w:r w:rsidRPr="0002343A">
        <w:rPr>
          <w:rFonts w:ascii="David" w:hAnsi="David"/>
          <w:rtl/>
        </w:rPr>
        <w:t xml:space="preserve">) מצאתי כי </w:t>
      </w:r>
      <w:r w:rsidRPr="0002343A">
        <w:rPr>
          <w:rFonts w:ascii="David" w:hAnsi="David"/>
          <w:b/>
          <w:bCs/>
          <w:rtl/>
        </w:rPr>
        <w:t>מתחם העונש ההולם</w:t>
      </w:r>
      <w:r w:rsidRPr="0002343A">
        <w:rPr>
          <w:rFonts w:ascii="David" w:hAnsi="David"/>
          <w:rtl/>
        </w:rPr>
        <w:t xml:space="preserve"> בגין כל אחת מעבירות החזקת הסמים לצריכה עצמית שביצע הנאשם נע בין </w:t>
      </w:r>
      <w:r w:rsidRPr="0002343A">
        <w:rPr>
          <w:rtl/>
        </w:rPr>
        <w:t xml:space="preserve">מאסר מותנה </w:t>
      </w:r>
      <w:r w:rsidRPr="0002343A">
        <w:rPr>
          <w:rFonts w:ascii="David" w:hAnsi="David"/>
          <w:rtl/>
        </w:rPr>
        <w:t xml:space="preserve">ועד למספר חודשי מאסר אשר יכול וירוצו בעבודות </w:t>
      </w:r>
      <w:r w:rsidRPr="0002343A">
        <w:rPr>
          <w:rtl/>
        </w:rPr>
        <w:t>שירות.</w:t>
      </w:r>
    </w:p>
    <w:p w14:paraId="3A321437" w14:textId="77777777" w:rsidR="001D58DD" w:rsidRPr="0002343A" w:rsidRDefault="001D58DD" w:rsidP="001D58DD">
      <w:pPr>
        <w:spacing w:line="360" w:lineRule="auto"/>
        <w:contextualSpacing/>
        <w:jc w:val="both"/>
        <w:rPr>
          <w:rtl/>
        </w:rPr>
      </w:pPr>
    </w:p>
    <w:p w14:paraId="2E3E5FB8" w14:textId="77777777" w:rsidR="001D58DD" w:rsidRPr="0002343A" w:rsidRDefault="001D58DD" w:rsidP="001D58DD">
      <w:pPr>
        <w:spacing w:line="360" w:lineRule="auto"/>
        <w:contextualSpacing/>
        <w:jc w:val="both"/>
        <w:rPr>
          <w:rFonts w:ascii="Calibri" w:hAnsi="Calibri"/>
        </w:rPr>
      </w:pPr>
      <w:r w:rsidRPr="0002343A">
        <w:rPr>
          <w:rFonts w:ascii="Calibri" w:hAnsi="Calibri"/>
          <w:b/>
          <w:bCs/>
          <w:rtl/>
        </w:rPr>
        <w:t>18</w:t>
      </w:r>
      <w:r w:rsidRPr="0002343A">
        <w:rPr>
          <w:rFonts w:ascii="Calibri" w:hAnsi="Calibri"/>
          <w:rtl/>
        </w:rPr>
        <w:t xml:space="preserve">. במקרה דנן, לא קיימים שיקולים המצדיקים סטייה מהמתחם לחומרה או לקולה. </w:t>
      </w:r>
    </w:p>
    <w:p w14:paraId="29EAD23D" w14:textId="77777777" w:rsidR="001D58DD" w:rsidRPr="0002343A" w:rsidRDefault="001D58DD" w:rsidP="001D58DD">
      <w:pPr>
        <w:spacing w:line="360" w:lineRule="auto"/>
        <w:jc w:val="both"/>
        <w:rPr>
          <w:rFonts w:ascii="Calibri" w:hAnsi="Calibri"/>
          <w:rtl/>
        </w:rPr>
      </w:pPr>
    </w:p>
    <w:p w14:paraId="30903113" w14:textId="77777777" w:rsidR="001D58DD" w:rsidRPr="0002343A" w:rsidRDefault="001D58DD" w:rsidP="001D58DD">
      <w:pPr>
        <w:spacing w:line="360" w:lineRule="auto"/>
        <w:jc w:val="both"/>
        <w:rPr>
          <w:rFonts w:ascii="Calibri" w:hAnsi="Calibri"/>
          <w:rtl/>
        </w:rPr>
      </w:pPr>
      <w:r w:rsidRPr="0002343A">
        <w:rPr>
          <w:rFonts w:ascii="Calibri" w:hAnsi="Calibri"/>
          <w:b/>
          <w:bCs/>
          <w:rtl/>
        </w:rPr>
        <w:t>גזירת העונש המתאים לנאשם</w:t>
      </w:r>
      <w:r w:rsidRPr="0002343A">
        <w:rPr>
          <w:rFonts w:ascii="Calibri" w:hAnsi="Calibri"/>
          <w:rtl/>
        </w:rPr>
        <w:t>:</w:t>
      </w:r>
    </w:p>
    <w:p w14:paraId="26B7613F" w14:textId="77777777" w:rsidR="001D58DD" w:rsidRPr="0002343A" w:rsidRDefault="001D58DD" w:rsidP="001D58DD">
      <w:pPr>
        <w:spacing w:line="360" w:lineRule="auto"/>
        <w:contextualSpacing/>
        <w:jc w:val="both"/>
        <w:rPr>
          <w:rFonts w:ascii="Calibri" w:hAnsi="Calibri"/>
          <w:rtl/>
        </w:rPr>
      </w:pPr>
      <w:r w:rsidRPr="0002343A">
        <w:rPr>
          <w:rFonts w:ascii="Calibri" w:hAnsi="Calibri"/>
          <w:b/>
          <w:bCs/>
          <w:rtl/>
        </w:rPr>
        <w:t>19</w:t>
      </w:r>
      <w:r w:rsidRPr="0002343A">
        <w:rPr>
          <w:rFonts w:ascii="Calibri" w:hAnsi="Calibri"/>
          <w:rtl/>
        </w:rPr>
        <w:t>. בגזירת העונש המתאים לנאשם, בגדרי מתחם העונש ההולם, יש להתחשב בנסיבות שאינן קשורות בביצוע העבירה (</w:t>
      </w:r>
      <w:r w:rsidRPr="0002343A">
        <w:rPr>
          <w:rFonts w:ascii="Calibri" w:hAnsi="Calibri"/>
          <w:b/>
          <w:bCs/>
          <w:rtl/>
        </w:rPr>
        <w:t xml:space="preserve">סעיף </w:t>
      </w:r>
      <w:hyperlink r:id="rId32" w:history="1">
        <w:r w:rsidR="00583938" w:rsidRPr="00583938">
          <w:rPr>
            <w:rStyle w:val="Hyperlink"/>
            <w:rFonts w:ascii="Calibri" w:hAnsi="Calibri"/>
            <w:b/>
            <w:bCs/>
            <w:rtl/>
          </w:rPr>
          <w:t>40</w:t>
        </w:r>
        <w:r w:rsidR="00583938" w:rsidRPr="00583938">
          <w:rPr>
            <w:rStyle w:val="Hyperlink"/>
            <w:rFonts w:ascii="Calibri" w:hAnsi="Calibri" w:hint="eastAsia"/>
            <w:b/>
            <w:bCs/>
            <w:rtl/>
          </w:rPr>
          <w:t>יא</w:t>
        </w:r>
      </w:hyperlink>
      <w:r w:rsidRPr="0002343A">
        <w:rPr>
          <w:rFonts w:ascii="Calibri" w:hAnsi="Calibri"/>
          <w:rtl/>
        </w:rPr>
        <w:t xml:space="preserve">). </w:t>
      </w:r>
    </w:p>
    <w:p w14:paraId="641A8254" w14:textId="77777777" w:rsidR="001D58DD" w:rsidRPr="0002343A" w:rsidRDefault="001D58DD" w:rsidP="001D58DD">
      <w:pPr>
        <w:spacing w:line="360" w:lineRule="auto"/>
        <w:jc w:val="both"/>
        <w:rPr>
          <w:rFonts w:ascii="David" w:hAnsi="David"/>
          <w:rtl/>
        </w:rPr>
      </w:pPr>
      <w:r w:rsidRPr="0002343A">
        <w:rPr>
          <w:rFonts w:ascii="David" w:hAnsi="David"/>
          <w:rtl/>
        </w:rPr>
        <w:t>במסגרת זו מן הראוי לתת את הדעת לשיקולים הבאים -</w:t>
      </w:r>
    </w:p>
    <w:p w14:paraId="6806C58D" w14:textId="77777777" w:rsidR="001D58DD" w:rsidRPr="0002343A" w:rsidRDefault="001D58DD" w:rsidP="001D58DD">
      <w:pPr>
        <w:numPr>
          <w:ilvl w:val="0"/>
          <w:numId w:val="1"/>
        </w:numPr>
        <w:spacing w:after="160" w:line="360" w:lineRule="auto"/>
        <w:ind w:left="419" w:hanging="357"/>
        <w:contextualSpacing/>
        <w:jc w:val="both"/>
        <w:rPr>
          <w:rFonts w:ascii="David" w:hAnsi="David"/>
          <w:b/>
          <w:bCs/>
          <w:rtl/>
        </w:rPr>
      </w:pPr>
      <w:r w:rsidRPr="0002343A">
        <w:rPr>
          <w:rFonts w:ascii="David" w:hAnsi="David"/>
          <w:b/>
          <w:bCs/>
          <w:rtl/>
        </w:rPr>
        <w:t xml:space="preserve">הפגיעה של העונש בנאשם ובמשפחתו </w:t>
      </w:r>
      <w:r w:rsidRPr="0002343A">
        <w:rPr>
          <w:rFonts w:ascii="David" w:hAnsi="David"/>
          <w:rtl/>
        </w:rPr>
        <w:t>– אין ספק כי הטלת מאסר בפועל על הנאשם, לריצוי מאחורי סורג ובריח תפגע בנאשם, בשילובו בתעסוקה ואף בקשר עם ילדיו. לעומת זאת, ריצוי המאסר בדרך של עבודות שירות יאפשר המשך שילובו בתעסוקה ושמירת הקשר עם ילדיו.</w:t>
      </w:r>
    </w:p>
    <w:p w14:paraId="66D5A7C8" w14:textId="77777777" w:rsidR="001D58DD" w:rsidRPr="0002343A" w:rsidRDefault="001D58DD" w:rsidP="001D58DD">
      <w:pPr>
        <w:numPr>
          <w:ilvl w:val="0"/>
          <w:numId w:val="1"/>
        </w:numPr>
        <w:spacing w:after="160" w:line="360" w:lineRule="auto"/>
        <w:contextualSpacing/>
        <w:jc w:val="both"/>
        <w:rPr>
          <w:rFonts w:ascii="David" w:hAnsi="David"/>
          <w:rtl/>
        </w:rPr>
      </w:pPr>
      <w:r w:rsidRPr="0002343A">
        <w:rPr>
          <w:rFonts w:ascii="David" w:hAnsi="David"/>
          <w:b/>
          <w:bCs/>
          <w:rtl/>
        </w:rPr>
        <w:t xml:space="preserve">נטילת האחריות של הנאשם על מעשיו וחזרתו למוטב או מאמציו לחזור למוטב </w:t>
      </w:r>
      <w:r w:rsidRPr="0002343A">
        <w:rPr>
          <w:rFonts w:ascii="David" w:hAnsi="David"/>
          <w:rtl/>
        </w:rPr>
        <w:t xml:space="preserve">– במקרה זה, כמפורט לעיל, הנאשם אומנם לקח אחריות על ביצוע מעשי העבירות, אולם לא שיתף פעולה עם שירות המבחן במשך תקופה ארוכה, על אף מספר ההזדמנויות שניתנו לו, לא מסר בדיקות שתן, ולא השתלב בכל הליך טיפולי. </w:t>
      </w:r>
    </w:p>
    <w:p w14:paraId="2D92A3A3" w14:textId="77777777" w:rsidR="001D58DD" w:rsidRPr="0002343A" w:rsidRDefault="001D58DD" w:rsidP="001D58DD">
      <w:pPr>
        <w:numPr>
          <w:ilvl w:val="0"/>
          <w:numId w:val="1"/>
        </w:numPr>
        <w:spacing w:after="160" w:line="360" w:lineRule="auto"/>
        <w:contextualSpacing/>
        <w:jc w:val="both"/>
        <w:rPr>
          <w:rFonts w:ascii="David" w:hAnsi="David"/>
        </w:rPr>
      </w:pPr>
      <w:r w:rsidRPr="0002343A">
        <w:rPr>
          <w:rFonts w:ascii="David" w:hAnsi="David"/>
          <w:b/>
          <w:bCs/>
          <w:rtl/>
        </w:rPr>
        <w:t xml:space="preserve">חלוף הזמן מביצוע העבירות </w:t>
      </w:r>
      <w:r w:rsidRPr="0002343A">
        <w:rPr>
          <w:rFonts w:ascii="David" w:hAnsi="David"/>
          <w:rtl/>
        </w:rPr>
        <w:t>– כאמור לעיל, חלף זמן רב מעת ביצוע העבירות ועד מתן גזר הדין, אולם זאת מאחר והנאשם לא התייצב למרבית הדיונים שנקבעו בעניינו וההליכים אף הותלו לאחר שאחד מצווי ההבאה אשר הוצאו בעניינו לא בוצע.</w:t>
      </w:r>
    </w:p>
    <w:p w14:paraId="6D9C60FB" w14:textId="77777777" w:rsidR="001D58DD" w:rsidRDefault="001D58DD" w:rsidP="001D58DD">
      <w:pPr>
        <w:numPr>
          <w:ilvl w:val="0"/>
          <w:numId w:val="1"/>
        </w:numPr>
        <w:spacing w:after="160" w:line="360" w:lineRule="auto"/>
        <w:ind w:left="419" w:hanging="357"/>
        <w:contextualSpacing/>
        <w:jc w:val="both"/>
        <w:rPr>
          <w:rFonts w:ascii="David" w:hAnsi="David"/>
          <w:b/>
          <w:bCs/>
        </w:rPr>
      </w:pPr>
      <w:r w:rsidRPr="0002343A">
        <w:rPr>
          <w:rFonts w:ascii="David" w:hAnsi="David"/>
          <w:b/>
          <w:bCs/>
          <w:rtl/>
        </w:rPr>
        <w:t>עברו הפלילי של הנאשם או העדרו</w:t>
      </w:r>
      <w:r w:rsidRPr="0002343A">
        <w:rPr>
          <w:rFonts w:ascii="David" w:hAnsi="David"/>
          <w:rtl/>
        </w:rPr>
        <w:t xml:space="preserve"> –</w:t>
      </w:r>
      <w:r>
        <w:rPr>
          <w:rFonts w:ascii="David" w:hAnsi="David" w:hint="cs"/>
          <w:rtl/>
        </w:rPr>
        <w:t xml:space="preserve"> לנאשם 2 הרשעות קודמות ישנות בגין ביצוע עבירות סמים ורכוש. כמו כן תלוי ועומד כנגדו מאסר על תנאי בר הפעלה שהוטל עליו בשנת 2018 בגין ביצוע עבירה דומה, שלא הרתיעו מלשוב ולבצע עבירות. </w:t>
      </w:r>
    </w:p>
    <w:p w14:paraId="234162F0" w14:textId="77777777" w:rsidR="001D58DD" w:rsidRPr="00480291" w:rsidRDefault="001D58DD" w:rsidP="001D58DD">
      <w:pPr>
        <w:numPr>
          <w:ilvl w:val="0"/>
          <w:numId w:val="1"/>
        </w:numPr>
        <w:spacing w:after="160" w:line="360" w:lineRule="auto"/>
        <w:ind w:left="419" w:hanging="357"/>
        <w:contextualSpacing/>
        <w:jc w:val="both"/>
        <w:rPr>
          <w:rFonts w:ascii="David" w:hAnsi="David"/>
          <w:b/>
          <w:bCs/>
        </w:rPr>
      </w:pPr>
      <w:r>
        <w:rPr>
          <w:rFonts w:ascii="David" w:hAnsi="David" w:hint="cs"/>
          <w:rtl/>
        </w:rPr>
        <w:t xml:space="preserve">כפי שפירטתי מהחלטתי מהיום יש אף להתייחס לשינוי במדיניות המחוקק ובהתייחסותו למישור המתאים בטיפול בעבירות מסוג זה. </w:t>
      </w:r>
    </w:p>
    <w:p w14:paraId="1E7D5E71" w14:textId="77777777" w:rsidR="001D58DD" w:rsidRDefault="001D58DD" w:rsidP="001D58DD">
      <w:pPr>
        <w:spacing w:after="160" w:line="360" w:lineRule="auto"/>
        <w:ind w:left="419"/>
        <w:contextualSpacing/>
        <w:jc w:val="both"/>
        <w:rPr>
          <w:rFonts w:ascii="David" w:hAnsi="David"/>
          <w:b/>
          <w:bCs/>
        </w:rPr>
      </w:pPr>
      <w:r>
        <w:rPr>
          <w:rFonts w:ascii="David" w:hAnsi="David" w:hint="cs"/>
          <w:rtl/>
        </w:rPr>
        <w:t>ברי כי משסבר המחוקק כי אלה עבירות שיש לטפל בהן במישור המינהלי יש בדבר כדי להשפיע על העונש הראוי שיש להטיל על הנאשם. ב</w:t>
      </w:r>
    </w:p>
    <w:p w14:paraId="4A9CD2F1" w14:textId="77777777" w:rsidR="001D58DD" w:rsidRPr="00480291" w:rsidRDefault="001D58DD" w:rsidP="001D58DD">
      <w:pPr>
        <w:spacing w:after="160" w:line="360" w:lineRule="auto"/>
        <w:ind w:left="419"/>
        <w:contextualSpacing/>
        <w:jc w:val="both"/>
        <w:rPr>
          <w:rFonts w:ascii="David" w:hAnsi="David"/>
          <w:b/>
          <w:bCs/>
          <w:rtl/>
        </w:rPr>
      </w:pPr>
    </w:p>
    <w:p w14:paraId="7D5542BC" w14:textId="77777777" w:rsidR="001D58DD" w:rsidRPr="0002343A" w:rsidRDefault="001D58DD" w:rsidP="001D58DD">
      <w:pPr>
        <w:spacing w:line="360" w:lineRule="auto"/>
        <w:ind w:left="60"/>
        <w:jc w:val="both"/>
        <w:rPr>
          <w:rFonts w:eastAsia="Calibri"/>
          <w:rtl/>
        </w:rPr>
      </w:pPr>
      <w:r w:rsidRPr="0002343A">
        <w:rPr>
          <w:rFonts w:ascii="Calibri" w:hAnsi="Calibri"/>
          <w:rtl/>
        </w:rPr>
        <w:t xml:space="preserve">כמו כן, בהתאם </w:t>
      </w:r>
      <w:hyperlink r:id="rId33" w:history="1">
        <w:r w:rsidR="00583938" w:rsidRPr="00583938">
          <w:rPr>
            <w:rStyle w:val="Hyperlink"/>
            <w:rFonts w:ascii="Calibri" w:hAnsi="Calibri" w:hint="eastAsia"/>
            <w:b/>
            <w:bCs/>
            <w:rtl/>
          </w:rPr>
          <w:t>לסעיף</w:t>
        </w:r>
        <w:r w:rsidR="00583938" w:rsidRPr="00583938">
          <w:rPr>
            <w:rStyle w:val="Hyperlink"/>
            <w:rFonts w:ascii="Calibri" w:hAnsi="Calibri"/>
            <w:b/>
            <w:bCs/>
            <w:rtl/>
          </w:rPr>
          <w:t xml:space="preserve"> 40</w:t>
        </w:r>
        <w:r w:rsidR="00583938" w:rsidRPr="00583938">
          <w:rPr>
            <w:rStyle w:val="Hyperlink"/>
            <w:rFonts w:ascii="Calibri" w:hAnsi="Calibri" w:hint="eastAsia"/>
            <w:b/>
            <w:bCs/>
            <w:rtl/>
          </w:rPr>
          <w:t>יג</w:t>
        </w:r>
        <w:r w:rsidR="00583938" w:rsidRPr="00583938">
          <w:rPr>
            <w:rStyle w:val="Hyperlink"/>
            <w:rFonts w:ascii="Calibri" w:hAnsi="Calibri"/>
            <w:b/>
            <w:bCs/>
            <w:rtl/>
          </w:rPr>
          <w:t>(</w:t>
        </w:r>
        <w:r w:rsidR="00583938" w:rsidRPr="00583938">
          <w:rPr>
            <w:rStyle w:val="Hyperlink"/>
            <w:rFonts w:ascii="Calibri" w:hAnsi="Calibri" w:hint="eastAsia"/>
            <w:b/>
            <w:bCs/>
            <w:rtl/>
          </w:rPr>
          <w:t>ג</w:t>
        </w:r>
        <w:r w:rsidR="00583938" w:rsidRPr="00583938">
          <w:rPr>
            <w:rStyle w:val="Hyperlink"/>
            <w:rFonts w:ascii="Calibri" w:hAnsi="Calibri"/>
            <w:b/>
            <w:bCs/>
            <w:rtl/>
          </w:rPr>
          <w:t>)</w:t>
        </w:r>
      </w:hyperlink>
      <w:r w:rsidRPr="0002343A">
        <w:rPr>
          <w:rFonts w:ascii="Calibri" w:hAnsi="Calibri"/>
          <w:b/>
          <w:bCs/>
          <w:rtl/>
        </w:rPr>
        <w:t xml:space="preserve"> </w:t>
      </w:r>
      <w:r w:rsidRPr="0002343A">
        <w:rPr>
          <w:rFonts w:ascii="Calibri" w:hAnsi="Calibri"/>
          <w:rtl/>
        </w:rPr>
        <w:t>לחוק, יש ל</w:t>
      </w:r>
      <w:r w:rsidRPr="0002343A">
        <w:rPr>
          <w:rFonts w:eastAsia="Calibri"/>
          <w:rtl/>
        </w:rPr>
        <w:t>התחשב במספר העבירות, בתדירותן ובזיקה ביניהן, ואף לשמור על יחס הולם בין חומרת מכלול המעשים ומידת אשמו של הנאשם לבין סוג העונש ותקופת המאסר שעל הנאשם לשאת.</w:t>
      </w:r>
    </w:p>
    <w:p w14:paraId="4AEE28AC" w14:textId="77777777" w:rsidR="001D58DD" w:rsidRPr="0002343A" w:rsidRDefault="001D58DD" w:rsidP="001D58DD">
      <w:pPr>
        <w:spacing w:line="360" w:lineRule="auto"/>
        <w:jc w:val="both"/>
        <w:rPr>
          <w:rFonts w:ascii="David" w:eastAsia="Calibri" w:hAnsi="David" w:cs="Arial"/>
          <w:b/>
          <w:bCs/>
          <w:sz w:val="22"/>
          <w:szCs w:val="22"/>
          <w:u w:val="single"/>
          <w:rtl/>
        </w:rPr>
      </w:pPr>
    </w:p>
    <w:p w14:paraId="2D9B2A6C" w14:textId="77777777" w:rsidR="001D58DD" w:rsidRPr="0002343A" w:rsidRDefault="001D58DD" w:rsidP="001D58DD">
      <w:pPr>
        <w:spacing w:after="160" w:line="360" w:lineRule="auto"/>
        <w:jc w:val="both"/>
        <w:rPr>
          <w:rFonts w:ascii="Arial" w:hAnsi="Arial"/>
          <w:rtl/>
        </w:rPr>
      </w:pPr>
      <w:r w:rsidRPr="0002343A">
        <w:rPr>
          <w:rFonts w:ascii="Calibri" w:hAnsi="Calibri"/>
          <w:b/>
          <w:bCs/>
          <w:rtl/>
        </w:rPr>
        <w:t>20</w:t>
      </w:r>
      <w:r w:rsidRPr="0002343A">
        <w:rPr>
          <w:rFonts w:ascii="Calibri" w:hAnsi="Calibri"/>
          <w:rtl/>
        </w:rPr>
        <w:t xml:space="preserve">. בשים לב לאמור, </w:t>
      </w:r>
      <w:r>
        <w:rPr>
          <w:rFonts w:ascii="Arial" w:hAnsi="Arial"/>
          <w:rtl/>
        </w:rPr>
        <w:t>באיזון בין השיקולים השונים</w:t>
      </w:r>
      <w:r>
        <w:rPr>
          <w:rFonts w:ascii="Arial" w:hAnsi="Arial" w:hint="cs"/>
          <w:rtl/>
        </w:rPr>
        <w:t xml:space="preserve"> -</w:t>
      </w:r>
      <w:r w:rsidRPr="0002343A">
        <w:rPr>
          <w:rFonts w:ascii="Arial" w:hAnsi="Arial"/>
          <w:rtl/>
        </w:rPr>
        <w:t xml:space="preserve"> </w:t>
      </w:r>
      <w:r>
        <w:rPr>
          <w:rFonts w:ascii="Arial" w:hAnsi="Arial" w:hint="cs"/>
          <w:rtl/>
        </w:rPr>
        <w:t>מחד גיסא,</w:t>
      </w:r>
      <w:r w:rsidRPr="0002343A">
        <w:rPr>
          <w:rFonts w:ascii="Arial" w:hAnsi="Arial"/>
          <w:rtl/>
        </w:rPr>
        <w:t xml:space="preserve"> נסיבותיו האישיות של הנאשם, </w:t>
      </w:r>
      <w:r>
        <w:rPr>
          <w:rFonts w:ascii="Arial" w:hAnsi="Arial"/>
          <w:rtl/>
        </w:rPr>
        <w:t xml:space="preserve">עברו הפלילי </w:t>
      </w:r>
      <w:r>
        <w:rPr>
          <w:rFonts w:ascii="Arial" w:hAnsi="Arial" w:hint="cs"/>
          <w:rtl/>
        </w:rPr>
        <w:t xml:space="preserve">שאיננו </w:t>
      </w:r>
      <w:r w:rsidRPr="0002343A">
        <w:rPr>
          <w:rFonts w:ascii="Arial" w:hAnsi="Arial"/>
          <w:rtl/>
        </w:rPr>
        <w:t>מכביד</w:t>
      </w:r>
      <w:r>
        <w:rPr>
          <w:rFonts w:ascii="Arial" w:hAnsi="Arial" w:hint="cs"/>
          <w:rtl/>
        </w:rPr>
        <w:t>, חלוף הזמן מאז ביצוע העבירות ומאידך גיסא, קיומו של מאסר מותנה בר הפעלה לצד העדר שיתוף פעולה עם גורמי הטיפול שוכנעתי כי יש להטיל על הנאשם עונש ברף הנמוך - בינוני</w:t>
      </w:r>
      <w:r w:rsidRPr="0002343A">
        <w:rPr>
          <w:rFonts w:ascii="Arial" w:hAnsi="Arial"/>
          <w:rtl/>
        </w:rPr>
        <w:t xml:space="preserve"> של המתחם.</w:t>
      </w:r>
    </w:p>
    <w:p w14:paraId="34B74634" w14:textId="77777777" w:rsidR="001D58DD" w:rsidRPr="00E56A0A" w:rsidRDefault="001D58DD" w:rsidP="001D58DD">
      <w:pPr>
        <w:spacing w:line="360" w:lineRule="auto"/>
        <w:jc w:val="both"/>
        <w:rPr>
          <w:rFonts w:ascii="Arial" w:hAnsi="Arial"/>
        </w:rPr>
      </w:pPr>
      <w:r w:rsidRPr="0002343A">
        <w:rPr>
          <w:rFonts w:ascii="Arial" w:hAnsi="Arial"/>
          <w:b/>
          <w:bCs/>
          <w:rtl/>
        </w:rPr>
        <w:t>21</w:t>
      </w:r>
      <w:r w:rsidRPr="0002343A">
        <w:rPr>
          <w:rFonts w:ascii="Arial" w:hAnsi="Arial"/>
          <w:rtl/>
        </w:rPr>
        <w:t xml:space="preserve">. </w:t>
      </w:r>
      <w:r w:rsidRPr="00E56A0A">
        <w:rPr>
          <w:rFonts w:ascii="Arial" w:hAnsi="Arial"/>
          <w:rtl/>
        </w:rPr>
        <w:t xml:space="preserve">באשר להארכת המאסר המותנה – </w:t>
      </w:r>
    </w:p>
    <w:p w14:paraId="760D11FA" w14:textId="77777777" w:rsidR="001D58DD" w:rsidRPr="00E56A0A" w:rsidRDefault="001D58DD" w:rsidP="001D58DD">
      <w:pPr>
        <w:spacing w:line="360" w:lineRule="auto"/>
        <w:jc w:val="both"/>
        <w:rPr>
          <w:rFonts w:ascii="Calibri" w:hAnsi="Calibri"/>
        </w:rPr>
      </w:pPr>
      <w:r w:rsidRPr="00E56A0A">
        <w:rPr>
          <w:rFonts w:ascii="Calibri" w:hAnsi="Calibri"/>
          <w:rtl/>
        </w:rPr>
        <w:t>כאמור, מ</w:t>
      </w:r>
      <w:r w:rsidRPr="00E56A0A">
        <w:rPr>
          <w:rFonts w:ascii="Calibri" w:hAnsi="Calibri"/>
          <w:b/>
          <w:bCs/>
          <w:rtl/>
        </w:rPr>
        <w:t>ת/1</w:t>
      </w:r>
      <w:r w:rsidRPr="00E56A0A">
        <w:rPr>
          <w:rFonts w:ascii="Calibri" w:hAnsi="Calibri"/>
          <w:rtl/>
        </w:rPr>
        <w:t>, מ</w:t>
      </w:r>
      <w:r w:rsidRPr="00E56A0A">
        <w:rPr>
          <w:rFonts w:ascii="Calibri" w:hAnsi="Calibri"/>
          <w:b/>
          <w:bCs/>
          <w:rtl/>
        </w:rPr>
        <w:t>ת/2</w:t>
      </w:r>
      <w:r w:rsidRPr="00E56A0A">
        <w:rPr>
          <w:rFonts w:ascii="Calibri" w:hAnsi="Calibri"/>
          <w:rtl/>
        </w:rPr>
        <w:t xml:space="preserve"> ומטיעוני ב"כ הצדדים, עולה כי המאסר המותנה אשר הוטל על הנאשם במסגרת </w:t>
      </w:r>
      <w:hyperlink r:id="rId34" w:history="1">
        <w:r w:rsidR="005D28F4" w:rsidRPr="005D28F4">
          <w:rPr>
            <w:rFonts w:ascii="Calibri" w:hAnsi="Calibri" w:hint="eastAsia"/>
            <w:b/>
            <w:bCs/>
            <w:color w:val="0000FF"/>
            <w:u w:val="single"/>
            <w:rtl/>
          </w:rPr>
          <w:t>ת</w:t>
        </w:r>
        <w:r w:rsidR="005D28F4" w:rsidRPr="005D28F4">
          <w:rPr>
            <w:rFonts w:ascii="Calibri" w:hAnsi="Calibri"/>
            <w:b/>
            <w:bCs/>
            <w:color w:val="0000FF"/>
            <w:u w:val="single"/>
            <w:rtl/>
          </w:rPr>
          <w:t>"</w:t>
        </w:r>
        <w:r w:rsidR="005D28F4" w:rsidRPr="005D28F4">
          <w:rPr>
            <w:rFonts w:ascii="Calibri" w:hAnsi="Calibri" w:hint="eastAsia"/>
            <w:b/>
            <w:bCs/>
            <w:color w:val="0000FF"/>
            <w:u w:val="single"/>
            <w:rtl/>
          </w:rPr>
          <w:t>פ</w:t>
        </w:r>
        <w:r w:rsidR="005D28F4" w:rsidRPr="005D28F4">
          <w:rPr>
            <w:rFonts w:ascii="Calibri" w:hAnsi="Calibri"/>
            <w:b/>
            <w:bCs/>
            <w:color w:val="0000FF"/>
            <w:u w:val="single"/>
            <w:rtl/>
          </w:rPr>
          <w:t xml:space="preserve"> 51131-08-17</w:t>
        </w:r>
      </w:hyperlink>
      <w:r w:rsidRPr="00E56A0A">
        <w:rPr>
          <w:rFonts w:ascii="Calibri" w:hAnsi="Calibri"/>
          <w:rtl/>
        </w:rPr>
        <w:t xml:space="preserve">, בן 3 חודשים, הוא בר הפעלה במקרה זה, מאחר ורק העבירה בתיק המצורף עשויה להפעיל התנאי. </w:t>
      </w:r>
    </w:p>
    <w:p w14:paraId="6E77A2E5" w14:textId="77777777" w:rsidR="001D58DD" w:rsidRPr="00E56A0A" w:rsidRDefault="001D58DD" w:rsidP="001D58DD">
      <w:pPr>
        <w:spacing w:line="360" w:lineRule="auto"/>
        <w:jc w:val="both"/>
        <w:rPr>
          <w:rFonts w:ascii="Calibri" w:hAnsi="Calibri"/>
          <w:rtl/>
        </w:rPr>
      </w:pPr>
      <w:r w:rsidRPr="00E56A0A">
        <w:rPr>
          <w:rFonts w:ascii="Calibri" w:hAnsi="Calibri"/>
          <w:rtl/>
        </w:rPr>
        <w:t xml:space="preserve">במקרה דנן, נראה כי מן הדין והצדק היה להפעיל את התנאי שכן קיומם של שני כתבי אישום לצד התנהלות הנאשם במהלך משפטו מצדיקים ללא ספק הפעלת התנאי. </w:t>
      </w:r>
    </w:p>
    <w:p w14:paraId="7EB12DCA" w14:textId="77777777" w:rsidR="001D58DD" w:rsidRPr="00E56A0A" w:rsidRDefault="001D58DD" w:rsidP="001D58DD">
      <w:pPr>
        <w:spacing w:line="360" w:lineRule="auto"/>
        <w:jc w:val="both"/>
        <w:rPr>
          <w:rFonts w:ascii="Arial" w:hAnsi="Arial"/>
          <w:rtl/>
        </w:rPr>
      </w:pPr>
    </w:p>
    <w:p w14:paraId="6E368F4C" w14:textId="77777777" w:rsidR="001D58DD" w:rsidRPr="00E56A0A" w:rsidRDefault="001D58DD" w:rsidP="001D58DD">
      <w:pPr>
        <w:spacing w:line="360" w:lineRule="auto"/>
        <w:jc w:val="both"/>
        <w:rPr>
          <w:rFonts w:ascii="Arial" w:hAnsi="Arial"/>
          <w:rtl/>
        </w:rPr>
      </w:pPr>
      <w:r w:rsidRPr="00E56A0A">
        <w:rPr>
          <w:rFonts w:ascii="Arial" w:hAnsi="Arial"/>
          <w:rtl/>
        </w:rPr>
        <w:t xml:space="preserve">כידוע, </w:t>
      </w:r>
      <w:hyperlink r:id="rId35" w:history="1">
        <w:r w:rsidR="00583938" w:rsidRPr="00583938">
          <w:rPr>
            <w:rStyle w:val="Hyperlink"/>
            <w:rFonts w:ascii="Arial" w:hAnsi="Arial"/>
            <w:b/>
            <w:bCs/>
            <w:rtl/>
          </w:rPr>
          <w:t>סעיף 56</w:t>
        </w:r>
      </w:hyperlink>
      <w:r w:rsidRPr="00E56A0A">
        <w:rPr>
          <w:rFonts w:ascii="Arial" w:hAnsi="Arial"/>
          <w:b/>
          <w:bCs/>
          <w:rtl/>
        </w:rPr>
        <w:t xml:space="preserve"> ל</w:t>
      </w:r>
      <w:hyperlink r:id="rId36" w:history="1">
        <w:r w:rsidR="005D28F4" w:rsidRPr="005D28F4">
          <w:rPr>
            <w:rFonts w:ascii="Arial" w:hAnsi="Arial"/>
            <w:b/>
            <w:bCs/>
            <w:color w:val="0000FF"/>
            <w:u w:val="single"/>
            <w:rtl/>
          </w:rPr>
          <w:t>חוק העונשין</w:t>
        </w:r>
      </w:hyperlink>
      <w:r w:rsidRPr="00E56A0A">
        <w:rPr>
          <w:rFonts w:ascii="Arial" w:hAnsi="Arial"/>
          <w:b/>
          <w:bCs/>
          <w:rtl/>
        </w:rPr>
        <w:t xml:space="preserve"> תשל"ז-1977</w:t>
      </w:r>
      <w:r w:rsidRPr="00E56A0A">
        <w:rPr>
          <w:rFonts w:ascii="Arial" w:hAnsi="Arial"/>
          <w:rtl/>
        </w:rPr>
        <w:t xml:space="preserve"> קובע כי בית המשפט יורה על הארכת המאסר המותנה כחריג, במקרים בהם לא יהא זה צודק להפעילו. </w:t>
      </w:r>
    </w:p>
    <w:p w14:paraId="3E244C9F" w14:textId="77777777" w:rsidR="001D58DD" w:rsidRPr="00E56A0A" w:rsidRDefault="001D58DD" w:rsidP="001D58DD">
      <w:pPr>
        <w:spacing w:line="360" w:lineRule="auto"/>
        <w:jc w:val="both"/>
        <w:rPr>
          <w:rFonts w:ascii="Arial" w:hAnsi="Arial"/>
          <w:rtl/>
        </w:rPr>
      </w:pPr>
    </w:p>
    <w:p w14:paraId="119C4CE7" w14:textId="77777777" w:rsidR="001D58DD" w:rsidRPr="00E56A0A" w:rsidRDefault="001D58DD" w:rsidP="001D58DD">
      <w:pPr>
        <w:spacing w:line="360" w:lineRule="auto"/>
        <w:jc w:val="both"/>
        <w:rPr>
          <w:rFonts w:ascii="Arial" w:hAnsi="Arial"/>
          <w:rtl/>
        </w:rPr>
      </w:pPr>
      <w:r w:rsidRPr="00E56A0A">
        <w:rPr>
          <w:rFonts w:ascii="Arial" w:hAnsi="Arial"/>
          <w:rtl/>
        </w:rPr>
        <w:t>במקרה זה, עסקינן בשני אירועי בהן החזיק הנאשם סם מסוכן לצריכתו העצמית, זאת על אף קיומו של מאסר מותנה בר הפעלה שלא הרתיעו מלשוב ולבצע עבירה נוספת חודשים ספורים בלבד לאחר הטלת המאסר המותנה. לכל האמור יש להוסיף אף את העובדה כי הנאשם</w:t>
      </w:r>
      <w:r>
        <w:rPr>
          <w:rFonts w:ascii="Arial" w:hAnsi="Arial" w:hint="cs"/>
          <w:rtl/>
        </w:rPr>
        <w:t>,</w:t>
      </w:r>
      <w:r w:rsidRPr="00E56A0A">
        <w:rPr>
          <w:rFonts w:ascii="Arial" w:hAnsi="Arial"/>
          <w:rtl/>
        </w:rPr>
        <w:t xml:space="preserve"> כאמור</w:t>
      </w:r>
      <w:r>
        <w:rPr>
          <w:rFonts w:ascii="Arial" w:hAnsi="Arial" w:hint="cs"/>
          <w:rtl/>
        </w:rPr>
        <w:t>,</w:t>
      </w:r>
      <w:r w:rsidRPr="00E56A0A">
        <w:rPr>
          <w:rFonts w:ascii="Arial" w:hAnsi="Arial"/>
          <w:rtl/>
        </w:rPr>
        <w:t xml:space="preserve"> לא ניצל את ההזדמנויות החוזרות ונשנות שניתנו לו לשתף פעולה עם שירות המבחן ואף לא טרח להתייצב לראיונות ההתאמה אליהם זומן במשרדי הממונה. </w:t>
      </w:r>
    </w:p>
    <w:p w14:paraId="343EE4EE" w14:textId="77777777" w:rsidR="001D58DD" w:rsidRPr="00E56A0A" w:rsidRDefault="001D58DD" w:rsidP="001D58DD">
      <w:pPr>
        <w:spacing w:line="360" w:lineRule="auto"/>
        <w:jc w:val="both"/>
        <w:rPr>
          <w:rFonts w:ascii="Arial" w:hAnsi="Arial"/>
          <w:rtl/>
        </w:rPr>
      </w:pPr>
    </w:p>
    <w:p w14:paraId="6BE13BFA" w14:textId="77777777" w:rsidR="001D58DD" w:rsidRPr="00E56A0A" w:rsidRDefault="001D58DD" w:rsidP="001D58DD">
      <w:pPr>
        <w:spacing w:line="360" w:lineRule="auto"/>
        <w:jc w:val="both"/>
        <w:rPr>
          <w:rFonts w:ascii="Arial" w:hAnsi="Arial"/>
          <w:rtl/>
        </w:rPr>
      </w:pPr>
      <w:r w:rsidRPr="00E56A0A">
        <w:rPr>
          <w:rFonts w:ascii="Arial" w:hAnsi="Arial"/>
          <w:rtl/>
        </w:rPr>
        <w:t xml:space="preserve">על אף האמור, ולא בלי היסוס לאחר ששקלתי שיקולים נוספים רלבנטיים בגזירת עונשו של הנאשם באתי לכלל מסקנה כי במקרה זה לא יהיה צודק להפעיל את המאסר המותנה. </w:t>
      </w:r>
    </w:p>
    <w:p w14:paraId="3AC6C488" w14:textId="77777777" w:rsidR="001D58DD" w:rsidRPr="00E56A0A" w:rsidRDefault="001D58DD" w:rsidP="001D58DD">
      <w:pPr>
        <w:spacing w:line="360" w:lineRule="auto"/>
        <w:jc w:val="both"/>
        <w:rPr>
          <w:rFonts w:ascii="Arial" w:hAnsi="Arial"/>
          <w:rtl/>
        </w:rPr>
      </w:pPr>
      <w:r w:rsidRPr="00E56A0A">
        <w:rPr>
          <w:rFonts w:ascii="Arial" w:hAnsi="Arial"/>
          <w:rtl/>
        </w:rPr>
        <w:t>עסקינן בשני אירועים בהם החזיק הנאשם כמויות סם לא גדולות לצריכתו העצמית, אירוע אחד משנת 2016 והאחר משנת 2018. דהיינו, בין ביצוע העבירה הראשונה לשני</w:t>
      </w:r>
      <w:r>
        <w:rPr>
          <w:rFonts w:ascii="Arial" w:hAnsi="Arial" w:hint="cs"/>
          <w:rtl/>
        </w:rPr>
        <w:t>ה</w:t>
      </w:r>
      <w:r w:rsidRPr="00E56A0A">
        <w:rPr>
          <w:rFonts w:ascii="Arial" w:hAnsi="Arial"/>
          <w:rtl/>
        </w:rPr>
        <w:t xml:space="preserve"> חלפו כשנתיים ימים ומאז ביצוע העבי</w:t>
      </w:r>
      <w:r>
        <w:rPr>
          <w:rFonts w:ascii="Arial" w:hAnsi="Arial" w:hint="cs"/>
          <w:rtl/>
        </w:rPr>
        <w:t>רות</w:t>
      </w:r>
      <w:r w:rsidRPr="00E56A0A">
        <w:rPr>
          <w:rFonts w:ascii="Arial" w:hAnsi="Arial"/>
          <w:rtl/>
        </w:rPr>
        <w:t xml:space="preserve"> האחרונה חלפו 4 שנים בהן לא הורשע בביצוע עבירות נוספות. </w:t>
      </w:r>
    </w:p>
    <w:p w14:paraId="766E5FA8" w14:textId="77777777" w:rsidR="001D58DD" w:rsidRPr="00E56A0A" w:rsidRDefault="001D58DD" w:rsidP="001D58DD">
      <w:pPr>
        <w:spacing w:line="360" w:lineRule="auto"/>
        <w:jc w:val="both"/>
        <w:rPr>
          <w:rFonts w:ascii="Arial" w:hAnsi="Arial"/>
          <w:rtl/>
        </w:rPr>
      </w:pPr>
      <w:r w:rsidRPr="00E56A0A">
        <w:rPr>
          <w:rFonts w:ascii="Arial" w:hAnsi="Arial"/>
          <w:rtl/>
        </w:rPr>
        <w:t xml:space="preserve">ערה אני לעובדה כי במהלך שנים אלה לא ניצל הנאשם את ההזדמנויות הרבות שניתנו לו לשתף פעולה עם שירות המבחן ובמשך תקופות ארוכות אף לא טרח להתייצב לדיונים כך שהתמשכות </w:t>
      </w:r>
      <w:bookmarkStart w:id="8" w:name="Nitan"/>
      <w:r w:rsidRPr="00E56A0A">
        <w:rPr>
          <w:rFonts w:ascii="Arial" w:hAnsi="Arial"/>
          <w:rtl/>
        </w:rPr>
        <w:t xml:space="preserve">ההליכים רובצת לפתחו. עם זאת, לא ניתן להתעלם מהעובדה כי באותן שנים בהן לא ניצל הנאשם </w:t>
      </w:r>
      <w:bookmarkEnd w:id="8"/>
      <w:r w:rsidRPr="00E56A0A">
        <w:rPr>
          <w:rFonts w:ascii="Arial" w:hAnsi="Arial"/>
          <w:rtl/>
        </w:rPr>
        <w:t xml:space="preserve">את ההזדמנויות שניתנו לו על ידי בית המשפט, הוא לא המשיך לבצע עבירות. </w:t>
      </w:r>
    </w:p>
    <w:p w14:paraId="0358B076" w14:textId="77777777" w:rsidR="001D58DD" w:rsidRPr="00E56A0A" w:rsidRDefault="001D58DD" w:rsidP="001D58DD">
      <w:pPr>
        <w:spacing w:line="360" w:lineRule="auto"/>
        <w:jc w:val="both"/>
        <w:rPr>
          <w:rFonts w:ascii="Arial" w:hAnsi="Arial"/>
          <w:rtl/>
        </w:rPr>
      </w:pPr>
      <w:r w:rsidRPr="00E56A0A">
        <w:rPr>
          <w:rFonts w:ascii="Arial" w:hAnsi="Arial"/>
          <w:rtl/>
        </w:rPr>
        <w:t xml:space="preserve">מעבר לאמור, לנאשם עבר פלילי שאיננו מכביד – מעבר למאסר המותנה שתלוי ועומד כנגדו, לחובתו הרשעה קודמת נוספת בלבד משנת 2009. </w:t>
      </w:r>
    </w:p>
    <w:p w14:paraId="7C765F3A" w14:textId="77777777" w:rsidR="001D58DD" w:rsidRPr="00E56A0A" w:rsidRDefault="001D58DD" w:rsidP="001D58DD">
      <w:pPr>
        <w:spacing w:line="360" w:lineRule="auto"/>
        <w:jc w:val="both"/>
        <w:rPr>
          <w:rFonts w:ascii="Arial" w:hAnsi="Arial"/>
          <w:rtl/>
        </w:rPr>
      </w:pPr>
      <w:r w:rsidRPr="00E56A0A">
        <w:rPr>
          <w:rFonts w:ascii="Arial" w:hAnsi="Arial"/>
          <w:rtl/>
        </w:rPr>
        <w:t>לכל האמור יש להוסיף את נסיבותיו האישיות של הנאשם כפי שעלו מדברי באת</w:t>
      </w:r>
      <w:r>
        <w:rPr>
          <w:rFonts w:ascii="Arial" w:hAnsi="Arial"/>
          <w:rtl/>
        </w:rPr>
        <w:t xml:space="preserve"> כוחו</w:t>
      </w:r>
      <w:r>
        <w:rPr>
          <w:rFonts w:ascii="Arial" w:hAnsi="Arial" w:hint="cs"/>
          <w:rtl/>
        </w:rPr>
        <w:t xml:space="preserve"> וכן את הטענות שעלו שפירטתי בבקשה למחיקת כתב האישום. </w:t>
      </w:r>
    </w:p>
    <w:p w14:paraId="64303565" w14:textId="77777777" w:rsidR="001D58DD" w:rsidRPr="00E56A0A" w:rsidRDefault="001D58DD" w:rsidP="001D58DD">
      <w:pPr>
        <w:spacing w:line="360" w:lineRule="auto"/>
        <w:jc w:val="both"/>
        <w:rPr>
          <w:rFonts w:ascii="Arial" w:hAnsi="Arial"/>
          <w:rtl/>
        </w:rPr>
      </w:pPr>
      <w:r w:rsidRPr="00E56A0A">
        <w:rPr>
          <w:rFonts w:ascii="Arial" w:hAnsi="Arial"/>
          <w:rtl/>
        </w:rPr>
        <w:t xml:space="preserve">במצב דברים זה, שוכנעתי כי לא יהא זה צודק להפעיל את המאסר המותנה וניתן יהיה לאזן את הארכת המאסר המותנה בענישה כלכלית משמעותית, לצד פסילת רישיון נהיגה. </w:t>
      </w:r>
    </w:p>
    <w:p w14:paraId="287D5150" w14:textId="77777777" w:rsidR="001D58DD" w:rsidRPr="00E56A0A" w:rsidRDefault="001D58DD" w:rsidP="001D58DD">
      <w:pPr>
        <w:spacing w:line="360" w:lineRule="auto"/>
        <w:jc w:val="both"/>
        <w:rPr>
          <w:rFonts w:ascii="Calibri" w:hAnsi="Calibri"/>
          <w:rtl/>
        </w:rPr>
      </w:pPr>
    </w:p>
    <w:p w14:paraId="6AA539EF" w14:textId="77777777" w:rsidR="001D58DD" w:rsidRPr="00E56A0A" w:rsidRDefault="001D58DD" w:rsidP="001D58DD">
      <w:pPr>
        <w:spacing w:line="360" w:lineRule="auto"/>
        <w:jc w:val="both"/>
        <w:rPr>
          <w:rFonts w:ascii="Arial" w:hAnsi="Arial"/>
          <w:rtl/>
        </w:rPr>
      </w:pPr>
      <w:r w:rsidRPr="00E56A0A">
        <w:rPr>
          <w:rFonts w:ascii="Arial" w:hAnsi="Arial"/>
          <w:b/>
          <w:bCs/>
          <w:rtl/>
        </w:rPr>
        <w:t>24</w:t>
      </w:r>
      <w:r w:rsidRPr="00E56A0A">
        <w:rPr>
          <w:rFonts w:ascii="Arial" w:hAnsi="Arial"/>
          <w:rtl/>
        </w:rPr>
        <w:t>. אשר על כן, אני גוזרת על הנאשם את העונשים הבאים:</w:t>
      </w:r>
    </w:p>
    <w:p w14:paraId="5FAC77CA" w14:textId="77777777" w:rsidR="001D58DD" w:rsidRPr="00E56A0A" w:rsidRDefault="001D58DD" w:rsidP="001D58DD">
      <w:pPr>
        <w:numPr>
          <w:ilvl w:val="0"/>
          <w:numId w:val="2"/>
        </w:numPr>
        <w:spacing w:after="160" w:line="360" w:lineRule="auto"/>
        <w:contextualSpacing/>
        <w:jc w:val="both"/>
        <w:rPr>
          <w:rFonts w:ascii="Arial" w:hAnsi="Arial"/>
          <w:b/>
          <w:bCs/>
          <w:rtl/>
        </w:rPr>
      </w:pPr>
      <w:r w:rsidRPr="00E56A0A">
        <w:rPr>
          <w:rFonts w:ascii="Arial" w:hAnsi="Arial"/>
          <w:b/>
          <w:bCs/>
          <w:rtl/>
        </w:rPr>
        <w:t xml:space="preserve">מחדשת מאסר על תנאי בן 3 חודשים שהוטל על הנאשם ביום 10/04/18 במסגרת </w:t>
      </w:r>
      <w:hyperlink r:id="rId37" w:history="1">
        <w:r w:rsidR="005D28F4" w:rsidRPr="005D28F4">
          <w:rPr>
            <w:rFonts w:ascii="Arial" w:hAnsi="Arial"/>
            <w:b/>
            <w:bCs/>
            <w:color w:val="0000FF"/>
            <w:u w:val="single"/>
            <w:rtl/>
          </w:rPr>
          <w:t>ת"פ 51131-08-17</w:t>
        </w:r>
      </w:hyperlink>
      <w:r w:rsidR="005D28F4">
        <w:rPr>
          <w:rFonts w:ascii="Arial" w:hAnsi="Arial"/>
          <w:b/>
          <w:bCs/>
          <w:rtl/>
        </w:rPr>
        <w:t xml:space="preserve">, זאת למשך שנתיים מהיום. </w:t>
      </w:r>
      <w:r w:rsidRPr="00E56A0A">
        <w:rPr>
          <w:rFonts w:ascii="Arial" w:hAnsi="Arial"/>
          <w:b/>
          <w:bCs/>
          <w:rtl/>
        </w:rPr>
        <w:t xml:space="preserve">פוסלת את הנאשם מלקבל או להחזיק רישיון נהיגה למשך </w:t>
      </w:r>
      <w:r>
        <w:rPr>
          <w:rFonts w:ascii="Arial" w:hAnsi="Arial" w:hint="cs"/>
          <w:b/>
          <w:bCs/>
          <w:rtl/>
        </w:rPr>
        <w:t>3</w:t>
      </w:r>
      <w:r w:rsidRPr="00E56A0A">
        <w:rPr>
          <w:rFonts w:ascii="Arial" w:hAnsi="Arial"/>
          <w:b/>
          <w:bCs/>
          <w:rtl/>
        </w:rPr>
        <w:t xml:space="preserve"> חודשים</w:t>
      </w:r>
      <w:r>
        <w:rPr>
          <w:rFonts w:ascii="Arial" w:hAnsi="Arial" w:hint="cs"/>
          <w:b/>
          <w:bCs/>
          <w:rtl/>
        </w:rPr>
        <w:t xml:space="preserve">. מניין הפסילה יחל </w:t>
      </w:r>
      <w:r w:rsidR="005D28F4">
        <w:rPr>
          <w:rFonts w:ascii="Arial" w:hAnsi="Arial"/>
          <w:b/>
          <w:bCs/>
          <w:rtl/>
        </w:rPr>
        <w:t xml:space="preserve">להימנות מהיום בכפוף להפקדת הרישיון. הפקדת הרישיון יכול ותעשה עוד היום </w:t>
      </w:r>
      <w:r>
        <w:rPr>
          <w:rFonts w:ascii="Arial" w:hAnsi="Arial" w:hint="cs"/>
          <w:b/>
          <w:bCs/>
          <w:rtl/>
        </w:rPr>
        <w:t>במזכירות בית משפט באר-שבע.</w:t>
      </w:r>
    </w:p>
    <w:p w14:paraId="767C64C9" w14:textId="77777777" w:rsidR="001D58DD" w:rsidRPr="00E56A0A" w:rsidRDefault="005D28F4" w:rsidP="001D58DD">
      <w:pPr>
        <w:numPr>
          <w:ilvl w:val="0"/>
          <w:numId w:val="2"/>
        </w:numPr>
        <w:spacing w:after="160" w:line="360" w:lineRule="auto"/>
        <w:contextualSpacing/>
        <w:jc w:val="both"/>
        <w:rPr>
          <w:rFonts w:ascii="Arial" w:hAnsi="Arial"/>
          <w:b/>
          <w:bCs/>
          <w:rtl/>
        </w:rPr>
      </w:pPr>
      <w:r>
        <w:rPr>
          <w:rFonts w:ascii="Arial" w:hAnsi="Arial"/>
          <w:b/>
          <w:bCs/>
          <w:rtl/>
        </w:rPr>
        <w:t xml:space="preserve">3 חודשי פסילה על תנאי למשך שנתיים מהיום שלא יעבור שוב עבירה לפי </w:t>
      </w:r>
      <w:hyperlink r:id="rId38" w:history="1">
        <w:r w:rsidRPr="005D28F4">
          <w:rPr>
            <w:rFonts w:ascii="Arial" w:hAnsi="Arial"/>
            <w:b/>
            <w:bCs/>
            <w:color w:val="0000FF"/>
            <w:u w:val="single"/>
            <w:rtl/>
          </w:rPr>
          <w:t>פקודת הסמים המסוכנים</w:t>
        </w:r>
      </w:hyperlink>
      <w:r w:rsidR="001D58DD" w:rsidRPr="00E56A0A">
        <w:rPr>
          <w:rFonts w:ascii="Arial" w:hAnsi="Arial"/>
          <w:b/>
          <w:bCs/>
          <w:rtl/>
        </w:rPr>
        <w:t xml:space="preserve">. </w:t>
      </w:r>
    </w:p>
    <w:p w14:paraId="1D335C25" w14:textId="77777777" w:rsidR="001D58DD" w:rsidRPr="00E56A0A" w:rsidRDefault="001D58DD" w:rsidP="001D58DD">
      <w:pPr>
        <w:numPr>
          <w:ilvl w:val="0"/>
          <w:numId w:val="2"/>
        </w:numPr>
        <w:spacing w:after="160" w:line="360" w:lineRule="auto"/>
        <w:contextualSpacing/>
        <w:jc w:val="both"/>
        <w:rPr>
          <w:rFonts w:ascii="Arial" w:hAnsi="Arial"/>
          <w:b/>
          <w:bCs/>
          <w:rtl/>
        </w:rPr>
      </w:pPr>
      <w:r w:rsidRPr="00E56A0A">
        <w:rPr>
          <w:rFonts w:ascii="Arial" w:hAnsi="Arial"/>
          <w:b/>
          <w:bCs/>
          <w:rtl/>
        </w:rPr>
        <w:t xml:space="preserve">מפעילה התחייבות על סך 2000 ₪ שהוטלה על הנאשם ביום 10/04/18 במסגרת </w:t>
      </w:r>
      <w:hyperlink r:id="rId39" w:history="1">
        <w:r w:rsidR="005D28F4" w:rsidRPr="005D28F4">
          <w:rPr>
            <w:rFonts w:ascii="Arial" w:hAnsi="Arial"/>
            <w:b/>
            <w:bCs/>
            <w:color w:val="0000FF"/>
            <w:u w:val="single"/>
            <w:rtl/>
          </w:rPr>
          <w:t>ת"פ 51131-08-17</w:t>
        </w:r>
      </w:hyperlink>
      <w:r w:rsidRPr="00E56A0A">
        <w:rPr>
          <w:rFonts w:ascii="Arial" w:hAnsi="Arial"/>
          <w:b/>
          <w:bCs/>
          <w:rtl/>
        </w:rPr>
        <w:t>.</w:t>
      </w:r>
    </w:p>
    <w:p w14:paraId="5662CB49" w14:textId="77777777" w:rsidR="001D58DD" w:rsidRPr="00E56A0A" w:rsidRDefault="001D58DD" w:rsidP="001D58DD">
      <w:pPr>
        <w:spacing w:after="160" w:line="360" w:lineRule="auto"/>
        <w:ind w:left="720"/>
        <w:contextualSpacing/>
        <w:jc w:val="both"/>
        <w:rPr>
          <w:rFonts w:ascii="Arial" w:hAnsi="Arial"/>
          <w:b/>
          <w:bCs/>
          <w:rtl/>
        </w:rPr>
      </w:pPr>
      <w:r w:rsidRPr="00E56A0A">
        <w:rPr>
          <w:rFonts w:ascii="Arial" w:hAnsi="Arial"/>
          <w:b/>
          <w:bCs/>
          <w:rtl/>
        </w:rPr>
        <w:t xml:space="preserve">ההתחייבות תשולם ב- 2 תשלומים שווים ורצופים. תשלום ראשון תוך חודש ימים </w:t>
      </w:r>
      <w:r w:rsidR="005D28F4">
        <w:rPr>
          <w:rFonts w:ascii="Arial" w:hAnsi="Arial"/>
          <w:b/>
          <w:bCs/>
          <w:rtl/>
        </w:rPr>
        <w:t xml:space="preserve">מהיום.  </w:t>
      </w:r>
      <w:r w:rsidRPr="00E56A0A">
        <w:rPr>
          <w:rFonts w:ascii="Arial" w:hAnsi="Arial"/>
          <w:b/>
          <w:bCs/>
          <w:rtl/>
        </w:rPr>
        <w:t xml:space="preserve">לא תשולם ההתחייבות ייאסר הנאשם ל- 10 ימים. </w:t>
      </w:r>
    </w:p>
    <w:p w14:paraId="271D932D" w14:textId="77777777" w:rsidR="001D58DD" w:rsidRDefault="001D58DD" w:rsidP="001D58DD">
      <w:pPr>
        <w:spacing w:line="360" w:lineRule="auto"/>
        <w:ind w:left="720"/>
        <w:contextualSpacing/>
        <w:jc w:val="both"/>
        <w:rPr>
          <w:rFonts w:ascii="Arial" w:hAnsi="Arial"/>
          <w:b/>
          <w:bCs/>
          <w:rtl/>
        </w:rPr>
      </w:pPr>
      <w:r w:rsidRPr="00E56A0A">
        <w:rPr>
          <w:rFonts w:ascii="Arial" w:hAnsi="Arial"/>
          <w:b/>
          <w:bCs/>
          <w:rtl/>
        </w:rPr>
        <w:t>הסמים יושמדו.</w:t>
      </w:r>
    </w:p>
    <w:p w14:paraId="34A3EF27" w14:textId="77777777" w:rsidR="001D58DD" w:rsidRDefault="001D58DD" w:rsidP="001D58DD">
      <w:pPr>
        <w:spacing w:line="360" w:lineRule="auto"/>
        <w:ind w:left="720"/>
        <w:contextualSpacing/>
        <w:jc w:val="both"/>
        <w:rPr>
          <w:rFonts w:ascii="Arial" w:hAnsi="Arial"/>
          <w:b/>
          <w:bCs/>
          <w:rtl/>
        </w:rPr>
      </w:pPr>
    </w:p>
    <w:p w14:paraId="101A81CA" w14:textId="77777777" w:rsidR="001D58DD" w:rsidRPr="00E56A0A" w:rsidRDefault="001D58DD" w:rsidP="001D58DD">
      <w:pPr>
        <w:spacing w:line="360" w:lineRule="auto"/>
        <w:ind w:left="720"/>
        <w:contextualSpacing/>
        <w:jc w:val="both"/>
        <w:rPr>
          <w:rFonts w:ascii="Arial" w:hAnsi="Arial"/>
          <w:b/>
          <w:bCs/>
        </w:rPr>
      </w:pPr>
      <w:r>
        <w:rPr>
          <w:rFonts w:ascii="Arial" w:hAnsi="Arial" w:hint="cs"/>
          <w:b/>
          <w:bCs/>
          <w:rtl/>
        </w:rPr>
        <w:t xml:space="preserve">זכות ערעור כחוק. </w:t>
      </w:r>
    </w:p>
    <w:p w14:paraId="63F1D4F5" w14:textId="77777777" w:rsidR="001D58DD" w:rsidRPr="005D28F4" w:rsidRDefault="005D28F4" w:rsidP="001D58DD">
      <w:pPr>
        <w:spacing w:line="360" w:lineRule="auto"/>
        <w:jc w:val="both"/>
        <w:rPr>
          <w:rFonts w:ascii="Arial" w:hAnsi="Arial"/>
          <w:color w:val="FFFFFF"/>
          <w:sz w:val="2"/>
          <w:szCs w:val="2"/>
          <w:rtl/>
        </w:rPr>
      </w:pPr>
      <w:r w:rsidRPr="005D28F4">
        <w:rPr>
          <w:rFonts w:ascii="Arial" w:hAnsi="Arial"/>
          <w:color w:val="FFFFFF"/>
          <w:sz w:val="2"/>
          <w:szCs w:val="2"/>
          <w:rtl/>
        </w:rPr>
        <w:t>5129371</w:t>
      </w:r>
    </w:p>
    <w:p w14:paraId="4F83AC25" w14:textId="77777777" w:rsidR="001D58DD" w:rsidRDefault="005D28F4" w:rsidP="001D58DD">
      <w:pPr>
        <w:rPr>
          <w:rFonts w:cs="FrankRuehl"/>
          <w:sz w:val="28"/>
          <w:szCs w:val="28"/>
          <w:rtl/>
        </w:rPr>
      </w:pPr>
      <w:r w:rsidRPr="005D28F4">
        <w:rPr>
          <w:rFonts w:ascii="Arial" w:hAnsi="Arial"/>
          <w:color w:val="FFFFFF"/>
          <w:sz w:val="2"/>
          <w:szCs w:val="2"/>
          <w:rtl/>
        </w:rPr>
        <w:t>54678313</w:t>
      </w:r>
      <w:r>
        <w:rPr>
          <w:rFonts w:ascii="Arial" w:hAnsi="Arial"/>
          <w:rtl/>
        </w:rPr>
        <w:t xml:space="preserve">ניתן היום,  י"ד סיוון תשפ"ב, במעמד הצדדים. </w:t>
      </w:r>
    </w:p>
    <w:p w14:paraId="096FEBED" w14:textId="77777777" w:rsidR="001D58DD" w:rsidRDefault="001D58DD" w:rsidP="005D28F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BA8677" w14:textId="77777777" w:rsidR="001D58DD" w:rsidRDefault="001D58DD" w:rsidP="001D58DD">
      <w:pPr>
        <w:jc w:val="center"/>
        <w:rPr>
          <w:rFonts w:ascii="Arial" w:hAnsi="Arial" w:cs="FrankRuehl"/>
          <w:sz w:val="28"/>
          <w:szCs w:val="28"/>
          <w:rtl/>
        </w:rPr>
      </w:pPr>
    </w:p>
    <w:p w14:paraId="7FC552E0" w14:textId="77777777" w:rsidR="001D58DD" w:rsidRDefault="001D58DD" w:rsidP="001D58DD">
      <w:pPr>
        <w:rPr>
          <w:rFonts w:cs="FrankRuehl"/>
          <w:sz w:val="28"/>
          <w:szCs w:val="28"/>
          <w:rtl/>
        </w:rPr>
      </w:pPr>
    </w:p>
    <w:p w14:paraId="50095ECC" w14:textId="77777777" w:rsidR="001D58DD" w:rsidRPr="00583938" w:rsidRDefault="00583938" w:rsidP="001D58DD">
      <w:pPr>
        <w:pStyle w:val="a3"/>
        <w:jc w:val="center"/>
        <w:rPr>
          <w:color w:val="FFFFFF"/>
          <w:sz w:val="2"/>
          <w:szCs w:val="2"/>
          <w:rtl/>
        </w:rPr>
      </w:pPr>
      <w:r w:rsidRPr="00583938">
        <w:rPr>
          <w:color w:val="FFFFFF"/>
          <w:sz w:val="2"/>
          <w:szCs w:val="2"/>
          <w:rtl/>
        </w:rPr>
        <w:t>5129371</w:t>
      </w:r>
    </w:p>
    <w:p w14:paraId="1286A908" w14:textId="77777777" w:rsidR="0002421E" w:rsidRPr="00583938" w:rsidRDefault="00583938" w:rsidP="005D28F4">
      <w:pPr>
        <w:keepNext/>
        <w:rPr>
          <w:rFonts w:ascii="David" w:hAnsi="David"/>
          <w:color w:val="FFFFFF"/>
          <w:sz w:val="2"/>
          <w:szCs w:val="2"/>
          <w:rtl/>
        </w:rPr>
      </w:pPr>
      <w:r w:rsidRPr="00583938">
        <w:rPr>
          <w:rFonts w:ascii="David" w:hAnsi="David"/>
          <w:color w:val="FFFFFF"/>
          <w:sz w:val="2"/>
          <w:szCs w:val="2"/>
          <w:rtl/>
        </w:rPr>
        <w:t>54678313</w:t>
      </w:r>
    </w:p>
    <w:p w14:paraId="530F411E" w14:textId="77777777" w:rsidR="005D28F4" w:rsidRDefault="005D28F4" w:rsidP="005D28F4">
      <w:pPr>
        <w:rPr>
          <w:rtl/>
        </w:rPr>
      </w:pPr>
    </w:p>
    <w:p w14:paraId="0B41F1FF" w14:textId="77777777" w:rsidR="005D28F4" w:rsidRDefault="005D28F4" w:rsidP="005D28F4">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BED6BCC" w14:textId="77777777" w:rsidR="00583938" w:rsidRPr="00583938" w:rsidRDefault="00583938" w:rsidP="00583938">
      <w:pPr>
        <w:keepNext/>
        <w:rPr>
          <w:rFonts w:ascii="David" w:hAnsi="David"/>
          <w:color w:val="000000"/>
          <w:sz w:val="22"/>
          <w:szCs w:val="22"/>
          <w:rtl/>
        </w:rPr>
      </w:pPr>
    </w:p>
    <w:p w14:paraId="5E4D58BC" w14:textId="77777777" w:rsidR="00583938" w:rsidRPr="00583938" w:rsidRDefault="00583938" w:rsidP="00583938">
      <w:pPr>
        <w:keepNext/>
        <w:rPr>
          <w:rFonts w:ascii="David" w:hAnsi="David"/>
          <w:color w:val="000000"/>
          <w:sz w:val="22"/>
          <w:szCs w:val="22"/>
          <w:rtl/>
        </w:rPr>
      </w:pPr>
      <w:r w:rsidRPr="00583938">
        <w:rPr>
          <w:rFonts w:ascii="David" w:hAnsi="David"/>
          <w:color w:val="000000"/>
          <w:sz w:val="22"/>
          <w:szCs w:val="22"/>
          <w:rtl/>
        </w:rPr>
        <w:t>טל לחיאני שהם 54678313-/</w:t>
      </w:r>
    </w:p>
    <w:p w14:paraId="5852063A" w14:textId="77777777" w:rsidR="005D28F4" w:rsidRPr="005D28F4" w:rsidRDefault="00583938" w:rsidP="00583938">
      <w:pPr>
        <w:rPr>
          <w:color w:val="0000FF"/>
          <w:u w:val="single"/>
        </w:rPr>
      </w:pPr>
      <w:r w:rsidRPr="00583938">
        <w:rPr>
          <w:color w:val="000000"/>
          <w:u w:val="single"/>
          <w:rtl/>
        </w:rPr>
        <w:t>נוסח מסמך זה כפוף לשינויי ניסוח ועריכה</w:t>
      </w:r>
    </w:p>
    <w:sectPr w:rsidR="005D28F4" w:rsidRPr="005D28F4" w:rsidSect="0058393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15A58" w14:textId="77777777" w:rsidR="00BB4D62" w:rsidRDefault="00BB4D62" w:rsidP="00B523EE">
      <w:r>
        <w:separator/>
      </w:r>
    </w:p>
  </w:endnote>
  <w:endnote w:type="continuationSeparator" w:id="0">
    <w:p w14:paraId="0665299C" w14:textId="77777777" w:rsidR="00BB4D62" w:rsidRDefault="00BB4D62" w:rsidP="00B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596D0" w14:textId="77777777" w:rsidR="00583938" w:rsidRDefault="00583938" w:rsidP="005839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977518" w14:textId="77777777" w:rsidR="00221B68" w:rsidRPr="00583938" w:rsidRDefault="00583938" w:rsidP="00583938">
    <w:pPr>
      <w:pStyle w:val="a5"/>
      <w:pBdr>
        <w:top w:val="single" w:sz="4" w:space="1" w:color="auto"/>
        <w:between w:val="single" w:sz="4" w:space="0" w:color="auto"/>
      </w:pBdr>
      <w:spacing w:after="60"/>
      <w:jc w:val="center"/>
      <w:rPr>
        <w:rFonts w:ascii="FrankRuehl" w:hAnsi="FrankRuehl" w:cs="FrankRuehl"/>
        <w:color w:val="000000"/>
      </w:rPr>
    </w:pPr>
    <w:r w:rsidRPr="005839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C2A1" w14:textId="77777777" w:rsidR="00583938" w:rsidRDefault="00583938" w:rsidP="005839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04DC">
      <w:rPr>
        <w:rFonts w:ascii="FrankRuehl" w:hAnsi="FrankRuehl" w:cs="FrankRuehl"/>
        <w:noProof/>
        <w:rtl/>
      </w:rPr>
      <w:t>1</w:t>
    </w:r>
    <w:r>
      <w:rPr>
        <w:rFonts w:ascii="FrankRuehl" w:hAnsi="FrankRuehl" w:cs="FrankRuehl"/>
        <w:rtl/>
      </w:rPr>
      <w:fldChar w:fldCharType="end"/>
    </w:r>
  </w:p>
  <w:p w14:paraId="08C06DE3" w14:textId="77777777" w:rsidR="00221B68" w:rsidRPr="00583938" w:rsidRDefault="00583938" w:rsidP="00583938">
    <w:pPr>
      <w:pStyle w:val="a5"/>
      <w:pBdr>
        <w:top w:val="single" w:sz="4" w:space="1" w:color="auto"/>
        <w:between w:val="single" w:sz="4" w:space="0" w:color="auto"/>
      </w:pBdr>
      <w:spacing w:after="60"/>
      <w:jc w:val="center"/>
      <w:rPr>
        <w:rFonts w:ascii="FrankRuehl" w:hAnsi="FrankRuehl" w:cs="FrankRuehl"/>
        <w:color w:val="000000"/>
      </w:rPr>
    </w:pPr>
    <w:r w:rsidRPr="00583938">
      <w:rPr>
        <w:rFonts w:ascii="FrankRuehl" w:hAnsi="FrankRuehl" w:cs="FrankRuehl"/>
        <w:color w:val="000000"/>
      </w:rPr>
      <w:pict w14:anchorId="126A2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6998D" w14:textId="77777777" w:rsidR="00BB4D62" w:rsidRDefault="00BB4D62" w:rsidP="00B523EE">
      <w:r>
        <w:separator/>
      </w:r>
    </w:p>
  </w:footnote>
  <w:footnote w:type="continuationSeparator" w:id="0">
    <w:p w14:paraId="223FBA20" w14:textId="77777777" w:rsidR="00BB4D62" w:rsidRDefault="00BB4D62" w:rsidP="00B5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2494B" w14:textId="77777777" w:rsidR="005D28F4" w:rsidRPr="00583938" w:rsidRDefault="00583938" w:rsidP="005839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33037-09-17</w:t>
    </w:r>
    <w:r>
      <w:rPr>
        <w:rFonts w:ascii="David" w:hAnsi="David"/>
        <w:color w:val="000000"/>
        <w:sz w:val="22"/>
        <w:szCs w:val="22"/>
        <w:rtl/>
      </w:rPr>
      <w:tab/>
      <w:t xml:space="preserve"> מדינת ישראל נ' עמרם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60EFB" w14:textId="77777777" w:rsidR="005D28F4" w:rsidRPr="00583938" w:rsidRDefault="00583938" w:rsidP="005839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33037-09-17</w:t>
    </w:r>
    <w:r>
      <w:rPr>
        <w:rFonts w:ascii="David" w:hAnsi="David"/>
        <w:color w:val="000000"/>
        <w:sz w:val="22"/>
        <w:szCs w:val="22"/>
        <w:rtl/>
      </w:rPr>
      <w:tab/>
      <w:t xml:space="preserve"> מדינת ישראל נ' עמרם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0774"/>
    <w:multiLevelType w:val="hybridMultilevel"/>
    <w:tmpl w:val="99FE3F2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2067CDB"/>
    <w:multiLevelType w:val="hybridMultilevel"/>
    <w:tmpl w:val="8C10E592"/>
    <w:lvl w:ilvl="0" w:tplc="B380DEDC">
      <w:start w:val="1"/>
      <w:numFmt w:val="hebrew1"/>
      <w:lvlText w:val="%1."/>
      <w:lvlJc w:val="left"/>
      <w:pPr>
        <w:ind w:left="420" w:hanging="360"/>
      </w:pPr>
      <w:rPr>
        <w:rFonts w:cs="David"/>
        <w:b/>
        <w:bCs/>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num w:numId="1" w16cid:durableId="20128265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6471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8DD"/>
    <w:rsid w:val="0002421E"/>
    <w:rsid w:val="001B5A3B"/>
    <w:rsid w:val="001D58DD"/>
    <w:rsid w:val="00221B68"/>
    <w:rsid w:val="002939E5"/>
    <w:rsid w:val="00406CF4"/>
    <w:rsid w:val="00573E7B"/>
    <w:rsid w:val="00583938"/>
    <w:rsid w:val="005D28F4"/>
    <w:rsid w:val="0071037D"/>
    <w:rsid w:val="00784924"/>
    <w:rsid w:val="00972CF9"/>
    <w:rsid w:val="00AF04DC"/>
    <w:rsid w:val="00AF4B31"/>
    <w:rsid w:val="00B523EE"/>
    <w:rsid w:val="00BB4D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B2DCD1"/>
  <w15:chartTrackingRefBased/>
  <w15:docId w15:val="{5AF2E2DA-93C4-4CAA-829A-FD45E5FB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8D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58DD"/>
    <w:pPr>
      <w:tabs>
        <w:tab w:val="center" w:pos="4153"/>
        <w:tab w:val="right" w:pos="8306"/>
      </w:tabs>
    </w:pPr>
  </w:style>
  <w:style w:type="character" w:customStyle="1" w:styleId="a4">
    <w:name w:val="כותרת עליונה תו"/>
    <w:link w:val="a3"/>
    <w:rsid w:val="001D58DD"/>
    <w:rPr>
      <w:rFonts w:ascii="Times New Roman" w:eastAsia="Times New Roman" w:hAnsi="Times New Roman" w:cs="David"/>
      <w:sz w:val="24"/>
      <w:szCs w:val="24"/>
    </w:rPr>
  </w:style>
  <w:style w:type="paragraph" w:styleId="a5">
    <w:name w:val="footer"/>
    <w:basedOn w:val="a"/>
    <w:link w:val="a6"/>
    <w:rsid w:val="001D58DD"/>
    <w:pPr>
      <w:tabs>
        <w:tab w:val="center" w:pos="4153"/>
        <w:tab w:val="right" w:pos="8306"/>
      </w:tabs>
    </w:pPr>
  </w:style>
  <w:style w:type="character" w:customStyle="1" w:styleId="a6">
    <w:name w:val="כותרת תחתונה תו"/>
    <w:link w:val="a5"/>
    <w:rsid w:val="001D58DD"/>
    <w:rPr>
      <w:rFonts w:ascii="Times New Roman" w:eastAsia="Times New Roman" w:hAnsi="Times New Roman" w:cs="David"/>
      <w:sz w:val="24"/>
      <w:szCs w:val="24"/>
    </w:rPr>
  </w:style>
  <w:style w:type="table" w:styleId="a7">
    <w:name w:val="Table Grid"/>
    <w:basedOn w:val="a1"/>
    <w:rsid w:val="001D58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58DD"/>
  </w:style>
  <w:style w:type="character" w:styleId="Hyperlink">
    <w:name w:val="Hyperlink"/>
    <w:rsid w:val="005D2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6"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07304" TargetMode="External"/><Relationship Id="rId39" Type="http://schemas.openxmlformats.org/officeDocument/2006/relationships/hyperlink" Target="http://www.nevo.co.il/case/22940249" TargetMode="External"/><Relationship Id="rId21" Type="http://schemas.openxmlformats.org/officeDocument/2006/relationships/hyperlink" Target="http://www.nevo.co.il/case/22940249" TargetMode="External"/><Relationship Id="rId34" Type="http://schemas.openxmlformats.org/officeDocument/2006/relationships/hyperlink" Target="http://www.nevo.co.il/case/22940249" TargetMode="External"/><Relationship Id="rId42" Type="http://schemas.openxmlformats.org/officeDocument/2006/relationships/header" Target="header2.xml"/><Relationship Id="rId7" Type="http://schemas.openxmlformats.org/officeDocument/2006/relationships/hyperlink" Target="http://www.nevo.co.il/case/22983199" TargetMode="External"/><Relationship Id="rId2" Type="http://schemas.openxmlformats.org/officeDocument/2006/relationships/styles" Target="styles.xml"/><Relationship Id="rId16" Type="http://schemas.openxmlformats.org/officeDocument/2006/relationships/hyperlink" Target="http://www.nevo.co.il/law/70301/40jc.c" TargetMode="External"/><Relationship Id="rId29" Type="http://schemas.openxmlformats.org/officeDocument/2006/relationships/hyperlink" Target="http://www.nevo.co.il/case/263584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4914678"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case/22940249"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6051623" TargetMode="External"/><Relationship Id="rId28" Type="http://schemas.openxmlformats.org/officeDocument/2006/relationships/hyperlink" Target="http://www.nevo.co.il/law/70301/40i"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7.c" TargetMode="External"/><Relationship Id="rId31" Type="http://schemas.openxmlformats.org/officeDocument/2006/relationships/hyperlink" Target="http://www.nevo.co.il/law/70301/40jc"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90354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56" TargetMode="External"/><Relationship Id="rId43" Type="http://schemas.openxmlformats.org/officeDocument/2006/relationships/footer" Target="footer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4900850" TargetMode="External"/><Relationship Id="rId33" Type="http://schemas.openxmlformats.org/officeDocument/2006/relationships/hyperlink" Target="http://www.nevo.co.il/law/70301/40jc.c"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2490</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14916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4128880</vt:i4>
      </vt:variant>
      <vt:variant>
        <vt:i4>96</vt:i4>
      </vt:variant>
      <vt:variant>
        <vt:i4>0</vt:i4>
      </vt:variant>
      <vt:variant>
        <vt:i4>5</vt:i4>
      </vt:variant>
      <vt:variant>
        <vt:lpwstr>http://www.nevo.co.il/case/22940249</vt:lpwstr>
      </vt:variant>
      <vt:variant>
        <vt:lpwstr/>
      </vt:variant>
      <vt:variant>
        <vt:i4>8257637</vt:i4>
      </vt:variant>
      <vt:variant>
        <vt:i4>93</vt:i4>
      </vt:variant>
      <vt:variant>
        <vt:i4>0</vt:i4>
      </vt:variant>
      <vt:variant>
        <vt:i4>5</vt:i4>
      </vt:variant>
      <vt:variant>
        <vt:lpwstr>http://www.nevo.co.il/law/4216</vt:lpwstr>
      </vt:variant>
      <vt:variant>
        <vt:lpwstr/>
      </vt:variant>
      <vt:variant>
        <vt:i4>4128880</vt:i4>
      </vt:variant>
      <vt:variant>
        <vt:i4>90</vt:i4>
      </vt:variant>
      <vt:variant>
        <vt:i4>0</vt:i4>
      </vt:variant>
      <vt:variant>
        <vt:i4>5</vt:i4>
      </vt:variant>
      <vt:variant>
        <vt:lpwstr>http://www.nevo.co.il/case/22940249</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6488160</vt:i4>
      </vt:variant>
      <vt:variant>
        <vt:i4>84</vt:i4>
      </vt:variant>
      <vt:variant>
        <vt:i4>0</vt:i4>
      </vt:variant>
      <vt:variant>
        <vt:i4>5</vt:i4>
      </vt:variant>
      <vt:variant>
        <vt:lpwstr>http://www.nevo.co.il/law/70301/56</vt:lpwstr>
      </vt:variant>
      <vt:variant>
        <vt:lpwstr/>
      </vt:variant>
      <vt:variant>
        <vt:i4>4128880</vt:i4>
      </vt:variant>
      <vt:variant>
        <vt:i4>81</vt:i4>
      </vt:variant>
      <vt:variant>
        <vt:i4>0</vt:i4>
      </vt:variant>
      <vt:variant>
        <vt:i4>5</vt:i4>
      </vt:variant>
      <vt:variant>
        <vt:lpwstr>http://www.nevo.co.il/case/22940249</vt:lpwstr>
      </vt:variant>
      <vt:variant>
        <vt:lpwstr/>
      </vt:variant>
      <vt:variant>
        <vt:i4>6619173</vt:i4>
      </vt:variant>
      <vt:variant>
        <vt:i4>78</vt:i4>
      </vt:variant>
      <vt:variant>
        <vt:i4>0</vt:i4>
      </vt:variant>
      <vt:variant>
        <vt:i4>5</vt:i4>
      </vt:variant>
      <vt:variant>
        <vt:lpwstr>http://www.nevo.co.il/law/70301/40jc.c</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4063347</vt:i4>
      </vt:variant>
      <vt:variant>
        <vt:i4>66</vt:i4>
      </vt:variant>
      <vt:variant>
        <vt:i4>0</vt:i4>
      </vt:variant>
      <vt:variant>
        <vt:i4>5</vt:i4>
      </vt:variant>
      <vt:variant>
        <vt:lpwstr>http://www.nevo.co.il/case/26358474</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3342458</vt:i4>
      </vt:variant>
      <vt:variant>
        <vt:i4>60</vt:i4>
      </vt:variant>
      <vt:variant>
        <vt:i4>0</vt:i4>
      </vt:variant>
      <vt:variant>
        <vt:i4>5</vt:i4>
      </vt:variant>
      <vt:variant>
        <vt:lpwstr>http://www.nevo.co.il/case/2903544</vt:lpwstr>
      </vt:variant>
      <vt:variant>
        <vt:lpwstr/>
      </vt:variant>
      <vt:variant>
        <vt:i4>3276917</vt:i4>
      </vt:variant>
      <vt:variant>
        <vt:i4>57</vt:i4>
      </vt:variant>
      <vt:variant>
        <vt:i4>0</vt:i4>
      </vt:variant>
      <vt:variant>
        <vt:i4>5</vt:i4>
      </vt:variant>
      <vt:variant>
        <vt:lpwstr>http://www.nevo.co.il/case/5607304</vt:lpwstr>
      </vt:variant>
      <vt:variant>
        <vt:lpwstr/>
      </vt:variant>
      <vt:variant>
        <vt:i4>3932280</vt:i4>
      </vt:variant>
      <vt:variant>
        <vt:i4>54</vt:i4>
      </vt:variant>
      <vt:variant>
        <vt:i4>0</vt:i4>
      </vt:variant>
      <vt:variant>
        <vt:i4>5</vt:i4>
      </vt:variant>
      <vt:variant>
        <vt:lpwstr>http://www.nevo.co.il/case/4900850</vt:lpwstr>
      </vt:variant>
      <vt:variant>
        <vt:lpwstr/>
      </vt:variant>
      <vt:variant>
        <vt:i4>3866750</vt:i4>
      </vt:variant>
      <vt:variant>
        <vt:i4>51</vt:i4>
      </vt:variant>
      <vt:variant>
        <vt:i4>0</vt:i4>
      </vt:variant>
      <vt:variant>
        <vt:i4>5</vt:i4>
      </vt:variant>
      <vt:variant>
        <vt:lpwstr>http://www.nevo.co.il/case/4914678</vt:lpwstr>
      </vt:variant>
      <vt:variant>
        <vt:lpwstr/>
      </vt:variant>
      <vt:variant>
        <vt:i4>3539063</vt:i4>
      </vt:variant>
      <vt:variant>
        <vt:i4>48</vt:i4>
      </vt:variant>
      <vt:variant>
        <vt:i4>0</vt:i4>
      </vt:variant>
      <vt:variant>
        <vt:i4>5</vt:i4>
      </vt:variant>
      <vt:variant>
        <vt:lpwstr>http://www.nevo.co.il/case/6051623</vt:lpwstr>
      </vt:variant>
      <vt:variant>
        <vt:lpwstr/>
      </vt:variant>
      <vt:variant>
        <vt:i4>7995492</vt:i4>
      </vt:variant>
      <vt:variant>
        <vt:i4>45</vt:i4>
      </vt:variant>
      <vt:variant>
        <vt:i4>0</vt:i4>
      </vt:variant>
      <vt:variant>
        <vt:i4>5</vt:i4>
      </vt:variant>
      <vt:variant>
        <vt:lpwstr>http://www.nevo.co.il/law/70301</vt:lpwstr>
      </vt:variant>
      <vt:variant>
        <vt:lpwstr/>
      </vt:variant>
      <vt:variant>
        <vt:i4>4128880</vt:i4>
      </vt:variant>
      <vt:variant>
        <vt:i4>42</vt:i4>
      </vt:variant>
      <vt:variant>
        <vt:i4>0</vt:i4>
      </vt:variant>
      <vt:variant>
        <vt:i4>5</vt:i4>
      </vt:variant>
      <vt:variant>
        <vt:lpwstr>http://www.nevo.co.il/case/22940249</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6619173</vt:i4>
      </vt:variant>
      <vt:variant>
        <vt:i4>27</vt:i4>
      </vt:variant>
      <vt:variant>
        <vt:i4>0</vt:i4>
      </vt:variant>
      <vt:variant>
        <vt:i4>5</vt:i4>
      </vt:variant>
      <vt:variant>
        <vt:lpwstr>http://www.nevo.co.il/law/70301/40jc.c</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6488160</vt:i4>
      </vt:variant>
      <vt:variant>
        <vt:i4>18</vt:i4>
      </vt:variant>
      <vt:variant>
        <vt:i4>0</vt:i4>
      </vt:variant>
      <vt:variant>
        <vt:i4>5</vt:i4>
      </vt:variant>
      <vt:variant>
        <vt:lpwstr>http://www.nevo.co.il/law/70301/56</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3211391</vt:i4>
      </vt:variant>
      <vt:variant>
        <vt:i4>0</vt:i4>
      </vt:variant>
      <vt:variant>
        <vt:i4>0</vt:i4>
      </vt:variant>
      <vt:variant>
        <vt:i4>5</vt:i4>
      </vt:variant>
      <vt:variant>
        <vt:lpwstr>http://www.nevo.co.il/case/22983199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2025-04-22T23:32:00Z</dcterms:created>
  <dcterms:modified xsi:type="dcterms:W3CDTF">2025-04-22T23:32:00Z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33037</vt:lpwstr>
  </property>
  <property fmtid="{D5CDD505-2E9C-101B-9397-08002B2CF9AE}" pid="9" name="NEWPARTB">
    <vt:lpwstr>09</vt:lpwstr>
  </property>
  <property fmtid="{D5CDD505-2E9C-101B-9397-08002B2CF9AE}" pid="10" name="NEWPARTC">
    <vt:lpwstr>17</vt:lpwstr>
  </property>
  <property fmtid="{D5CDD505-2E9C-101B-9397-08002B2CF9AE}" pid="11" name="APPELLANT">
    <vt:lpwstr>מדינת ישראל</vt:lpwstr>
  </property>
  <property fmtid="{D5CDD505-2E9C-101B-9397-08002B2CF9AE}" pid="12" name="APPELLEE">
    <vt:lpwstr>עמרם ביטון</vt:lpwstr>
  </property>
  <property fmtid="{D5CDD505-2E9C-101B-9397-08002B2CF9AE}" pid="13" name="LAWYER">
    <vt:lpwstr>פיני סויסה;שני פרג'ון</vt:lpwstr>
  </property>
  <property fmtid="{D5CDD505-2E9C-101B-9397-08002B2CF9AE}" pid="14" name="JUDGE">
    <vt:lpwstr>טל לחיאני שהם</vt:lpwstr>
  </property>
  <property fmtid="{D5CDD505-2E9C-101B-9397-08002B2CF9AE}" pid="15" name="CITY">
    <vt:lpwstr>ק"ג</vt:lpwstr>
  </property>
  <property fmtid="{D5CDD505-2E9C-101B-9397-08002B2CF9AE}" pid="16" name="DATE">
    <vt:lpwstr>20181231</vt:lpwstr>
  </property>
  <property fmtid="{D5CDD505-2E9C-101B-9397-08002B2CF9AE}" pid="17" name="FICTIVEDATE">
    <vt:lpwstr>YES</vt:lpwstr>
  </property>
  <property fmtid="{D5CDD505-2E9C-101B-9397-08002B2CF9AE}" pid="18" name="TYPE_N_DATE">
    <vt:lpwstr>38020181231</vt:lpwstr>
  </property>
  <property fmtid="{D5CDD505-2E9C-101B-9397-08002B2CF9AE}" pid="19" name="WORDNUMPAGES">
    <vt:lpwstr>8</vt:lpwstr>
  </property>
  <property fmtid="{D5CDD505-2E9C-101B-9397-08002B2CF9AE}" pid="20" name="TYPE_ABS_DATE">
    <vt:lpwstr>380020181231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22983199;22940249:4;6051623;4914678;4900850;5607304;2903544;26358474</vt:lpwstr>
  </property>
  <property fmtid="{D5CDD505-2E9C-101B-9397-08002B2CF9AE}" pid="37" name="LAWLISTTMP1">
    <vt:lpwstr>4216/007.a:2;007.c:2</vt:lpwstr>
  </property>
  <property fmtid="{D5CDD505-2E9C-101B-9397-08002B2CF9AE}" pid="38" name="LAWLISTTMP2">
    <vt:lpwstr>70301/040i;40jc;40ja;40jc.c;056</vt:lpwstr>
  </property>
</Properties>
</file>