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4546A3" w:rsidRPr="004546A3" w14:paraId="6CCA6F61" w14:textId="77777777" w:rsidTr="00862457">
        <w:trPr>
          <w:trHeight w:hRule="exact" w:val="418"/>
          <w:jc w:val="center"/>
        </w:trPr>
        <w:tc>
          <w:tcPr>
            <w:tcW w:w="8721" w:type="dxa"/>
            <w:gridSpan w:val="2"/>
          </w:tcPr>
          <w:p w14:paraId="3D792D44" w14:textId="77777777" w:rsidR="004546A3" w:rsidRPr="004546A3" w:rsidRDefault="004546A3" w:rsidP="00862457">
            <w:pPr>
              <w:pStyle w:val="a3"/>
              <w:jc w:val="center"/>
              <w:rPr>
                <w:rFonts w:ascii="Tahoma" w:hAnsi="Tahoma" w:cs="Tahoma"/>
                <w:noProof w:val="0"/>
                <w:color w:val="000080"/>
                <w:rtl/>
              </w:rPr>
            </w:pPr>
            <w:r w:rsidRPr="004546A3">
              <w:rPr>
                <w:rFonts w:ascii="Tahoma" w:hAnsi="Tahoma" w:cs="Tahoma"/>
                <w:b/>
                <w:bCs/>
                <w:noProof w:val="0"/>
                <w:color w:val="000080"/>
                <w:rtl/>
              </w:rPr>
              <w:t>בית משפט השלום בקריית גת</w:t>
            </w:r>
          </w:p>
        </w:tc>
      </w:tr>
      <w:tr w:rsidR="004546A3" w:rsidRPr="004546A3" w14:paraId="2C90455B" w14:textId="77777777" w:rsidTr="00862457">
        <w:trPr>
          <w:trHeight w:val="337"/>
          <w:jc w:val="center"/>
        </w:trPr>
        <w:tc>
          <w:tcPr>
            <w:tcW w:w="5047" w:type="dxa"/>
          </w:tcPr>
          <w:p w14:paraId="2D1FC8BC" w14:textId="77777777" w:rsidR="004546A3" w:rsidRPr="004546A3" w:rsidRDefault="004546A3" w:rsidP="00862457">
            <w:pPr>
              <w:rPr>
                <w:b/>
                <w:bCs/>
                <w:noProof w:val="0"/>
                <w:sz w:val="26"/>
                <w:szCs w:val="26"/>
                <w:rtl/>
              </w:rPr>
            </w:pPr>
          </w:p>
        </w:tc>
        <w:tc>
          <w:tcPr>
            <w:tcW w:w="3674" w:type="dxa"/>
          </w:tcPr>
          <w:p w14:paraId="3764AEBC" w14:textId="77777777" w:rsidR="004546A3" w:rsidRPr="004546A3" w:rsidRDefault="004546A3" w:rsidP="00862457">
            <w:pPr>
              <w:pStyle w:val="a3"/>
              <w:jc w:val="right"/>
              <w:rPr>
                <w:b/>
                <w:bCs/>
                <w:noProof w:val="0"/>
                <w:sz w:val="26"/>
                <w:szCs w:val="26"/>
                <w:rtl/>
              </w:rPr>
            </w:pPr>
            <w:r w:rsidRPr="004546A3">
              <w:rPr>
                <w:b/>
                <w:bCs/>
                <w:noProof w:val="0"/>
                <w:sz w:val="26"/>
                <w:szCs w:val="26"/>
                <w:rtl/>
              </w:rPr>
              <w:t>01 ינואר 2020</w:t>
            </w:r>
          </w:p>
        </w:tc>
      </w:tr>
      <w:tr w:rsidR="004546A3" w:rsidRPr="004546A3" w14:paraId="2E7D493A" w14:textId="77777777" w:rsidTr="00862457">
        <w:trPr>
          <w:trHeight w:val="337"/>
          <w:jc w:val="center"/>
        </w:trPr>
        <w:tc>
          <w:tcPr>
            <w:tcW w:w="8721" w:type="dxa"/>
            <w:gridSpan w:val="2"/>
          </w:tcPr>
          <w:p w14:paraId="35C16C7B" w14:textId="77777777" w:rsidR="004546A3" w:rsidRPr="004546A3" w:rsidRDefault="004546A3" w:rsidP="00862457">
            <w:pPr>
              <w:rPr>
                <w:b/>
                <w:bCs/>
                <w:noProof w:val="0"/>
                <w:sz w:val="26"/>
                <w:szCs w:val="26"/>
                <w:rtl/>
              </w:rPr>
            </w:pPr>
            <w:r w:rsidRPr="004546A3">
              <w:rPr>
                <w:b/>
                <w:bCs/>
                <w:noProof w:val="0"/>
                <w:sz w:val="26"/>
                <w:szCs w:val="26"/>
                <w:rtl/>
              </w:rPr>
              <w:t>ת"פ 42225-09-17 מדינת ישראל נ' אוחנה</w:t>
            </w:r>
          </w:p>
          <w:p w14:paraId="586B7BE8" w14:textId="77777777" w:rsidR="004546A3" w:rsidRPr="004546A3" w:rsidRDefault="004546A3" w:rsidP="00862457">
            <w:pPr>
              <w:rPr>
                <w:noProof w:val="0"/>
                <w:rtl/>
              </w:rPr>
            </w:pPr>
          </w:p>
        </w:tc>
      </w:tr>
    </w:tbl>
    <w:p w14:paraId="176EF6A9" w14:textId="77777777" w:rsidR="004546A3" w:rsidRPr="004546A3" w:rsidRDefault="004546A3" w:rsidP="004546A3"/>
    <w:tbl>
      <w:tblPr>
        <w:bidiVisual/>
        <w:tblW w:w="0" w:type="auto"/>
        <w:jc w:val="center"/>
        <w:tblLook w:val="0000" w:firstRow="0" w:lastRow="0" w:firstColumn="0" w:lastColumn="0" w:noHBand="0" w:noVBand="0"/>
      </w:tblPr>
      <w:tblGrid>
        <w:gridCol w:w="873"/>
        <w:gridCol w:w="7848"/>
      </w:tblGrid>
      <w:tr w:rsidR="004546A3" w:rsidRPr="004546A3" w14:paraId="014B87A6" w14:textId="77777777" w:rsidTr="00862457">
        <w:trPr>
          <w:trHeight w:val="337"/>
          <w:jc w:val="center"/>
        </w:trPr>
        <w:tc>
          <w:tcPr>
            <w:tcW w:w="873" w:type="dxa"/>
          </w:tcPr>
          <w:p w14:paraId="16F97AE7" w14:textId="77777777" w:rsidR="004546A3" w:rsidRPr="004546A3" w:rsidRDefault="004546A3" w:rsidP="00862457">
            <w:pPr>
              <w:tabs>
                <w:tab w:val="left" w:pos="1710"/>
              </w:tabs>
              <w:rPr>
                <w:b/>
                <w:bCs/>
                <w:noProof w:val="0"/>
                <w:sz w:val="28"/>
                <w:szCs w:val="28"/>
                <w:rtl/>
              </w:rPr>
            </w:pPr>
            <w:r w:rsidRPr="004546A3">
              <w:rPr>
                <w:b/>
                <w:bCs/>
                <w:noProof w:val="0"/>
                <w:sz w:val="28"/>
                <w:szCs w:val="28"/>
                <w:rtl/>
              </w:rPr>
              <w:t>בפני</w:t>
            </w:r>
          </w:p>
        </w:tc>
        <w:tc>
          <w:tcPr>
            <w:tcW w:w="7848" w:type="dxa"/>
          </w:tcPr>
          <w:p w14:paraId="7BECAAA9" w14:textId="77777777" w:rsidR="004546A3" w:rsidRPr="004546A3" w:rsidRDefault="004546A3" w:rsidP="00862457">
            <w:pPr>
              <w:rPr>
                <w:rFonts w:ascii="Arial" w:hAnsi="Arial"/>
                <w:b/>
                <w:bCs/>
                <w:noProof w:val="0"/>
                <w:sz w:val="28"/>
                <w:szCs w:val="28"/>
                <w:rtl/>
              </w:rPr>
            </w:pPr>
            <w:r w:rsidRPr="004546A3">
              <w:rPr>
                <w:rFonts w:ascii="Arial" w:hAnsi="Arial"/>
                <w:b/>
                <w:bCs/>
                <w:noProof w:val="0"/>
                <w:sz w:val="28"/>
                <w:szCs w:val="28"/>
                <w:rtl/>
              </w:rPr>
              <w:t>כב' השופטת נגה שמואלי-מאייר, סגנית הנשיאה</w:t>
            </w:r>
          </w:p>
          <w:p w14:paraId="415BFED2" w14:textId="77777777" w:rsidR="004546A3" w:rsidRPr="004546A3" w:rsidRDefault="004546A3" w:rsidP="00862457">
            <w:pPr>
              <w:tabs>
                <w:tab w:val="left" w:pos="1710"/>
              </w:tabs>
              <w:rPr>
                <w:noProof w:val="0"/>
                <w:rtl/>
              </w:rPr>
            </w:pPr>
          </w:p>
        </w:tc>
      </w:tr>
    </w:tbl>
    <w:p w14:paraId="499F981D" w14:textId="77777777" w:rsidR="004546A3" w:rsidRPr="004546A3" w:rsidRDefault="004546A3" w:rsidP="004546A3">
      <w:pPr>
        <w:pStyle w:val="a3"/>
        <w:rPr>
          <w:noProof w:val="0"/>
          <w:rtl/>
        </w:rPr>
      </w:pPr>
      <w:bookmarkStart w:id="0" w:name="LastJudge"/>
      <w:bookmarkEnd w:id="0"/>
      <w:r w:rsidRPr="004546A3">
        <w:rPr>
          <w:noProof w:val="0"/>
          <w:rtl/>
        </w:rPr>
        <w:t xml:space="preserve"> </w:t>
      </w:r>
    </w:p>
    <w:tbl>
      <w:tblPr>
        <w:bidiVisual/>
        <w:tblW w:w="8820" w:type="dxa"/>
        <w:jc w:val="center"/>
        <w:tblLook w:val="01E0" w:firstRow="1" w:lastRow="1" w:firstColumn="1" w:lastColumn="1" w:noHBand="0" w:noVBand="0"/>
      </w:tblPr>
      <w:tblGrid>
        <w:gridCol w:w="5603"/>
        <w:gridCol w:w="3217"/>
      </w:tblGrid>
      <w:tr w:rsidR="004546A3" w:rsidRPr="004546A3" w14:paraId="3FBB8083" w14:textId="77777777" w:rsidTr="00862457">
        <w:trPr>
          <w:jc w:val="center"/>
        </w:trPr>
        <w:tc>
          <w:tcPr>
            <w:tcW w:w="5603" w:type="dxa"/>
          </w:tcPr>
          <w:p w14:paraId="0A9B5BD8" w14:textId="77777777" w:rsidR="004546A3" w:rsidRPr="004546A3" w:rsidRDefault="004546A3" w:rsidP="00862457">
            <w:pPr>
              <w:spacing w:line="360" w:lineRule="auto"/>
              <w:jc w:val="both"/>
              <w:rPr>
                <w:rFonts w:ascii="David" w:hAnsi="David"/>
                <w:b/>
                <w:bCs/>
                <w:noProof w:val="0"/>
                <w:sz w:val="28"/>
                <w:szCs w:val="28"/>
                <w:rtl/>
              </w:rPr>
            </w:pPr>
            <w:bookmarkStart w:id="1" w:name="FirstAppellant"/>
            <w:bookmarkStart w:id="2" w:name="FirstLawyer"/>
            <w:r w:rsidRPr="004546A3">
              <w:rPr>
                <w:rFonts w:ascii="David" w:hAnsi="David"/>
                <w:b/>
                <w:bCs/>
                <w:noProof w:val="0"/>
                <w:sz w:val="28"/>
                <w:szCs w:val="28"/>
                <w:rtl/>
              </w:rPr>
              <w:t>מדינת ישראל</w:t>
            </w:r>
          </w:p>
          <w:p w14:paraId="051F1B1B" w14:textId="77777777" w:rsidR="004546A3" w:rsidRPr="004546A3" w:rsidRDefault="004546A3" w:rsidP="00862457">
            <w:pPr>
              <w:spacing w:line="360" w:lineRule="auto"/>
              <w:jc w:val="both"/>
              <w:rPr>
                <w:rFonts w:ascii="David" w:hAnsi="David"/>
                <w:b/>
                <w:bCs/>
                <w:noProof w:val="0"/>
                <w:sz w:val="28"/>
                <w:szCs w:val="28"/>
                <w:rtl/>
              </w:rPr>
            </w:pPr>
            <w:r w:rsidRPr="004546A3">
              <w:rPr>
                <w:rFonts w:ascii="David" w:hAnsi="David"/>
                <w:b/>
                <w:bCs/>
                <w:noProof w:val="0"/>
                <w:sz w:val="28"/>
                <w:szCs w:val="28"/>
                <w:rtl/>
              </w:rPr>
              <w:t>ע"י ב"כ עו"ד ליבת אזולאי – נוכחת</w:t>
            </w:r>
          </w:p>
        </w:tc>
        <w:tc>
          <w:tcPr>
            <w:tcW w:w="3217" w:type="dxa"/>
          </w:tcPr>
          <w:p w14:paraId="155F7FAD" w14:textId="77777777" w:rsidR="004546A3" w:rsidRPr="004546A3" w:rsidRDefault="004546A3" w:rsidP="00862457">
            <w:pPr>
              <w:bidi w:val="0"/>
              <w:spacing w:line="360" w:lineRule="auto"/>
              <w:jc w:val="right"/>
              <w:rPr>
                <w:rFonts w:ascii="David" w:hAnsi="David"/>
                <w:b/>
                <w:bCs/>
                <w:noProof w:val="0"/>
                <w:sz w:val="28"/>
                <w:szCs w:val="28"/>
                <w:rtl/>
              </w:rPr>
            </w:pPr>
            <w:r w:rsidRPr="004546A3">
              <w:rPr>
                <w:rFonts w:ascii="David" w:hAnsi="David"/>
                <w:b/>
                <w:bCs/>
                <w:noProof w:val="0"/>
                <w:sz w:val="28"/>
                <w:szCs w:val="28"/>
                <w:rtl/>
              </w:rPr>
              <w:t>המאשימה</w:t>
            </w:r>
          </w:p>
          <w:p w14:paraId="0BB1D16A" w14:textId="77777777" w:rsidR="004546A3" w:rsidRPr="004546A3" w:rsidRDefault="004546A3" w:rsidP="00862457">
            <w:pPr>
              <w:spacing w:line="360" w:lineRule="auto"/>
              <w:jc w:val="both"/>
              <w:rPr>
                <w:rFonts w:ascii="David" w:hAnsi="David"/>
                <w:b/>
                <w:bCs/>
                <w:noProof w:val="0"/>
                <w:sz w:val="28"/>
                <w:szCs w:val="28"/>
                <w:rtl/>
              </w:rPr>
            </w:pPr>
          </w:p>
        </w:tc>
      </w:tr>
      <w:bookmarkEnd w:id="1"/>
      <w:bookmarkEnd w:id="2"/>
      <w:tr w:rsidR="004546A3" w:rsidRPr="004546A3" w14:paraId="3EB2CA57" w14:textId="77777777" w:rsidTr="00862457">
        <w:trPr>
          <w:jc w:val="center"/>
        </w:trPr>
        <w:tc>
          <w:tcPr>
            <w:tcW w:w="8820" w:type="dxa"/>
            <w:gridSpan w:val="2"/>
          </w:tcPr>
          <w:p w14:paraId="173DF37D" w14:textId="77777777" w:rsidR="004546A3" w:rsidRPr="004546A3" w:rsidRDefault="004546A3" w:rsidP="00862457">
            <w:pPr>
              <w:spacing w:line="360" w:lineRule="auto"/>
              <w:jc w:val="center"/>
              <w:rPr>
                <w:rFonts w:ascii="David" w:hAnsi="David"/>
                <w:b/>
                <w:bCs/>
                <w:noProof w:val="0"/>
                <w:sz w:val="28"/>
                <w:szCs w:val="28"/>
              </w:rPr>
            </w:pPr>
            <w:r w:rsidRPr="004546A3">
              <w:rPr>
                <w:rFonts w:ascii="David" w:hAnsi="David"/>
                <w:b/>
                <w:bCs/>
                <w:noProof w:val="0"/>
                <w:sz w:val="28"/>
                <w:szCs w:val="28"/>
                <w:rtl/>
              </w:rPr>
              <w:t>נ ג ד</w:t>
            </w:r>
          </w:p>
        </w:tc>
      </w:tr>
      <w:tr w:rsidR="004546A3" w:rsidRPr="004546A3" w14:paraId="3ED48D80" w14:textId="77777777" w:rsidTr="00862457">
        <w:trPr>
          <w:jc w:val="center"/>
        </w:trPr>
        <w:tc>
          <w:tcPr>
            <w:tcW w:w="5603" w:type="dxa"/>
          </w:tcPr>
          <w:p w14:paraId="6C0953D4" w14:textId="77777777" w:rsidR="004546A3" w:rsidRPr="004546A3" w:rsidRDefault="004546A3" w:rsidP="00862457">
            <w:pPr>
              <w:spacing w:line="360" w:lineRule="auto"/>
              <w:jc w:val="both"/>
              <w:rPr>
                <w:rFonts w:ascii="David" w:hAnsi="David"/>
                <w:sz w:val="28"/>
                <w:szCs w:val="28"/>
              </w:rPr>
            </w:pPr>
            <w:r w:rsidRPr="004546A3">
              <w:rPr>
                <w:rFonts w:ascii="David" w:hAnsi="David"/>
                <w:b/>
                <w:bCs/>
                <w:noProof w:val="0"/>
                <w:sz w:val="28"/>
                <w:szCs w:val="28"/>
                <w:rtl/>
              </w:rPr>
              <w:t>יורם אוחנה - נוכח</w:t>
            </w:r>
          </w:p>
          <w:p w14:paraId="3CE1DF42" w14:textId="77777777" w:rsidR="004546A3" w:rsidRPr="004546A3" w:rsidRDefault="004546A3" w:rsidP="00862457">
            <w:pPr>
              <w:spacing w:line="360" w:lineRule="auto"/>
              <w:jc w:val="both"/>
              <w:rPr>
                <w:rFonts w:ascii="David" w:hAnsi="David"/>
                <w:b/>
                <w:bCs/>
                <w:noProof w:val="0"/>
                <w:sz w:val="28"/>
                <w:szCs w:val="28"/>
                <w:rtl/>
              </w:rPr>
            </w:pPr>
            <w:r w:rsidRPr="004546A3">
              <w:rPr>
                <w:rFonts w:ascii="David" w:hAnsi="David"/>
                <w:b/>
                <w:bCs/>
                <w:noProof w:val="0"/>
                <w:sz w:val="28"/>
                <w:szCs w:val="28"/>
                <w:rtl/>
              </w:rPr>
              <w:t>ע"י ב"כ עו"ד דן גרובס – נוכח</w:t>
            </w:r>
          </w:p>
        </w:tc>
        <w:tc>
          <w:tcPr>
            <w:tcW w:w="3217" w:type="dxa"/>
          </w:tcPr>
          <w:p w14:paraId="403EA88A" w14:textId="77777777" w:rsidR="004546A3" w:rsidRPr="004546A3" w:rsidRDefault="004546A3" w:rsidP="00862457">
            <w:pPr>
              <w:spacing w:line="360" w:lineRule="auto"/>
              <w:jc w:val="both"/>
              <w:rPr>
                <w:rFonts w:ascii="David" w:hAnsi="David"/>
                <w:b/>
                <w:bCs/>
                <w:noProof w:val="0"/>
                <w:sz w:val="28"/>
                <w:szCs w:val="28"/>
                <w:rtl/>
              </w:rPr>
            </w:pPr>
            <w:r w:rsidRPr="004546A3">
              <w:rPr>
                <w:rFonts w:ascii="David" w:hAnsi="David"/>
                <w:b/>
                <w:bCs/>
                <w:noProof w:val="0"/>
                <w:sz w:val="28"/>
                <w:szCs w:val="28"/>
                <w:rtl/>
              </w:rPr>
              <w:t>הנאשם</w:t>
            </w:r>
          </w:p>
        </w:tc>
      </w:tr>
    </w:tbl>
    <w:p w14:paraId="7B453965" w14:textId="77777777" w:rsidR="004546A3" w:rsidRPr="004546A3" w:rsidRDefault="004546A3" w:rsidP="0083097F">
      <w:pPr>
        <w:spacing w:line="360" w:lineRule="auto"/>
        <w:jc w:val="both"/>
        <w:rPr>
          <w:rFonts w:ascii="David" w:hAnsi="David"/>
          <w:sz w:val="28"/>
          <w:szCs w:val="28"/>
        </w:rPr>
      </w:pPr>
    </w:p>
    <w:p w14:paraId="29B7C5FD" w14:textId="77777777" w:rsidR="00347060" w:rsidRPr="00347060" w:rsidRDefault="00347060" w:rsidP="00347060">
      <w:pPr>
        <w:pStyle w:val="1"/>
        <w:spacing w:before="120" w:after="120" w:line="240" w:lineRule="exact"/>
        <w:ind w:left="283" w:hanging="283"/>
        <w:jc w:val="both"/>
        <w:rPr>
          <w:rFonts w:ascii="FrankRuehl" w:hAnsi="FrankRuehl" w:cs="FrankRuehl"/>
          <w:noProof w:val="0"/>
          <w:color w:val="auto"/>
          <w:sz w:val="24"/>
          <w:szCs w:val="24"/>
        </w:rPr>
      </w:pPr>
      <w:bookmarkStart w:id="3" w:name="LawTable"/>
      <w:bookmarkEnd w:id="3"/>
      <w:r w:rsidRPr="00347060">
        <w:rPr>
          <w:rFonts w:ascii="FrankRuehl" w:hAnsi="FrankRuehl" w:cs="FrankRuehl"/>
          <w:noProof w:val="0"/>
          <w:color w:val="auto"/>
          <w:sz w:val="24"/>
          <w:szCs w:val="24"/>
          <w:rtl/>
        </w:rPr>
        <w:t xml:space="preserve">חקיקה שאוזכרה: </w:t>
      </w:r>
    </w:p>
    <w:p w14:paraId="0A333CC7" w14:textId="77777777" w:rsidR="00347060" w:rsidRPr="00347060" w:rsidRDefault="00347060" w:rsidP="00347060">
      <w:pPr>
        <w:pStyle w:val="1"/>
        <w:spacing w:before="120" w:after="120" w:line="240" w:lineRule="exact"/>
        <w:ind w:left="283" w:hanging="283"/>
        <w:jc w:val="both"/>
        <w:rPr>
          <w:rFonts w:ascii="FrankRuehl" w:hAnsi="FrankRuehl" w:cs="FrankRuehl"/>
          <w:noProof w:val="0"/>
          <w:color w:val="auto"/>
          <w:sz w:val="24"/>
          <w:szCs w:val="24"/>
        </w:rPr>
      </w:pPr>
      <w:hyperlink r:id="rId8" w:history="1">
        <w:r w:rsidRPr="00347060">
          <w:rPr>
            <w:rFonts w:ascii="FrankRuehl" w:hAnsi="FrankRuehl" w:cs="FrankRuehl"/>
            <w:noProof w:val="0"/>
            <w:color w:val="0000FF"/>
            <w:sz w:val="24"/>
            <w:szCs w:val="24"/>
            <w:u w:val="single"/>
            <w:rtl/>
          </w:rPr>
          <w:t>פקודת הסמים המסוכנים [נוסח חדש], תשל"ג-1973</w:t>
        </w:r>
      </w:hyperlink>
      <w:r w:rsidRPr="00347060">
        <w:rPr>
          <w:rFonts w:ascii="FrankRuehl" w:hAnsi="FrankRuehl" w:cs="FrankRuehl"/>
          <w:noProof w:val="0"/>
          <w:color w:val="auto"/>
          <w:sz w:val="24"/>
          <w:szCs w:val="24"/>
        </w:rPr>
        <w:t xml:space="preserve">: </w:t>
      </w:r>
      <w:r w:rsidRPr="00347060">
        <w:rPr>
          <w:rFonts w:ascii="FrankRuehl" w:hAnsi="FrankRuehl" w:cs="FrankRuehl"/>
          <w:noProof w:val="0"/>
          <w:color w:val="auto"/>
          <w:sz w:val="24"/>
          <w:szCs w:val="24"/>
          <w:rtl/>
        </w:rPr>
        <w:t>סע</w:t>
      </w:r>
      <w:r w:rsidRPr="00347060">
        <w:rPr>
          <w:rFonts w:ascii="FrankRuehl" w:hAnsi="FrankRuehl" w:cs="FrankRuehl"/>
          <w:noProof w:val="0"/>
          <w:color w:val="auto"/>
          <w:sz w:val="24"/>
          <w:szCs w:val="24"/>
        </w:rPr>
        <w:t xml:space="preserve">'  </w:t>
      </w:r>
      <w:hyperlink r:id="rId9" w:history="1">
        <w:r w:rsidRPr="00347060">
          <w:rPr>
            <w:rFonts w:ascii="FrankRuehl" w:hAnsi="FrankRuehl" w:cs="FrankRuehl"/>
            <w:noProof w:val="0"/>
            <w:color w:val="0000FF"/>
            <w:sz w:val="24"/>
            <w:szCs w:val="24"/>
            <w:u w:val="single"/>
          </w:rPr>
          <w:t>13</w:t>
        </w:r>
      </w:hyperlink>
      <w:r w:rsidRPr="00347060">
        <w:rPr>
          <w:rFonts w:ascii="FrankRuehl" w:hAnsi="FrankRuehl" w:cs="FrankRuehl"/>
          <w:noProof w:val="0"/>
          <w:color w:val="auto"/>
          <w:sz w:val="24"/>
          <w:szCs w:val="24"/>
        </w:rPr>
        <w:t xml:space="preserve">, </w:t>
      </w:r>
      <w:hyperlink r:id="rId10" w:history="1">
        <w:r w:rsidRPr="00347060">
          <w:rPr>
            <w:rFonts w:ascii="FrankRuehl" w:hAnsi="FrankRuehl" w:cs="FrankRuehl"/>
            <w:noProof w:val="0"/>
            <w:color w:val="0000FF"/>
            <w:sz w:val="24"/>
            <w:szCs w:val="24"/>
            <w:u w:val="single"/>
          </w:rPr>
          <w:t>19</w:t>
        </w:r>
        <w:r w:rsidRPr="00347060">
          <w:rPr>
            <w:rFonts w:ascii="FrankRuehl" w:hAnsi="FrankRuehl" w:cs="FrankRuehl"/>
            <w:noProof w:val="0"/>
            <w:color w:val="0000FF"/>
            <w:sz w:val="24"/>
            <w:szCs w:val="24"/>
            <w:u w:val="single"/>
            <w:rtl/>
          </w:rPr>
          <w:t>א</w:t>
        </w:r>
      </w:hyperlink>
    </w:p>
    <w:p w14:paraId="6AAF44CE" w14:textId="77777777" w:rsidR="00347060" w:rsidRPr="00347060" w:rsidRDefault="00347060" w:rsidP="00347060">
      <w:pPr>
        <w:pStyle w:val="1"/>
        <w:spacing w:before="120" w:after="120" w:line="240" w:lineRule="exact"/>
        <w:ind w:left="283" w:hanging="283"/>
        <w:jc w:val="both"/>
        <w:rPr>
          <w:rFonts w:ascii="FrankRuehl" w:hAnsi="FrankRuehl" w:cs="FrankRuehl"/>
          <w:noProof w:val="0"/>
          <w:color w:val="auto"/>
          <w:sz w:val="24"/>
          <w:szCs w:val="24"/>
        </w:rPr>
      </w:pPr>
      <w:hyperlink r:id="rId11" w:history="1">
        <w:r w:rsidRPr="00347060">
          <w:rPr>
            <w:rFonts w:ascii="FrankRuehl" w:hAnsi="FrankRuehl" w:cs="FrankRuehl"/>
            <w:noProof w:val="0"/>
            <w:color w:val="0000FF"/>
            <w:sz w:val="24"/>
            <w:szCs w:val="24"/>
            <w:u w:val="single"/>
            <w:rtl/>
          </w:rPr>
          <w:t>חוק העונשין, תשל"ז-1977</w:t>
        </w:r>
      </w:hyperlink>
      <w:r w:rsidRPr="00347060">
        <w:rPr>
          <w:rFonts w:ascii="FrankRuehl" w:hAnsi="FrankRuehl" w:cs="FrankRuehl"/>
          <w:noProof w:val="0"/>
          <w:color w:val="auto"/>
          <w:sz w:val="24"/>
          <w:szCs w:val="24"/>
        </w:rPr>
        <w:t xml:space="preserve">: </w:t>
      </w:r>
      <w:r w:rsidRPr="00347060">
        <w:rPr>
          <w:rFonts w:ascii="FrankRuehl" w:hAnsi="FrankRuehl" w:cs="FrankRuehl"/>
          <w:noProof w:val="0"/>
          <w:color w:val="auto"/>
          <w:sz w:val="24"/>
          <w:szCs w:val="24"/>
          <w:rtl/>
        </w:rPr>
        <w:t>סע</w:t>
      </w:r>
      <w:r w:rsidRPr="00347060">
        <w:rPr>
          <w:rFonts w:ascii="FrankRuehl" w:hAnsi="FrankRuehl" w:cs="FrankRuehl"/>
          <w:noProof w:val="0"/>
          <w:color w:val="auto"/>
          <w:sz w:val="24"/>
          <w:szCs w:val="24"/>
        </w:rPr>
        <w:t xml:space="preserve">'  </w:t>
      </w:r>
      <w:hyperlink r:id="rId12" w:history="1">
        <w:r w:rsidRPr="00347060">
          <w:rPr>
            <w:rFonts w:ascii="FrankRuehl" w:hAnsi="FrankRuehl" w:cs="FrankRuehl"/>
            <w:noProof w:val="0"/>
            <w:color w:val="0000FF"/>
            <w:sz w:val="24"/>
            <w:szCs w:val="24"/>
            <w:u w:val="single"/>
          </w:rPr>
          <w:t>40</w:t>
        </w:r>
        <w:r w:rsidRPr="00347060">
          <w:rPr>
            <w:rFonts w:ascii="FrankRuehl" w:hAnsi="FrankRuehl" w:cs="FrankRuehl"/>
            <w:noProof w:val="0"/>
            <w:color w:val="0000FF"/>
            <w:sz w:val="24"/>
            <w:szCs w:val="24"/>
            <w:u w:val="single"/>
            <w:rtl/>
          </w:rPr>
          <w:t>ג(א</w:t>
        </w:r>
        <w:r w:rsidRPr="00347060">
          <w:rPr>
            <w:rFonts w:ascii="FrankRuehl" w:hAnsi="FrankRuehl" w:cs="FrankRuehl"/>
            <w:noProof w:val="0"/>
            <w:color w:val="0000FF"/>
            <w:sz w:val="24"/>
            <w:szCs w:val="24"/>
            <w:u w:val="single"/>
          </w:rPr>
          <w:t>)</w:t>
        </w:r>
      </w:hyperlink>
      <w:r w:rsidRPr="00347060">
        <w:rPr>
          <w:rFonts w:ascii="FrankRuehl" w:hAnsi="FrankRuehl" w:cs="FrankRuehl"/>
          <w:noProof w:val="0"/>
          <w:color w:val="auto"/>
          <w:sz w:val="24"/>
          <w:szCs w:val="24"/>
        </w:rPr>
        <w:t xml:space="preserve">, </w:t>
      </w:r>
      <w:hyperlink r:id="rId13" w:history="1">
        <w:r w:rsidRPr="00347060">
          <w:rPr>
            <w:rFonts w:ascii="FrankRuehl" w:hAnsi="FrankRuehl" w:cs="FrankRuehl"/>
            <w:noProof w:val="0"/>
            <w:color w:val="0000FF"/>
            <w:sz w:val="24"/>
            <w:szCs w:val="24"/>
            <w:u w:val="single"/>
          </w:rPr>
          <w:t>40</w:t>
        </w:r>
        <w:r w:rsidRPr="00347060">
          <w:rPr>
            <w:rFonts w:ascii="FrankRuehl" w:hAnsi="FrankRuehl" w:cs="FrankRuehl"/>
            <w:noProof w:val="0"/>
            <w:color w:val="0000FF"/>
            <w:sz w:val="24"/>
            <w:szCs w:val="24"/>
            <w:u w:val="single"/>
            <w:rtl/>
          </w:rPr>
          <w:t>ד(א</w:t>
        </w:r>
        <w:r w:rsidRPr="00347060">
          <w:rPr>
            <w:rFonts w:ascii="FrankRuehl" w:hAnsi="FrankRuehl" w:cs="FrankRuehl"/>
            <w:noProof w:val="0"/>
            <w:color w:val="0000FF"/>
            <w:sz w:val="24"/>
            <w:szCs w:val="24"/>
            <w:u w:val="single"/>
          </w:rPr>
          <w:t>)</w:t>
        </w:r>
      </w:hyperlink>
      <w:r w:rsidRPr="00347060">
        <w:rPr>
          <w:rFonts w:ascii="FrankRuehl" w:hAnsi="FrankRuehl" w:cs="FrankRuehl"/>
          <w:noProof w:val="0"/>
          <w:color w:val="auto"/>
          <w:sz w:val="24"/>
          <w:szCs w:val="24"/>
        </w:rPr>
        <w:t xml:space="preserve">, </w:t>
      </w:r>
      <w:hyperlink r:id="rId14" w:history="1">
        <w:r w:rsidRPr="00347060">
          <w:rPr>
            <w:rFonts w:ascii="FrankRuehl" w:hAnsi="FrankRuehl" w:cs="FrankRuehl"/>
            <w:noProof w:val="0"/>
            <w:color w:val="0000FF"/>
            <w:sz w:val="24"/>
            <w:szCs w:val="24"/>
            <w:u w:val="single"/>
          </w:rPr>
          <w:t>40</w:t>
        </w:r>
        <w:r w:rsidRPr="00347060">
          <w:rPr>
            <w:rFonts w:ascii="FrankRuehl" w:hAnsi="FrankRuehl" w:cs="FrankRuehl"/>
            <w:noProof w:val="0"/>
            <w:color w:val="0000FF"/>
            <w:sz w:val="24"/>
            <w:szCs w:val="24"/>
            <w:u w:val="single"/>
            <w:rtl/>
          </w:rPr>
          <w:t>ט(א)(2</w:t>
        </w:r>
        <w:r w:rsidRPr="00347060">
          <w:rPr>
            <w:rFonts w:ascii="FrankRuehl" w:hAnsi="FrankRuehl" w:cs="FrankRuehl"/>
            <w:noProof w:val="0"/>
            <w:color w:val="0000FF"/>
            <w:sz w:val="24"/>
            <w:szCs w:val="24"/>
            <w:u w:val="single"/>
          </w:rPr>
          <w:t>)</w:t>
        </w:r>
      </w:hyperlink>
      <w:r w:rsidRPr="00347060">
        <w:rPr>
          <w:rFonts w:ascii="FrankRuehl" w:hAnsi="FrankRuehl" w:cs="FrankRuehl"/>
          <w:noProof w:val="0"/>
          <w:color w:val="auto"/>
          <w:sz w:val="24"/>
          <w:szCs w:val="24"/>
        </w:rPr>
        <w:t xml:space="preserve">, </w:t>
      </w:r>
      <w:hyperlink r:id="rId15" w:history="1">
        <w:r w:rsidRPr="00347060">
          <w:rPr>
            <w:rFonts w:ascii="FrankRuehl" w:hAnsi="FrankRuehl" w:cs="FrankRuehl"/>
            <w:noProof w:val="0"/>
            <w:color w:val="0000FF"/>
            <w:sz w:val="24"/>
            <w:szCs w:val="24"/>
            <w:u w:val="single"/>
          </w:rPr>
          <w:t>40</w:t>
        </w:r>
        <w:r w:rsidRPr="00347060">
          <w:rPr>
            <w:rFonts w:ascii="FrankRuehl" w:hAnsi="FrankRuehl" w:cs="FrankRuehl"/>
            <w:noProof w:val="0"/>
            <w:color w:val="0000FF"/>
            <w:sz w:val="24"/>
            <w:szCs w:val="24"/>
            <w:u w:val="single"/>
            <w:rtl/>
          </w:rPr>
          <w:t>ט(א)(5</w:t>
        </w:r>
        <w:r w:rsidRPr="00347060">
          <w:rPr>
            <w:rFonts w:ascii="FrankRuehl" w:hAnsi="FrankRuehl" w:cs="FrankRuehl"/>
            <w:noProof w:val="0"/>
            <w:color w:val="0000FF"/>
            <w:sz w:val="24"/>
            <w:szCs w:val="24"/>
            <w:u w:val="single"/>
          </w:rPr>
          <w:t>)</w:t>
        </w:r>
      </w:hyperlink>
      <w:r w:rsidRPr="00347060">
        <w:rPr>
          <w:rFonts w:ascii="FrankRuehl" w:hAnsi="FrankRuehl" w:cs="FrankRuehl"/>
          <w:noProof w:val="0"/>
          <w:color w:val="auto"/>
          <w:sz w:val="24"/>
          <w:szCs w:val="24"/>
        </w:rPr>
        <w:t xml:space="preserve">, </w:t>
      </w:r>
      <w:hyperlink r:id="rId16" w:history="1">
        <w:r w:rsidRPr="00347060">
          <w:rPr>
            <w:rFonts w:ascii="FrankRuehl" w:hAnsi="FrankRuehl" w:cs="FrankRuehl"/>
            <w:noProof w:val="0"/>
            <w:color w:val="0000FF"/>
            <w:sz w:val="24"/>
            <w:szCs w:val="24"/>
            <w:u w:val="single"/>
          </w:rPr>
          <w:t>51</w:t>
        </w:r>
        <w:r w:rsidRPr="00347060">
          <w:rPr>
            <w:rFonts w:ascii="FrankRuehl" w:hAnsi="FrankRuehl" w:cs="FrankRuehl"/>
            <w:noProof w:val="0"/>
            <w:color w:val="0000FF"/>
            <w:sz w:val="24"/>
            <w:szCs w:val="24"/>
            <w:u w:val="single"/>
            <w:rtl/>
          </w:rPr>
          <w:t>ב(ב1)(2)(ו</w:t>
        </w:r>
        <w:r w:rsidRPr="00347060">
          <w:rPr>
            <w:rFonts w:ascii="FrankRuehl" w:hAnsi="FrankRuehl" w:cs="FrankRuehl"/>
            <w:noProof w:val="0"/>
            <w:color w:val="0000FF"/>
            <w:sz w:val="24"/>
            <w:szCs w:val="24"/>
            <w:u w:val="single"/>
          </w:rPr>
          <w:t>)</w:t>
        </w:r>
      </w:hyperlink>
      <w:r w:rsidRPr="00347060">
        <w:rPr>
          <w:rFonts w:ascii="FrankRuehl" w:hAnsi="FrankRuehl" w:cs="FrankRuehl"/>
          <w:noProof w:val="0"/>
          <w:color w:val="auto"/>
          <w:sz w:val="24"/>
          <w:szCs w:val="24"/>
        </w:rPr>
        <w:t xml:space="preserve">, </w:t>
      </w:r>
      <w:hyperlink r:id="rId17" w:history="1">
        <w:r w:rsidRPr="00347060">
          <w:rPr>
            <w:rFonts w:ascii="FrankRuehl" w:hAnsi="FrankRuehl" w:cs="FrankRuehl"/>
            <w:noProof w:val="0"/>
            <w:color w:val="0000FF"/>
            <w:sz w:val="24"/>
            <w:szCs w:val="24"/>
            <w:u w:val="single"/>
          </w:rPr>
          <w:t>40</w:t>
        </w:r>
        <w:r w:rsidRPr="00347060">
          <w:rPr>
            <w:rFonts w:ascii="FrankRuehl" w:hAnsi="FrankRuehl" w:cs="FrankRuehl"/>
            <w:noProof w:val="0"/>
            <w:color w:val="0000FF"/>
            <w:sz w:val="24"/>
            <w:szCs w:val="24"/>
            <w:u w:val="single"/>
            <w:rtl/>
          </w:rPr>
          <w:t>יא</w:t>
        </w:r>
      </w:hyperlink>
      <w:r w:rsidRPr="00347060">
        <w:rPr>
          <w:rFonts w:ascii="FrankRuehl" w:hAnsi="FrankRuehl" w:cs="FrankRuehl"/>
          <w:noProof w:val="0"/>
          <w:color w:val="auto"/>
          <w:sz w:val="24"/>
          <w:szCs w:val="24"/>
        </w:rPr>
        <w:t xml:space="preserve">, </w:t>
      </w:r>
      <w:hyperlink r:id="rId18" w:history="1">
        <w:r w:rsidRPr="00347060">
          <w:rPr>
            <w:rFonts w:ascii="FrankRuehl" w:hAnsi="FrankRuehl" w:cs="FrankRuehl"/>
            <w:noProof w:val="0"/>
            <w:color w:val="0000FF"/>
            <w:sz w:val="24"/>
            <w:szCs w:val="24"/>
            <w:u w:val="single"/>
          </w:rPr>
          <w:t>40</w:t>
        </w:r>
        <w:r w:rsidRPr="00347060">
          <w:rPr>
            <w:rFonts w:ascii="FrankRuehl" w:hAnsi="FrankRuehl" w:cs="FrankRuehl"/>
            <w:noProof w:val="0"/>
            <w:color w:val="0000FF"/>
            <w:sz w:val="24"/>
            <w:szCs w:val="24"/>
            <w:u w:val="single"/>
            <w:rtl/>
          </w:rPr>
          <w:t>יא(3</w:t>
        </w:r>
        <w:r w:rsidRPr="00347060">
          <w:rPr>
            <w:rFonts w:ascii="FrankRuehl" w:hAnsi="FrankRuehl" w:cs="FrankRuehl"/>
            <w:noProof w:val="0"/>
            <w:color w:val="0000FF"/>
            <w:sz w:val="24"/>
            <w:szCs w:val="24"/>
            <w:u w:val="single"/>
          </w:rPr>
          <w:t>)</w:t>
        </w:r>
      </w:hyperlink>
    </w:p>
    <w:p w14:paraId="60EF7A9C" w14:textId="77777777" w:rsidR="004546A3" w:rsidRDefault="004546A3" w:rsidP="00347060">
      <w:pPr>
        <w:pStyle w:val="1"/>
        <w:spacing w:before="0" w:line="360" w:lineRule="auto"/>
        <w:jc w:val="both"/>
        <w:rPr>
          <w:rFonts w:ascii="David" w:hAnsi="David" w:cs="David" w:hint="cs"/>
          <w:noProof w:val="0"/>
          <w:color w:val="auto"/>
          <w:sz w:val="28"/>
          <w:szCs w:val="28"/>
          <w:rtl/>
        </w:rPr>
      </w:pPr>
      <w:bookmarkStart w:id="4" w:name="LawTable_End"/>
      <w:bookmarkEnd w:id="4"/>
    </w:p>
    <w:p w14:paraId="5E3FA277" w14:textId="77777777" w:rsidR="00D90890" w:rsidRPr="00D90890" w:rsidRDefault="00D90890" w:rsidP="00D90890">
      <w:pPr>
        <w:pBdr>
          <w:top w:val="single" w:sz="4" w:space="1" w:color="auto"/>
          <w:bottom w:val="single" w:sz="4" w:space="1" w:color="auto"/>
        </w:pBdr>
        <w:spacing w:after="120" w:line="320" w:lineRule="exact"/>
        <w:jc w:val="both"/>
        <w:rPr>
          <w:rFonts w:cs="FrankRuehl" w:hint="cs"/>
          <w:noProof w:val="0"/>
          <w:szCs w:val="26"/>
          <w:rtl/>
        </w:rPr>
      </w:pPr>
      <w:bookmarkStart w:id="5" w:name="ABSTRACT_START"/>
      <w:bookmarkEnd w:id="5"/>
      <w:r w:rsidRPr="00D90890">
        <w:rPr>
          <w:rFonts w:cs="FrankRuehl" w:hint="cs"/>
          <w:noProof w:val="0"/>
          <w:szCs w:val="26"/>
          <w:rtl/>
        </w:rPr>
        <w:t>מיני-רציו:</w:t>
      </w:r>
    </w:p>
    <w:p w14:paraId="4A48895E" w14:textId="77777777" w:rsidR="00D90890" w:rsidRPr="00D90890" w:rsidRDefault="00D90890" w:rsidP="00D90890">
      <w:pPr>
        <w:pBdr>
          <w:top w:val="single" w:sz="4" w:space="1" w:color="auto"/>
          <w:bottom w:val="single" w:sz="4" w:space="1" w:color="auto"/>
        </w:pBdr>
        <w:spacing w:after="120" w:line="320" w:lineRule="exact"/>
        <w:jc w:val="both"/>
        <w:rPr>
          <w:rFonts w:cs="FrankRuehl"/>
          <w:szCs w:val="26"/>
        </w:rPr>
      </w:pPr>
      <w:r w:rsidRPr="00D90890">
        <w:rPr>
          <w:rFonts w:cs="FrankRuehl" w:hint="cs"/>
          <w:noProof w:val="0"/>
          <w:szCs w:val="26"/>
          <w:rtl/>
        </w:rPr>
        <w:t>*</w:t>
      </w:r>
      <w:r w:rsidRPr="00D90890">
        <w:rPr>
          <w:rFonts w:cs="FrankRuehl" w:hint="cs"/>
          <w:szCs w:val="26"/>
          <w:rtl/>
        </w:rPr>
        <w:t xml:space="preserve"> </w:t>
      </w:r>
      <w:r w:rsidRPr="00D90890">
        <w:rPr>
          <w:rFonts w:cs="FrankRuehl"/>
          <w:szCs w:val="26"/>
          <w:rtl/>
        </w:rPr>
        <w:t>כאשר מניעותו של הנאשם לבצע עבודות שירות נובעת מנסיבות שאינן תלויות בו או ברצונו הטוב, אלא אך בשל מצבו הבריאותי–הפיזי או הנפשי שאליו הוא נקלע על כורחו, לא יהיה זה צודק או הוגן לגזור עליו חלף מאסר בעבודות שירות (עונש לו עתרה המאשימה לו מצבו הבריאותי היה שפיר) מאסר לריצוי מאחורי סורג ובריח</w:t>
      </w:r>
      <w:r w:rsidRPr="00D90890">
        <w:rPr>
          <w:rFonts w:cs="FrankRuehl" w:hint="cs"/>
          <w:szCs w:val="26"/>
          <w:rtl/>
        </w:rPr>
        <w:t>.</w:t>
      </w:r>
    </w:p>
    <w:p w14:paraId="5BCAC8B1" w14:textId="77777777" w:rsidR="00D90890" w:rsidRPr="00D90890" w:rsidRDefault="00D90890" w:rsidP="00D90890">
      <w:pPr>
        <w:pBdr>
          <w:top w:val="single" w:sz="4" w:space="1" w:color="auto"/>
          <w:bottom w:val="single" w:sz="4" w:space="1" w:color="auto"/>
        </w:pBdr>
        <w:spacing w:after="120" w:line="320" w:lineRule="exact"/>
        <w:jc w:val="both"/>
        <w:rPr>
          <w:rFonts w:cs="FrankRuehl" w:hint="cs"/>
          <w:szCs w:val="26"/>
          <w:rtl/>
        </w:rPr>
      </w:pPr>
      <w:r w:rsidRPr="00D90890">
        <w:rPr>
          <w:rFonts w:cs="FrankRuehl" w:hint="cs"/>
          <w:szCs w:val="26"/>
          <w:rtl/>
        </w:rPr>
        <w:t xml:space="preserve">* </w:t>
      </w:r>
      <w:r w:rsidRPr="00D90890">
        <w:rPr>
          <w:rFonts w:cs="FrankRuehl"/>
          <w:szCs w:val="26"/>
          <w:rtl/>
        </w:rPr>
        <w:t>עונשין – ענישה – מדיניות ענישה: עבירות סמים</w:t>
      </w:r>
    </w:p>
    <w:p w14:paraId="0D821D93" w14:textId="77777777" w:rsidR="00D90890" w:rsidRPr="00D90890" w:rsidRDefault="00D90890" w:rsidP="00D90890">
      <w:pPr>
        <w:pBdr>
          <w:top w:val="single" w:sz="4" w:space="1" w:color="auto"/>
          <w:bottom w:val="single" w:sz="4" w:space="1" w:color="auto"/>
        </w:pBdr>
        <w:spacing w:after="120" w:line="320" w:lineRule="exact"/>
        <w:jc w:val="both"/>
        <w:rPr>
          <w:rFonts w:cs="FrankRuehl" w:hint="cs"/>
          <w:noProof w:val="0"/>
          <w:szCs w:val="26"/>
          <w:rtl/>
        </w:rPr>
      </w:pPr>
      <w:r w:rsidRPr="00D90890">
        <w:rPr>
          <w:rFonts w:cs="FrankRuehl" w:hint="cs"/>
          <w:szCs w:val="26"/>
          <w:rtl/>
        </w:rPr>
        <w:t xml:space="preserve">* </w:t>
      </w:r>
      <w:r w:rsidRPr="00D90890">
        <w:rPr>
          <w:rFonts w:cs="FrankRuehl"/>
          <w:szCs w:val="26"/>
          <w:rtl/>
        </w:rPr>
        <w:t>עונשין – ענישה – מדיניות ענישה: שיקום</w:t>
      </w:r>
    </w:p>
    <w:p w14:paraId="53B539C3" w14:textId="77777777" w:rsidR="00D90890" w:rsidRPr="00D90890" w:rsidRDefault="00D90890" w:rsidP="00D90890">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6A75D1DE" w14:textId="77777777" w:rsidR="00D90890" w:rsidRPr="00D90890" w:rsidRDefault="00D90890" w:rsidP="00D90890">
      <w:pPr>
        <w:pBdr>
          <w:top w:val="single" w:sz="4" w:space="1" w:color="auto"/>
          <w:bottom w:val="single" w:sz="4" w:space="1" w:color="auto"/>
        </w:pBdr>
        <w:spacing w:after="120" w:line="320" w:lineRule="exact"/>
        <w:jc w:val="both"/>
        <w:rPr>
          <w:rFonts w:cs="FrankRuehl"/>
          <w:szCs w:val="26"/>
        </w:rPr>
      </w:pPr>
      <w:r w:rsidRPr="00D90890">
        <w:rPr>
          <w:rFonts w:cs="FrankRuehl"/>
          <w:noProof w:val="0"/>
          <w:szCs w:val="26"/>
          <w:rtl/>
        </w:rPr>
        <w:t xml:space="preserve">הנאשם </w:t>
      </w:r>
      <w:r w:rsidRPr="00D90890">
        <w:rPr>
          <w:rFonts w:cs="FrankRuehl" w:hint="cs"/>
          <w:noProof w:val="0"/>
          <w:szCs w:val="26"/>
          <w:rtl/>
        </w:rPr>
        <w:t xml:space="preserve">הורשע </w:t>
      </w:r>
      <w:r w:rsidRPr="00D90890">
        <w:rPr>
          <w:rFonts w:cs="FrankRuehl"/>
          <w:noProof w:val="0"/>
          <w:szCs w:val="26"/>
          <w:rtl/>
        </w:rPr>
        <w:t xml:space="preserve">בעבירה של יצוא, יבוא, מסחר, הספקת סמים מסוכנים לפי </w:t>
      </w:r>
      <w:hyperlink r:id="rId19" w:history="1">
        <w:r w:rsidRPr="00D90890">
          <w:rPr>
            <w:rFonts w:cs="FrankRuehl"/>
            <w:noProof w:val="0"/>
            <w:szCs w:val="26"/>
            <w:rtl/>
          </w:rPr>
          <w:t>סעיפים 13</w:t>
        </w:r>
      </w:hyperlink>
      <w:r w:rsidRPr="00D90890">
        <w:rPr>
          <w:rFonts w:cs="FrankRuehl"/>
          <w:noProof w:val="0"/>
          <w:szCs w:val="26"/>
          <w:rtl/>
        </w:rPr>
        <w:t xml:space="preserve"> + </w:t>
      </w:r>
      <w:hyperlink r:id="rId20" w:history="1">
        <w:r w:rsidRPr="00D90890">
          <w:rPr>
            <w:rFonts w:cs="FrankRuehl"/>
            <w:noProof w:val="0"/>
            <w:szCs w:val="26"/>
            <w:rtl/>
          </w:rPr>
          <w:t>19א</w:t>
        </w:r>
      </w:hyperlink>
      <w:r w:rsidRPr="00D90890">
        <w:rPr>
          <w:rFonts w:cs="FrankRuehl"/>
          <w:noProof w:val="0"/>
          <w:szCs w:val="26"/>
          <w:rtl/>
        </w:rPr>
        <w:t xml:space="preserve"> ל</w:t>
      </w:r>
      <w:hyperlink r:id="rId21" w:history="1">
        <w:r w:rsidRPr="00D90890">
          <w:rPr>
            <w:rFonts w:cs="FrankRuehl"/>
            <w:noProof w:val="0"/>
            <w:szCs w:val="26"/>
            <w:rtl/>
          </w:rPr>
          <w:t>פקודת הסמים המסוכנים</w:t>
        </w:r>
      </w:hyperlink>
      <w:r w:rsidRPr="00D90890">
        <w:rPr>
          <w:rFonts w:cs="FrankRuehl"/>
          <w:noProof w:val="0"/>
          <w:szCs w:val="26"/>
          <w:rtl/>
        </w:rPr>
        <w:t xml:space="preserve"> </w:t>
      </w:r>
      <w:r w:rsidRPr="00D90890">
        <w:rPr>
          <w:rFonts w:cs="FrankRuehl" w:hint="cs"/>
          <w:noProof w:val="0"/>
          <w:szCs w:val="26"/>
          <w:rtl/>
        </w:rPr>
        <w:t>ו</w:t>
      </w:r>
      <w:r w:rsidRPr="00D90890">
        <w:rPr>
          <w:rFonts w:cs="FrankRuehl"/>
          <w:noProof w:val="0"/>
          <w:szCs w:val="26"/>
          <w:rtl/>
        </w:rPr>
        <w:t xml:space="preserve">בעבירה של הספקת סמים מסוכנים לפי </w:t>
      </w:r>
      <w:hyperlink r:id="rId22" w:history="1">
        <w:r w:rsidRPr="00D90890">
          <w:rPr>
            <w:rFonts w:cs="FrankRuehl"/>
            <w:noProof w:val="0"/>
            <w:szCs w:val="26"/>
            <w:rtl/>
          </w:rPr>
          <w:t>סעיפים 13</w:t>
        </w:r>
        <w:r w:rsidRPr="00D90890">
          <w:rPr>
            <w:rFonts w:cs="FrankRuehl" w:hint="cs"/>
            <w:noProof w:val="0"/>
            <w:szCs w:val="26"/>
            <w:rtl/>
          </w:rPr>
          <w:t xml:space="preserve"> </w:t>
        </w:r>
        <w:r w:rsidRPr="00D90890">
          <w:rPr>
            <w:rFonts w:cs="FrankRuehl"/>
            <w:noProof w:val="0"/>
            <w:szCs w:val="26"/>
            <w:rtl/>
          </w:rPr>
          <w:t>+</w:t>
        </w:r>
      </w:hyperlink>
      <w:r w:rsidRPr="00D90890">
        <w:rPr>
          <w:rFonts w:cs="FrankRuehl"/>
          <w:noProof w:val="0"/>
          <w:szCs w:val="26"/>
          <w:rtl/>
        </w:rPr>
        <w:t xml:space="preserve"> </w:t>
      </w:r>
      <w:hyperlink r:id="rId23" w:history="1">
        <w:r w:rsidRPr="00D90890">
          <w:rPr>
            <w:rFonts w:cs="FrankRuehl"/>
            <w:noProof w:val="0"/>
            <w:szCs w:val="26"/>
            <w:rtl/>
          </w:rPr>
          <w:t>19א</w:t>
        </w:r>
      </w:hyperlink>
      <w:r w:rsidRPr="00D90890">
        <w:rPr>
          <w:rFonts w:cs="FrankRuehl"/>
          <w:noProof w:val="0"/>
          <w:szCs w:val="26"/>
          <w:rtl/>
        </w:rPr>
        <w:t xml:space="preserve"> ל</w:t>
      </w:r>
      <w:hyperlink r:id="rId24" w:history="1">
        <w:r w:rsidRPr="00D90890">
          <w:rPr>
            <w:rFonts w:cs="FrankRuehl"/>
            <w:noProof w:val="0"/>
            <w:szCs w:val="26"/>
            <w:rtl/>
          </w:rPr>
          <w:t>פקודת הסמים המסוכנים</w:t>
        </w:r>
      </w:hyperlink>
      <w:r w:rsidRPr="00D90890">
        <w:rPr>
          <w:rFonts w:cs="FrankRuehl"/>
          <w:noProof w:val="0"/>
          <w:szCs w:val="26"/>
          <w:rtl/>
        </w:rPr>
        <w:t xml:space="preserve">.  </w:t>
      </w:r>
    </w:p>
    <w:p w14:paraId="45011E4B" w14:textId="77777777" w:rsidR="00D90890" w:rsidRPr="00D90890" w:rsidRDefault="00D90890" w:rsidP="00D9089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6F40B9F" w14:textId="77777777" w:rsidR="00D90890" w:rsidRPr="00D90890" w:rsidRDefault="00D90890" w:rsidP="00D90890">
      <w:pPr>
        <w:pBdr>
          <w:top w:val="single" w:sz="4" w:space="1" w:color="auto"/>
          <w:bottom w:val="single" w:sz="4" w:space="1" w:color="auto"/>
        </w:pBdr>
        <w:spacing w:after="120" w:line="320" w:lineRule="exact"/>
        <w:jc w:val="both"/>
        <w:rPr>
          <w:rFonts w:cs="FrankRuehl" w:hint="cs"/>
          <w:szCs w:val="26"/>
          <w:rtl/>
        </w:rPr>
      </w:pPr>
      <w:r w:rsidRPr="00D90890">
        <w:rPr>
          <w:rFonts w:cs="FrankRuehl" w:hint="cs"/>
          <w:szCs w:val="26"/>
          <w:rtl/>
        </w:rPr>
        <w:t>בית המשפט גזר את דינו של הנאשם, ופסק כלהלן:</w:t>
      </w:r>
    </w:p>
    <w:p w14:paraId="6B6EAD93" w14:textId="77777777" w:rsidR="00D90890" w:rsidRPr="00D90890" w:rsidRDefault="00D90890" w:rsidP="00D90890">
      <w:pPr>
        <w:pBdr>
          <w:top w:val="single" w:sz="4" w:space="1" w:color="auto"/>
          <w:bottom w:val="single" w:sz="4" w:space="1" w:color="auto"/>
        </w:pBdr>
        <w:spacing w:after="120" w:line="320" w:lineRule="exact"/>
        <w:jc w:val="both"/>
        <w:rPr>
          <w:rFonts w:cs="FrankRuehl" w:hint="cs"/>
          <w:szCs w:val="26"/>
          <w:rtl/>
        </w:rPr>
      </w:pPr>
      <w:r w:rsidRPr="00D90890">
        <w:rPr>
          <w:rFonts w:cs="FrankRuehl"/>
          <w:szCs w:val="26"/>
          <w:rtl/>
        </w:rPr>
        <w:t xml:space="preserve">בשים לב לעקרון המנחה בענישה, לערכים המוגנים שנפגעו ולמידת הפגיעה בהם, למדיניות הענישה הנוהגת ולנסיבות הקשורות בביצוע העבירה, מתחם </w:t>
      </w:r>
      <w:r w:rsidRPr="00D90890">
        <w:rPr>
          <w:rFonts w:cs="FrankRuehl" w:hint="cs"/>
          <w:szCs w:val="26"/>
          <w:rtl/>
        </w:rPr>
        <w:t>ה</w:t>
      </w:r>
      <w:r w:rsidRPr="00D90890">
        <w:rPr>
          <w:rFonts w:cs="FrankRuehl"/>
          <w:szCs w:val="26"/>
          <w:rtl/>
        </w:rPr>
        <w:t xml:space="preserve">עונש </w:t>
      </w:r>
      <w:r w:rsidRPr="00D90890">
        <w:rPr>
          <w:rFonts w:cs="FrankRuehl" w:hint="cs"/>
          <w:szCs w:val="26"/>
          <w:rtl/>
        </w:rPr>
        <w:t>ה</w:t>
      </w:r>
      <w:r w:rsidRPr="00D90890">
        <w:rPr>
          <w:rFonts w:cs="FrankRuehl"/>
          <w:szCs w:val="26"/>
          <w:rtl/>
        </w:rPr>
        <w:t>הולם במקרה דנן ינוע בין 9 לבין 18 חודשים מאסר.</w:t>
      </w:r>
    </w:p>
    <w:p w14:paraId="1005BFF0" w14:textId="77777777" w:rsidR="00D90890" w:rsidRPr="00D90890" w:rsidRDefault="00D90890" w:rsidP="00D90890">
      <w:pPr>
        <w:pBdr>
          <w:top w:val="single" w:sz="4" w:space="1" w:color="auto"/>
          <w:bottom w:val="single" w:sz="4" w:space="1" w:color="auto"/>
        </w:pBdr>
        <w:spacing w:after="120" w:line="320" w:lineRule="exact"/>
        <w:jc w:val="both"/>
        <w:rPr>
          <w:rFonts w:cs="FrankRuehl"/>
          <w:szCs w:val="26"/>
        </w:rPr>
      </w:pPr>
      <w:r w:rsidRPr="00D90890">
        <w:rPr>
          <w:rFonts w:cs="FrankRuehl"/>
          <w:szCs w:val="26"/>
          <w:rtl/>
        </w:rPr>
        <w:t>כאשר מניעותו של הנאשם לבצע עבודות שירות נובעת מנסיבות שאינן תלויות בו או ברצונו הטוב, אלא אך בשל מצבו הבריאותי–הפיזי או הנפשי שאליו הוא נקלע על כורחו, לא יהיה זה צודק או הוגן לגזור עליו חלף מאסר בעבודות שירות (עונש לו עתרה המאשימה לו מצבו הבריאותי היה שפיר) מאסר לריצוי מאחורי סורג ובריח</w:t>
      </w:r>
      <w:r w:rsidRPr="00D90890">
        <w:rPr>
          <w:rFonts w:cs="FrankRuehl" w:hint="cs"/>
          <w:szCs w:val="26"/>
          <w:rtl/>
        </w:rPr>
        <w:t>.</w:t>
      </w:r>
    </w:p>
    <w:p w14:paraId="47A12471" w14:textId="77777777" w:rsidR="00D90890" w:rsidRPr="00D90890" w:rsidRDefault="00D90890" w:rsidP="00D90890">
      <w:pPr>
        <w:pBdr>
          <w:top w:val="single" w:sz="4" w:space="1" w:color="auto"/>
          <w:bottom w:val="single" w:sz="4" w:space="1" w:color="auto"/>
        </w:pBdr>
        <w:spacing w:after="120" w:line="320" w:lineRule="exact"/>
        <w:jc w:val="both"/>
        <w:rPr>
          <w:rFonts w:cs="FrankRuehl"/>
          <w:szCs w:val="26"/>
          <w:rtl/>
        </w:rPr>
      </w:pPr>
      <w:r w:rsidRPr="00D90890">
        <w:rPr>
          <w:rFonts w:cs="FrankRuehl"/>
          <w:szCs w:val="26"/>
          <w:rtl/>
        </w:rPr>
        <w:lastRenderedPageBreak/>
        <w:t>בפני</w:t>
      </w:r>
      <w:r w:rsidRPr="00D90890">
        <w:rPr>
          <w:rFonts w:cs="FrankRuehl" w:hint="cs"/>
          <w:szCs w:val="26"/>
          <w:rtl/>
        </w:rPr>
        <w:t>נו</w:t>
      </w:r>
      <w:r w:rsidRPr="00D90890">
        <w:rPr>
          <w:rFonts w:cs="FrankRuehl"/>
          <w:szCs w:val="26"/>
          <w:rtl/>
        </w:rPr>
        <w:t xml:space="preserve"> נאשם שמצבו הבריאותי התדרדר עד כדי כך שרופא שב"ס העריך שהוא אינו כשיר לחלוטין לביצוע העבודות, ומכאן ניתן להקיש כי גם שהייה מאחורי סורג ובריח עלולה להרע לו בצורה משמעותית, בוודאי ביחס למי שמצבו הבריאותי שפיר. בהינתן אלה, וכאשר הייתה נכונות (גם מצ</w:t>
      </w:r>
      <w:r w:rsidRPr="00D90890">
        <w:rPr>
          <w:rFonts w:cs="FrankRuehl" w:hint="cs"/>
          <w:szCs w:val="26"/>
          <w:rtl/>
        </w:rPr>
        <w:t>י</w:t>
      </w:r>
      <w:r w:rsidRPr="00D90890">
        <w:rPr>
          <w:rFonts w:cs="FrankRuehl"/>
          <w:szCs w:val="26"/>
          <w:rtl/>
        </w:rPr>
        <w:t>דה של המאשימה) לגזור על הנאשם עונש מאסר לריצוי בעבודות שירות, בנסיבות המתוארות לא יהא זה צודק "להמיר" עונש זה במאסר מאחורי סורג ובריח.</w:t>
      </w:r>
    </w:p>
    <w:p w14:paraId="0BFFDD1E" w14:textId="77777777" w:rsidR="00D90890" w:rsidRPr="00D90890" w:rsidRDefault="00D90890" w:rsidP="00D90890">
      <w:pPr>
        <w:pBdr>
          <w:top w:val="single" w:sz="4" w:space="1" w:color="auto"/>
          <w:bottom w:val="single" w:sz="4" w:space="1" w:color="auto"/>
        </w:pBdr>
        <w:spacing w:after="120" w:line="320" w:lineRule="exact"/>
        <w:jc w:val="both"/>
        <w:rPr>
          <w:rFonts w:cs="FrankRuehl" w:hint="cs"/>
          <w:szCs w:val="26"/>
          <w:rtl/>
        </w:rPr>
      </w:pPr>
      <w:r w:rsidRPr="00D90890">
        <w:rPr>
          <w:rFonts w:cs="FrankRuehl"/>
          <w:szCs w:val="26"/>
          <w:rtl/>
        </w:rPr>
        <w:t>לא זו בלבד, אלא ש</w:t>
      </w:r>
      <w:hyperlink r:id="rId25" w:history="1">
        <w:r w:rsidRPr="00D90890">
          <w:rPr>
            <w:rFonts w:cs="FrankRuehl"/>
            <w:szCs w:val="26"/>
            <w:rtl/>
          </w:rPr>
          <w:t>בסעיף 40ד(א)</w:t>
        </w:r>
      </w:hyperlink>
      <w:r w:rsidRPr="00D90890">
        <w:rPr>
          <w:rFonts w:cs="FrankRuehl"/>
          <w:szCs w:val="26"/>
          <w:rtl/>
        </w:rPr>
        <w:t xml:space="preserve"> ל</w:t>
      </w:r>
      <w:hyperlink r:id="rId26" w:history="1">
        <w:r w:rsidRPr="00D90890">
          <w:rPr>
            <w:rFonts w:cs="FrankRuehl"/>
            <w:szCs w:val="26"/>
            <w:rtl/>
          </w:rPr>
          <w:t>חוק העונשין</w:t>
        </w:r>
      </w:hyperlink>
      <w:r w:rsidRPr="00D90890">
        <w:rPr>
          <w:rFonts w:cs="FrankRuehl"/>
          <w:szCs w:val="26"/>
          <w:rtl/>
        </w:rPr>
        <w:t xml:space="preserve">, מקום בו מצא בית המשפט כי הנאשם השתקם או כי קיים סיכוי של ממש שישתקם בעתיד, כי אז יהא הוא רשאי לסטות לקולא ממתחם העונש ההולם. לאחר </w:t>
      </w:r>
      <w:r w:rsidRPr="00D90890">
        <w:rPr>
          <w:rFonts w:cs="FrankRuehl" w:hint="cs"/>
          <w:szCs w:val="26"/>
          <w:rtl/>
        </w:rPr>
        <w:t>עיון</w:t>
      </w:r>
      <w:r w:rsidRPr="00D90890">
        <w:rPr>
          <w:rFonts w:cs="FrankRuehl"/>
          <w:szCs w:val="26"/>
          <w:rtl/>
        </w:rPr>
        <w:t xml:space="preserve"> בתסקירי שירות המבחן והתרשמ</w:t>
      </w:r>
      <w:r w:rsidRPr="00D90890">
        <w:rPr>
          <w:rFonts w:cs="FrankRuehl" w:hint="cs"/>
          <w:szCs w:val="26"/>
          <w:rtl/>
        </w:rPr>
        <w:t>ו</w:t>
      </w:r>
      <w:r w:rsidRPr="00D90890">
        <w:rPr>
          <w:rFonts w:cs="FrankRuehl"/>
          <w:szCs w:val="26"/>
          <w:rtl/>
        </w:rPr>
        <w:t xml:space="preserve">ת באופן בלתי אמצעי מהנאשם, ובייחוד לנוכח חזרתו של הנאשם למסלול חיים נורמטיבי, </w:t>
      </w:r>
      <w:r w:rsidRPr="00D90890">
        <w:rPr>
          <w:rFonts w:cs="FrankRuehl" w:hint="cs"/>
          <w:szCs w:val="26"/>
          <w:rtl/>
        </w:rPr>
        <w:t xml:space="preserve">בית המשפט </w:t>
      </w:r>
      <w:r w:rsidRPr="00D90890">
        <w:rPr>
          <w:rFonts w:cs="FrankRuehl"/>
          <w:szCs w:val="26"/>
          <w:rtl/>
        </w:rPr>
        <w:t>שוכנע כי הנאשם השתקם, או שלמצער קיים סיכוי של ממש שישתקם באופן מלא בעתיד, וכי יהיה זה מוצדק להשית עליו עונש החורג לקולא ממתחם הענישה אשר נקבע בעניינו.</w:t>
      </w:r>
    </w:p>
    <w:p w14:paraId="71D2881C" w14:textId="77777777" w:rsidR="00D90890" w:rsidRDefault="00D90890" w:rsidP="00D90890">
      <w:pPr>
        <w:rPr>
          <w:rFonts w:hint="cs"/>
          <w:rtl/>
        </w:rPr>
      </w:pPr>
      <w:bookmarkStart w:id="6" w:name="ABSTRACT_END"/>
      <w:bookmarkEnd w:id="6"/>
    </w:p>
    <w:p w14:paraId="34BC8D90" w14:textId="77777777" w:rsidR="00D90890" w:rsidRPr="00D90890" w:rsidRDefault="00D90890" w:rsidP="00D90890">
      <w:pPr>
        <w:rPr>
          <w:rFonts w:hint="cs"/>
        </w:rPr>
      </w:pPr>
    </w:p>
    <w:tbl>
      <w:tblPr>
        <w:bidiVisual/>
        <w:tblW w:w="8820" w:type="dxa"/>
        <w:jc w:val="center"/>
        <w:tblLook w:val="01E0" w:firstRow="1" w:lastRow="1" w:firstColumn="1" w:lastColumn="1" w:noHBand="0" w:noVBand="0"/>
      </w:tblPr>
      <w:tblGrid>
        <w:gridCol w:w="8820"/>
      </w:tblGrid>
      <w:tr w:rsidR="004546A3" w:rsidRPr="00571328" w14:paraId="6079E6F2" w14:textId="77777777" w:rsidTr="00862457">
        <w:trPr>
          <w:jc w:val="center"/>
        </w:trPr>
        <w:tc>
          <w:tcPr>
            <w:tcW w:w="8820" w:type="dxa"/>
          </w:tcPr>
          <w:p w14:paraId="408F9CA9" w14:textId="77777777" w:rsidR="004546A3" w:rsidRPr="00571328" w:rsidRDefault="004546A3" w:rsidP="00571328">
            <w:pPr>
              <w:bidi w:val="0"/>
              <w:spacing w:line="360" w:lineRule="auto"/>
              <w:jc w:val="center"/>
              <w:rPr>
                <w:rFonts w:ascii="David" w:hAnsi="David"/>
                <w:b/>
                <w:bCs/>
                <w:noProof w:val="0"/>
                <w:sz w:val="32"/>
                <w:szCs w:val="32"/>
                <w:u w:val="single"/>
              </w:rPr>
            </w:pPr>
            <w:bookmarkStart w:id="7" w:name="PsakDin"/>
            <w:r w:rsidRPr="00571328">
              <w:rPr>
                <w:rFonts w:ascii="David" w:hAnsi="David"/>
                <w:b/>
                <w:bCs/>
                <w:noProof w:val="0"/>
                <w:sz w:val="32"/>
                <w:szCs w:val="32"/>
                <w:u w:val="single"/>
                <w:rtl/>
              </w:rPr>
              <w:t>גזר דין</w:t>
            </w:r>
            <w:bookmarkEnd w:id="7"/>
          </w:p>
        </w:tc>
      </w:tr>
    </w:tbl>
    <w:p w14:paraId="3F9DACCD" w14:textId="77777777" w:rsidR="00B87F67" w:rsidRPr="009E05ED" w:rsidRDefault="00B87F67" w:rsidP="0083097F">
      <w:pPr>
        <w:pStyle w:val="1"/>
        <w:numPr>
          <w:ilvl w:val="0"/>
          <w:numId w:val="1"/>
        </w:numPr>
        <w:spacing w:before="0" w:line="360" w:lineRule="auto"/>
        <w:ind w:left="360"/>
        <w:jc w:val="both"/>
        <w:rPr>
          <w:rFonts w:ascii="David" w:hAnsi="David" w:cs="David"/>
          <w:b/>
          <w:bCs/>
          <w:noProof w:val="0"/>
          <w:color w:val="auto"/>
          <w:sz w:val="28"/>
          <w:szCs w:val="28"/>
          <w:u w:val="single"/>
          <w:rtl/>
        </w:rPr>
      </w:pPr>
      <w:r w:rsidRPr="009E05ED">
        <w:rPr>
          <w:rFonts w:ascii="David" w:hAnsi="David" w:cs="David"/>
          <w:b/>
          <w:bCs/>
          <w:noProof w:val="0"/>
          <w:color w:val="auto"/>
          <w:sz w:val="28"/>
          <w:szCs w:val="28"/>
          <w:u w:val="single"/>
          <w:rtl/>
        </w:rPr>
        <w:t>רקע עובדתי</w:t>
      </w:r>
    </w:p>
    <w:p w14:paraId="1EFB1AFA" w14:textId="77777777" w:rsidR="00B87F67" w:rsidRPr="009E05ED" w:rsidRDefault="00B87F67" w:rsidP="0083097F">
      <w:pPr>
        <w:pStyle w:val="ListParagraph"/>
        <w:numPr>
          <w:ilvl w:val="0"/>
          <w:numId w:val="2"/>
        </w:numPr>
        <w:spacing w:after="0"/>
        <w:ind w:left="-118" w:right="-142"/>
        <w:rPr>
          <w:rFonts w:ascii="David" w:hAnsi="David" w:cs="David"/>
          <w:sz w:val="24"/>
          <w:szCs w:val="24"/>
          <w:rtl/>
        </w:rPr>
      </w:pPr>
      <w:r w:rsidRPr="009E05ED">
        <w:rPr>
          <w:rFonts w:ascii="David" w:hAnsi="David" w:cs="David"/>
          <w:sz w:val="24"/>
          <w:szCs w:val="24"/>
          <w:rtl/>
        </w:rPr>
        <w:t xml:space="preserve">כנטען בחלק הכללי של כתב האישום המתוקן, במהלך התקופה שבין דצמבר 2016 ועד לספטמבר 2017, הפעילה משטרת ישראל את נ.פ 557735/13 כסוכן סמוי (להלן: "הסוכן"), לשם איסוף ראיות נגד חשודים שונים בתחום הסמים ואמצעי לחימה. בכל האירועים מושא כתב האישום, פעל הסוכן במסגרת תפקידו ועל פי הנחיית מפעיליו. עוד נטען, כי </w:t>
      </w:r>
      <w:r w:rsidRPr="009E05ED">
        <w:rPr>
          <w:rFonts w:ascii="David" w:hAnsi="David" w:cs="David"/>
          <w:b/>
          <w:bCs/>
          <w:sz w:val="24"/>
          <w:szCs w:val="24"/>
          <w:rtl/>
        </w:rPr>
        <w:t>בין הנאשם לסוכן ישנה היכרות מוקדמת.</w:t>
      </w:r>
    </w:p>
    <w:p w14:paraId="2246AEE1" w14:textId="77777777" w:rsidR="00B87F67" w:rsidRPr="009E05ED" w:rsidRDefault="00B87F67" w:rsidP="0083097F">
      <w:pPr>
        <w:numPr>
          <w:ilvl w:val="0"/>
          <w:numId w:val="2"/>
        </w:numPr>
        <w:spacing w:line="360" w:lineRule="auto"/>
        <w:ind w:left="-118" w:right="-142"/>
        <w:jc w:val="both"/>
        <w:rPr>
          <w:rFonts w:ascii="David" w:hAnsi="David"/>
          <w:noProof w:val="0"/>
          <w:rtl/>
        </w:rPr>
      </w:pPr>
      <w:r w:rsidRPr="009E05ED">
        <w:rPr>
          <w:rFonts w:ascii="David" w:hAnsi="David"/>
          <w:noProof w:val="0"/>
          <w:rtl/>
        </w:rPr>
        <w:t xml:space="preserve">על פי עובדות האישום הראשון, ביום 01.06.2017 בסמוך לשעה 15:25, הגיע הסוכן המשטרתי לביתו של הנאשם באשדוד. בהמשך לכך, מכר הסוכן המשטרתי לנאשם ממתקים שונים בתמורה לסך של 150 ₪. עוד ובהמשך לכך, ביום 14.06.2017 בשעות הבוקר או בסמוך לכך, התקשר הנאשם לסוכן וביקש ממנו לארגן לו מזון לכלבים. בהמשך לאמור, בסמוך לשעה 13:47, התקשר הסוכן לנאשם ועדכן אותו בכך שהוא עתיד להגיע אליו בעוד כחצי שעה. וכך, בסמוך לשעה 15:00, הגיע הסוכן לביתו של הנאשם ומסר לבנו של הנאשם שק של מזון לכלבים. בהמשך לכך, ביקש הסוכן מהנאשם 2 גרם של סם מסוכן מסוג קוקאין ובתגובה לכך, עדכן הנאשם את הסוכן כי המחיר הינו 600 ₪. בהמשך לאמור, מסר הסוכן לנאשם סכום של 600 ₪. או אז הוריד הנאשם את מכנסיו והוציא מתוך תחתוניו 2 פאקטים של סם מסוכן מסוג קוקאין במשקל של 0.8024 גרם נטו. </w:t>
      </w:r>
    </w:p>
    <w:p w14:paraId="0CAFC136" w14:textId="77777777" w:rsidR="00B87F67" w:rsidRPr="009E05ED" w:rsidRDefault="00B87F67" w:rsidP="0083097F">
      <w:pPr>
        <w:numPr>
          <w:ilvl w:val="0"/>
          <w:numId w:val="2"/>
        </w:numPr>
        <w:spacing w:line="360" w:lineRule="auto"/>
        <w:ind w:left="-118" w:right="-142"/>
        <w:jc w:val="both"/>
        <w:rPr>
          <w:rFonts w:ascii="David" w:hAnsi="David"/>
        </w:rPr>
      </w:pPr>
      <w:r w:rsidRPr="009E05ED">
        <w:rPr>
          <w:rFonts w:ascii="David" w:hAnsi="David"/>
          <w:noProof w:val="0"/>
          <w:rtl/>
        </w:rPr>
        <w:t xml:space="preserve"> בגין אלו הורשע הנאשם </w:t>
      </w:r>
      <w:r w:rsidRPr="009E05ED">
        <w:rPr>
          <w:rFonts w:ascii="David" w:hAnsi="David"/>
          <w:b/>
          <w:bCs/>
          <w:noProof w:val="0"/>
          <w:rtl/>
        </w:rPr>
        <w:t xml:space="preserve">בעבירה של יצוא, יבוא, מסחר, הספקת סמים מסוכנים </w:t>
      </w:r>
      <w:r w:rsidRPr="009E05ED">
        <w:rPr>
          <w:rFonts w:ascii="David" w:hAnsi="David"/>
          <w:noProof w:val="0"/>
          <w:rtl/>
        </w:rPr>
        <w:t xml:space="preserve">לפי </w:t>
      </w:r>
      <w:hyperlink r:id="rId27" w:history="1">
        <w:r w:rsidR="004829BB" w:rsidRPr="004829BB">
          <w:rPr>
            <w:rFonts w:ascii="David" w:hAnsi="David"/>
            <w:noProof w:val="0"/>
            <w:color w:val="0000FF"/>
            <w:u w:val="single"/>
            <w:rtl/>
          </w:rPr>
          <w:t>סעיפים 13</w:t>
        </w:r>
      </w:hyperlink>
      <w:r w:rsidRPr="009E05ED">
        <w:rPr>
          <w:rFonts w:ascii="David" w:hAnsi="David"/>
          <w:noProof w:val="0"/>
          <w:rtl/>
        </w:rPr>
        <w:t xml:space="preserve"> + </w:t>
      </w:r>
      <w:hyperlink r:id="rId28" w:history="1">
        <w:r w:rsidR="004829BB" w:rsidRPr="004829BB">
          <w:rPr>
            <w:rFonts w:ascii="David" w:hAnsi="David"/>
            <w:noProof w:val="0"/>
            <w:color w:val="0000FF"/>
            <w:u w:val="single"/>
            <w:rtl/>
          </w:rPr>
          <w:t>19א</w:t>
        </w:r>
      </w:hyperlink>
      <w:r w:rsidRPr="009E05ED">
        <w:rPr>
          <w:rFonts w:ascii="David" w:hAnsi="David"/>
          <w:noProof w:val="0"/>
          <w:rtl/>
        </w:rPr>
        <w:t xml:space="preserve"> ל</w:t>
      </w:r>
      <w:hyperlink r:id="rId29" w:history="1">
        <w:r w:rsidR="004546A3" w:rsidRPr="004546A3">
          <w:rPr>
            <w:rFonts w:ascii="David" w:hAnsi="David"/>
            <w:noProof w:val="0"/>
            <w:color w:val="0000FF"/>
            <w:u w:val="single"/>
            <w:rtl/>
          </w:rPr>
          <w:t>פקודת הסמים המסוכנים</w:t>
        </w:r>
      </w:hyperlink>
      <w:r w:rsidRPr="009E05ED">
        <w:rPr>
          <w:rFonts w:ascii="David" w:hAnsi="David"/>
          <w:noProof w:val="0"/>
          <w:rtl/>
        </w:rPr>
        <w:t xml:space="preserve"> (נוסח חדש) תשל"ג- 1973 (להלן: פקודת הסמים המסוכנים).  </w:t>
      </w:r>
    </w:p>
    <w:p w14:paraId="4D93F56E" w14:textId="77777777" w:rsidR="00B87F67" w:rsidRPr="009E05ED" w:rsidRDefault="00B87F67" w:rsidP="0083097F">
      <w:pPr>
        <w:numPr>
          <w:ilvl w:val="0"/>
          <w:numId w:val="2"/>
        </w:numPr>
        <w:spacing w:line="360" w:lineRule="auto"/>
        <w:ind w:left="-118" w:right="-142"/>
        <w:jc w:val="both"/>
        <w:rPr>
          <w:rFonts w:ascii="David" w:hAnsi="David"/>
        </w:rPr>
      </w:pPr>
      <w:r w:rsidRPr="009E05ED">
        <w:rPr>
          <w:rFonts w:ascii="David" w:hAnsi="David"/>
          <w:noProof w:val="0"/>
          <w:rtl/>
        </w:rPr>
        <w:t xml:space="preserve">על פי עובדות האישום השני, ביום 16.07.2018 בסמוך לשעה 16:12, התקשר הסוכן לנאשם וקבע להיפגש עמו בביתו ואילו הנאשם ביקש מהסוכן כי יביא עמו שק של מזון לכלבים. בהמשך לאמור, יצא הסוכן לביתו של הנאשם כשהוא מצויד בשק של מזון לכלבים על מנת למכור לו את השק ולרכוש הימנו סם מסוכן מסוג קוקאין. מיד ובהמשך, בסמוך לשעה 16:30, שאל הסוכן את הנאשם האם "יש לו לבן", ועל כך השיב הנאשם לסוכן בחיוב. מיד לאחר מכן, ביקש הסוכן מהנאשם שיביא לו. בהמשך, פרק הסוכן מהרכב שק של מזון לכלבים והותירו בחצר ביתו של הנאשם. בהמשך לאמור נכנס הנאשם לביתו ולאחר מכן יצא מביתו ומסר לסוכן סם מסוכן מסוג קוקאין מחולק ל-3 מנות במשקל של 1.1619 גרם. </w:t>
      </w:r>
    </w:p>
    <w:p w14:paraId="403B5B5F" w14:textId="77777777" w:rsidR="00B87F67" w:rsidRPr="009E05ED" w:rsidRDefault="00B87F67" w:rsidP="0083097F">
      <w:pPr>
        <w:numPr>
          <w:ilvl w:val="0"/>
          <w:numId w:val="2"/>
        </w:numPr>
        <w:spacing w:line="360" w:lineRule="auto"/>
        <w:ind w:left="-118" w:right="-142"/>
        <w:jc w:val="both"/>
        <w:rPr>
          <w:rFonts w:ascii="David" w:hAnsi="David"/>
        </w:rPr>
      </w:pPr>
      <w:r w:rsidRPr="009E05ED">
        <w:rPr>
          <w:rFonts w:ascii="David" w:hAnsi="David"/>
          <w:noProof w:val="0"/>
          <w:rtl/>
        </w:rPr>
        <w:lastRenderedPageBreak/>
        <w:t xml:space="preserve">בגין אלו הורשע הנאשם </w:t>
      </w:r>
      <w:r w:rsidRPr="009E05ED">
        <w:rPr>
          <w:rFonts w:ascii="David" w:hAnsi="David"/>
          <w:b/>
          <w:bCs/>
          <w:noProof w:val="0"/>
          <w:rtl/>
        </w:rPr>
        <w:t xml:space="preserve">בעבירה של הספקת סמים מסוכנים </w:t>
      </w:r>
      <w:r w:rsidRPr="009E05ED">
        <w:rPr>
          <w:rFonts w:ascii="David" w:hAnsi="David"/>
          <w:noProof w:val="0"/>
          <w:rtl/>
        </w:rPr>
        <w:t xml:space="preserve">לפי </w:t>
      </w:r>
      <w:hyperlink r:id="rId30" w:history="1">
        <w:r w:rsidR="004829BB" w:rsidRPr="004829BB">
          <w:rPr>
            <w:rFonts w:ascii="David" w:hAnsi="David"/>
            <w:noProof w:val="0"/>
            <w:color w:val="0000FF"/>
            <w:u w:val="single"/>
            <w:rtl/>
          </w:rPr>
          <w:t>סעיפים 13+</w:t>
        </w:r>
      </w:hyperlink>
      <w:r w:rsidRPr="009E05ED">
        <w:rPr>
          <w:rFonts w:ascii="David" w:hAnsi="David"/>
          <w:noProof w:val="0"/>
          <w:rtl/>
        </w:rPr>
        <w:t xml:space="preserve"> </w:t>
      </w:r>
      <w:hyperlink r:id="rId31" w:history="1">
        <w:r w:rsidR="004829BB" w:rsidRPr="004829BB">
          <w:rPr>
            <w:rFonts w:ascii="David" w:hAnsi="David"/>
            <w:noProof w:val="0"/>
            <w:color w:val="0000FF"/>
            <w:u w:val="single"/>
            <w:rtl/>
          </w:rPr>
          <w:t>19א</w:t>
        </w:r>
      </w:hyperlink>
      <w:r w:rsidRPr="009E05ED">
        <w:rPr>
          <w:rFonts w:ascii="David" w:hAnsi="David"/>
          <w:noProof w:val="0"/>
          <w:rtl/>
        </w:rPr>
        <w:t xml:space="preserve"> ל</w:t>
      </w:r>
      <w:hyperlink r:id="rId32" w:history="1">
        <w:r w:rsidR="004546A3" w:rsidRPr="004546A3">
          <w:rPr>
            <w:rFonts w:ascii="David" w:hAnsi="David"/>
            <w:noProof w:val="0"/>
            <w:color w:val="0000FF"/>
            <w:u w:val="single"/>
            <w:rtl/>
          </w:rPr>
          <w:t>פקודת הסמים המסוכנים</w:t>
        </w:r>
      </w:hyperlink>
      <w:r w:rsidRPr="009E05ED">
        <w:rPr>
          <w:rFonts w:ascii="David" w:hAnsi="David"/>
          <w:noProof w:val="0"/>
          <w:rtl/>
        </w:rPr>
        <w:t xml:space="preserve">.  </w:t>
      </w:r>
    </w:p>
    <w:p w14:paraId="402D2042" w14:textId="77777777" w:rsidR="00B87F67" w:rsidRPr="009E05ED" w:rsidRDefault="00B87F67" w:rsidP="0083097F">
      <w:pPr>
        <w:spacing w:line="360" w:lineRule="auto"/>
        <w:ind w:left="720" w:right="-142"/>
        <w:jc w:val="both"/>
        <w:rPr>
          <w:rFonts w:ascii="David" w:hAnsi="David"/>
        </w:rPr>
      </w:pPr>
    </w:p>
    <w:p w14:paraId="1E3B482A"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הצדדים לא הגיעו להסדר בעניין העונש, אך הוסכם כי הנאשם יופנה לשירות המבחן על מנת שיתקבל תסקיר בעניינו. כן הוסכם, כי כל צד יהא רשאי לטעון לעניין העונש כראות עיניו. </w:t>
      </w:r>
    </w:p>
    <w:p w14:paraId="634C31F9" w14:textId="77777777" w:rsidR="00B87F67" w:rsidRPr="009E05ED" w:rsidRDefault="00B87F67" w:rsidP="0083097F">
      <w:pPr>
        <w:pStyle w:val="ListParagraph"/>
        <w:numPr>
          <w:ilvl w:val="0"/>
          <w:numId w:val="2"/>
        </w:numPr>
        <w:spacing w:after="0"/>
        <w:ind w:left="-118"/>
        <w:rPr>
          <w:rFonts w:ascii="David" w:hAnsi="David" w:cs="David"/>
          <w:b/>
          <w:bCs/>
          <w:sz w:val="24"/>
          <w:szCs w:val="24"/>
        </w:rPr>
      </w:pPr>
      <w:r w:rsidRPr="009E05ED">
        <w:rPr>
          <w:rFonts w:ascii="David" w:hAnsi="David" w:cs="David"/>
          <w:sz w:val="24"/>
          <w:szCs w:val="24"/>
          <w:rtl/>
        </w:rPr>
        <w:t xml:space="preserve">בעניינו של הנאשם התקבלו כמה תסקירים ובסופם, המליץ שירות המבחן לבכר בעניינו של הנאשם את הפן השיקומי ולהשית עליו עונש בדמות צו של"צ, צו מבחן, מאסר מותנה וחתימה על התחייבות להימנע מביצוע עבירה. בגוף התסקירים, עומד שירות המבחן על קורות חייו וחיי משפחתו של הנאשם, על מאפייניו האישיותיים, יחסו לעבירה, ועוד. מטעמים של צנעת הפרט לא אעלה עלי גזר הדין את כל המפורט בתסקירים האמורים, מלבד אותם נתונים הרלוונטיים לשאלת העונש שאליהם אתייחס בהמשך. </w:t>
      </w:r>
    </w:p>
    <w:p w14:paraId="7D25F891" w14:textId="77777777" w:rsidR="00B87F67" w:rsidRPr="009E05ED" w:rsidRDefault="00B87F67" w:rsidP="0083097F">
      <w:pPr>
        <w:pStyle w:val="ListParagraph"/>
        <w:numPr>
          <w:ilvl w:val="0"/>
          <w:numId w:val="2"/>
        </w:numPr>
        <w:spacing w:after="0"/>
        <w:ind w:left="-118"/>
        <w:rPr>
          <w:rFonts w:ascii="David" w:hAnsi="David" w:cs="David"/>
          <w:b/>
          <w:bCs/>
          <w:sz w:val="24"/>
          <w:szCs w:val="24"/>
        </w:rPr>
      </w:pPr>
      <w:r w:rsidRPr="009E05ED">
        <w:rPr>
          <w:rFonts w:ascii="David" w:hAnsi="David" w:cs="David"/>
          <w:b/>
          <w:bCs/>
          <w:sz w:val="24"/>
          <w:szCs w:val="24"/>
          <w:rtl/>
        </w:rPr>
        <w:t>מחוות דעת שהתקבלה מאת הממונה על עבודות השירות ביום 05.12.2019,</w:t>
      </w:r>
      <w:r w:rsidRPr="009E05ED">
        <w:rPr>
          <w:rFonts w:ascii="David" w:hAnsi="David" w:cs="David"/>
          <w:sz w:val="24"/>
          <w:szCs w:val="24"/>
          <w:rtl/>
        </w:rPr>
        <w:t xml:space="preserve"> עולה כי הנאשם </w:t>
      </w:r>
      <w:r w:rsidRPr="009E05ED">
        <w:rPr>
          <w:rFonts w:ascii="David" w:hAnsi="David" w:cs="David"/>
          <w:b/>
          <w:bCs/>
          <w:sz w:val="24"/>
          <w:szCs w:val="24"/>
          <w:rtl/>
        </w:rPr>
        <w:t xml:space="preserve">אינו מתאים (ואף לא במגבלות רפואיות) להשמה בעבודות שירות בשל מצבו הבריאותי או הנפשי. </w:t>
      </w:r>
    </w:p>
    <w:p w14:paraId="34BDCE15"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למען שלמות התמונה יצוין, כי הטיעונים לעונש נשמעו בשני מועדים שונים לאחר שנמצא כי הנאשם אינו כשיר להשתלב במערך עבודות השירות. </w:t>
      </w:r>
    </w:p>
    <w:p w14:paraId="7097DBC2" w14:textId="77777777" w:rsidR="00B87F67" w:rsidRPr="009E05ED" w:rsidRDefault="00B87F67" w:rsidP="0083097F">
      <w:pPr>
        <w:pStyle w:val="ListParagraph"/>
        <w:spacing w:after="0"/>
        <w:ind w:left="-118" w:firstLine="0"/>
        <w:rPr>
          <w:rFonts w:ascii="David" w:hAnsi="David" w:cs="David"/>
          <w:sz w:val="24"/>
          <w:szCs w:val="24"/>
        </w:rPr>
      </w:pPr>
    </w:p>
    <w:p w14:paraId="0CD6A368" w14:textId="77777777" w:rsidR="00B87F67" w:rsidRPr="009E05ED" w:rsidRDefault="00B87F67" w:rsidP="0083097F">
      <w:pPr>
        <w:pStyle w:val="1"/>
        <w:numPr>
          <w:ilvl w:val="0"/>
          <w:numId w:val="3"/>
        </w:numPr>
        <w:spacing w:before="0" w:line="360" w:lineRule="auto"/>
        <w:ind w:left="360"/>
        <w:jc w:val="both"/>
        <w:rPr>
          <w:rFonts w:ascii="David" w:hAnsi="David" w:cs="David"/>
          <w:b/>
          <w:bCs/>
          <w:color w:val="auto"/>
          <w:sz w:val="28"/>
          <w:szCs w:val="28"/>
          <w:u w:val="single"/>
        </w:rPr>
      </w:pPr>
      <w:r w:rsidRPr="009E05ED">
        <w:rPr>
          <w:rFonts w:ascii="David" w:hAnsi="David" w:cs="David"/>
          <w:b/>
          <w:bCs/>
          <w:noProof w:val="0"/>
          <w:color w:val="auto"/>
          <w:sz w:val="28"/>
          <w:szCs w:val="28"/>
          <w:u w:val="single"/>
          <w:rtl/>
        </w:rPr>
        <w:t>טיעוני הצדדים (עיקרי הדברים)</w:t>
      </w:r>
    </w:p>
    <w:p w14:paraId="21477F0F"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המאשימה עמדה על חומרת מעשיו של הנאשם, על הערכים המוגנים שנפגעו כתוצאה מהם ועל הצורך להחמיר בענישתם של סוחרי סמים. המאשימה הפנתה לכמות הסמים בהם סחר הנאשם; לסוג הסם; לתמורה הכספית שהלה קיבל מהסוכן בגין עסקת הסם הראשונה; לעובדה כי הסם חולק למנות בעסקת הסם השנייה; הזמינות שהייתה לנאשם לסם; והעובדה כי המדובר בשני אישומים, דבר המעיד על כך שאין המדובר באירוע חד פעמי. לאור כל אלה, ולאור עברו הפלילי (הגם שמדובר בעבר ישן), ביקשה המאשימה לקבוע </w:t>
      </w:r>
      <w:r w:rsidRPr="009E05ED">
        <w:rPr>
          <w:rFonts w:ascii="David" w:hAnsi="David" w:cs="David"/>
          <w:b/>
          <w:bCs/>
          <w:sz w:val="24"/>
          <w:szCs w:val="24"/>
          <w:rtl/>
        </w:rPr>
        <w:t xml:space="preserve">מתחם עונש הולם הנע בין 9  לבין 24 </w:t>
      </w:r>
      <w:r w:rsidRPr="009E05ED">
        <w:rPr>
          <w:rFonts w:ascii="David" w:hAnsi="David" w:cs="David"/>
          <w:sz w:val="24"/>
          <w:szCs w:val="24"/>
          <w:rtl/>
        </w:rPr>
        <w:t xml:space="preserve">חודשים מאסר, ולמקם את עונשו של הנאשם ברף התחתון של המתחם, </w:t>
      </w:r>
      <w:r w:rsidRPr="009E05ED">
        <w:rPr>
          <w:rFonts w:ascii="David" w:hAnsi="David" w:cs="David"/>
          <w:b/>
          <w:bCs/>
          <w:sz w:val="24"/>
          <w:szCs w:val="24"/>
          <w:rtl/>
        </w:rPr>
        <w:t>ולהשית עליו עונש בדמות מאסר בפועל שיכול וירוצה</w:t>
      </w:r>
      <w:r w:rsidRPr="009E05ED">
        <w:rPr>
          <w:rFonts w:ascii="David" w:hAnsi="David" w:cs="David"/>
          <w:sz w:val="24"/>
          <w:szCs w:val="24"/>
          <w:rtl/>
        </w:rPr>
        <w:t xml:space="preserve"> </w:t>
      </w:r>
      <w:r w:rsidRPr="009E05ED">
        <w:rPr>
          <w:rFonts w:ascii="David" w:hAnsi="David" w:cs="David"/>
          <w:b/>
          <w:bCs/>
          <w:sz w:val="24"/>
          <w:szCs w:val="24"/>
          <w:rtl/>
        </w:rPr>
        <w:t>בעבודות שירות וענישה נלווית</w:t>
      </w:r>
      <w:r w:rsidRPr="009E05ED">
        <w:rPr>
          <w:rFonts w:ascii="David" w:hAnsi="David" w:cs="David"/>
          <w:sz w:val="24"/>
          <w:szCs w:val="24"/>
          <w:rtl/>
        </w:rPr>
        <w:t xml:space="preserve"> ובכלל זה קנס כספי ופסילת רישיון נהיגה (בפועל ומותנית). משנמצא הנאשם כלא כשיר להשתלב במערך עבודות השירות, עתרה המאשימה להשית על הנאשם עונש של מאסר בפועל (9 חודשים) וענישה נילווית. </w:t>
      </w:r>
    </w:p>
    <w:p w14:paraId="4EE237B8"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ההגנה לא חלקה על מתחם העונש ההולם שלו עתרה המאשימה ואולם ביקשה לחרוג הימנו לקולא בשל שיקולי שיקום ולאמץ במלואן את המלצת שירות המבחן לעניין העונש. עוד בעניין זה, ההגנה הפנתה לנסיבותיו האישיות של הנאשם ולנסיבות ביצוע העבירה, להודאתו במיוחס לו ולנטילת האחריות מצדו, לעברו הפלילי הישן, להליך השיקום הממושך שעבר ולכך שאיננו מתעסק עוד בסמים. </w:t>
      </w:r>
    </w:p>
    <w:p w14:paraId="57805C71"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הנאשם אשר קיבל את "זכות המילה האחרונה", הביע חרטה על מעשיו וביקש כי בית המשפט יתחשב בו לעניין העונש בשל הליך השיקום שעבר במסגרות הטיפוליות השונות ובהיותו נקי מסם. </w:t>
      </w:r>
    </w:p>
    <w:p w14:paraId="726749A4" w14:textId="77777777" w:rsidR="00B87F67" w:rsidRPr="009E05ED" w:rsidRDefault="00B87F67" w:rsidP="0083097F">
      <w:pPr>
        <w:pStyle w:val="1"/>
        <w:spacing w:before="0" w:line="360" w:lineRule="auto"/>
        <w:jc w:val="center"/>
        <w:rPr>
          <w:rFonts w:ascii="David" w:hAnsi="David" w:cs="David"/>
          <w:b/>
          <w:bCs/>
          <w:color w:val="auto"/>
          <w:sz w:val="28"/>
          <w:szCs w:val="28"/>
          <w:u w:val="single"/>
        </w:rPr>
      </w:pPr>
      <w:r w:rsidRPr="009E05ED">
        <w:rPr>
          <w:rFonts w:ascii="David" w:hAnsi="David" w:cs="David"/>
          <w:b/>
          <w:bCs/>
          <w:noProof w:val="0"/>
          <w:color w:val="auto"/>
          <w:sz w:val="28"/>
          <w:szCs w:val="28"/>
          <w:u w:val="single"/>
          <w:rtl/>
        </w:rPr>
        <w:t>דיון והכרעה</w:t>
      </w:r>
    </w:p>
    <w:p w14:paraId="7F811CAC" w14:textId="77777777" w:rsidR="00B87F67" w:rsidRPr="009E05ED" w:rsidRDefault="00B87F67" w:rsidP="0083097F">
      <w:pPr>
        <w:pStyle w:val="ListParagraph"/>
        <w:numPr>
          <w:ilvl w:val="0"/>
          <w:numId w:val="2"/>
        </w:numPr>
        <w:spacing w:after="0"/>
        <w:ind w:left="-118"/>
        <w:rPr>
          <w:rFonts w:ascii="David" w:hAnsi="David" w:cs="David"/>
          <w:sz w:val="24"/>
          <w:szCs w:val="24"/>
          <w:rtl/>
        </w:rPr>
      </w:pPr>
      <w:r w:rsidRPr="009E05ED">
        <w:rPr>
          <w:rFonts w:ascii="David" w:hAnsi="David" w:cs="David"/>
          <w:sz w:val="24"/>
          <w:szCs w:val="24"/>
          <w:rtl/>
        </w:rPr>
        <w:t>בהיעדר מחלוקת בין הצדדים על כך שמכלול מעשיו של הנאשם מהווה "אירוע" אחד, ובהתאם למתווה שהותווה על ידי המחוקק בתיקון 113 ל</w:t>
      </w:r>
      <w:hyperlink r:id="rId33" w:history="1">
        <w:r w:rsidR="004546A3" w:rsidRPr="004546A3">
          <w:rPr>
            <w:rFonts w:ascii="David" w:hAnsi="David" w:cs="David"/>
            <w:color w:val="0000FF"/>
            <w:sz w:val="24"/>
            <w:szCs w:val="24"/>
            <w:u w:val="single"/>
            <w:rtl/>
          </w:rPr>
          <w:t>חוק העונשין</w:t>
        </w:r>
      </w:hyperlink>
      <w:r w:rsidRPr="009E05ED">
        <w:rPr>
          <w:rFonts w:ascii="David" w:hAnsi="David" w:cs="David"/>
          <w:sz w:val="24"/>
          <w:szCs w:val="24"/>
          <w:rtl/>
        </w:rPr>
        <w:t xml:space="preserve"> ופורש לאחר מכן בפסיקתו של בית המשפט העליון, אקבע בשלב הראשון את מתחם העונש ההולם; ולאחר מכן אגזור את העונש המתאים לנאשם, תוך בחינה אם יש מקום לסטות לקולא מהמתחם שנקבע או שמא יש לקבוע את העונש בגדרו (אודות המתווה לגזירת העונש, ר' למשל: </w:t>
      </w:r>
      <w:hyperlink r:id="rId34" w:history="1">
        <w:r w:rsidR="004546A3" w:rsidRPr="004546A3">
          <w:rPr>
            <w:rFonts w:ascii="David" w:hAnsi="David" w:cs="David"/>
            <w:color w:val="0000FF"/>
            <w:sz w:val="24"/>
            <w:szCs w:val="24"/>
            <w:u w:val="single"/>
            <w:rtl/>
          </w:rPr>
          <w:t>ע"פ 8641/12</w:t>
        </w:r>
      </w:hyperlink>
      <w:r w:rsidRPr="009E05ED">
        <w:rPr>
          <w:rFonts w:ascii="David" w:hAnsi="David" w:cs="David"/>
          <w:sz w:val="24"/>
          <w:szCs w:val="24"/>
          <w:rtl/>
        </w:rPr>
        <w:t xml:space="preserve"> </w:t>
      </w:r>
      <w:r w:rsidRPr="009E05ED">
        <w:rPr>
          <w:rFonts w:ascii="David" w:hAnsi="David" w:cs="David"/>
          <w:b/>
          <w:bCs/>
          <w:sz w:val="24"/>
          <w:szCs w:val="24"/>
          <w:rtl/>
        </w:rPr>
        <w:t>מוחמד סעד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(05.08.2013)).</w:t>
      </w:r>
    </w:p>
    <w:p w14:paraId="1735FBAE" w14:textId="77777777" w:rsidR="00B87F67" w:rsidRPr="009E05ED" w:rsidRDefault="00B87F67" w:rsidP="0083097F">
      <w:pPr>
        <w:spacing w:line="360" w:lineRule="auto"/>
        <w:jc w:val="both"/>
        <w:rPr>
          <w:rFonts w:ascii="David" w:hAnsi="David"/>
        </w:rPr>
      </w:pPr>
    </w:p>
    <w:p w14:paraId="0D050C2B" w14:textId="77777777" w:rsidR="00B87F67" w:rsidRPr="009E05ED" w:rsidRDefault="00B87F67" w:rsidP="0083097F">
      <w:pPr>
        <w:pStyle w:val="1"/>
        <w:spacing w:before="0" w:line="360" w:lineRule="auto"/>
        <w:jc w:val="both"/>
        <w:rPr>
          <w:rFonts w:ascii="David" w:hAnsi="David" w:cs="David"/>
          <w:bCs/>
          <w:noProof w:val="0"/>
          <w:color w:val="auto"/>
          <w:sz w:val="28"/>
          <w:szCs w:val="28"/>
          <w:u w:val="single"/>
          <w:rtl/>
        </w:rPr>
      </w:pPr>
      <w:r w:rsidRPr="0083097F">
        <w:rPr>
          <w:rFonts w:ascii="David" w:hAnsi="David" w:cs="David"/>
          <w:bCs/>
          <w:noProof w:val="0"/>
          <w:color w:val="auto"/>
          <w:sz w:val="28"/>
          <w:szCs w:val="28"/>
          <w:rtl/>
        </w:rPr>
        <w:t xml:space="preserve">ג. </w:t>
      </w:r>
      <w:r w:rsidRPr="009E05ED">
        <w:rPr>
          <w:rFonts w:ascii="David" w:hAnsi="David" w:cs="David"/>
          <w:bCs/>
          <w:noProof w:val="0"/>
          <w:color w:val="auto"/>
          <w:sz w:val="28"/>
          <w:szCs w:val="28"/>
          <w:u w:val="single"/>
          <w:rtl/>
        </w:rPr>
        <w:t xml:space="preserve">קביעת מתחם העונש ההולם </w:t>
      </w:r>
    </w:p>
    <w:p w14:paraId="15B08BD1" w14:textId="77777777" w:rsidR="00B87F67" w:rsidRPr="009E05ED" w:rsidRDefault="00B87F67" w:rsidP="0083097F">
      <w:pPr>
        <w:pStyle w:val="ListParagraph"/>
        <w:numPr>
          <w:ilvl w:val="0"/>
          <w:numId w:val="2"/>
        </w:numPr>
        <w:spacing w:after="0"/>
        <w:ind w:left="-118"/>
        <w:rPr>
          <w:rFonts w:ascii="David" w:hAnsi="David" w:cs="David"/>
          <w:sz w:val="24"/>
          <w:szCs w:val="24"/>
          <w:rtl/>
        </w:rPr>
      </w:pPr>
      <w:r w:rsidRPr="009E05ED">
        <w:rPr>
          <w:rFonts w:ascii="David" w:hAnsi="David" w:cs="David"/>
          <w:sz w:val="24"/>
          <w:szCs w:val="24"/>
          <w:rtl/>
        </w:rPr>
        <w:t xml:space="preserve">כאמור </w:t>
      </w:r>
      <w:hyperlink r:id="rId35" w:history="1">
        <w:r w:rsidR="004829BB" w:rsidRPr="004829BB">
          <w:rPr>
            <w:rFonts w:ascii="David" w:hAnsi="David" w:cs="David"/>
            <w:color w:val="0000FF"/>
            <w:sz w:val="24"/>
            <w:szCs w:val="24"/>
            <w:u w:val="single"/>
            <w:rtl/>
          </w:rPr>
          <w:t>בסעיף 40ג(א)</w:t>
        </w:r>
      </w:hyperlink>
      <w:r w:rsidRPr="009E05ED">
        <w:rPr>
          <w:rFonts w:ascii="David" w:hAnsi="David" w:cs="David"/>
          <w:sz w:val="24"/>
          <w:szCs w:val="24"/>
          <w:rtl/>
        </w:rPr>
        <w:t xml:space="preserve"> ל</w:t>
      </w:r>
      <w:hyperlink r:id="rId36" w:history="1">
        <w:r w:rsidR="004546A3" w:rsidRPr="004546A3">
          <w:rPr>
            <w:rFonts w:ascii="David" w:hAnsi="David" w:cs="David"/>
            <w:color w:val="0000FF"/>
            <w:sz w:val="24"/>
            <w:szCs w:val="24"/>
            <w:u w:val="single"/>
            <w:rtl/>
          </w:rPr>
          <w:t>חוק העונשין</w:t>
        </w:r>
      </w:hyperlink>
      <w:r w:rsidRPr="009E05ED">
        <w:rPr>
          <w:rFonts w:ascii="David" w:hAnsi="David" w:cs="David"/>
          <w:sz w:val="24"/>
          <w:szCs w:val="24"/>
          <w:rtl/>
        </w:rPr>
        <w:t xml:space="preserve">, התשל"ז-1977 (להלן: </w:t>
      </w:r>
      <w:r w:rsidRPr="009E05ED">
        <w:rPr>
          <w:rFonts w:ascii="David" w:hAnsi="David" w:cs="David"/>
          <w:b/>
          <w:bCs/>
          <w:sz w:val="24"/>
          <w:szCs w:val="24"/>
          <w:rtl/>
        </w:rPr>
        <w:t>"חוק העונשין"</w:t>
      </w:r>
      <w:r w:rsidRPr="009E05ED">
        <w:rPr>
          <w:rFonts w:ascii="David" w:hAnsi="David" w:cs="David"/>
          <w:sz w:val="24"/>
          <w:szCs w:val="24"/>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30F07B43"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בכל הנוגע</w:t>
      </w:r>
      <w:r w:rsidRPr="009E05ED">
        <w:rPr>
          <w:rFonts w:ascii="David" w:hAnsi="David" w:cs="David"/>
          <w:b/>
          <w:bCs/>
          <w:sz w:val="24"/>
          <w:szCs w:val="24"/>
          <w:rtl/>
        </w:rPr>
        <w:t xml:space="preserve"> לערכים החברתיים המוגנים</w:t>
      </w:r>
      <w:r w:rsidRPr="009E05ED">
        <w:rPr>
          <w:rFonts w:ascii="David" w:hAnsi="David" w:cs="David"/>
          <w:sz w:val="24"/>
          <w:szCs w:val="24"/>
          <w:rtl/>
        </w:rPr>
        <w:t xml:space="preserve"> אשר נפגעו כתוצאה ממעשיו של הנאשם, נדמה כי אין צורך להכביר מילים אודות החומרה הרבה הכרוכה בעבירות הסמים. </w:t>
      </w:r>
      <w:hyperlink r:id="rId37" w:history="1">
        <w:r w:rsidR="004546A3" w:rsidRPr="004546A3">
          <w:rPr>
            <w:rFonts w:ascii="David" w:hAnsi="David" w:cs="David"/>
            <w:color w:val="0000FF"/>
            <w:sz w:val="24"/>
            <w:szCs w:val="24"/>
            <w:u w:val="single"/>
            <w:rtl/>
          </w:rPr>
          <w:t>פקודת הסמים המסוכנים</w:t>
        </w:r>
      </w:hyperlink>
      <w:r w:rsidRPr="009E05ED">
        <w:rPr>
          <w:rFonts w:ascii="David" w:hAnsi="David" w:cs="David"/>
          <w:sz w:val="24"/>
          <w:szCs w:val="24"/>
          <w:rtl/>
        </w:rPr>
        <w:t xml:space="preserve"> נחקקה על מנת להגן על ערכים חברתיים מרכזיים ובראשם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14:paraId="14B584DF"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הדברים מקבלים משנה תוקף ככל שעסקינן בעבירת הסחר, כאשר לא בכדי מצא המחוקק לקבוע בצידה עונש מרבי חמור ביותר, בדמות 20 שנות מאסר. בדומה למחוקק, ובעקבותיו, גם בתי המשפט מצוּוים להילחם ביד קשה נגד עברייני הסמים, ולא כל שכן נגד אלו הסוחרים בהם. </w:t>
      </w:r>
    </w:p>
    <w:p w14:paraId="12B71616"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לנוכח הנסיבות הקשורות בביצוע העבירה, כפי שיפורט להלן, ובייחוד בשים לב לעובדה כי הנאשם סחר בסם מסוכן מסוג קוקאין, בשילוב עם משקל הסם בו סחר והתמורה הכספית שהלה שלשל לכיסו (כפי העולה מהאישום הראשון), כמו גם הזמינות שהייתה לנאשם לסם, העובדה כי הסם שסופק חולק למנות (כפי העולה מהאישום השני), וכי אין המדובר באירוע חד פעמי מצאתי –כי במקרה הנדון, </w:t>
      </w:r>
      <w:r w:rsidRPr="009E05ED">
        <w:rPr>
          <w:rFonts w:ascii="David" w:hAnsi="David" w:cs="David"/>
          <w:b/>
          <w:bCs/>
          <w:sz w:val="24"/>
          <w:szCs w:val="24"/>
          <w:rtl/>
        </w:rPr>
        <w:t>מידת הפגיעה</w:t>
      </w:r>
      <w:r w:rsidRPr="009E05ED">
        <w:rPr>
          <w:rFonts w:ascii="David" w:hAnsi="David" w:cs="David"/>
          <w:sz w:val="24"/>
          <w:szCs w:val="24"/>
          <w:rtl/>
        </w:rPr>
        <w:t xml:space="preserve"> בערכים המוגנים הנה ממשית. </w:t>
      </w:r>
    </w:p>
    <w:p w14:paraId="14D710E1"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וביתר פירוט, בבחינת </w:t>
      </w:r>
      <w:r w:rsidRPr="009E05ED">
        <w:rPr>
          <w:rFonts w:ascii="David" w:hAnsi="David" w:cs="David"/>
          <w:b/>
          <w:bCs/>
          <w:sz w:val="24"/>
          <w:szCs w:val="24"/>
          <w:rtl/>
        </w:rPr>
        <w:t xml:space="preserve">הנסיבות הקשורות בביצוע </w:t>
      </w:r>
      <w:r w:rsidRPr="009E05ED">
        <w:rPr>
          <w:rFonts w:ascii="David" w:hAnsi="David" w:cs="David"/>
          <w:sz w:val="24"/>
          <w:szCs w:val="24"/>
          <w:rtl/>
        </w:rPr>
        <w:t xml:space="preserve"> </w:t>
      </w:r>
      <w:r w:rsidRPr="009E05ED">
        <w:rPr>
          <w:rFonts w:ascii="David" w:hAnsi="David" w:cs="David"/>
          <w:b/>
          <w:bCs/>
          <w:sz w:val="24"/>
          <w:szCs w:val="24"/>
          <w:rtl/>
        </w:rPr>
        <w:t>העבירה,</w:t>
      </w:r>
      <w:r w:rsidRPr="009E05ED">
        <w:rPr>
          <w:rFonts w:ascii="David" w:hAnsi="David" w:cs="David"/>
          <w:sz w:val="24"/>
          <w:szCs w:val="24"/>
          <w:rtl/>
        </w:rPr>
        <w:t xml:space="preserve"> נתתי דעתי בראש ובראשונה לסוג הסם בו סחר הנאשם, זמינותו, ומשקלו. המדובר בסם מסוכן מסוג קוקאין הנמנה עם "הסמים הקשים", כאשר שנים רבות של מחקרים מדעיים שנעשו בתחום לימדו אותנו כי הנזקים שסם זה מביא עמו קשים מהנזקים הנגרמים עקב שימוש בסמים "קלים" כגון חשיש או מריחואנה. בכל הנוגע למשקל הסם הנסחר, הרי שנתתי דעתי לכמות הסם הגבוהה מזו שנקבעה בפקודה כ"חזקת ההחזקה לצריכה עצמית" בסם הקוקאין. כן הבאתי בחשבון את התמורה הכספית שהלה שלשל לכיסו. בכל הנוגע, לאספקת הסם, מצאתי לזקוף לחומרה את משקל הסם, סוגו, זמינותו, ואת העובדה כי  הסם חולק ל–3 יחידות. </w:t>
      </w:r>
    </w:p>
    <w:p w14:paraId="19AF34C6"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בכל הנוגע לסיבות שהביאו את הנאשם לבצע את העבירות, הלה טען בשירות המבחן כי התרועעותו בחברה שולית ושימושו בסמים הם שהביאו אותו לביצוע העבירות הנדונות. מבלי חלילה להקל ראש בדבר, הרי שבאלה יש כדי ללמד על כך שהנאשם לא פעל מתוך בצע כסף, ולדידי אין דינו של אדם הסוחר בסמים אך בשל התמכרותו ומתוך רצון לממן לעצמו את מנת הסם הבאה, כדין אדם הסוחר בסמים או מספקם מתוך מטרה להשגת רווח כספי מהיר וקל על גבם של המכורים לסם ועל חשבון ביטחונו של כלל הציבור. </w:t>
      </w:r>
    </w:p>
    <w:p w14:paraId="718849C6"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עוד במסגרת זו, נתתי דעתי לעובדה כי לעבירות לא קדם תכנון מוקדם כזה או אחר מצדו של הנאשם, כאשר כאמור, המדובר במשתמש מכור לסמים אשר בספונטניות ניצל הזדמנות שבאה לפתחו ומכר חלק ממנת הסם שלו כדי לממן לעצמו את מנת הסם הבאה. </w:t>
      </w:r>
    </w:p>
    <w:p w14:paraId="14831377" w14:textId="77777777" w:rsidR="00B87F67" w:rsidRPr="009E05ED" w:rsidRDefault="00B87F67" w:rsidP="0083097F">
      <w:pPr>
        <w:pStyle w:val="ListParagraph"/>
        <w:numPr>
          <w:ilvl w:val="0"/>
          <w:numId w:val="2"/>
        </w:numPr>
        <w:spacing w:after="0"/>
        <w:ind w:left="-118"/>
        <w:rPr>
          <w:rFonts w:ascii="David" w:hAnsi="David" w:cs="David"/>
          <w:sz w:val="24"/>
          <w:szCs w:val="24"/>
          <w:rtl/>
        </w:rPr>
      </w:pPr>
      <w:r w:rsidRPr="009E05ED">
        <w:rPr>
          <w:rFonts w:ascii="David" w:hAnsi="David" w:cs="David"/>
          <w:sz w:val="24"/>
          <w:szCs w:val="24"/>
          <w:rtl/>
        </w:rPr>
        <w:t xml:space="preserve">ברוח הדברים האמורים, בית המשפט שת ליבו לכך שהסוכן עושה שימוש ב"קודים", ובכך למעשה, הנאשם מפגין בקיאות בעגה העבריינית של עולם המשתמשים בסמים, ונדמה כי עולם זה אינו זר לו כלל ועיקר. בהמשך לאמור, אף נתתי דעתי לעובדה כי הנאשם מספק את הסם בחלוף זמן קצר מעת פנייתו של הסוכן  אליו, מה שמלמד אודות הנגישות הרבה שיש לנאשם לסם המבוקש. כמו כן, אין להתעלם מכך שהסוכן (שבין הנאשם לבינו הייתה הכרות מוקדמת), הוא שביקש לקנות סמים מהנאשם. ברי כי אין בכך כדי לפטור את הנאשם מאחריותו בפלילים (והדבר אף לא נטען), אך נדמה כי ניתן להעניק לכך משקל מסוים במסגרת </w:t>
      </w:r>
      <w:hyperlink r:id="rId38" w:history="1">
        <w:r w:rsidR="004829BB" w:rsidRPr="004829BB">
          <w:rPr>
            <w:rFonts w:ascii="David" w:hAnsi="David" w:cs="David"/>
            <w:color w:val="0000FF"/>
            <w:sz w:val="24"/>
            <w:szCs w:val="24"/>
            <w:u w:val="single"/>
            <w:rtl/>
          </w:rPr>
          <w:t>סעיפים 40ט(א)(2)</w:t>
        </w:r>
      </w:hyperlink>
      <w:r w:rsidRPr="009E05ED">
        <w:rPr>
          <w:rFonts w:ascii="David" w:hAnsi="David" w:cs="David"/>
          <w:sz w:val="24"/>
          <w:szCs w:val="24"/>
          <w:rtl/>
        </w:rPr>
        <w:t xml:space="preserve"> ו- </w:t>
      </w:r>
      <w:hyperlink r:id="rId39" w:history="1">
        <w:r w:rsidR="004829BB" w:rsidRPr="004829BB">
          <w:rPr>
            <w:rFonts w:ascii="David" w:hAnsi="David" w:cs="David"/>
            <w:color w:val="0000FF"/>
            <w:sz w:val="24"/>
            <w:szCs w:val="24"/>
            <w:u w:val="single"/>
            <w:rtl/>
          </w:rPr>
          <w:t>40ט(א)(5)</w:t>
        </w:r>
      </w:hyperlink>
      <w:r w:rsidRPr="009E05ED">
        <w:rPr>
          <w:rFonts w:ascii="David" w:hAnsi="David" w:cs="David"/>
          <w:sz w:val="24"/>
          <w:szCs w:val="24"/>
          <w:rtl/>
        </w:rPr>
        <w:t xml:space="preserve"> ל</w:t>
      </w:r>
      <w:hyperlink r:id="rId40" w:history="1">
        <w:r w:rsidR="004546A3" w:rsidRPr="004546A3">
          <w:rPr>
            <w:rFonts w:ascii="David" w:hAnsi="David" w:cs="David"/>
            <w:color w:val="0000FF"/>
            <w:sz w:val="24"/>
            <w:szCs w:val="24"/>
            <w:u w:val="single"/>
            <w:rtl/>
          </w:rPr>
          <w:t>חוק העונשין</w:t>
        </w:r>
      </w:hyperlink>
      <w:r w:rsidRPr="009E05ED">
        <w:rPr>
          <w:rFonts w:ascii="David" w:hAnsi="David" w:cs="David"/>
          <w:sz w:val="24"/>
          <w:szCs w:val="24"/>
          <w:rtl/>
        </w:rPr>
        <w:t xml:space="preserve"> (ור' גם </w:t>
      </w:r>
      <w:hyperlink r:id="rId41" w:history="1">
        <w:r w:rsidR="004546A3" w:rsidRPr="004546A3">
          <w:rPr>
            <w:rFonts w:ascii="David" w:hAnsi="David" w:cs="David"/>
            <w:color w:val="0000FF"/>
            <w:sz w:val="24"/>
            <w:szCs w:val="24"/>
            <w:u w:val="single"/>
            <w:rtl/>
          </w:rPr>
          <w:t>ע"פ 1224/07</w:t>
        </w:r>
      </w:hyperlink>
      <w:r w:rsidRPr="009E05ED">
        <w:rPr>
          <w:rFonts w:ascii="David" w:hAnsi="David" w:cs="David"/>
          <w:sz w:val="24"/>
          <w:szCs w:val="24"/>
          <w:rtl/>
        </w:rPr>
        <w:t xml:space="preserve"> </w:t>
      </w:r>
      <w:r w:rsidRPr="009E05ED">
        <w:rPr>
          <w:rFonts w:ascii="David" w:hAnsi="David" w:cs="David"/>
          <w:b/>
          <w:bCs/>
          <w:sz w:val="24"/>
          <w:szCs w:val="24"/>
          <w:rtl/>
        </w:rPr>
        <w:t>אברהם בלדב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(10.02.2010); </w:t>
      </w:r>
      <w:r w:rsidRPr="009E05ED">
        <w:rPr>
          <w:rFonts w:ascii="David" w:hAnsi="David" w:cs="David"/>
          <w:sz w:val="24"/>
          <w:szCs w:val="24"/>
          <w:u w:val="single"/>
          <w:rtl/>
        </w:rPr>
        <w:t>ו</w:t>
      </w:r>
      <w:hyperlink r:id="rId42" w:history="1">
        <w:r w:rsidR="004546A3" w:rsidRPr="004546A3">
          <w:rPr>
            <w:rFonts w:ascii="David" w:hAnsi="David" w:cs="David"/>
            <w:color w:val="0000FF"/>
            <w:sz w:val="24"/>
            <w:szCs w:val="24"/>
            <w:u w:val="single"/>
            <w:rtl/>
          </w:rPr>
          <w:t>ע"פ 5268/04</w:t>
        </w:r>
      </w:hyperlink>
      <w:r w:rsidRPr="009E05ED">
        <w:rPr>
          <w:rFonts w:ascii="David" w:hAnsi="David" w:cs="David"/>
          <w:sz w:val="24"/>
          <w:szCs w:val="24"/>
          <w:rtl/>
        </w:rPr>
        <w:t xml:space="preserve"> </w:t>
      </w:r>
      <w:r w:rsidRPr="009E05ED">
        <w:rPr>
          <w:rFonts w:ascii="David" w:hAnsi="David" w:cs="David"/>
          <w:b/>
          <w:bCs/>
          <w:sz w:val="24"/>
          <w:szCs w:val="24"/>
          <w:rtl/>
        </w:rPr>
        <w:t>ליודמילה מינין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(07.11.2005)). אם כי, המשקל שיינתן לכך לא יהיה גבוה. שכן, אף אם היה זה הסוכן ששתל את הרעיון בראשו של הנאשם, הרי שהוא לא הפעיל עליו כל לחץ ממשי, תוך שהנאשם היה חופשי כל העת לסרב לבקשתו.</w:t>
      </w:r>
    </w:p>
    <w:p w14:paraId="038E6A51" w14:textId="77777777" w:rsidR="00B87F67" w:rsidRPr="009E05ED" w:rsidRDefault="00B87F67" w:rsidP="0083097F">
      <w:pPr>
        <w:pStyle w:val="ListParagraph"/>
        <w:numPr>
          <w:ilvl w:val="0"/>
          <w:numId w:val="2"/>
        </w:numPr>
        <w:spacing w:after="0"/>
        <w:ind w:left="-118"/>
        <w:rPr>
          <w:rFonts w:ascii="David" w:hAnsi="David" w:cs="David"/>
          <w:sz w:val="24"/>
          <w:szCs w:val="24"/>
          <w:rtl/>
        </w:rPr>
      </w:pPr>
      <w:r w:rsidRPr="009E05ED">
        <w:rPr>
          <w:rFonts w:ascii="David" w:hAnsi="David" w:cs="David"/>
          <w:sz w:val="24"/>
          <w:szCs w:val="24"/>
          <w:rtl/>
        </w:rPr>
        <w:t xml:space="preserve">לבסוף, כתוצאה מביצוע העבירות לא נגרם נזק ממשי כלשהו, אולם זאת אך משום ש"הקונה" של הסם היה סוכן שהופעל על ידי משטרת ישראל. אשר על כן, אין להעניק משקל לקולא לנסיבה אחרונה זו. מה עוד, שאלו הן דרכן של עבירות הסמים, כאשר פעמים רבות לא ניתן להצביע על נזק ישיר ומידי שנגרם כתוצאה מביצוען, מה שאינו מפחית כהוא זה מהנזק הרב וארוך הטווח שהן גורמות, וניתן לשקול את הדברים גם בבחינת הנזק הפוטנציאלי הטמון בעבירות הסמים. </w:t>
      </w:r>
    </w:p>
    <w:p w14:paraId="09914DBE" w14:textId="77777777" w:rsidR="00B87F67" w:rsidRPr="009E05ED" w:rsidRDefault="00B87F67" w:rsidP="0083097F">
      <w:pPr>
        <w:pStyle w:val="ListParagraph"/>
        <w:numPr>
          <w:ilvl w:val="0"/>
          <w:numId w:val="2"/>
        </w:numPr>
        <w:spacing w:after="0"/>
        <w:ind w:left="-118"/>
        <w:rPr>
          <w:rFonts w:ascii="David" w:hAnsi="David" w:cs="David"/>
          <w:sz w:val="24"/>
          <w:szCs w:val="24"/>
          <w:rtl/>
        </w:rPr>
      </w:pPr>
      <w:r w:rsidRPr="009E05ED">
        <w:rPr>
          <w:rFonts w:ascii="David" w:hAnsi="David" w:cs="David"/>
          <w:sz w:val="24"/>
          <w:szCs w:val="24"/>
          <w:rtl/>
        </w:rPr>
        <w:t xml:space="preserve">בכל הנוגע </w:t>
      </w:r>
      <w:r w:rsidRPr="009E05ED">
        <w:rPr>
          <w:rFonts w:ascii="David" w:hAnsi="David" w:cs="David"/>
          <w:b/>
          <w:bCs/>
          <w:sz w:val="24"/>
          <w:szCs w:val="24"/>
          <w:rtl/>
        </w:rPr>
        <w:t>למדיניות הענישה הנוהגת</w:t>
      </w:r>
      <w:r w:rsidRPr="009E05ED">
        <w:rPr>
          <w:rFonts w:ascii="David" w:hAnsi="David" w:cs="David"/>
          <w:sz w:val="24"/>
          <w:szCs w:val="24"/>
          <w:rtl/>
        </w:rPr>
        <w:t xml:space="preserve">, ולצד חובתו הכללית של בית המשפט לנקוט ביד קשה כנגד סוחרי הסמים ולהחמיר בענישתם (ר' למשל: </w:t>
      </w:r>
      <w:hyperlink r:id="rId43" w:history="1">
        <w:r w:rsidR="004546A3" w:rsidRPr="004546A3">
          <w:rPr>
            <w:rFonts w:ascii="David" w:hAnsi="David" w:cs="David"/>
            <w:color w:val="0000FF"/>
            <w:sz w:val="24"/>
            <w:szCs w:val="24"/>
            <w:u w:val="single"/>
            <w:rtl/>
          </w:rPr>
          <w:t>ע"פ 1654/16</w:t>
        </w:r>
      </w:hyperlink>
      <w:r w:rsidRPr="009E05ED">
        <w:rPr>
          <w:rFonts w:ascii="David" w:hAnsi="David" w:cs="David"/>
          <w:sz w:val="24"/>
          <w:szCs w:val="24"/>
          <w:rtl/>
        </w:rPr>
        <w:t xml:space="preserve"> </w:t>
      </w:r>
      <w:r w:rsidRPr="009E05ED">
        <w:rPr>
          <w:rFonts w:ascii="David" w:hAnsi="David" w:cs="David"/>
          <w:b/>
          <w:bCs/>
          <w:sz w:val="24"/>
          <w:szCs w:val="24"/>
          <w:rtl/>
        </w:rPr>
        <w:t>גל שרר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(27.02.2017), וההפניות שם), סקירת הפסיקה מעלה כי בגין </w:t>
      </w:r>
      <w:r w:rsidRPr="009E05ED">
        <w:rPr>
          <w:rFonts w:ascii="David" w:hAnsi="David" w:cs="David"/>
          <w:b/>
          <w:bCs/>
          <w:sz w:val="24"/>
          <w:szCs w:val="24"/>
          <w:rtl/>
        </w:rPr>
        <w:t>סחר בקוקאין במשקל הקרוב לגרם אחד,</w:t>
      </w:r>
      <w:r w:rsidRPr="009E05ED">
        <w:rPr>
          <w:rFonts w:ascii="David" w:hAnsi="David" w:cs="David"/>
          <w:sz w:val="24"/>
          <w:szCs w:val="24"/>
          <w:rtl/>
        </w:rPr>
        <w:t xml:space="preserve"> נקבע מתחם ענישה </w:t>
      </w:r>
      <w:r w:rsidRPr="009E05ED">
        <w:rPr>
          <w:rFonts w:ascii="David" w:hAnsi="David" w:cs="David"/>
          <w:b/>
          <w:bCs/>
          <w:sz w:val="24"/>
          <w:szCs w:val="24"/>
          <w:rtl/>
        </w:rPr>
        <w:t xml:space="preserve">שבין 8 לבין 18 חודשים מאסר בפועל, </w:t>
      </w:r>
      <w:r w:rsidRPr="009E05ED">
        <w:rPr>
          <w:rFonts w:ascii="David" w:hAnsi="David" w:cs="David"/>
          <w:sz w:val="24"/>
          <w:szCs w:val="24"/>
          <w:rtl/>
        </w:rPr>
        <w:t xml:space="preserve">כאשר העונשים המושתים בגדרי המתחם נעים על פני מנעד רחב, ומשתנים בהתאם לנסיבות ולמאפיינים האישיים של כל נאשם ונאשם (ואילו בעבירות של סחר בסם קוקאין במשקלים גבוהים יותר נקבע מתחם ענישה הנע בין 10 לבין 32 חודשים מאסר בפועל, כאשר העונשים המושתים בגדרי המתחם נעים גם הם על פני מנעד רחב, ואף הם משתנים בהתאם לנסיבות ולמאפיינים האישיים של כל נאשם ונאשם). </w:t>
      </w:r>
    </w:p>
    <w:p w14:paraId="26601ADC"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כהמחשה ודוגמה למקרים בהם נקבעו המתחמים, ונגזר עונשם של נאשמים בגין עבירת הסחר בסם הקוקאין במשקלים השונים ר' למשל: </w:t>
      </w:r>
      <w:hyperlink r:id="rId44" w:history="1">
        <w:r w:rsidR="004546A3" w:rsidRPr="004546A3">
          <w:rPr>
            <w:rFonts w:ascii="David" w:hAnsi="David" w:cs="David"/>
            <w:color w:val="0000FF"/>
            <w:sz w:val="24"/>
            <w:szCs w:val="24"/>
            <w:u w:val="single"/>
            <w:rtl/>
          </w:rPr>
          <w:t>רע"פ 8408/15</w:t>
        </w:r>
      </w:hyperlink>
      <w:r w:rsidRPr="009E05ED">
        <w:rPr>
          <w:rFonts w:ascii="David" w:hAnsi="David" w:cs="David"/>
          <w:sz w:val="24"/>
          <w:szCs w:val="24"/>
          <w:rtl/>
        </w:rPr>
        <w:t xml:space="preserve"> </w:t>
      </w:r>
      <w:r w:rsidRPr="009E05ED">
        <w:rPr>
          <w:rFonts w:ascii="David" w:hAnsi="David" w:cs="David"/>
          <w:b/>
          <w:bCs/>
          <w:sz w:val="24"/>
          <w:szCs w:val="24"/>
          <w:rtl/>
        </w:rPr>
        <w:t>שמעון חביב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(09.12.2015); </w:t>
      </w:r>
      <w:hyperlink r:id="rId45" w:history="1">
        <w:r w:rsidR="004546A3" w:rsidRPr="004546A3">
          <w:rPr>
            <w:rFonts w:ascii="David" w:hAnsi="David" w:cs="David"/>
            <w:color w:val="0000FF"/>
            <w:sz w:val="24"/>
            <w:szCs w:val="24"/>
            <w:u w:val="single"/>
            <w:rtl/>
          </w:rPr>
          <w:t>רע"פ 126/15</w:t>
        </w:r>
      </w:hyperlink>
      <w:r w:rsidRPr="009E05ED">
        <w:rPr>
          <w:rFonts w:ascii="David" w:hAnsi="David" w:cs="David"/>
          <w:sz w:val="24"/>
          <w:szCs w:val="24"/>
          <w:rtl/>
        </w:rPr>
        <w:t xml:space="preserve"> </w:t>
      </w:r>
      <w:r w:rsidRPr="009E05ED">
        <w:rPr>
          <w:rFonts w:ascii="David" w:hAnsi="David" w:cs="David"/>
          <w:b/>
          <w:bCs/>
          <w:sz w:val="24"/>
          <w:szCs w:val="24"/>
          <w:rtl/>
        </w:rPr>
        <w:t>טל חביף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(13.01.2015); </w:t>
      </w:r>
      <w:hyperlink r:id="rId46" w:history="1">
        <w:r w:rsidR="004546A3" w:rsidRPr="004546A3">
          <w:rPr>
            <w:rFonts w:ascii="David" w:hAnsi="David" w:cs="David"/>
            <w:color w:val="0000FF"/>
            <w:sz w:val="24"/>
            <w:szCs w:val="24"/>
            <w:u w:val="single"/>
            <w:rtl/>
          </w:rPr>
          <w:t>רעפ 2430/15</w:t>
        </w:r>
      </w:hyperlink>
      <w:r w:rsidRPr="009E05ED">
        <w:rPr>
          <w:rFonts w:ascii="David" w:hAnsi="David" w:cs="David"/>
          <w:sz w:val="24"/>
          <w:szCs w:val="24"/>
          <w:u w:val="single"/>
          <w:rtl/>
        </w:rPr>
        <w:t xml:space="preserve"> ‏</w:t>
      </w:r>
      <w:r w:rsidRPr="009E05ED">
        <w:rPr>
          <w:rFonts w:ascii="David" w:hAnsi="David" w:cs="David"/>
          <w:sz w:val="24"/>
          <w:szCs w:val="24"/>
          <w:rtl/>
        </w:rPr>
        <w:t xml:space="preserve"> ‏ </w:t>
      </w:r>
      <w:r w:rsidRPr="009E05ED">
        <w:rPr>
          <w:rFonts w:ascii="David" w:hAnsi="David" w:cs="David"/>
          <w:b/>
          <w:bCs/>
          <w:sz w:val="24"/>
          <w:szCs w:val="24"/>
          <w:rtl/>
        </w:rPr>
        <w:t>עמאד מצרי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(04.11.2015); </w:t>
      </w:r>
      <w:hyperlink r:id="rId47" w:history="1">
        <w:r w:rsidR="004546A3" w:rsidRPr="004546A3">
          <w:rPr>
            <w:rFonts w:ascii="David" w:hAnsi="David" w:cs="David"/>
            <w:color w:val="0000FF"/>
            <w:sz w:val="24"/>
            <w:szCs w:val="24"/>
            <w:u w:val="single"/>
            <w:rtl/>
          </w:rPr>
          <w:t>רע"פ 7681/13</w:t>
        </w:r>
      </w:hyperlink>
      <w:r w:rsidRPr="009E05ED">
        <w:rPr>
          <w:rFonts w:ascii="David" w:hAnsi="David" w:cs="David"/>
          <w:sz w:val="24"/>
          <w:szCs w:val="24"/>
          <w:u w:val="single"/>
          <w:rtl/>
        </w:rPr>
        <w:t xml:space="preserve"> </w:t>
      </w:r>
      <w:r w:rsidRPr="009E05ED">
        <w:rPr>
          <w:rFonts w:ascii="David" w:hAnsi="David" w:cs="David"/>
          <w:b/>
          <w:bCs/>
          <w:sz w:val="24"/>
          <w:szCs w:val="24"/>
          <w:rtl/>
        </w:rPr>
        <w:t>יוסף דקה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(21.01.2014); </w:t>
      </w:r>
      <w:hyperlink r:id="rId48" w:history="1">
        <w:r w:rsidR="004546A3" w:rsidRPr="004546A3">
          <w:rPr>
            <w:rFonts w:ascii="David" w:hAnsi="David" w:cs="David"/>
            <w:color w:val="0000FF"/>
            <w:sz w:val="24"/>
            <w:szCs w:val="24"/>
            <w:u w:val="single"/>
            <w:rtl/>
          </w:rPr>
          <w:t>רע"פ 2122/13</w:t>
        </w:r>
      </w:hyperlink>
      <w:r w:rsidRPr="009E05ED">
        <w:rPr>
          <w:rFonts w:ascii="David" w:hAnsi="David" w:cs="David"/>
          <w:sz w:val="24"/>
          <w:szCs w:val="24"/>
          <w:rtl/>
        </w:rPr>
        <w:t xml:space="preserve"> </w:t>
      </w:r>
      <w:r w:rsidRPr="009E05ED">
        <w:rPr>
          <w:rFonts w:ascii="David" w:hAnsi="David" w:cs="David"/>
          <w:b/>
          <w:bCs/>
          <w:sz w:val="24"/>
          <w:szCs w:val="24"/>
          <w:rtl/>
        </w:rPr>
        <w:t xml:space="preserve">דבש נ' מדינת ישראל </w:t>
      </w:r>
      <w:r w:rsidR="00571328" w:rsidRPr="00571328">
        <w:rPr>
          <w:rFonts w:cs="David"/>
          <w:sz w:val="22"/>
          <w:szCs w:val="24"/>
          <w:rtl/>
        </w:rPr>
        <w:t xml:space="preserve">[פורסם בנבו] </w:t>
      </w:r>
      <w:r w:rsidRPr="009E05ED">
        <w:rPr>
          <w:rFonts w:ascii="David" w:hAnsi="David" w:cs="David"/>
          <w:sz w:val="24"/>
          <w:szCs w:val="24"/>
          <w:rtl/>
        </w:rPr>
        <w:t xml:space="preserve">(09.05.2013); </w:t>
      </w:r>
      <w:hyperlink r:id="rId49" w:history="1">
        <w:r w:rsidR="004546A3" w:rsidRPr="004546A3">
          <w:rPr>
            <w:rFonts w:ascii="David" w:hAnsi="David" w:cs="David"/>
            <w:color w:val="0000FF"/>
            <w:sz w:val="24"/>
            <w:szCs w:val="24"/>
            <w:u w:val="single"/>
            <w:rtl/>
          </w:rPr>
          <w:t>עפ"ג (מחוזי ירושלים) 16037-01-17</w:t>
        </w:r>
      </w:hyperlink>
      <w:r w:rsidRPr="009E05ED">
        <w:rPr>
          <w:rFonts w:ascii="David" w:hAnsi="David" w:cs="David"/>
          <w:sz w:val="24"/>
          <w:szCs w:val="24"/>
          <w:rtl/>
        </w:rPr>
        <w:t xml:space="preserve"> </w:t>
      </w:r>
      <w:r w:rsidRPr="009E05ED">
        <w:rPr>
          <w:rFonts w:ascii="David" w:hAnsi="David" w:cs="David"/>
          <w:b/>
          <w:bCs/>
          <w:sz w:val="24"/>
          <w:szCs w:val="24"/>
          <w:rtl/>
        </w:rPr>
        <w:t>מדינת ישראל נ' דגו טפרה</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(23.05.2017); </w:t>
      </w:r>
      <w:hyperlink r:id="rId50" w:history="1">
        <w:r w:rsidR="004546A3" w:rsidRPr="004546A3">
          <w:rPr>
            <w:rFonts w:ascii="David" w:hAnsi="David" w:cs="David"/>
            <w:color w:val="0000FF"/>
            <w:sz w:val="24"/>
            <w:szCs w:val="24"/>
            <w:u w:val="single"/>
            <w:rtl/>
          </w:rPr>
          <w:t>עפ"ג (מחוזי מרכז) 4327-09-14</w:t>
        </w:r>
      </w:hyperlink>
      <w:r w:rsidRPr="009E05ED">
        <w:rPr>
          <w:rFonts w:ascii="David" w:hAnsi="David" w:cs="David"/>
          <w:sz w:val="24"/>
          <w:szCs w:val="24"/>
          <w:rtl/>
        </w:rPr>
        <w:t xml:space="preserve"> </w:t>
      </w:r>
      <w:r w:rsidRPr="009E05ED">
        <w:rPr>
          <w:rFonts w:ascii="David" w:hAnsi="David" w:cs="David"/>
          <w:b/>
          <w:bCs/>
          <w:sz w:val="24"/>
          <w:szCs w:val="24"/>
          <w:rtl/>
        </w:rPr>
        <w:t>טארק ערפאת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(02.11.2014); </w:t>
      </w:r>
      <w:hyperlink r:id="rId51" w:history="1">
        <w:r w:rsidR="004546A3" w:rsidRPr="004546A3">
          <w:rPr>
            <w:rFonts w:ascii="David" w:hAnsi="David" w:cs="David"/>
            <w:color w:val="0000FF"/>
            <w:sz w:val="24"/>
            <w:szCs w:val="24"/>
            <w:u w:val="single"/>
            <w:rtl/>
          </w:rPr>
          <w:t>עפ"ג (מחוזי חיפה) 24649-08-14</w:t>
        </w:r>
      </w:hyperlink>
      <w:r w:rsidRPr="009E05ED">
        <w:rPr>
          <w:rFonts w:ascii="David" w:hAnsi="David" w:cs="David"/>
          <w:sz w:val="24"/>
          <w:szCs w:val="24"/>
          <w:u w:val="single"/>
          <w:rtl/>
        </w:rPr>
        <w:t>‏</w:t>
      </w:r>
      <w:r w:rsidRPr="009E05ED">
        <w:rPr>
          <w:rFonts w:ascii="David" w:hAnsi="David" w:cs="David"/>
          <w:sz w:val="24"/>
          <w:szCs w:val="24"/>
          <w:rtl/>
        </w:rPr>
        <w:t xml:space="preserve"> </w:t>
      </w:r>
      <w:r w:rsidRPr="009E05ED">
        <w:rPr>
          <w:rFonts w:ascii="David" w:hAnsi="David" w:cs="David"/>
          <w:b/>
          <w:bCs/>
          <w:sz w:val="24"/>
          <w:szCs w:val="24"/>
          <w:rtl/>
        </w:rPr>
        <w:t>אלירן מאגלי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(02.12.2014); </w:t>
      </w:r>
      <w:hyperlink r:id="rId52" w:history="1">
        <w:r w:rsidR="004546A3" w:rsidRPr="004546A3">
          <w:rPr>
            <w:rFonts w:ascii="David" w:hAnsi="David" w:cs="David"/>
            <w:color w:val="0000FF"/>
            <w:sz w:val="24"/>
            <w:szCs w:val="24"/>
            <w:u w:val="single"/>
            <w:rtl/>
          </w:rPr>
          <w:t>ע"פ (מחוזי חיפה) 28213-12-15</w:t>
        </w:r>
      </w:hyperlink>
      <w:r w:rsidRPr="009E05ED">
        <w:rPr>
          <w:rFonts w:ascii="David" w:hAnsi="David" w:cs="David"/>
          <w:sz w:val="24"/>
          <w:szCs w:val="24"/>
          <w:rtl/>
        </w:rPr>
        <w:t xml:space="preserve"> </w:t>
      </w:r>
      <w:r w:rsidRPr="009E05ED">
        <w:rPr>
          <w:rFonts w:ascii="David" w:hAnsi="David" w:cs="David"/>
          <w:b/>
          <w:bCs/>
          <w:sz w:val="24"/>
          <w:szCs w:val="24"/>
          <w:rtl/>
        </w:rPr>
        <w:t>מדינת ישראל נ' שמעון צציאשווילי</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(17.01.2016); </w:t>
      </w:r>
      <w:hyperlink r:id="rId53" w:history="1">
        <w:r w:rsidR="004546A3" w:rsidRPr="004546A3">
          <w:rPr>
            <w:rFonts w:ascii="David" w:hAnsi="David" w:cs="David"/>
            <w:color w:val="0000FF"/>
            <w:sz w:val="24"/>
            <w:szCs w:val="24"/>
            <w:u w:val="single"/>
            <w:rtl/>
          </w:rPr>
          <w:t>ת"פ (שלום עכו) 7871-06-14</w:t>
        </w:r>
      </w:hyperlink>
      <w:r w:rsidRPr="009E05ED">
        <w:rPr>
          <w:rFonts w:ascii="David" w:hAnsi="David" w:cs="David"/>
          <w:sz w:val="24"/>
          <w:szCs w:val="24"/>
          <w:u w:val="single"/>
          <w:rtl/>
        </w:rPr>
        <w:t>‏</w:t>
      </w:r>
      <w:r w:rsidRPr="009E05ED">
        <w:rPr>
          <w:rFonts w:ascii="David" w:hAnsi="David" w:cs="David"/>
          <w:sz w:val="24"/>
          <w:szCs w:val="24"/>
          <w:rtl/>
        </w:rPr>
        <w:t xml:space="preserve"> </w:t>
      </w:r>
      <w:r w:rsidRPr="009E05ED">
        <w:rPr>
          <w:rFonts w:ascii="David" w:hAnsi="David" w:cs="David"/>
          <w:b/>
          <w:bCs/>
          <w:sz w:val="24"/>
          <w:szCs w:val="24"/>
          <w:rtl/>
        </w:rPr>
        <w:t>מדינת ישראל נ' עאמר סבאח</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(14.01.2015); </w:t>
      </w:r>
      <w:hyperlink r:id="rId54" w:history="1">
        <w:r w:rsidR="004546A3" w:rsidRPr="004546A3">
          <w:rPr>
            <w:rFonts w:ascii="David" w:hAnsi="David" w:cs="David"/>
            <w:color w:val="0000FF"/>
            <w:sz w:val="24"/>
            <w:szCs w:val="24"/>
            <w:u w:val="single"/>
            <w:rtl/>
          </w:rPr>
          <w:t>ת"פ (שלום י-ם) 1470-07-16</w:t>
        </w:r>
      </w:hyperlink>
      <w:r w:rsidRPr="009E05ED">
        <w:rPr>
          <w:rFonts w:ascii="David" w:hAnsi="David" w:cs="David"/>
          <w:sz w:val="24"/>
          <w:szCs w:val="24"/>
          <w:rtl/>
        </w:rPr>
        <w:t xml:space="preserve"> </w:t>
      </w:r>
      <w:r w:rsidRPr="009E05ED">
        <w:rPr>
          <w:rFonts w:ascii="David" w:hAnsi="David" w:cs="David"/>
          <w:b/>
          <w:bCs/>
          <w:sz w:val="24"/>
          <w:szCs w:val="24"/>
          <w:rtl/>
        </w:rPr>
        <w:t>מדינת ישראל נ' כהן יעקב</w:t>
      </w:r>
      <w:r w:rsidRPr="009E05ED">
        <w:rPr>
          <w:rFonts w:ascii="David" w:hAnsi="David" w:cs="David"/>
          <w:sz w:val="24"/>
          <w:szCs w:val="24"/>
          <w:rtl/>
        </w:rPr>
        <w:t xml:space="preserve"> </w:t>
      </w:r>
      <w:r w:rsidRPr="009E05ED">
        <w:rPr>
          <w:rFonts w:ascii="David" w:hAnsi="David" w:cs="David"/>
          <w:b/>
          <w:bCs/>
          <w:sz w:val="24"/>
          <w:szCs w:val="24"/>
          <w:rtl/>
        </w:rPr>
        <w:t xml:space="preserve">חי </w:t>
      </w:r>
      <w:r w:rsidR="00571328" w:rsidRPr="00571328">
        <w:rPr>
          <w:rFonts w:cs="David"/>
          <w:sz w:val="22"/>
          <w:szCs w:val="24"/>
          <w:rtl/>
        </w:rPr>
        <w:t xml:space="preserve">[פורסם בנבו] </w:t>
      </w:r>
      <w:r w:rsidRPr="009E05ED">
        <w:rPr>
          <w:rFonts w:ascii="David" w:hAnsi="David" w:cs="David"/>
          <w:sz w:val="24"/>
          <w:szCs w:val="24"/>
          <w:rtl/>
        </w:rPr>
        <w:t xml:space="preserve">(29.11.2016); </w:t>
      </w:r>
      <w:hyperlink r:id="rId55" w:history="1">
        <w:r w:rsidR="004546A3" w:rsidRPr="004546A3">
          <w:rPr>
            <w:rFonts w:ascii="David" w:hAnsi="David" w:cs="David"/>
            <w:color w:val="0000FF"/>
            <w:sz w:val="24"/>
            <w:szCs w:val="24"/>
            <w:u w:val="single"/>
            <w:rtl/>
          </w:rPr>
          <w:t>ת"פ (שלום ירושלים) 6929-10-15</w:t>
        </w:r>
      </w:hyperlink>
      <w:r w:rsidRPr="009E05ED">
        <w:rPr>
          <w:rFonts w:ascii="David" w:hAnsi="David" w:cs="David"/>
          <w:sz w:val="24"/>
          <w:szCs w:val="24"/>
          <w:rtl/>
        </w:rPr>
        <w:t xml:space="preserve"> </w:t>
      </w:r>
      <w:r w:rsidRPr="009E05ED">
        <w:rPr>
          <w:rFonts w:ascii="David" w:hAnsi="David" w:cs="David"/>
          <w:b/>
          <w:bCs/>
          <w:sz w:val="24"/>
          <w:szCs w:val="24"/>
          <w:rtl/>
        </w:rPr>
        <w:t>מדינת ישראל נ' ראפת מתעב</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(29.05.2016); </w:t>
      </w:r>
      <w:hyperlink r:id="rId56" w:history="1">
        <w:r w:rsidR="004546A3" w:rsidRPr="004546A3">
          <w:rPr>
            <w:rFonts w:ascii="David" w:hAnsi="David" w:cs="David"/>
            <w:color w:val="0000FF"/>
            <w:sz w:val="24"/>
            <w:szCs w:val="24"/>
            <w:u w:val="single"/>
            <w:rtl/>
          </w:rPr>
          <w:t>ת"פ (שלום תל אביב יפו) 60882-12-14</w:t>
        </w:r>
      </w:hyperlink>
      <w:r w:rsidRPr="009E05ED">
        <w:rPr>
          <w:rFonts w:ascii="David" w:hAnsi="David" w:cs="David"/>
          <w:sz w:val="24"/>
          <w:szCs w:val="24"/>
          <w:rtl/>
        </w:rPr>
        <w:t xml:space="preserve"> </w:t>
      </w:r>
      <w:r w:rsidRPr="009E05ED">
        <w:rPr>
          <w:rFonts w:ascii="David" w:hAnsi="David" w:cs="David"/>
          <w:b/>
          <w:bCs/>
          <w:sz w:val="24"/>
          <w:szCs w:val="24"/>
          <w:rtl/>
        </w:rPr>
        <w:t>מדינת ישראל נ' עמיקם בן שטרית</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(04.02.2016). </w:t>
      </w:r>
    </w:p>
    <w:p w14:paraId="4FF34389" w14:textId="77777777" w:rsidR="00B87F67" w:rsidRPr="009E05ED" w:rsidRDefault="00B87F67" w:rsidP="0083097F">
      <w:pPr>
        <w:pStyle w:val="ListParagraph"/>
        <w:numPr>
          <w:ilvl w:val="0"/>
          <w:numId w:val="2"/>
        </w:numPr>
        <w:spacing w:after="0"/>
        <w:ind w:left="-118"/>
        <w:rPr>
          <w:rFonts w:ascii="David" w:hAnsi="David" w:cs="David"/>
          <w:sz w:val="24"/>
          <w:szCs w:val="24"/>
          <w:rtl/>
        </w:rPr>
      </w:pPr>
      <w:r w:rsidRPr="009E05ED">
        <w:rPr>
          <w:rFonts w:ascii="David" w:hAnsi="David" w:cs="David"/>
          <w:sz w:val="24"/>
          <w:szCs w:val="24"/>
          <w:rtl/>
        </w:rPr>
        <w:t xml:space="preserve">כאן אציין, כי לא התעלמתי מהפסיקה שהוגשה לעיוני מטעם הצדדים, אולם העיון בה נעשה תוך ביצוע האבחנות המתבקשות, בשים לב למשל, לסוג הסם שסופק, לכמויות שלו, לתמורה שהתקבלה בעדו, לעברו הפלילי של כל נאשם ונאשם, וכיוצא באלה, כאשר נהיר לבית המשפט כי קיימים מקרים שבהם הושתו עונשים החורגים לקולא או לחומרא מהמנעד שהוצג לעיל (כך למשל, נסיבותיו של הנאשם </w:t>
      </w:r>
      <w:r w:rsidRPr="009E05ED">
        <w:rPr>
          <w:rFonts w:ascii="David" w:hAnsi="David" w:cs="David"/>
          <w:sz w:val="24"/>
          <w:szCs w:val="24"/>
          <w:u w:val="single"/>
          <w:rtl/>
        </w:rPr>
        <w:t>ב</w:t>
      </w:r>
      <w:hyperlink r:id="rId57" w:history="1">
        <w:r w:rsidR="004546A3" w:rsidRPr="004546A3">
          <w:rPr>
            <w:rFonts w:ascii="David" w:hAnsi="David" w:cs="David"/>
            <w:color w:val="0000FF"/>
            <w:sz w:val="24"/>
            <w:szCs w:val="24"/>
            <w:u w:val="single"/>
            <w:rtl/>
          </w:rPr>
          <w:t>ע"פ (מחוזי ת"א) 43261-12-12</w:t>
        </w:r>
      </w:hyperlink>
      <w:r w:rsidRPr="009E05ED">
        <w:rPr>
          <w:rFonts w:ascii="David" w:hAnsi="David" w:cs="David"/>
          <w:sz w:val="24"/>
          <w:szCs w:val="24"/>
          <w:rtl/>
        </w:rPr>
        <w:t xml:space="preserve"> </w:t>
      </w:r>
      <w:r w:rsidRPr="009E05ED">
        <w:rPr>
          <w:rFonts w:ascii="David" w:hAnsi="David" w:cs="David"/>
          <w:b/>
          <w:bCs/>
          <w:sz w:val="24"/>
          <w:szCs w:val="24"/>
          <w:rtl/>
        </w:rPr>
        <w:t>יצחק דבאש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(13.03.2013), פסיקה אליה הפנתה המאשימה, שונות בתכלית השוני מאלו של הנאשם שבפניי. שם, מדובר בנאשם שעברו הפלילי מכביד וטרי, תוך שהלה שב לבצע עבירות בעודו מטופל בשירות המבחן, וכל זאת בשונה מעניינו של הנאשם שבפניי, שעברו הפלילי ישן (הרשעתו האחרונה הינה משנת 2008), וכי מאז מעורבותו בתיק הנוכחי לא נפתחו כנגדו תיקים נוספים והוא משתף פעולה באופן מלא עם שירות המבחן). הדבר אך טבעי הוא, שכן כידוע, הענישה היא אינדיווידואלית ו"</w:t>
      </w:r>
      <w:r w:rsidRPr="009E05ED">
        <w:rPr>
          <w:rFonts w:ascii="David" w:hAnsi="David" w:cs="David"/>
          <w:b/>
          <w:bCs/>
          <w:sz w:val="24"/>
          <w:szCs w:val="24"/>
          <w:rtl/>
        </w:rPr>
        <w:t>אין עסקינן בשיטת ניקוד, או באריתמטיקה. ענישה היא מלאכת מחשבת – ולא מלאכת מחשב</w:t>
      </w:r>
      <w:r w:rsidRPr="009E05ED">
        <w:rPr>
          <w:rFonts w:ascii="David" w:hAnsi="David" w:cs="David"/>
          <w:sz w:val="24"/>
          <w:szCs w:val="24"/>
          <w:rtl/>
        </w:rPr>
        <w:t>" (</w:t>
      </w:r>
      <w:hyperlink r:id="rId58" w:history="1">
        <w:r w:rsidR="004546A3" w:rsidRPr="004546A3">
          <w:rPr>
            <w:rFonts w:ascii="David" w:hAnsi="David" w:cs="David"/>
            <w:color w:val="0000FF"/>
            <w:sz w:val="24"/>
            <w:szCs w:val="24"/>
            <w:u w:val="single"/>
            <w:rtl/>
          </w:rPr>
          <w:t>ע"פ 5768/10</w:t>
        </w:r>
      </w:hyperlink>
      <w:r w:rsidRPr="009E05ED">
        <w:rPr>
          <w:rFonts w:ascii="David" w:hAnsi="David" w:cs="David"/>
          <w:sz w:val="24"/>
          <w:szCs w:val="24"/>
          <w:u w:val="single"/>
          <w:rtl/>
        </w:rPr>
        <w:t xml:space="preserve"> </w:t>
      </w:r>
      <w:r w:rsidRPr="009E05ED">
        <w:rPr>
          <w:rFonts w:ascii="David" w:hAnsi="David" w:cs="David"/>
          <w:b/>
          <w:bCs/>
          <w:sz w:val="24"/>
          <w:szCs w:val="24"/>
          <w:rtl/>
        </w:rPr>
        <w:t>פלוני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(08.06.2015)). לעולם אין לגזור עונשו של נאשם על סמך הכותרות של העבירות גרידא וכל מקרה צריך להיבחן לגופו ובנסיבותיו (ר' והשוו </w:t>
      </w:r>
      <w:hyperlink r:id="rId59" w:history="1">
        <w:r w:rsidR="004546A3" w:rsidRPr="004546A3">
          <w:rPr>
            <w:rFonts w:ascii="David" w:hAnsi="David" w:cs="David"/>
            <w:color w:val="0000FF"/>
            <w:sz w:val="24"/>
            <w:szCs w:val="24"/>
            <w:u w:val="single"/>
            <w:rtl/>
          </w:rPr>
          <w:t>ע"פ 433/89 ג'ורג' אטיאס נ' מדינת ישראל, פ"ד מג</w:t>
        </w:r>
      </w:hyperlink>
      <w:r w:rsidRPr="009E05ED">
        <w:rPr>
          <w:rFonts w:ascii="David" w:hAnsi="David" w:cs="David"/>
          <w:sz w:val="24"/>
          <w:szCs w:val="24"/>
          <w:rtl/>
        </w:rPr>
        <w:t>(4) 170, (1989); ו</w:t>
      </w:r>
      <w:hyperlink r:id="rId60" w:history="1">
        <w:r w:rsidR="004546A3" w:rsidRPr="004546A3">
          <w:rPr>
            <w:rFonts w:ascii="David" w:hAnsi="David" w:cs="David"/>
            <w:color w:val="0000FF"/>
            <w:sz w:val="24"/>
            <w:szCs w:val="24"/>
            <w:u w:val="single"/>
            <w:rtl/>
          </w:rPr>
          <w:t>רע"פ 3173/09</w:t>
        </w:r>
      </w:hyperlink>
      <w:r w:rsidRPr="009E05ED">
        <w:rPr>
          <w:rFonts w:ascii="David" w:hAnsi="David" w:cs="David"/>
          <w:sz w:val="24"/>
          <w:szCs w:val="24"/>
          <w:u w:val="single"/>
          <w:rtl/>
        </w:rPr>
        <w:t xml:space="preserve"> </w:t>
      </w:r>
      <w:r w:rsidRPr="009E05ED">
        <w:rPr>
          <w:rFonts w:ascii="David" w:hAnsi="David" w:cs="David"/>
          <w:b/>
          <w:bCs/>
          <w:sz w:val="24"/>
          <w:szCs w:val="24"/>
          <w:rtl/>
        </w:rPr>
        <w:t>פראגין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(05.05.2009)). </w:t>
      </w:r>
    </w:p>
    <w:p w14:paraId="4272C1E6" w14:textId="77777777" w:rsidR="00B87F67" w:rsidRPr="009E05ED" w:rsidRDefault="00B87F67" w:rsidP="0083097F">
      <w:pPr>
        <w:pStyle w:val="ListParagraph"/>
        <w:spacing w:after="0"/>
        <w:ind w:left="-118" w:firstLine="0"/>
        <w:rPr>
          <w:rFonts w:ascii="David" w:hAnsi="David" w:cs="David"/>
          <w:sz w:val="24"/>
          <w:szCs w:val="24"/>
        </w:rPr>
      </w:pPr>
      <w:r w:rsidRPr="009E05ED">
        <w:rPr>
          <w:rFonts w:ascii="David" w:hAnsi="David" w:cs="David"/>
          <w:sz w:val="24"/>
          <w:szCs w:val="24"/>
          <w:rtl/>
        </w:rPr>
        <w:t xml:space="preserve">עוד חשוב להדגיש, כי השיקול שעניינו "מדיניות הענישה" הינו אך שיקול אחד מבין מכלול השיקולים אותם ישקול בית המשפט בטרם קביעת מתחם העונש ההולם וגזירת הדין (ר' בעניין זה </w:t>
      </w:r>
      <w:hyperlink r:id="rId61" w:history="1">
        <w:r w:rsidR="004546A3" w:rsidRPr="004546A3">
          <w:rPr>
            <w:rFonts w:ascii="David" w:hAnsi="David" w:cs="David"/>
            <w:color w:val="0000FF"/>
            <w:sz w:val="24"/>
            <w:szCs w:val="24"/>
            <w:u w:val="single"/>
            <w:rtl/>
          </w:rPr>
          <w:t>ע"פ 1903/13</w:t>
        </w:r>
      </w:hyperlink>
      <w:r w:rsidRPr="009E05ED">
        <w:rPr>
          <w:rFonts w:ascii="David" w:hAnsi="David" w:cs="David"/>
          <w:sz w:val="24"/>
          <w:szCs w:val="24"/>
          <w:rtl/>
        </w:rPr>
        <w:t xml:space="preserve"> </w:t>
      </w:r>
      <w:r w:rsidRPr="009E05ED">
        <w:rPr>
          <w:rFonts w:ascii="David" w:hAnsi="David" w:cs="David"/>
          <w:b/>
          <w:bCs/>
          <w:sz w:val="24"/>
          <w:szCs w:val="24"/>
          <w:rtl/>
        </w:rPr>
        <w:t>חמודה עיאשה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(25.06.2013)).</w:t>
      </w:r>
    </w:p>
    <w:p w14:paraId="47857A4F"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כללם של דברים, בשים לב לעקרון המנחה בענישה, לערכים המוגנים שנפגעו ולמידת הפגיעה בהם, למדיניות הענישה הנוהגת, ולנסיבות הקשורות בביצוע העבירה, הריני לקבוע </w:t>
      </w:r>
      <w:r w:rsidRPr="009E05ED">
        <w:rPr>
          <w:rFonts w:ascii="David" w:hAnsi="David" w:cs="David"/>
          <w:b/>
          <w:bCs/>
          <w:sz w:val="24"/>
          <w:szCs w:val="24"/>
          <w:rtl/>
        </w:rPr>
        <w:t>מתחם עונש הולם במקרה דנן אשר ינוע בין 9 לבין 18 חודשים מאסר.</w:t>
      </w:r>
      <w:r w:rsidRPr="009E05ED">
        <w:rPr>
          <w:rFonts w:ascii="David" w:hAnsi="David" w:cs="David"/>
          <w:sz w:val="24"/>
          <w:szCs w:val="24"/>
          <w:rtl/>
        </w:rPr>
        <w:t xml:space="preserve"> </w:t>
      </w:r>
    </w:p>
    <w:p w14:paraId="66B1F5CC" w14:textId="77777777" w:rsidR="00B87F67" w:rsidRPr="009E05ED" w:rsidRDefault="00B87F67" w:rsidP="0083097F">
      <w:pPr>
        <w:pStyle w:val="1"/>
        <w:spacing w:before="0" w:line="360" w:lineRule="auto"/>
        <w:ind w:left="559" w:hanging="559"/>
        <w:jc w:val="both"/>
        <w:rPr>
          <w:rFonts w:ascii="David" w:hAnsi="David" w:cs="David"/>
          <w:b/>
          <w:bCs/>
          <w:color w:val="auto"/>
          <w:sz w:val="28"/>
          <w:szCs w:val="28"/>
          <w:u w:val="single"/>
        </w:rPr>
      </w:pPr>
      <w:r w:rsidRPr="0083097F">
        <w:rPr>
          <w:rFonts w:ascii="David" w:hAnsi="David" w:cs="David"/>
          <w:b/>
          <w:bCs/>
          <w:noProof w:val="0"/>
          <w:color w:val="auto"/>
          <w:sz w:val="28"/>
          <w:szCs w:val="28"/>
          <w:rtl/>
        </w:rPr>
        <w:t>ד.</w:t>
      </w:r>
      <w:r w:rsidRPr="009E05ED">
        <w:rPr>
          <w:rFonts w:ascii="David" w:hAnsi="David" w:cs="David"/>
          <w:noProof w:val="0"/>
          <w:color w:val="auto"/>
          <w:sz w:val="24"/>
          <w:szCs w:val="24"/>
          <w:rtl/>
        </w:rPr>
        <w:t xml:space="preserve"> </w:t>
      </w:r>
      <w:r w:rsidRPr="009E05ED">
        <w:rPr>
          <w:rFonts w:ascii="David" w:hAnsi="David" w:cs="David"/>
          <w:b/>
          <w:bCs/>
          <w:noProof w:val="0"/>
          <w:color w:val="auto"/>
          <w:sz w:val="28"/>
          <w:szCs w:val="28"/>
          <w:u w:val="single"/>
          <w:rtl/>
        </w:rPr>
        <w:t>גזירת העונש המתאים לנאשם</w:t>
      </w:r>
    </w:p>
    <w:p w14:paraId="542F8FCA"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כעת, על בית המשפט לגזור את עונשו של הנאשם בהתחשב בנסיבות שאינן קשורות בביצוע העבירה, כפי שאלו מפורטות </w:t>
      </w:r>
      <w:hyperlink r:id="rId62" w:history="1">
        <w:r w:rsidR="004829BB" w:rsidRPr="004829BB">
          <w:rPr>
            <w:rFonts w:ascii="David" w:hAnsi="David" w:cs="David"/>
            <w:color w:val="0000FF"/>
            <w:sz w:val="24"/>
            <w:szCs w:val="24"/>
            <w:u w:val="single"/>
            <w:rtl/>
          </w:rPr>
          <w:t>בסעיף 40יא</w:t>
        </w:r>
      </w:hyperlink>
      <w:r w:rsidRPr="009E05ED">
        <w:rPr>
          <w:rFonts w:ascii="David" w:hAnsi="David" w:cs="David"/>
          <w:sz w:val="24"/>
          <w:szCs w:val="24"/>
          <w:rtl/>
        </w:rPr>
        <w:t xml:space="preserve"> ל</w:t>
      </w:r>
      <w:hyperlink r:id="rId63" w:history="1">
        <w:r w:rsidR="004546A3" w:rsidRPr="004546A3">
          <w:rPr>
            <w:rFonts w:ascii="David" w:hAnsi="David" w:cs="David"/>
            <w:color w:val="0000FF"/>
            <w:sz w:val="24"/>
            <w:szCs w:val="24"/>
            <w:u w:val="single"/>
            <w:rtl/>
          </w:rPr>
          <w:t>חוק העונשין</w:t>
        </w:r>
      </w:hyperlink>
      <w:r w:rsidRPr="009E05ED">
        <w:rPr>
          <w:rFonts w:ascii="David" w:hAnsi="David" w:cs="David"/>
          <w:sz w:val="24"/>
          <w:szCs w:val="24"/>
          <w:rtl/>
        </w:rPr>
        <w:t>.</w:t>
      </w:r>
    </w:p>
    <w:p w14:paraId="3FAC1BD0"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בעניין זה, נתתי דעתי בראש ובראשונה לעברו הפלילי של הנאשם </w:t>
      </w:r>
      <w:r w:rsidRPr="009E05ED">
        <w:rPr>
          <w:rFonts w:ascii="David" w:hAnsi="David" w:cs="David"/>
          <w:b/>
          <w:bCs/>
          <w:sz w:val="24"/>
          <w:szCs w:val="24"/>
          <w:rtl/>
        </w:rPr>
        <w:t>(ת/1)</w:t>
      </w:r>
      <w:r w:rsidRPr="009E05ED">
        <w:rPr>
          <w:rFonts w:ascii="David" w:hAnsi="David" w:cs="David"/>
          <w:sz w:val="24"/>
          <w:szCs w:val="24"/>
          <w:rtl/>
        </w:rPr>
        <w:t xml:space="preserve"> (שהתיישן זה מכבר אך לא נמחק), בין השנים 1984–2008 הכולל 24 הרשעות במגוון רחב של עבירות ובהן, עבירות רכוש, אלימות, סמים ועוד, ומכך שהלה הספיק לרצות בעברו 7 עונשי מאסר מאחורי סורג ובריח  אשר לא הרתיעו אותו מלשוב ולהסתבך בפלילים. אם כי וכאמור, אין להתעלם מכך כי הרשעתו האחרונה של הנאשם הינה משנת 2008 וכי מאז מעורבותו בתיק הנוכחי לא נפתחו כנגדו תיקים נוספים.</w:t>
      </w:r>
    </w:p>
    <w:p w14:paraId="48B3D5D3"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כמו כן, שקלתי את העובדה שהנאשם היה עצור בתיק זה במשך תקופה לא מבוטלת ובמשך תקופה נוספת שהה תחת תנאים מגבילים. ברי כי המעצר או הליך המעצר איננו "מקדמה על חשבון העונש", אולם נדמה כי ניתן ליתן לדברים משקל במסגרת הנסיבה הקבועה </w:t>
      </w:r>
      <w:hyperlink r:id="rId64" w:history="1">
        <w:r w:rsidR="004829BB" w:rsidRPr="004829BB">
          <w:rPr>
            <w:rFonts w:ascii="David" w:hAnsi="David" w:cs="David"/>
            <w:color w:val="0000FF"/>
            <w:sz w:val="24"/>
            <w:szCs w:val="24"/>
            <w:u w:val="single"/>
            <w:rtl/>
          </w:rPr>
          <w:t>בסעיף 40יא(3)</w:t>
        </w:r>
      </w:hyperlink>
      <w:r w:rsidRPr="009E05ED">
        <w:rPr>
          <w:rFonts w:ascii="David" w:hAnsi="David" w:cs="David"/>
          <w:sz w:val="24"/>
          <w:szCs w:val="24"/>
          <w:rtl/>
        </w:rPr>
        <w:t xml:space="preserve"> ל</w:t>
      </w:r>
      <w:hyperlink r:id="rId65" w:history="1">
        <w:r w:rsidR="004546A3" w:rsidRPr="004546A3">
          <w:rPr>
            <w:rFonts w:ascii="David" w:hAnsi="David" w:cs="David"/>
            <w:color w:val="0000FF"/>
            <w:sz w:val="24"/>
            <w:szCs w:val="24"/>
            <w:u w:val="single"/>
            <w:rtl/>
          </w:rPr>
          <w:t>חוק העונשין</w:t>
        </w:r>
      </w:hyperlink>
      <w:r w:rsidRPr="009E05ED">
        <w:rPr>
          <w:rFonts w:ascii="David" w:hAnsi="David" w:cs="David"/>
          <w:sz w:val="24"/>
          <w:szCs w:val="24"/>
          <w:rtl/>
        </w:rPr>
        <w:t xml:space="preserve">. </w:t>
      </w:r>
    </w:p>
    <w:p w14:paraId="361EE2A2"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כן נתתי דעתי לנסיבותיו האישיות של הנאשם ולפגיעה שעלולה להיגרם לו אם יושת עליו עונש מאסר, וזאת בשים לב לפגיעה הכלכלית הטמונה בכך; ולנוכח העובדה כי למעט הסתבכותו בתיק זה, הקפיד הנאשם על ניהול אורח חיים נורמטיבי מזה תקופה ממושכת. עוד ולקולא, יש ליתן את הדעת לכך שהנאשם הודה בביצוע העבירות, מה שייתר את העדתו של הסוכן המשטרתי ואף הביא לחיסכון בזמן שיפוטי יקר. בנוסף, וזה העיקר, את מירב המשקל, ככל שהדברים נוגעים לנסיבה זו, יש לייחס לעובדה כי הנאשם הצטער על מעשיו והתרשמתי בצורה בלתי אמצעית מכנות החרטה שאותה הוא הביע. לדידי, יש בעצם כך כדי ללמד על כך שהנאשם הפנים את חומרת מעשיו ואת השלכותיהם, ולהפחית את הסיכון שמא אלה יישנו בעתיד.</w:t>
      </w:r>
    </w:p>
    <w:p w14:paraId="59E938AB"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עוד נתתי דעתי לעובדה שהעבירות שבמוקד כתב האישום בוצעו עוד בשנת 2017. אם כי, את מירב המשקל בנקודה זו יש להעניק לא לאותה ספירת זמן "טכנית" –אלא לכך שבפרק הזמן שחלף מאז, הנאשם התמסר להליך הטיפולי, שיתף פעולה באופן מלא עם שירות המבחן, וכמובן נמנע מלהסתבך עוד בפלילים. </w:t>
      </w:r>
    </w:p>
    <w:p w14:paraId="632FCD76"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עוד, בית המשפט נותן דעתו למצבו הבריאותי –נפשי של הנאשם. על מנת שלא לפגוע בפרטיותו של הנאשם יתר על המידה, אסתפק בלציין כי כעולה מחוות דעת הממונה על עבודות השירות מיום 05.12.2019, מעיון רופא מערך עבודות השירות במסמכיו הרפואיים של הנאשם, ולאחר שנערכה לנאשם בדיקה פסיכיאטרית, מצא רופא המערך לקבוע כי הנאשם אינו כשיר מבחינה רפואית (ואף לא במגבלות רפואיות), לביצוע עבודות שירות, ומשכך, לא ניתן להשימו במסגרת זו. </w:t>
      </w:r>
    </w:p>
    <w:p w14:paraId="3BEA23CD"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למותר לציין, כי מצבו הבריאותי של הנאשם ומוגבלויותיו הם אכן מהנתונים שעליהם רשאי, ושלא לומר מחויב, הממונה על עבודות השירות לבסס את חוות דעתו (ור' בעניין זה </w:t>
      </w:r>
      <w:hyperlink r:id="rId66" w:history="1">
        <w:r w:rsidR="004829BB" w:rsidRPr="004829BB">
          <w:rPr>
            <w:rFonts w:ascii="David" w:hAnsi="David" w:cs="David"/>
            <w:color w:val="0000FF"/>
            <w:sz w:val="24"/>
            <w:szCs w:val="24"/>
            <w:u w:val="single"/>
            <w:rtl/>
          </w:rPr>
          <w:t>סעיף 51ב(ב1)(2)(ו)</w:t>
        </w:r>
      </w:hyperlink>
      <w:r w:rsidRPr="009E05ED">
        <w:rPr>
          <w:rFonts w:ascii="David" w:hAnsi="David" w:cs="David"/>
          <w:sz w:val="24"/>
          <w:szCs w:val="24"/>
          <w:rtl/>
        </w:rPr>
        <w:t xml:space="preserve"> ל</w:t>
      </w:r>
      <w:hyperlink r:id="rId67" w:history="1">
        <w:r w:rsidR="004546A3" w:rsidRPr="004546A3">
          <w:rPr>
            <w:rFonts w:ascii="David" w:hAnsi="David" w:cs="David"/>
            <w:color w:val="0000FF"/>
            <w:sz w:val="24"/>
            <w:szCs w:val="24"/>
            <w:u w:val="single"/>
            <w:rtl/>
          </w:rPr>
          <w:t>חוק העונשין</w:t>
        </w:r>
      </w:hyperlink>
      <w:r w:rsidRPr="009E05ED">
        <w:rPr>
          <w:rFonts w:ascii="David" w:hAnsi="David" w:cs="David"/>
          <w:sz w:val="24"/>
          <w:szCs w:val="24"/>
          <w:rtl/>
        </w:rPr>
        <w:t>). לצד אלה, כאשר מניעותו של הנאשם לבצע עבודות שירות נובעת מנסיבות שאינן תלויות בו או ברצונו הטוב, אלא אך בשל מצבו הבריאותי-הפיזי</w:t>
      </w:r>
      <w:r>
        <w:rPr>
          <w:rFonts w:ascii="David" w:hAnsi="David" w:cs="David"/>
          <w:sz w:val="24"/>
          <w:szCs w:val="24"/>
          <w:rtl/>
        </w:rPr>
        <w:t xml:space="preserve"> או הנפשי</w:t>
      </w:r>
      <w:r w:rsidRPr="009E05ED">
        <w:rPr>
          <w:rFonts w:ascii="David" w:hAnsi="David" w:cs="David"/>
          <w:sz w:val="24"/>
          <w:szCs w:val="24"/>
          <w:rtl/>
        </w:rPr>
        <w:t xml:space="preserve"> שאליו הוא נקלע על כורחו, דומני כי לא יהיה זה צודק או הוגן לגזור עליו חלף מאסר בעבודות שירות (עונש לו עתרה המאשימה לו מצבו הבריאותי היה שפיר) מאסר לריצוי מאחורי סורג ובריח, ואפנה בעניין זה לדבריו של כב' השופט (כתוארו אז) א' רובינשטיין </w:t>
      </w:r>
      <w:r w:rsidRPr="009E05ED">
        <w:rPr>
          <w:rFonts w:ascii="David" w:hAnsi="David" w:cs="David"/>
          <w:sz w:val="24"/>
          <w:szCs w:val="24"/>
          <w:u w:val="single"/>
          <w:rtl/>
        </w:rPr>
        <w:t>ב</w:t>
      </w:r>
      <w:hyperlink r:id="rId68" w:history="1">
        <w:r w:rsidR="004546A3" w:rsidRPr="004546A3">
          <w:rPr>
            <w:rFonts w:ascii="David" w:hAnsi="David" w:cs="David"/>
            <w:color w:val="0000FF"/>
            <w:sz w:val="24"/>
            <w:szCs w:val="24"/>
            <w:u w:val="single"/>
            <w:rtl/>
          </w:rPr>
          <w:t>רע"פ 1/09</w:t>
        </w:r>
      </w:hyperlink>
      <w:r w:rsidRPr="009E05ED">
        <w:rPr>
          <w:rFonts w:ascii="David" w:hAnsi="David" w:cs="David"/>
          <w:sz w:val="24"/>
          <w:szCs w:val="24"/>
          <w:rtl/>
        </w:rPr>
        <w:t xml:space="preserve"> </w:t>
      </w:r>
      <w:r w:rsidRPr="009E05ED">
        <w:rPr>
          <w:rFonts w:ascii="David" w:hAnsi="David" w:cs="David"/>
          <w:b/>
          <w:bCs/>
          <w:sz w:val="24"/>
          <w:szCs w:val="24"/>
          <w:rtl/>
        </w:rPr>
        <w:t>ג'וג'ו אסרף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(17.03.2010):</w:t>
      </w:r>
    </w:p>
    <w:p w14:paraId="206C3396" w14:textId="77777777" w:rsidR="00B87F67" w:rsidRPr="009E05ED" w:rsidRDefault="00B87F67" w:rsidP="0083097F">
      <w:pPr>
        <w:pStyle w:val="ListParagraph"/>
        <w:spacing w:after="0"/>
        <w:ind w:left="-118" w:firstLine="0"/>
        <w:rPr>
          <w:rFonts w:ascii="David" w:hAnsi="David" w:cs="David"/>
          <w:sz w:val="24"/>
          <w:szCs w:val="24"/>
        </w:rPr>
      </w:pPr>
      <w:r w:rsidRPr="009E05ED">
        <w:rPr>
          <w:rFonts w:ascii="David" w:hAnsi="David" w:cs="David"/>
          <w:b/>
          <w:bCs/>
          <w:sz w:val="24"/>
          <w:szCs w:val="24"/>
          <w:rtl/>
        </w:rPr>
        <w:t>"נציין כי במובן הערכי אין מצבו של אדם עם מוגבלויות צריך לדעתנו להיות שונה לרעה מזה של כל אדם, לא רק בשל חוק שוויון זכויות לאנשים עם מוגבלויות, תשנ"ח-1998, המדבר (סעיף 2) ב'זכותו להשתתפות שוויונית ופעילה בחברה בכל תחומי החיים', אלא בשל חובת הגינות שאינה טעונה חוק, והיא מעוגנת בערכים אנושיים בסיסיים. הרי לא יתכן, כי אדם עם מוגבלות ייאסר במקום שאחר לא ייאסר"</w:t>
      </w:r>
      <w:r w:rsidRPr="009E05ED">
        <w:rPr>
          <w:rFonts w:ascii="David" w:hAnsi="David" w:cs="David"/>
          <w:sz w:val="24"/>
          <w:szCs w:val="24"/>
          <w:rtl/>
        </w:rPr>
        <w:t>.</w:t>
      </w:r>
    </w:p>
    <w:p w14:paraId="7203B93C" w14:textId="77777777" w:rsidR="00B87F67" w:rsidRPr="009E05ED" w:rsidRDefault="00B87F67" w:rsidP="0083097F">
      <w:pPr>
        <w:pStyle w:val="ListParagraph"/>
        <w:numPr>
          <w:ilvl w:val="0"/>
          <w:numId w:val="2"/>
        </w:numPr>
        <w:spacing w:after="0"/>
        <w:ind w:left="-118"/>
        <w:rPr>
          <w:rFonts w:ascii="David" w:hAnsi="David" w:cs="David"/>
          <w:sz w:val="24"/>
          <w:szCs w:val="24"/>
          <w:rtl/>
        </w:rPr>
      </w:pPr>
      <w:r w:rsidRPr="009E05ED">
        <w:rPr>
          <w:rFonts w:ascii="David" w:hAnsi="David" w:cs="David"/>
          <w:sz w:val="24"/>
          <w:szCs w:val="24"/>
          <w:rtl/>
        </w:rPr>
        <w:t xml:space="preserve">דברים אלה של בית המשפט העליון ברורים וחד משמעיים הם, ונדמה שלא בכדי ניתן למצוא כיום בפסיקה השונה לא מעט מקרים שבהם דובר בנאשמים אשר בית המשפט מצא תחילה כי העונש הראוי להם הוא מאסר בעבודות שירות, אולם בשל מצבם הבריאותי שבעטיו הם נמצאו כלא כשירים להשמה בעונש זה, השית עליהם בסופו של יום ענישה מקלה יותר בדמות מאסר מותנה, בין אם לצד צו של"צ ובין אם לאו. </w:t>
      </w:r>
    </w:p>
    <w:p w14:paraId="13E63866" w14:textId="77777777" w:rsidR="00B87F67" w:rsidRPr="009E05ED" w:rsidRDefault="00B87F67" w:rsidP="0083097F">
      <w:pPr>
        <w:pStyle w:val="ListParagraph"/>
        <w:spacing w:after="0"/>
        <w:ind w:left="-118" w:firstLine="0"/>
        <w:rPr>
          <w:rFonts w:ascii="David" w:hAnsi="David" w:cs="David"/>
          <w:sz w:val="24"/>
          <w:szCs w:val="24"/>
        </w:rPr>
      </w:pPr>
      <w:r w:rsidRPr="009E05ED">
        <w:rPr>
          <w:rFonts w:ascii="David" w:hAnsi="David" w:cs="David"/>
          <w:sz w:val="24"/>
          <w:szCs w:val="24"/>
          <w:rtl/>
        </w:rPr>
        <w:t xml:space="preserve">כך למשל, ר': </w:t>
      </w:r>
      <w:hyperlink r:id="rId69" w:history="1">
        <w:r w:rsidR="004546A3" w:rsidRPr="004546A3">
          <w:rPr>
            <w:rFonts w:ascii="David" w:hAnsi="David" w:cs="David"/>
            <w:color w:val="0000FF"/>
            <w:sz w:val="24"/>
            <w:szCs w:val="24"/>
            <w:u w:val="single"/>
            <w:rtl/>
          </w:rPr>
          <w:t>ע"פ 2383/16</w:t>
        </w:r>
      </w:hyperlink>
      <w:r w:rsidRPr="009E05ED">
        <w:rPr>
          <w:rFonts w:ascii="David" w:hAnsi="David" w:cs="David"/>
          <w:sz w:val="24"/>
          <w:szCs w:val="24"/>
          <w:rtl/>
        </w:rPr>
        <w:t xml:space="preserve"> </w:t>
      </w:r>
      <w:r w:rsidRPr="009E05ED">
        <w:rPr>
          <w:rFonts w:ascii="David" w:hAnsi="David" w:cs="David"/>
          <w:b/>
          <w:bCs/>
          <w:sz w:val="24"/>
          <w:szCs w:val="24"/>
          <w:rtl/>
        </w:rPr>
        <w:t>קאעוד תמימי חמזה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(02.01.2017); </w:t>
      </w:r>
      <w:hyperlink r:id="rId70" w:history="1">
        <w:r w:rsidR="00571328" w:rsidRPr="00571328">
          <w:rPr>
            <w:rFonts w:ascii="David" w:hAnsi="David" w:cs="David"/>
            <w:color w:val="0000FF"/>
            <w:sz w:val="24"/>
            <w:szCs w:val="24"/>
            <w:u w:val="single"/>
            <w:rtl/>
          </w:rPr>
          <w:t>ע"פ (מחוזי ירושלים) 2208/10</w:t>
        </w:r>
      </w:hyperlink>
      <w:r w:rsidRPr="009E05ED">
        <w:rPr>
          <w:rFonts w:ascii="David" w:hAnsi="David" w:cs="David"/>
          <w:sz w:val="24"/>
          <w:szCs w:val="24"/>
          <w:u w:val="single"/>
          <w:rtl/>
        </w:rPr>
        <w:t>‏</w:t>
      </w:r>
      <w:r w:rsidRPr="009E05ED">
        <w:rPr>
          <w:rFonts w:ascii="David" w:hAnsi="David" w:cs="David"/>
          <w:sz w:val="24"/>
          <w:szCs w:val="24"/>
          <w:rtl/>
        </w:rPr>
        <w:t xml:space="preserve"> </w:t>
      </w:r>
      <w:r w:rsidRPr="009E05ED">
        <w:rPr>
          <w:rFonts w:ascii="David" w:hAnsi="David" w:cs="David"/>
          <w:b/>
          <w:bCs/>
          <w:sz w:val="24"/>
          <w:szCs w:val="24"/>
          <w:rtl/>
        </w:rPr>
        <w:t>יוסף גולדציאן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(06.05.2010);  </w:t>
      </w:r>
      <w:hyperlink r:id="rId71" w:history="1">
        <w:r w:rsidR="004546A3" w:rsidRPr="004546A3">
          <w:rPr>
            <w:rFonts w:ascii="David" w:hAnsi="David" w:cs="David"/>
            <w:color w:val="0000FF"/>
            <w:sz w:val="24"/>
            <w:szCs w:val="24"/>
            <w:u w:val="single"/>
            <w:rtl/>
          </w:rPr>
          <w:t>עפ"ג (מחוזי חיפה) 44648-02-15</w:t>
        </w:r>
      </w:hyperlink>
      <w:r w:rsidRPr="009E05ED">
        <w:rPr>
          <w:rFonts w:ascii="David" w:hAnsi="David" w:cs="David"/>
          <w:sz w:val="24"/>
          <w:szCs w:val="24"/>
          <w:u w:val="single"/>
          <w:rtl/>
        </w:rPr>
        <w:t>‏</w:t>
      </w:r>
      <w:r w:rsidRPr="009E05ED">
        <w:rPr>
          <w:rFonts w:ascii="David" w:hAnsi="David" w:cs="David"/>
          <w:sz w:val="24"/>
          <w:szCs w:val="24"/>
          <w:rtl/>
        </w:rPr>
        <w:t xml:space="preserve"> </w:t>
      </w:r>
      <w:r w:rsidRPr="009E05ED">
        <w:rPr>
          <w:rFonts w:ascii="David" w:hAnsi="David" w:cs="David"/>
          <w:b/>
          <w:bCs/>
          <w:sz w:val="24"/>
          <w:szCs w:val="24"/>
          <w:rtl/>
        </w:rPr>
        <w:t>מדינת ישראל נ' ראיק אבו חמדה</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(18.06.2015); </w:t>
      </w:r>
      <w:hyperlink r:id="rId72" w:history="1">
        <w:r w:rsidR="004546A3" w:rsidRPr="004546A3">
          <w:rPr>
            <w:rFonts w:ascii="David" w:hAnsi="David" w:cs="David"/>
            <w:color w:val="0000FF"/>
            <w:sz w:val="24"/>
            <w:szCs w:val="24"/>
            <w:u w:val="single"/>
            <w:rtl/>
          </w:rPr>
          <w:t>ת"פ (שלום קריות) 54158-11-14</w:t>
        </w:r>
      </w:hyperlink>
      <w:r w:rsidRPr="009E05ED">
        <w:rPr>
          <w:rFonts w:ascii="David" w:hAnsi="David" w:cs="David"/>
          <w:sz w:val="24"/>
          <w:szCs w:val="24"/>
          <w:rtl/>
        </w:rPr>
        <w:t xml:space="preserve"> </w:t>
      </w:r>
      <w:r w:rsidRPr="009E05ED">
        <w:rPr>
          <w:rFonts w:ascii="David" w:hAnsi="David" w:cs="David"/>
          <w:b/>
          <w:bCs/>
          <w:sz w:val="24"/>
          <w:szCs w:val="24"/>
          <w:rtl/>
        </w:rPr>
        <w:t>מדינת ישראל נ' אנדריי לובנצ'וב</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(30.04.2017); </w:t>
      </w:r>
      <w:hyperlink r:id="rId73" w:history="1">
        <w:r w:rsidR="004546A3" w:rsidRPr="004546A3">
          <w:rPr>
            <w:rFonts w:ascii="David" w:hAnsi="David" w:cs="David"/>
            <w:color w:val="0000FF"/>
            <w:sz w:val="24"/>
            <w:szCs w:val="24"/>
            <w:u w:val="single"/>
            <w:rtl/>
          </w:rPr>
          <w:t>ת"פ (שלום קריות) 23917-04-15</w:t>
        </w:r>
      </w:hyperlink>
      <w:r w:rsidRPr="009E05ED">
        <w:rPr>
          <w:rFonts w:ascii="David" w:hAnsi="David" w:cs="David"/>
          <w:sz w:val="24"/>
          <w:szCs w:val="24"/>
          <w:rtl/>
        </w:rPr>
        <w:t xml:space="preserve"> </w:t>
      </w:r>
      <w:r w:rsidRPr="009E05ED">
        <w:rPr>
          <w:rFonts w:ascii="David" w:hAnsi="David" w:cs="David"/>
          <w:b/>
          <w:bCs/>
          <w:sz w:val="24"/>
          <w:szCs w:val="24"/>
          <w:rtl/>
        </w:rPr>
        <w:t>מדינת ישראל נ' פלוני</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(03.07.2016); </w:t>
      </w:r>
      <w:hyperlink r:id="rId74" w:history="1">
        <w:r w:rsidR="004546A3" w:rsidRPr="004546A3">
          <w:rPr>
            <w:rFonts w:ascii="David" w:hAnsi="David" w:cs="David"/>
            <w:color w:val="0000FF"/>
            <w:sz w:val="24"/>
            <w:szCs w:val="24"/>
            <w:u w:val="single"/>
            <w:rtl/>
          </w:rPr>
          <w:t>ת"פ (שלום רמלה) 21679-04-15</w:t>
        </w:r>
      </w:hyperlink>
      <w:r w:rsidRPr="009E05ED">
        <w:rPr>
          <w:rFonts w:ascii="David" w:hAnsi="David" w:cs="David"/>
          <w:sz w:val="24"/>
          <w:szCs w:val="24"/>
          <w:rtl/>
        </w:rPr>
        <w:t xml:space="preserve"> </w:t>
      </w:r>
      <w:r w:rsidRPr="009E05ED">
        <w:rPr>
          <w:rFonts w:ascii="David" w:hAnsi="David" w:cs="David"/>
          <w:b/>
          <w:bCs/>
          <w:sz w:val="24"/>
          <w:szCs w:val="24"/>
          <w:rtl/>
        </w:rPr>
        <w:t>מדינת ישראל נ' שאול בראנץ</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(24.02.2016); </w:t>
      </w:r>
      <w:hyperlink r:id="rId75" w:history="1">
        <w:r w:rsidR="004546A3" w:rsidRPr="004546A3">
          <w:rPr>
            <w:rFonts w:ascii="David" w:hAnsi="David" w:cs="David"/>
            <w:color w:val="0000FF"/>
            <w:sz w:val="24"/>
            <w:szCs w:val="24"/>
            <w:u w:val="single"/>
            <w:rtl/>
          </w:rPr>
          <w:t>ת"פ (שלום רחובות) 9524-12-13</w:t>
        </w:r>
      </w:hyperlink>
      <w:r w:rsidRPr="009E05ED">
        <w:rPr>
          <w:rFonts w:ascii="David" w:hAnsi="David" w:cs="David"/>
          <w:sz w:val="24"/>
          <w:szCs w:val="24"/>
          <w:rtl/>
        </w:rPr>
        <w:t xml:space="preserve"> </w:t>
      </w:r>
      <w:r w:rsidRPr="009E05ED">
        <w:rPr>
          <w:rFonts w:ascii="David" w:hAnsi="David" w:cs="David"/>
          <w:b/>
          <w:bCs/>
          <w:sz w:val="24"/>
          <w:szCs w:val="24"/>
          <w:rtl/>
        </w:rPr>
        <w:t>מדינת ישראל נ' פלוני</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(21.10.2015).</w:t>
      </w:r>
    </w:p>
    <w:p w14:paraId="020E4F70"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עוד יצוין, כי במקרים חריגים יכול מצב בריאותי של נאשם, </w:t>
      </w:r>
      <w:r w:rsidRPr="009E05ED">
        <w:rPr>
          <w:rFonts w:ascii="David" w:hAnsi="David" w:cs="David"/>
          <w:b/>
          <w:bCs/>
          <w:sz w:val="24"/>
          <w:szCs w:val="24"/>
          <w:rtl/>
        </w:rPr>
        <w:t>כשלעצמו</w:t>
      </w:r>
      <w:r w:rsidRPr="009E05ED">
        <w:rPr>
          <w:rFonts w:ascii="David" w:hAnsi="David" w:cs="David"/>
          <w:sz w:val="24"/>
          <w:szCs w:val="24"/>
          <w:rtl/>
        </w:rPr>
        <w:t xml:space="preserve">, להצדיק סטייה לקולא ממתחם העונש ההולם (ור' בעניין זה, פסק הדין בעניינו של אורי לופליאנסקי, </w:t>
      </w:r>
      <w:r w:rsidRPr="009E05ED">
        <w:rPr>
          <w:rFonts w:ascii="David" w:hAnsi="David" w:cs="David"/>
          <w:sz w:val="24"/>
          <w:szCs w:val="24"/>
          <w:u w:val="single"/>
          <w:rtl/>
        </w:rPr>
        <w:t>ב</w:t>
      </w:r>
      <w:hyperlink r:id="rId76" w:history="1">
        <w:r w:rsidR="004546A3" w:rsidRPr="004546A3">
          <w:rPr>
            <w:rFonts w:ascii="David" w:hAnsi="David" w:cs="David"/>
            <w:color w:val="0000FF"/>
            <w:sz w:val="24"/>
            <w:szCs w:val="24"/>
            <w:u w:val="single"/>
            <w:rtl/>
          </w:rPr>
          <w:t>ע"פ 4456/14</w:t>
        </w:r>
      </w:hyperlink>
      <w:r w:rsidRPr="009E05ED">
        <w:rPr>
          <w:rFonts w:ascii="David" w:hAnsi="David" w:cs="David"/>
          <w:sz w:val="24"/>
          <w:szCs w:val="24"/>
          <w:rtl/>
        </w:rPr>
        <w:t xml:space="preserve"> </w:t>
      </w:r>
      <w:r w:rsidRPr="009E05ED">
        <w:rPr>
          <w:rFonts w:ascii="David" w:hAnsi="David" w:cs="David"/>
          <w:b/>
          <w:bCs/>
          <w:sz w:val="24"/>
          <w:szCs w:val="24"/>
          <w:rtl/>
        </w:rPr>
        <w:t>אביגדור קלנר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(29.12.2015); </w:t>
      </w:r>
      <w:r w:rsidRPr="009E05ED">
        <w:rPr>
          <w:rFonts w:ascii="David" w:hAnsi="David" w:cs="David"/>
          <w:sz w:val="24"/>
          <w:szCs w:val="24"/>
          <w:u w:val="single"/>
          <w:rtl/>
        </w:rPr>
        <w:t>ו</w:t>
      </w:r>
      <w:hyperlink r:id="rId77" w:history="1">
        <w:r w:rsidR="004546A3" w:rsidRPr="004546A3">
          <w:rPr>
            <w:rFonts w:ascii="David" w:hAnsi="David" w:cs="David"/>
            <w:color w:val="0000FF"/>
            <w:sz w:val="24"/>
            <w:szCs w:val="24"/>
            <w:u w:val="single"/>
            <w:rtl/>
          </w:rPr>
          <w:t>ע"פ 4506/15</w:t>
        </w:r>
      </w:hyperlink>
      <w:r w:rsidRPr="009E05ED">
        <w:rPr>
          <w:rFonts w:ascii="David" w:hAnsi="David" w:cs="David"/>
          <w:sz w:val="24"/>
          <w:szCs w:val="24"/>
          <w:rtl/>
        </w:rPr>
        <w:t xml:space="preserve"> </w:t>
      </w:r>
      <w:r w:rsidRPr="009E05ED">
        <w:rPr>
          <w:rFonts w:ascii="David" w:hAnsi="David" w:cs="David"/>
          <w:b/>
          <w:bCs/>
          <w:sz w:val="24"/>
          <w:szCs w:val="24"/>
          <w:rtl/>
        </w:rPr>
        <w:t>צבי בר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(11.12.2016)). אכן, כל מקרה צריך להיבחן לגופו ולא בכל מקום שבו עסקינן בנאשם הלוקה בבריאותו (או בנפשו), יביא הדבר מניה וביה לסטייה לקולא ממתחם העונש וממילא גם לא להימנעות מהשתת עונש מאסר. לצד אלה, אין להתעלם מהעובדה כי בהשוואה לאנשים בריאים, נשיאת עונש מאסר היא קשה ופוגענית יותר בעבור אנשים שמצבם הבריאותי רעוע, והרי שהנזק שעלול להיגרם להם כתוצאה מעונש זה הוא רב יותר. </w:t>
      </w:r>
    </w:p>
    <w:p w14:paraId="7A0A3FDE" w14:textId="77777777" w:rsidR="00B87F67" w:rsidRPr="009E05ED" w:rsidRDefault="00B87F67" w:rsidP="0083097F">
      <w:pPr>
        <w:pStyle w:val="ListParagraph"/>
        <w:numPr>
          <w:ilvl w:val="0"/>
          <w:numId w:val="2"/>
        </w:numPr>
        <w:spacing w:after="0"/>
        <w:ind w:left="-118"/>
        <w:rPr>
          <w:rFonts w:ascii="David" w:hAnsi="David" w:cs="David"/>
          <w:sz w:val="24"/>
          <w:szCs w:val="24"/>
          <w:rtl/>
        </w:rPr>
      </w:pPr>
      <w:r w:rsidRPr="009E05ED">
        <w:rPr>
          <w:rFonts w:ascii="David" w:hAnsi="David" w:cs="David"/>
          <w:sz w:val="24"/>
          <w:szCs w:val="24"/>
          <w:rtl/>
        </w:rPr>
        <w:t xml:space="preserve">גם במקרה הנדון, בפניי נאשם שמצבו הבריאותי התדרדר עד כדי כך שרופא שב"ס העריך שהוא אינו כשיר לחלוטין לביצוע העבודות, ומכאן ניתן להקיש כי גם שהייה מאחורי סורג ובריח עלולה להרע לו בצורה משמעותית, בוודאי ביחס למי שמצבו הבריאותי שפיר. בהינתן אלה, </w:t>
      </w:r>
      <w:r w:rsidRPr="009E05ED">
        <w:rPr>
          <w:rFonts w:ascii="David" w:hAnsi="David" w:cs="David"/>
          <w:b/>
          <w:bCs/>
          <w:sz w:val="24"/>
          <w:szCs w:val="24"/>
          <w:rtl/>
        </w:rPr>
        <w:t>וכאשר הייתה נכונות (גם מצדה של המאשימה) לגזור על הנאשם עונש מאסר לריצוי בעבודות שירות</w:t>
      </w:r>
      <w:r w:rsidRPr="009E05ED">
        <w:rPr>
          <w:rFonts w:ascii="David" w:hAnsi="David" w:cs="David"/>
          <w:sz w:val="24"/>
          <w:szCs w:val="24"/>
          <w:rtl/>
        </w:rPr>
        <w:t>, דומני כי בנסיבות המתוארות לא יהא זה צודק "להמיר" עונש זה במאסר מאחורי סורג ובריח.</w:t>
      </w:r>
    </w:p>
    <w:p w14:paraId="76413317"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לא זו בלבד, אלא שכאמור </w:t>
      </w:r>
      <w:hyperlink r:id="rId78" w:history="1">
        <w:r w:rsidR="004829BB" w:rsidRPr="004829BB">
          <w:rPr>
            <w:rFonts w:ascii="David" w:hAnsi="David" w:cs="David"/>
            <w:color w:val="0000FF"/>
            <w:sz w:val="24"/>
            <w:szCs w:val="24"/>
            <w:u w:val="single"/>
            <w:rtl/>
          </w:rPr>
          <w:t>בסעיף 40ד(א)</w:t>
        </w:r>
      </w:hyperlink>
      <w:r w:rsidRPr="009E05ED">
        <w:rPr>
          <w:rFonts w:ascii="David" w:hAnsi="David" w:cs="David"/>
          <w:sz w:val="24"/>
          <w:szCs w:val="24"/>
          <w:rtl/>
        </w:rPr>
        <w:t xml:space="preserve"> ל</w:t>
      </w:r>
      <w:hyperlink r:id="rId79" w:history="1">
        <w:r w:rsidR="004546A3" w:rsidRPr="004546A3">
          <w:rPr>
            <w:rFonts w:ascii="David" w:hAnsi="David" w:cs="David"/>
            <w:color w:val="0000FF"/>
            <w:sz w:val="24"/>
            <w:szCs w:val="24"/>
            <w:u w:val="single"/>
            <w:rtl/>
          </w:rPr>
          <w:t>חוק העונשין</w:t>
        </w:r>
      </w:hyperlink>
      <w:r w:rsidRPr="009E05ED">
        <w:rPr>
          <w:rFonts w:ascii="David" w:hAnsi="David" w:cs="David"/>
          <w:sz w:val="24"/>
          <w:szCs w:val="24"/>
          <w:rtl/>
        </w:rPr>
        <w:t xml:space="preserve">, מקום בו מצא בית המשפט כי הנאשם </w:t>
      </w:r>
      <w:r w:rsidRPr="009E05ED">
        <w:rPr>
          <w:rFonts w:ascii="David" w:hAnsi="David" w:cs="David"/>
          <w:b/>
          <w:bCs/>
          <w:sz w:val="24"/>
          <w:szCs w:val="24"/>
          <w:rtl/>
        </w:rPr>
        <w:t>השתקם או כי קיים סיכוי של ממש שישתקם בעתיד</w:t>
      </w:r>
      <w:r w:rsidRPr="009E05ED">
        <w:rPr>
          <w:rFonts w:ascii="David" w:hAnsi="David" w:cs="David"/>
          <w:sz w:val="24"/>
          <w:szCs w:val="24"/>
          <w:rtl/>
        </w:rPr>
        <w:t>, כי אז יהא הוא רשאי לסטות לקולא ממתחם העונש ההולם. ברוח הדברים האמורים, ולאחר שעיינתי בתסקירי שירות המבחן, שמעתי את טיעוני הצדדים בעניין והתרשמתי באופן בלתי אמצעי מהנאשם, ובייחוד לנוכח חזרתו של הנאשם למסלול חיים נורמטיבי, שוכנעתי כי הנאשם השתקם, או שלמצער קיים סיכוי של ממש שישתקם באופן מלא בעתיד, וכי יהיה זה מוצדק להשית עליו עונש החורג לקולא ממתחם הענישה אשר נקבע בעניינו, ואנמק.</w:t>
      </w:r>
    </w:p>
    <w:p w14:paraId="3E51EB79"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b/>
          <w:bCs/>
          <w:sz w:val="24"/>
          <w:szCs w:val="24"/>
          <w:rtl/>
        </w:rPr>
        <w:t>בראש ובראשונה,</w:t>
      </w:r>
      <w:r w:rsidRPr="009E05ED">
        <w:rPr>
          <w:rFonts w:ascii="David" w:hAnsi="David" w:cs="David"/>
          <w:sz w:val="24"/>
          <w:szCs w:val="24"/>
          <w:rtl/>
        </w:rPr>
        <w:t xml:space="preserve"> נתתי דעתי </w:t>
      </w:r>
      <w:r w:rsidRPr="009E05ED">
        <w:rPr>
          <w:rFonts w:ascii="David" w:hAnsi="David" w:cs="David"/>
          <w:b/>
          <w:bCs/>
          <w:sz w:val="24"/>
          <w:szCs w:val="24"/>
          <w:rtl/>
        </w:rPr>
        <w:t>להליך הטיפולי האינטנסיבי</w:t>
      </w:r>
      <w:r w:rsidRPr="009E05ED">
        <w:rPr>
          <w:rFonts w:ascii="David" w:hAnsi="David" w:cs="David"/>
          <w:sz w:val="24"/>
          <w:szCs w:val="24"/>
          <w:rtl/>
        </w:rPr>
        <w:t xml:space="preserve"> שעבר ועודנו עובר הנאשם במסגרות הטיפוליות השונות. וכך, ובתחילת הדרך הנאשם שולב בטיפול פרטני וקבוצתי ביחידה האזורית לטיפול בהתמכרויות בחיפה ובהמשך שולב במרכז יום טיפולי בחיפה. במסגרת זו, הלה שיתף פעולה באופן מלא ומסר בדיקות שתן שהעידו על ניקיון מסמים. </w:t>
      </w:r>
    </w:p>
    <w:p w14:paraId="67C34D02"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הגם שהנאשם ידע עליות ומורדות בהליך הטיפולי, הרי שעדיין, הוא הביע לאורך כל הדרך מוטיבציה גבוהה לטיפול. וכך ובהמשך הדרך, ומשהנאשם שב להתגורר בביתו, והיה נתון בתנאים מגבילים באשדוד, הוא שולב מדי יום בטיפול במרכז היום בתחנה לנפגעי סמים בעיר. במסגרת זו, הנאשם לקח חלק פעיל בטיפול פרטני וקבוצתי, ומסר דגימות שתן שנמצאו נקיות משרידי סם, תוך שמגורמי הטיפול נמסר כי הנאשם משתף פעולה באופן מלא עם הטיפול, משתף מעולמו הרגשי, בקשייו ותחושותיו ומבטא יכולת לעיבוד פנימי של רבדים שונים בחייו ובהם: זוגיות; דפוסי אישיות; והשימוש לרעה בסמים. עוד נמסר מגורמי הטיפול כי הנאשם מגלה רצינות ומחויבות להליך הטיפולי. ואם לא די באלה, הרי שבמקביל הנאשם השתלב בקבוצה לעזרה עצמית – "נרקומנים אנונימיים" (</w:t>
      </w:r>
      <w:r w:rsidRPr="009E05ED">
        <w:rPr>
          <w:rFonts w:ascii="David" w:hAnsi="David" w:cs="David"/>
          <w:sz w:val="24"/>
          <w:szCs w:val="24"/>
        </w:rPr>
        <w:t>N.A</w:t>
      </w:r>
      <w:r w:rsidRPr="009E05ED">
        <w:rPr>
          <w:rFonts w:ascii="David" w:hAnsi="David" w:cs="David"/>
          <w:sz w:val="24"/>
          <w:szCs w:val="24"/>
          <w:rtl/>
        </w:rPr>
        <w:t xml:space="preserve">)- במהלך שלוש פעמים בשבוע, תוך שנמסר משירות המבחן כי הנאשם מתמיד בהגעתו לפגישות אלו. </w:t>
      </w:r>
    </w:p>
    <w:p w14:paraId="4A6E2D94"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שירות המבחן התרשם כי הנאשם משתף פעולה באופן מלא עם גורמי הטיפול ומביע </w:t>
      </w:r>
      <w:r w:rsidRPr="009E05ED">
        <w:rPr>
          <w:rFonts w:ascii="David" w:hAnsi="David" w:cs="David"/>
          <w:b/>
          <w:bCs/>
          <w:sz w:val="24"/>
          <w:szCs w:val="24"/>
          <w:rtl/>
        </w:rPr>
        <w:t>רצון עז לשינוי</w:t>
      </w:r>
      <w:r w:rsidRPr="009E05ED">
        <w:rPr>
          <w:rFonts w:ascii="David" w:hAnsi="David" w:cs="David"/>
          <w:sz w:val="24"/>
          <w:szCs w:val="24"/>
          <w:rtl/>
        </w:rPr>
        <w:t xml:space="preserve"> וכי הלה אשר מצוי בהליך טיפולי ייעודי ממושך ואינטנסיבי, עובר שינוי רגשי והתנהגותי, תוך שניכר כי הלה עושה מאמצים לעבודה מעמיקה על דפוסיו המכשילים. עוד עולה מהערכת השירות, כי הנאשם מצליח להפנים שינוי באורח חייו, לשמור על וויסות רגשי ולהימנע משימוש בסמים לאורך זמן לצד שינוי התנהגותי ורכישת כלים מתאימים להתמודדויות אדפטיביות עם אורח חיים תקין שאינו כולל שימוש בסמים או מעורבות בפלילים. משכך, העריך שירות המבחן, כי </w:t>
      </w:r>
      <w:r w:rsidRPr="009E05ED">
        <w:rPr>
          <w:rFonts w:ascii="David" w:hAnsi="David" w:cs="David"/>
          <w:b/>
          <w:bCs/>
          <w:sz w:val="24"/>
          <w:szCs w:val="24"/>
          <w:rtl/>
        </w:rPr>
        <w:t>חלה הפחתה ברמת הסיכון הנשקפת הימנו להישנות התנהגות עוברת חוק.</w:t>
      </w:r>
      <w:r w:rsidRPr="009E05ED">
        <w:rPr>
          <w:rFonts w:ascii="David" w:hAnsi="David" w:cs="David"/>
          <w:sz w:val="24"/>
          <w:szCs w:val="24"/>
          <w:rtl/>
        </w:rPr>
        <w:t xml:space="preserve">  </w:t>
      </w:r>
    </w:p>
    <w:p w14:paraId="7FD75729"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b/>
          <w:bCs/>
          <w:sz w:val="24"/>
          <w:szCs w:val="24"/>
          <w:rtl/>
        </w:rPr>
        <w:t>שנית,</w:t>
      </w:r>
      <w:r w:rsidRPr="009E05ED">
        <w:rPr>
          <w:rFonts w:ascii="David" w:hAnsi="David" w:cs="David"/>
          <w:sz w:val="24"/>
          <w:szCs w:val="24"/>
          <w:rtl/>
        </w:rPr>
        <w:t xml:space="preserve"> גם בהיותו של הנאשם, הלכה למעשה, אזרח שומר חוק מאז ביצע את העבירות שבגינן הוא נותן את הדין כיום– יש כדי לחזק את מסקנתי לפיה הנאשם השתקם או לחילופין כי קיים סיכוי ממשי שישתקם באופן מלא בעתיד. לצד אותו "שיקום מוסדי" שעבר, שוכנעתי, כאמור, כי בעצם שיתוף הפעולה של הנאשם עם שירות המבחן, המוטיבציה שאותה הוא מביע להשתקם ולשנות מאורחות חייו והעובדה כי </w:t>
      </w:r>
      <w:r w:rsidRPr="009E05ED">
        <w:rPr>
          <w:rFonts w:ascii="David" w:hAnsi="David" w:cs="David"/>
          <w:b/>
          <w:bCs/>
          <w:sz w:val="24"/>
          <w:szCs w:val="24"/>
          <w:rtl/>
        </w:rPr>
        <w:t xml:space="preserve">מזה למעלה משנתיים הוא אינו שב עוד לדרכיו הרעות, </w:t>
      </w:r>
      <w:r w:rsidRPr="009E05ED">
        <w:rPr>
          <w:rFonts w:ascii="David" w:hAnsi="David" w:cs="David"/>
          <w:sz w:val="24"/>
          <w:szCs w:val="24"/>
          <w:rtl/>
        </w:rPr>
        <w:t xml:space="preserve">יש כדי ללמד אודות השינוי החיובי שהנאשם עבר ועל הסיכויים לשיקומו (ר' והשוו </w:t>
      </w:r>
      <w:hyperlink r:id="rId80" w:history="1">
        <w:r w:rsidR="004546A3" w:rsidRPr="004546A3">
          <w:rPr>
            <w:rFonts w:ascii="David" w:hAnsi="David" w:cs="David"/>
            <w:color w:val="0000FF"/>
            <w:sz w:val="24"/>
            <w:szCs w:val="24"/>
            <w:u w:val="single"/>
            <w:rtl/>
          </w:rPr>
          <w:t>רע"פ 7683/13</w:t>
        </w:r>
      </w:hyperlink>
      <w:r w:rsidRPr="009E05ED">
        <w:rPr>
          <w:rFonts w:ascii="David" w:hAnsi="David" w:cs="David"/>
          <w:sz w:val="24"/>
          <w:szCs w:val="24"/>
          <w:rtl/>
        </w:rPr>
        <w:t xml:space="preserve"> </w:t>
      </w:r>
      <w:r w:rsidRPr="009E05ED">
        <w:rPr>
          <w:rFonts w:ascii="David" w:hAnsi="David" w:cs="David"/>
          <w:b/>
          <w:bCs/>
          <w:sz w:val="24"/>
          <w:szCs w:val="24"/>
          <w:rtl/>
        </w:rPr>
        <w:t>דויד פרלמן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(23.02.2014); </w:t>
      </w:r>
      <w:hyperlink r:id="rId81" w:history="1">
        <w:r w:rsidR="004546A3" w:rsidRPr="004546A3">
          <w:rPr>
            <w:rFonts w:ascii="David" w:hAnsi="David" w:cs="David"/>
            <w:color w:val="0000FF"/>
            <w:sz w:val="24"/>
            <w:szCs w:val="24"/>
            <w:u w:val="single"/>
            <w:rtl/>
          </w:rPr>
          <w:t>רע"פ 1441/14</w:t>
        </w:r>
      </w:hyperlink>
      <w:r w:rsidRPr="009E05ED">
        <w:rPr>
          <w:rFonts w:ascii="David" w:hAnsi="David" w:cs="David"/>
          <w:sz w:val="24"/>
          <w:szCs w:val="24"/>
          <w:rtl/>
        </w:rPr>
        <w:t xml:space="preserve"> </w:t>
      </w:r>
      <w:r w:rsidRPr="009E05ED">
        <w:rPr>
          <w:rFonts w:ascii="David" w:hAnsi="David" w:cs="David"/>
          <w:b/>
          <w:bCs/>
          <w:sz w:val="24"/>
          <w:szCs w:val="24"/>
          <w:rtl/>
        </w:rPr>
        <w:t>חמיס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(09.12.2014); </w:t>
      </w:r>
      <w:r w:rsidRPr="009E05ED">
        <w:rPr>
          <w:rFonts w:ascii="David" w:hAnsi="David" w:cs="David"/>
          <w:sz w:val="24"/>
          <w:szCs w:val="24"/>
          <w:u w:val="single"/>
          <w:rtl/>
        </w:rPr>
        <w:t>ו</w:t>
      </w:r>
      <w:hyperlink r:id="rId82" w:history="1">
        <w:r w:rsidR="004546A3" w:rsidRPr="004546A3">
          <w:rPr>
            <w:rFonts w:ascii="David" w:hAnsi="David" w:cs="David"/>
            <w:color w:val="0000FF"/>
            <w:sz w:val="24"/>
            <w:szCs w:val="24"/>
            <w:u w:val="single"/>
            <w:rtl/>
          </w:rPr>
          <w:t>עפ"ג (מחוזי באר שבע) 37682-03-13</w:t>
        </w:r>
      </w:hyperlink>
      <w:r w:rsidRPr="009E05ED">
        <w:rPr>
          <w:rFonts w:ascii="David" w:hAnsi="David" w:cs="David"/>
          <w:sz w:val="24"/>
          <w:szCs w:val="24"/>
          <w:rtl/>
        </w:rPr>
        <w:t xml:space="preserve"> </w:t>
      </w:r>
      <w:r w:rsidRPr="009E05ED">
        <w:rPr>
          <w:rFonts w:ascii="David" w:hAnsi="David" w:cs="David"/>
          <w:b/>
          <w:bCs/>
          <w:sz w:val="24"/>
          <w:szCs w:val="24"/>
          <w:rtl/>
        </w:rPr>
        <w:t>גרניק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(20.11.2013)). </w:t>
      </w:r>
    </w:p>
    <w:p w14:paraId="0337BC48"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אכן, לא נעלמה מעיניי העובדה כי הליך השיקום שעבר הנאשם איננו מושלם, יחד עם זאת, ידוע כי הליך טיפולי הינו תהליך שפעמים רבות יש בו עליות ומורדות, ושיכול לארוך זמן. מה גם, שהנאשם מביע מוטיבציה, שלהתרשמותי הינה כנה ואמתית, להמשיך ולהעמיק את הטיפול, והוא אכן יעשה זאת במסגרת צו המבחן שייגזר עליו. כמו כן, יש לתת את הדעת לכך ששירות המבחן, שהוא כידוע הגורם האמון על בחינת התקדמותו של הנאשם בהליך הטיפול, התרשם ממכלול השיקולים והמליץ בסופו של יום לבכר בעניינו את שיקולי השיקום.</w:t>
      </w:r>
    </w:p>
    <w:p w14:paraId="0C3EB75A"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כללם של דברים, ייאמר כי בפניי נאשם שמאז היה לנער ובמשך כל חייו הבוגרים ניהל אורח חיים שאינו נורמטיבי, היה מכור לסמים, ושב והסתבך פעם אחר פעם בפלילים, ויעיד על כך גיליון הרישום הפלילי שלו. והנה כיום, הנאשם זנח את דרך הפשע, החל להבין את הבעייתיות שבהתנהלותו, חדל מלהשתמש בסמים, התמסר באופן מעורר רושם להליך הטיפולי, והפך לאזרח שומר חוק, ועבר הליך שינוי משמעותי עד שנדמה כי כיום ניצב בפניי "אדם חדש", שונה בתכלית מאותו אחד שביצע את העבירות שבמוקד כתב האישום המתוקן (ר' והשוו דבריה של כב' השופטת ד' ברק ארז בפסקה 15 </w:t>
      </w:r>
      <w:r w:rsidRPr="009E05ED">
        <w:rPr>
          <w:rFonts w:ascii="David" w:hAnsi="David" w:cs="David"/>
          <w:sz w:val="24"/>
          <w:szCs w:val="24"/>
          <w:u w:val="single"/>
          <w:rtl/>
        </w:rPr>
        <w:t>ב</w:t>
      </w:r>
      <w:hyperlink r:id="rId83" w:history="1">
        <w:r w:rsidR="004546A3" w:rsidRPr="004546A3">
          <w:rPr>
            <w:rFonts w:ascii="David" w:hAnsi="David" w:cs="David"/>
            <w:color w:val="0000FF"/>
            <w:sz w:val="24"/>
            <w:szCs w:val="24"/>
            <w:u w:val="single"/>
            <w:rtl/>
          </w:rPr>
          <w:t>ע"פ 111/14</w:t>
        </w:r>
      </w:hyperlink>
      <w:r w:rsidRPr="009E05ED">
        <w:rPr>
          <w:rFonts w:ascii="David" w:hAnsi="David" w:cs="David"/>
          <w:sz w:val="24"/>
          <w:szCs w:val="24"/>
          <w:rtl/>
        </w:rPr>
        <w:t xml:space="preserve"> </w:t>
      </w:r>
      <w:r w:rsidRPr="009E05ED">
        <w:rPr>
          <w:rFonts w:ascii="David" w:hAnsi="David" w:cs="David"/>
          <w:b/>
          <w:bCs/>
          <w:sz w:val="24"/>
          <w:szCs w:val="24"/>
          <w:rtl/>
        </w:rPr>
        <w:t>פלוני נ' מדינת ישראל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(01.04.2014)). אשר על כן, מצאתי כי יש לבכר במקרה הנדון את שיקולי השיקום על פני יתר השיקולים שבענישה, ולסטות לקולא ממתחם העונש ההולם.</w:t>
      </w:r>
    </w:p>
    <w:p w14:paraId="5D0CBD14" w14:textId="77777777" w:rsidR="00B87F67" w:rsidRPr="009E05ED" w:rsidRDefault="00B87F67" w:rsidP="0083097F">
      <w:pPr>
        <w:pStyle w:val="ListParagraph"/>
        <w:numPr>
          <w:ilvl w:val="0"/>
          <w:numId w:val="2"/>
        </w:numPr>
        <w:spacing w:after="0"/>
        <w:ind w:left="-118"/>
        <w:rPr>
          <w:rFonts w:ascii="David" w:hAnsi="David" w:cs="David"/>
          <w:b/>
          <w:bCs/>
          <w:sz w:val="24"/>
          <w:szCs w:val="24"/>
        </w:rPr>
      </w:pPr>
      <w:r w:rsidRPr="009E05ED">
        <w:rPr>
          <w:rFonts w:ascii="David" w:hAnsi="David" w:cs="David"/>
          <w:sz w:val="24"/>
          <w:szCs w:val="24"/>
          <w:rtl/>
        </w:rPr>
        <w:t xml:space="preserve">טרם חתימת גזר הדין, אציין כי אכן ידוע הכלל לפיו בעבירות סמים נסוגים האינטרס של הנאשם ונסיבותיו האישיות מפני האינטרס הציבורי בהשתת ענישה מחמירה על עברייני הסמים. יחד עם זאת, במצבור הנסיבות שבתיק זה, ובייחוד בשים לב להליך השיקום המשמעותי שבעיצומו מצוי הנאשם, שבמסגרתו הוא אף נמצא נקי מסמים; לנסיבות חייו של הנאשם; למצבו הבריאותי והנפשי; וליתר הנסיבות שאינן קשורות בביצוע העבירה – מצאתי כאמור כי ניתן בזו הפעם להשית עליו ענישה החורגת לקולא ממתחם העונש ההולם. ויודגש מיד, התוצאה שאליה מגיע בית המשפט בתיק זה חריגה היא, ואינה משקפת את מדיניות הענישה בעבירות אלה. מן הראוי שגם הנאשם ידע זאת ויישמר מלשוב ולהסתבך בפלילים, שכן אם חלילה יעשה כן, סביר להניח שבית המשפט לא יגלה כלפיו סובלנות פעם נוספת. </w:t>
      </w:r>
    </w:p>
    <w:p w14:paraId="4CBEA0BE"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ויובהר, בית המשפט אינו מקל ראש כל עיקר בחומרת מעשיו של הנאשם, אך בסופו של יום, אין עסקינן במעשים מהסוג שמחייב מניה וביה את העדפת שיקולי הגמול וההתרעה, ולא בכדי לא אחת מצאו בתי המשפט בעניינם של נאשמים שהורשעו בעבירות מסוג זה, ולעיתים אף במעשים חמורים מאלה שביצע הנאשם, להשית עונשים החורגים ממתחם הענישה שהוצג, ובהם עבודות שירות לתועלת הציבור, אף ללא הרשעה או הסתפקות במאסרים מותנים, וזאת במקרים ייחודיים ויוצאי דופן, ובנסיבות חריגות כך למשל, ר': </w:t>
      </w:r>
      <w:hyperlink r:id="rId84" w:history="1">
        <w:r w:rsidR="004546A3" w:rsidRPr="004546A3">
          <w:rPr>
            <w:rFonts w:ascii="David" w:hAnsi="David" w:cs="David"/>
            <w:color w:val="0000FF"/>
            <w:sz w:val="24"/>
            <w:szCs w:val="24"/>
            <w:u w:val="single"/>
            <w:rtl/>
          </w:rPr>
          <w:t>ת"פ (שלום פתח-תקוה) 46572-07-15</w:t>
        </w:r>
      </w:hyperlink>
      <w:r w:rsidRPr="009E05ED">
        <w:rPr>
          <w:rFonts w:ascii="David" w:hAnsi="David" w:cs="David"/>
          <w:sz w:val="24"/>
          <w:szCs w:val="24"/>
          <w:rtl/>
        </w:rPr>
        <w:t xml:space="preserve"> </w:t>
      </w:r>
      <w:r w:rsidRPr="009E05ED">
        <w:rPr>
          <w:rFonts w:ascii="David" w:hAnsi="David" w:cs="David"/>
          <w:b/>
          <w:bCs/>
          <w:sz w:val="24"/>
          <w:szCs w:val="24"/>
          <w:rtl/>
        </w:rPr>
        <w:t>מדינת ישראל נ' הוד</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(21.04.2016); </w:t>
      </w:r>
      <w:hyperlink r:id="rId85" w:history="1">
        <w:r w:rsidR="004546A3" w:rsidRPr="004546A3">
          <w:rPr>
            <w:rFonts w:ascii="David" w:hAnsi="David" w:cs="David"/>
            <w:color w:val="0000FF"/>
            <w:sz w:val="24"/>
            <w:szCs w:val="24"/>
            <w:u w:val="single"/>
            <w:rtl/>
          </w:rPr>
          <w:t>ת"פ 11384-03-15</w:t>
        </w:r>
      </w:hyperlink>
      <w:r w:rsidRPr="009E05ED">
        <w:rPr>
          <w:rFonts w:ascii="David" w:hAnsi="David" w:cs="David"/>
          <w:sz w:val="24"/>
          <w:szCs w:val="24"/>
          <w:u w:val="single"/>
          <w:rtl/>
        </w:rPr>
        <w:t xml:space="preserve"> (שלום פתח-תקוה)</w:t>
      </w:r>
      <w:r w:rsidRPr="009E05ED">
        <w:rPr>
          <w:rFonts w:ascii="David" w:hAnsi="David" w:cs="David"/>
          <w:sz w:val="24"/>
          <w:szCs w:val="24"/>
          <w:rtl/>
        </w:rPr>
        <w:t xml:space="preserve"> </w:t>
      </w:r>
      <w:r w:rsidRPr="009E05ED">
        <w:rPr>
          <w:rFonts w:ascii="David" w:hAnsi="David" w:cs="David"/>
          <w:b/>
          <w:bCs/>
          <w:sz w:val="24"/>
          <w:szCs w:val="24"/>
          <w:rtl/>
        </w:rPr>
        <w:t>מדינת ישראל נ' אבן ברי</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(19.04.2016); </w:t>
      </w:r>
      <w:hyperlink r:id="rId86" w:history="1">
        <w:r w:rsidR="004546A3" w:rsidRPr="004546A3">
          <w:rPr>
            <w:rFonts w:ascii="David" w:hAnsi="David" w:cs="David"/>
            <w:color w:val="0000FF"/>
            <w:sz w:val="24"/>
            <w:szCs w:val="24"/>
            <w:u w:val="single"/>
            <w:rtl/>
          </w:rPr>
          <w:t>ת"פ (שלום תל אביב)  26101-05-10</w:t>
        </w:r>
      </w:hyperlink>
      <w:r w:rsidRPr="009E05ED">
        <w:rPr>
          <w:rFonts w:ascii="David" w:hAnsi="David" w:cs="David"/>
          <w:sz w:val="24"/>
          <w:szCs w:val="24"/>
          <w:u w:val="single"/>
          <w:rtl/>
        </w:rPr>
        <w:t xml:space="preserve"> </w:t>
      </w:r>
      <w:r w:rsidRPr="009E05ED">
        <w:rPr>
          <w:rFonts w:ascii="David" w:hAnsi="David" w:cs="David"/>
          <w:b/>
          <w:bCs/>
          <w:sz w:val="24"/>
          <w:szCs w:val="24"/>
          <w:rtl/>
        </w:rPr>
        <w:t>מדינת ישראל נ' מזפה</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(26.12.2011); </w:t>
      </w:r>
      <w:hyperlink r:id="rId87" w:history="1">
        <w:r w:rsidR="004546A3" w:rsidRPr="004546A3">
          <w:rPr>
            <w:rFonts w:ascii="David" w:hAnsi="David" w:cs="David"/>
            <w:color w:val="0000FF"/>
            <w:sz w:val="24"/>
            <w:szCs w:val="24"/>
            <w:u w:val="single"/>
            <w:rtl/>
          </w:rPr>
          <w:t>ת"פ (שלום תל אביב) 44597-02-13</w:t>
        </w:r>
      </w:hyperlink>
      <w:r w:rsidRPr="009E05ED">
        <w:rPr>
          <w:rFonts w:ascii="David" w:hAnsi="David" w:cs="David"/>
          <w:sz w:val="24"/>
          <w:szCs w:val="24"/>
          <w:u w:val="single"/>
          <w:rtl/>
        </w:rPr>
        <w:t xml:space="preserve"> </w:t>
      </w:r>
      <w:r w:rsidRPr="009E05ED">
        <w:rPr>
          <w:rFonts w:ascii="David" w:hAnsi="David" w:cs="David"/>
          <w:sz w:val="24"/>
          <w:szCs w:val="24"/>
          <w:rtl/>
        </w:rPr>
        <w:t xml:space="preserve"> </w:t>
      </w:r>
      <w:r w:rsidRPr="009E05ED">
        <w:rPr>
          <w:rFonts w:ascii="David" w:hAnsi="David" w:cs="David"/>
          <w:b/>
          <w:bCs/>
          <w:sz w:val="24"/>
          <w:szCs w:val="24"/>
          <w:rtl/>
        </w:rPr>
        <w:t>מדינת ישראל נ' שאגן</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(09.08.2013); </w:t>
      </w:r>
      <w:hyperlink r:id="rId88" w:history="1">
        <w:r w:rsidR="004546A3" w:rsidRPr="004546A3">
          <w:rPr>
            <w:rFonts w:ascii="David" w:hAnsi="David" w:cs="David"/>
            <w:color w:val="0000FF"/>
            <w:sz w:val="24"/>
            <w:szCs w:val="24"/>
            <w:u w:val="single"/>
            <w:rtl/>
          </w:rPr>
          <w:t>ת"פ (שלום פתח תקוה) 11951-01-14</w:t>
        </w:r>
      </w:hyperlink>
      <w:r w:rsidRPr="009E05ED">
        <w:rPr>
          <w:rFonts w:ascii="David" w:hAnsi="David" w:cs="David"/>
          <w:sz w:val="24"/>
          <w:szCs w:val="24"/>
          <w:rtl/>
        </w:rPr>
        <w:t xml:space="preserve"> </w:t>
      </w:r>
      <w:r w:rsidRPr="009E05ED">
        <w:rPr>
          <w:rFonts w:ascii="David" w:hAnsi="David" w:cs="David"/>
          <w:b/>
          <w:bCs/>
          <w:sz w:val="24"/>
          <w:szCs w:val="24"/>
          <w:rtl/>
        </w:rPr>
        <w:t>מדינת ישראל נ' חוברה</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(17.11.2015); </w:t>
      </w:r>
      <w:hyperlink r:id="rId89" w:history="1">
        <w:r w:rsidR="004546A3" w:rsidRPr="004546A3">
          <w:rPr>
            <w:rFonts w:ascii="David" w:hAnsi="David" w:cs="David"/>
            <w:color w:val="0000FF"/>
            <w:sz w:val="24"/>
            <w:szCs w:val="24"/>
            <w:u w:val="single"/>
            <w:rtl/>
          </w:rPr>
          <w:t>ת"פ (שלום תל אביב) 9050-04-13</w:t>
        </w:r>
      </w:hyperlink>
      <w:r w:rsidRPr="009E05ED">
        <w:rPr>
          <w:rFonts w:ascii="David" w:hAnsi="David" w:cs="David"/>
          <w:sz w:val="24"/>
          <w:szCs w:val="24"/>
          <w:rtl/>
        </w:rPr>
        <w:t xml:space="preserve"> </w:t>
      </w:r>
      <w:r w:rsidRPr="009E05ED">
        <w:rPr>
          <w:rFonts w:ascii="David" w:hAnsi="David" w:cs="David"/>
          <w:b/>
          <w:bCs/>
          <w:sz w:val="24"/>
          <w:szCs w:val="24"/>
          <w:rtl/>
        </w:rPr>
        <w:t>מדינת ישראל נ' אמיר</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(01.07.2015); </w:t>
      </w:r>
      <w:hyperlink r:id="rId90" w:history="1">
        <w:r w:rsidR="004546A3" w:rsidRPr="004546A3">
          <w:rPr>
            <w:rFonts w:ascii="David" w:hAnsi="David" w:cs="David"/>
            <w:color w:val="0000FF"/>
            <w:sz w:val="24"/>
            <w:szCs w:val="24"/>
            <w:u w:val="single"/>
            <w:rtl/>
          </w:rPr>
          <w:t>ת"פ (שלום פתח תקוה) 38934-06-14</w:t>
        </w:r>
      </w:hyperlink>
      <w:r w:rsidRPr="009E05ED">
        <w:rPr>
          <w:rFonts w:ascii="David" w:hAnsi="David" w:cs="David"/>
          <w:sz w:val="24"/>
          <w:szCs w:val="24"/>
          <w:rtl/>
        </w:rPr>
        <w:t xml:space="preserve"> </w:t>
      </w:r>
      <w:r w:rsidRPr="009E05ED">
        <w:rPr>
          <w:rFonts w:ascii="David" w:hAnsi="David" w:cs="David"/>
          <w:b/>
          <w:bCs/>
          <w:sz w:val="24"/>
          <w:szCs w:val="24"/>
          <w:rtl/>
        </w:rPr>
        <w:t>מדינת ישראל נ' קהלני</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(23.06.2015); </w:t>
      </w:r>
      <w:hyperlink r:id="rId91" w:history="1">
        <w:r w:rsidR="004546A3" w:rsidRPr="004546A3">
          <w:rPr>
            <w:rFonts w:ascii="David" w:hAnsi="David" w:cs="David"/>
            <w:color w:val="0000FF"/>
            <w:sz w:val="24"/>
            <w:szCs w:val="24"/>
            <w:u w:val="single"/>
            <w:rtl/>
          </w:rPr>
          <w:t>ת"פ (שלום אילת) 10225-05-18</w:t>
        </w:r>
      </w:hyperlink>
      <w:r w:rsidRPr="009E05ED">
        <w:rPr>
          <w:rFonts w:ascii="David" w:hAnsi="David" w:cs="David"/>
          <w:sz w:val="24"/>
          <w:szCs w:val="24"/>
          <w:rtl/>
        </w:rPr>
        <w:t xml:space="preserve"> </w:t>
      </w:r>
      <w:r w:rsidRPr="009E05ED">
        <w:rPr>
          <w:rFonts w:ascii="David" w:hAnsi="David" w:cs="David"/>
          <w:b/>
          <w:bCs/>
          <w:sz w:val="24"/>
          <w:szCs w:val="24"/>
          <w:rtl/>
        </w:rPr>
        <w:t>מדינת ישראל נ' רביבו</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(12.02.2019); </w:t>
      </w:r>
      <w:hyperlink r:id="rId92" w:history="1">
        <w:r w:rsidR="004546A3" w:rsidRPr="004546A3">
          <w:rPr>
            <w:rFonts w:ascii="David" w:hAnsi="David" w:cs="David"/>
            <w:color w:val="0000FF"/>
            <w:sz w:val="24"/>
            <w:szCs w:val="24"/>
            <w:u w:val="single"/>
            <w:rtl/>
          </w:rPr>
          <w:t>ת"פ (שלום אילת) 53587-09-16</w:t>
        </w:r>
      </w:hyperlink>
      <w:r w:rsidRPr="009E05ED">
        <w:rPr>
          <w:rFonts w:ascii="David" w:hAnsi="David" w:cs="David"/>
          <w:sz w:val="24"/>
          <w:szCs w:val="24"/>
          <w:rtl/>
        </w:rPr>
        <w:t xml:space="preserve"> </w:t>
      </w:r>
      <w:r w:rsidRPr="009E05ED">
        <w:rPr>
          <w:rFonts w:ascii="David" w:hAnsi="David" w:cs="David"/>
          <w:b/>
          <w:bCs/>
          <w:sz w:val="24"/>
          <w:szCs w:val="24"/>
          <w:rtl/>
        </w:rPr>
        <w:t>מדינת ישראל נ' הלל</w:t>
      </w:r>
      <w:r w:rsidRPr="009E05ED">
        <w:rPr>
          <w:rFonts w:ascii="David" w:hAnsi="David" w:cs="David"/>
          <w:sz w:val="24"/>
          <w:szCs w:val="24"/>
          <w:rtl/>
        </w:rPr>
        <w:t xml:space="preserve"> </w:t>
      </w:r>
      <w:r w:rsidR="00571328" w:rsidRPr="00571328">
        <w:rPr>
          <w:rFonts w:cs="David"/>
          <w:sz w:val="22"/>
          <w:szCs w:val="24"/>
          <w:rtl/>
        </w:rPr>
        <w:t xml:space="preserve">[פורסם בנבו] </w:t>
      </w:r>
      <w:r w:rsidRPr="009E05ED">
        <w:rPr>
          <w:rFonts w:ascii="David" w:hAnsi="David" w:cs="David"/>
          <w:sz w:val="24"/>
          <w:szCs w:val="24"/>
          <w:rtl/>
        </w:rPr>
        <w:t xml:space="preserve">(12.07.2017).  </w:t>
      </w:r>
    </w:p>
    <w:p w14:paraId="48296693"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 xml:space="preserve">עוד יצוין, כי לא התעלמתי מהמלצתו העונשית של שירות המבחן אולם כידוע, המלצתו של שירות המבחן, כשמה כן היא – המלצה בלבד, וברי כי בית המשפט, האמון על שקילת אינטרסים רחבים מאלה ששוקל השירות, איננו מחויב לה. כאמור, באיזון בין מכלול השיקולים, והגם שיהיה בשיקול השיקום כדי להביא לסטייה לקולא ממתחם העונש ההולם, מצאתי להשית על הנאשם היקף שעות של"צ גבוה מזה שהומלץ על ידי שירות המבחן. </w:t>
      </w:r>
    </w:p>
    <w:p w14:paraId="7750EF2A"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sz w:val="24"/>
          <w:szCs w:val="24"/>
          <w:rtl/>
        </w:rPr>
        <w:t>בכל הנוגע לרכיב פסילת רישיון הנהיגה של הנאשם, בשים לב לעובדה שהמדובר בנאשם, הנקי מסמים והמצוי בעיצומו של הליך שיקומי, מצאתי כי ניתן בזו הפעם ללכת לקראתו בפן הזה ולהסתפק בפסילת רישיון מותנית בלבד. בכל הנוגע לרכיב הכלכלי שבענישה, הרי שבית המשפט ישית על הנאשם קנס, אולם לצד חומרת העבירות, בקביעת גובהו יילקחו בחשבון גם מכלול מאפייניו החיוביים של הנאשם.</w:t>
      </w:r>
    </w:p>
    <w:p w14:paraId="76F40F52" w14:textId="77777777" w:rsidR="00B87F67" w:rsidRPr="009E05ED" w:rsidRDefault="00B87F67" w:rsidP="0083097F">
      <w:pPr>
        <w:pStyle w:val="ListParagraph"/>
        <w:numPr>
          <w:ilvl w:val="0"/>
          <w:numId w:val="2"/>
        </w:numPr>
        <w:spacing w:after="0"/>
        <w:ind w:left="-118"/>
        <w:rPr>
          <w:rFonts w:ascii="David" w:hAnsi="David" w:cs="David"/>
          <w:sz w:val="24"/>
          <w:szCs w:val="24"/>
        </w:rPr>
      </w:pPr>
      <w:r w:rsidRPr="009E05ED">
        <w:rPr>
          <w:rFonts w:ascii="David" w:hAnsi="David" w:cs="David"/>
          <w:b/>
          <w:bCs/>
          <w:sz w:val="24"/>
          <w:szCs w:val="24"/>
          <w:rtl/>
        </w:rPr>
        <w:t>לאור כל האמור לעיל, אני גוזרת על הנאשם את העונשים הבאים:</w:t>
      </w:r>
    </w:p>
    <w:p w14:paraId="0BFCC0BE" w14:textId="77777777" w:rsidR="00B87F67" w:rsidRPr="009E05ED" w:rsidRDefault="00B87F67" w:rsidP="0083097F">
      <w:pPr>
        <w:pStyle w:val="ListParagraph"/>
        <w:numPr>
          <w:ilvl w:val="0"/>
          <w:numId w:val="6"/>
        </w:numPr>
        <w:spacing w:after="0"/>
        <w:rPr>
          <w:rFonts w:ascii="David" w:hAnsi="David" w:cs="David"/>
          <w:sz w:val="24"/>
          <w:szCs w:val="24"/>
          <w:rtl/>
        </w:rPr>
      </w:pPr>
      <w:r w:rsidRPr="009E05ED">
        <w:rPr>
          <w:rFonts w:ascii="David" w:hAnsi="David" w:cs="David"/>
          <w:b/>
          <w:bCs/>
          <w:sz w:val="24"/>
          <w:szCs w:val="24"/>
          <w:rtl/>
        </w:rPr>
        <w:t xml:space="preserve">צו של"צ בהיקף של 400 שעות. תוקף הצו למשך 18 חודשים מהיום. </w:t>
      </w:r>
    </w:p>
    <w:p w14:paraId="7A7AE78D" w14:textId="77777777" w:rsidR="00B87F67" w:rsidRPr="009E05ED" w:rsidRDefault="00B87F67" w:rsidP="0083097F">
      <w:pPr>
        <w:pStyle w:val="ListParagraph"/>
        <w:spacing w:after="0"/>
        <w:ind w:left="242" w:firstLine="0"/>
        <w:rPr>
          <w:rFonts w:ascii="David" w:hAnsi="David" w:cs="David"/>
          <w:sz w:val="24"/>
          <w:szCs w:val="24"/>
          <w:rtl/>
        </w:rPr>
      </w:pPr>
      <w:r w:rsidRPr="009E05ED">
        <w:rPr>
          <w:rFonts w:ascii="David" w:hAnsi="David" w:cs="David"/>
          <w:sz w:val="24"/>
          <w:szCs w:val="24"/>
          <w:rtl/>
        </w:rPr>
        <w:t>שירות המבחן מתבקש לגבש עבור הנאשם תכנית של"צ ולהגישה לבית המשפט תוך 30 יום. לאחר קבלת התכנית, אאשרה ללא צורך בקיום דיון נוסף.</w:t>
      </w:r>
    </w:p>
    <w:p w14:paraId="581204B5" w14:textId="77777777" w:rsidR="00B87F67" w:rsidRDefault="00B87F67" w:rsidP="0083097F">
      <w:pPr>
        <w:pStyle w:val="ListParagraph"/>
        <w:spacing w:after="0"/>
        <w:ind w:left="242" w:firstLine="0"/>
        <w:rPr>
          <w:rFonts w:ascii="David" w:hAnsi="David" w:cs="David"/>
          <w:sz w:val="24"/>
          <w:szCs w:val="24"/>
          <w:u w:val="single"/>
          <w:rtl/>
        </w:rPr>
      </w:pPr>
      <w:r w:rsidRPr="0083097F">
        <w:rPr>
          <w:rFonts w:ascii="David" w:hAnsi="David" w:cs="David"/>
          <w:sz w:val="24"/>
          <w:szCs w:val="24"/>
          <w:u w:val="single"/>
          <w:rtl/>
        </w:rPr>
        <w:t>העתק ההחלטה לשירות המבחן.</w:t>
      </w:r>
    </w:p>
    <w:p w14:paraId="464B7097" w14:textId="77777777" w:rsidR="00B87F67" w:rsidRPr="0083097F" w:rsidRDefault="00B87F67" w:rsidP="0083097F">
      <w:pPr>
        <w:pStyle w:val="ListParagraph"/>
        <w:spacing w:after="0"/>
        <w:ind w:left="242" w:firstLine="0"/>
        <w:rPr>
          <w:rFonts w:ascii="David" w:hAnsi="David" w:cs="David"/>
          <w:sz w:val="24"/>
          <w:szCs w:val="24"/>
          <w:u w:val="single"/>
          <w:rtl/>
        </w:rPr>
      </w:pPr>
    </w:p>
    <w:p w14:paraId="572B2CB7" w14:textId="77777777" w:rsidR="00B87F67" w:rsidRPr="009E05ED" w:rsidRDefault="00B87F67" w:rsidP="0083097F">
      <w:pPr>
        <w:pStyle w:val="ListParagraph"/>
        <w:numPr>
          <w:ilvl w:val="0"/>
          <w:numId w:val="6"/>
        </w:numPr>
        <w:spacing w:after="0"/>
        <w:rPr>
          <w:rFonts w:ascii="David" w:hAnsi="David" w:cs="David"/>
          <w:sz w:val="24"/>
          <w:szCs w:val="24"/>
          <w:rtl/>
        </w:rPr>
      </w:pPr>
      <w:r w:rsidRPr="009E05ED">
        <w:rPr>
          <w:rFonts w:ascii="David" w:hAnsi="David" w:cs="David"/>
          <w:b/>
          <w:bCs/>
          <w:sz w:val="24"/>
          <w:szCs w:val="24"/>
          <w:rtl/>
        </w:rPr>
        <w:t>צו מבחן של שירות המבחן למשך 18 חודשים מהיום.</w:t>
      </w:r>
    </w:p>
    <w:p w14:paraId="2E5F5CD8" w14:textId="77777777" w:rsidR="00B87F67" w:rsidRDefault="00B87F67" w:rsidP="0083097F">
      <w:pPr>
        <w:pStyle w:val="ListParagraph"/>
        <w:spacing w:after="0"/>
        <w:ind w:left="242" w:firstLine="0"/>
        <w:rPr>
          <w:rFonts w:ascii="David" w:hAnsi="David" w:cs="David"/>
          <w:b/>
          <w:bCs/>
          <w:sz w:val="24"/>
          <w:szCs w:val="24"/>
          <w:rtl/>
        </w:rPr>
      </w:pPr>
      <w:r w:rsidRPr="009E05ED">
        <w:rPr>
          <w:rFonts w:ascii="David" w:hAnsi="David" w:cs="David"/>
          <w:sz w:val="24"/>
          <w:szCs w:val="24"/>
          <w:rtl/>
        </w:rPr>
        <w:t>הובהרה לנאשם חשיבות עמידתו בתנאי צו השל"צ וצו המבחן וההשלכות שעלולות להיות לאי שיתוף פעולה עם שירות המבחן בפן הזה</w:t>
      </w:r>
      <w:r w:rsidRPr="009E05ED">
        <w:rPr>
          <w:rFonts w:ascii="David" w:hAnsi="David" w:cs="David"/>
          <w:b/>
          <w:bCs/>
          <w:sz w:val="24"/>
          <w:szCs w:val="24"/>
          <w:rtl/>
        </w:rPr>
        <w:t>.</w:t>
      </w:r>
    </w:p>
    <w:p w14:paraId="1B79A7AF" w14:textId="77777777" w:rsidR="00B87F67" w:rsidRPr="009E05ED" w:rsidRDefault="00B87F67" w:rsidP="0083097F">
      <w:pPr>
        <w:pStyle w:val="ListParagraph"/>
        <w:spacing w:after="0"/>
        <w:ind w:left="242" w:firstLine="0"/>
        <w:rPr>
          <w:rFonts w:ascii="David" w:hAnsi="David" w:cs="David"/>
          <w:sz w:val="24"/>
          <w:szCs w:val="24"/>
          <w:rtl/>
        </w:rPr>
      </w:pPr>
    </w:p>
    <w:p w14:paraId="2522968E" w14:textId="77777777" w:rsidR="00B87F67" w:rsidRPr="0083097F" w:rsidRDefault="00B87F67" w:rsidP="0083097F">
      <w:pPr>
        <w:pStyle w:val="ListParagraph"/>
        <w:numPr>
          <w:ilvl w:val="0"/>
          <w:numId w:val="6"/>
        </w:numPr>
        <w:spacing w:after="0"/>
        <w:rPr>
          <w:rFonts w:ascii="David" w:hAnsi="David" w:cs="David"/>
          <w:sz w:val="24"/>
          <w:szCs w:val="24"/>
        </w:rPr>
      </w:pPr>
      <w:r w:rsidRPr="009E05ED">
        <w:rPr>
          <w:rFonts w:ascii="David" w:hAnsi="David" w:cs="David"/>
          <w:b/>
          <w:bCs/>
          <w:sz w:val="24"/>
          <w:szCs w:val="24"/>
          <w:rtl/>
        </w:rPr>
        <w:t>מאסר מותנה למשך 9 חודשים, אשר יופעל אם תוך תקופה של 3 שנים מהיום הנאשם יעבור     עבירה לפי פקודת הסמים, מסוג פשע.</w:t>
      </w:r>
    </w:p>
    <w:p w14:paraId="3AF67EFB" w14:textId="77777777" w:rsidR="00B87F67" w:rsidRPr="009E05ED" w:rsidRDefault="00B87F67" w:rsidP="0083097F">
      <w:pPr>
        <w:pStyle w:val="ListParagraph"/>
        <w:spacing w:after="0"/>
        <w:ind w:left="242" w:firstLine="0"/>
        <w:rPr>
          <w:rFonts w:ascii="David" w:hAnsi="David" w:cs="David"/>
          <w:sz w:val="24"/>
          <w:szCs w:val="24"/>
          <w:rtl/>
        </w:rPr>
      </w:pPr>
    </w:p>
    <w:p w14:paraId="1D724245" w14:textId="77777777" w:rsidR="00B87F67" w:rsidRPr="0083097F" w:rsidRDefault="00B87F67" w:rsidP="0083097F">
      <w:pPr>
        <w:pStyle w:val="ListParagraph"/>
        <w:numPr>
          <w:ilvl w:val="0"/>
          <w:numId w:val="6"/>
        </w:numPr>
        <w:spacing w:after="0"/>
        <w:rPr>
          <w:rFonts w:ascii="David" w:hAnsi="David" w:cs="David"/>
          <w:sz w:val="24"/>
          <w:szCs w:val="24"/>
        </w:rPr>
      </w:pPr>
      <w:r w:rsidRPr="009E05ED">
        <w:rPr>
          <w:rFonts w:ascii="David" w:hAnsi="David" w:cs="David"/>
          <w:b/>
          <w:bCs/>
          <w:sz w:val="24"/>
          <w:szCs w:val="24"/>
          <w:rtl/>
        </w:rPr>
        <w:t>מאסר מותנה למשך 4 חודשים, אשר יופעל אם תוך תקופה של 3 שנים מהיום הנאשם יעבור    עבירה לפי פקודת הסמים, מסוג עוון.</w:t>
      </w:r>
    </w:p>
    <w:p w14:paraId="436517CD" w14:textId="77777777" w:rsidR="00B87F67" w:rsidRPr="009E05ED" w:rsidRDefault="00B87F67" w:rsidP="0083097F">
      <w:pPr>
        <w:pStyle w:val="ListParagraph"/>
        <w:spacing w:after="0"/>
        <w:ind w:left="242" w:firstLine="0"/>
        <w:rPr>
          <w:rFonts w:ascii="David" w:hAnsi="David" w:cs="David"/>
          <w:sz w:val="24"/>
          <w:szCs w:val="24"/>
          <w:rtl/>
        </w:rPr>
      </w:pPr>
    </w:p>
    <w:p w14:paraId="184ED8EF" w14:textId="77777777" w:rsidR="00B87F67" w:rsidRDefault="00B87F67" w:rsidP="003D0235">
      <w:pPr>
        <w:pStyle w:val="ListParagraph"/>
        <w:numPr>
          <w:ilvl w:val="0"/>
          <w:numId w:val="6"/>
        </w:numPr>
        <w:spacing w:after="0"/>
        <w:rPr>
          <w:rFonts w:ascii="David" w:hAnsi="David" w:cs="David"/>
          <w:sz w:val="32"/>
          <w:szCs w:val="32"/>
        </w:rPr>
      </w:pPr>
      <w:r w:rsidRPr="009E05ED">
        <w:rPr>
          <w:rFonts w:ascii="David" w:hAnsi="David" w:cs="David"/>
          <w:b/>
          <w:bCs/>
          <w:sz w:val="24"/>
          <w:szCs w:val="24"/>
          <w:rtl/>
        </w:rPr>
        <w:t>קנס בסך 3,000 ₪ או 30 ימי מאסר תמורתו.</w:t>
      </w:r>
      <w:r>
        <w:rPr>
          <w:rFonts w:ascii="David" w:hAnsi="David" w:cs="David"/>
          <w:b/>
          <w:bCs/>
          <w:sz w:val="24"/>
          <w:szCs w:val="24"/>
          <w:rtl/>
        </w:rPr>
        <w:t xml:space="preserve">  </w:t>
      </w:r>
    </w:p>
    <w:p w14:paraId="23E50AEA" w14:textId="77777777" w:rsidR="00B87F67" w:rsidRPr="009E05ED" w:rsidRDefault="00B87F67" w:rsidP="0083097F">
      <w:pPr>
        <w:pStyle w:val="ListParagraph"/>
        <w:spacing w:after="0"/>
        <w:ind w:left="242" w:firstLine="0"/>
        <w:rPr>
          <w:rFonts w:ascii="David" w:hAnsi="David" w:cs="David"/>
          <w:sz w:val="24"/>
          <w:szCs w:val="24"/>
          <w:rtl/>
        </w:rPr>
      </w:pPr>
      <w:r w:rsidRPr="009E05ED">
        <w:rPr>
          <w:rFonts w:ascii="David" w:hAnsi="David" w:cs="David"/>
          <w:sz w:val="24"/>
          <w:szCs w:val="24"/>
          <w:rtl/>
        </w:rPr>
        <w:t>הקנס יקוזז מסכום ההפקדה הקיימת בתיק זה.</w:t>
      </w:r>
      <w:r>
        <w:rPr>
          <w:rFonts w:ascii="David" w:hAnsi="David" w:cs="David"/>
          <w:sz w:val="24"/>
          <w:szCs w:val="24"/>
          <w:rtl/>
        </w:rPr>
        <w:t xml:space="preserve"> היתרה תושב לאמו של הנאשם, הגב' חנה אוחנה. </w:t>
      </w:r>
    </w:p>
    <w:p w14:paraId="24E06E6E" w14:textId="77777777" w:rsidR="00B87F67" w:rsidRPr="009E05ED" w:rsidRDefault="00B87F67" w:rsidP="0083097F">
      <w:pPr>
        <w:pStyle w:val="ListParagraph"/>
        <w:spacing w:after="0"/>
        <w:ind w:left="242" w:firstLine="0"/>
        <w:rPr>
          <w:rFonts w:ascii="David" w:hAnsi="David" w:cs="David"/>
          <w:sz w:val="24"/>
          <w:szCs w:val="24"/>
          <w:rtl/>
        </w:rPr>
      </w:pPr>
    </w:p>
    <w:p w14:paraId="50F92702" w14:textId="77777777" w:rsidR="00B87F67" w:rsidRPr="009E05ED" w:rsidRDefault="00B87F67" w:rsidP="0083097F">
      <w:pPr>
        <w:pStyle w:val="ListParagraph"/>
        <w:numPr>
          <w:ilvl w:val="0"/>
          <w:numId w:val="6"/>
        </w:numPr>
        <w:spacing w:after="0"/>
        <w:rPr>
          <w:rFonts w:ascii="David" w:hAnsi="David" w:cs="David"/>
          <w:sz w:val="24"/>
          <w:szCs w:val="24"/>
          <w:rtl/>
        </w:rPr>
      </w:pPr>
      <w:r w:rsidRPr="009E05ED">
        <w:rPr>
          <w:rFonts w:ascii="David" w:hAnsi="David" w:cs="David"/>
          <w:b/>
          <w:bCs/>
          <w:sz w:val="24"/>
          <w:szCs w:val="24"/>
          <w:rtl/>
        </w:rPr>
        <w:t>הנאשם יחתום על התחייבות כספית על סך 15,000 ₪ שלא לעבור כל עבירת בניגוד לפקודת     הסמים, וזאת לתקופה של שלוש שנים מהיום.</w:t>
      </w:r>
    </w:p>
    <w:p w14:paraId="015A68A6" w14:textId="77777777" w:rsidR="00B87F67" w:rsidRDefault="00B87F67" w:rsidP="0083097F">
      <w:pPr>
        <w:pStyle w:val="ListParagraph"/>
        <w:spacing w:after="0"/>
        <w:ind w:left="242" w:firstLine="0"/>
        <w:rPr>
          <w:rFonts w:ascii="David" w:hAnsi="David" w:cs="David"/>
          <w:sz w:val="24"/>
          <w:szCs w:val="24"/>
          <w:rtl/>
        </w:rPr>
      </w:pPr>
      <w:r w:rsidRPr="009E05ED">
        <w:rPr>
          <w:rFonts w:ascii="David" w:hAnsi="David" w:cs="David"/>
          <w:sz w:val="24"/>
          <w:szCs w:val="24"/>
          <w:rtl/>
        </w:rPr>
        <w:t>ככל שלא תיחתם ההתחייבות תוך 7 ימים, ייאסר הנאשם למשך 10 ימים.</w:t>
      </w:r>
    </w:p>
    <w:p w14:paraId="046D5185" w14:textId="77777777" w:rsidR="00B87F67" w:rsidRPr="009E05ED" w:rsidRDefault="00B87F67" w:rsidP="0083097F">
      <w:pPr>
        <w:pStyle w:val="ListParagraph"/>
        <w:spacing w:after="0"/>
        <w:ind w:left="242" w:firstLine="0"/>
        <w:rPr>
          <w:rFonts w:ascii="David" w:hAnsi="David" w:cs="David"/>
          <w:sz w:val="24"/>
          <w:szCs w:val="24"/>
          <w:rtl/>
        </w:rPr>
      </w:pPr>
    </w:p>
    <w:p w14:paraId="70DD0B0B" w14:textId="77777777" w:rsidR="00B87F67" w:rsidRPr="009E05ED" w:rsidRDefault="00B87F67" w:rsidP="0083097F">
      <w:pPr>
        <w:pStyle w:val="ListParagraph"/>
        <w:numPr>
          <w:ilvl w:val="0"/>
          <w:numId w:val="6"/>
        </w:numPr>
        <w:spacing w:after="0"/>
        <w:rPr>
          <w:rFonts w:ascii="David" w:hAnsi="David" w:cs="David"/>
          <w:sz w:val="24"/>
          <w:szCs w:val="24"/>
          <w:rtl/>
        </w:rPr>
      </w:pPr>
      <w:r w:rsidRPr="009E05ED">
        <w:rPr>
          <w:rFonts w:ascii="David" w:hAnsi="David" w:cs="David"/>
          <w:sz w:val="24"/>
          <w:szCs w:val="24"/>
          <w:rtl/>
        </w:rPr>
        <w:t xml:space="preserve">אני פוסלת את הנאשם מלקבל או מלהחזיק רישיון נהיגה למשך 5 חודשים, וזאת </w:t>
      </w:r>
      <w:r w:rsidRPr="009E05ED">
        <w:rPr>
          <w:rFonts w:ascii="David" w:hAnsi="David" w:cs="David"/>
          <w:b/>
          <w:bCs/>
          <w:sz w:val="24"/>
          <w:szCs w:val="24"/>
          <w:rtl/>
        </w:rPr>
        <w:t>על תנאי</w:t>
      </w:r>
      <w:r w:rsidRPr="009E05ED">
        <w:rPr>
          <w:rFonts w:ascii="David" w:hAnsi="David" w:cs="David"/>
          <w:sz w:val="24"/>
          <w:szCs w:val="24"/>
          <w:rtl/>
        </w:rPr>
        <w:t xml:space="preserve"> שלא יעבור כל עבירה בניגוד ל</w:t>
      </w:r>
      <w:hyperlink r:id="rId93" w:history="1">
        <w:r w:rsidR="004546A3" w:rsidRPr="004546A3">
          <w:rPr>
            <w:rFonts w:ascii="David" w:hAnsi="David" w:cs="David"/>
            <w:color w:val="0000FF"/>
            <w:sz w:val="24"/>
            <w:szCs w:val="24"/>
            <w:u w:val="single"/>
            <w:rtl/>
          </w:rPr>
          <w:t>פקודת הסמים המסוכנים</w:t>
        </w:r>
      </w:hyperlink>
      <w:r w:rsidRPr="009E05ED">
        <w:rPr>
          <w:rFonts w:ascii="David" w:hAnsi="David" w:cs="David"/>
          <w:sz w:val="24"/>
          <w:szCs w:val="24"/>
          <w:rtl/>
        </w:rPr>
        <w:t xml:space="preserve"> במשך שנתיים מהיום.</w:t>
      </w:r>
    </w:p>
    <w:p w14:paraId="6AFDA561" w14:textId="77777777" w:rsidR="00B87F67" w:rsidRDefault="00B87F67" w:rsidP="0083097F">
      <w:pPr>
        <w:spacing w:line="360" w:lineRule="auto"/>
        <w:ind w:left="-478"/>
        <w:rPr>
          <w:rFonts w:ascii="David" w:hAnsi="David"/>
          <w:noProof w:val="0"/>
          <w:rtl/>
        </w:rPr>
      </w:pPr>
    </w:p>
    <w:p w14:paraId="1FBE68E9" w14:textId="77777777" w:rsidR="00B87F67" w:rsidRDefault="00B87F67" w:rsidP="0083097F">
      <w:pPr>
        <w:spacing w:line="360" w:lineRule="auto"/>
        <w:ind w:left="-478"/>
        <w:rPr>
          <w:rFonts w:ascii="David" w:hAnsi="David"/>
          <w:noProof w:val="0"/>
          <w:rtl/>
        </w:rPr>
      </w:pPr>
    </w:p>
    <w:p w14:paraId="66CB710F" w14:textId="77777777" w:rsidR="00B87F67" w:rsidRPr="009E05ED" w:rsidRDefault="00B87F67" w:rsidP="00A435FB">
      <w:pPr>
        <w:spacing w:line="360" w:lineRule="auto"/>
        <w:ind w:left="-478"/>
        <w:rPr>
          <w:rFonts w:ascii="David" w:hAnsi="David"/>
          <w:noProof w:val="0"/>
          <w:rtl/>
        </w:rPr>
      </w:pPr>
      <w:r w:rsidRPr="009E05ED">
        <w:rPr>
          <w:rFonts w:ascii="David" w:hAnsi="David"/>
          <w:noProof w:val="0"/>
          <w:rtl/>
        </w:rPr>
        <w:t>ניתן בזאת צו להשמדת המוצג</w:t>
      </w:r>
      <w:r>
        <w:rPr>
          <w:rFonts w:ascii="David" w:hAnsi="David"/>
          <w:noProof w:val="0"/>
          <w:rtl/>
        </w:rPr>
        <w:t xml:space="preserve"> </w:t>
      </w:r>
      <w:r w:rsidRPr="009E05ED">
        <w:rPr>
          <w:rFonts w:ascii="David" w:hAnsi="David"/>
          <w:noProof w:val="0"/>
          <w:rtl/>
        </w:rPr>
        <w:t xml:space="preserve"> - סמים, בכפוף לחלוף תקופת הערעור.</w:t>
      </w:r>
    </w:p>
    <w:p w14:paraId="25BD320E" w14:textId="77777777" w:rsidR="00B87F67" w:rsidRDefault="00B87F67" w:rsidP="0083097F">
      <w:pPr>
        <w:spacing w:line="360" w:lineRule="auto"/>
        <w:ind w:left="-478"/>
        <w:rPr>
          <w:rFonts w:ascii="David" w:hAnsi="David"/>
          <w:b/>
          <w:bCs/>
          <w:noProof w:val="0"/>
          <w:rtl/>
        </w:rPr>
      </w:pPr>
    </w:p>
    <w:p w14:paraId="66360240" w14:textId="77777777" w:rsidR="00B87F67" w:rsidRPr="00A435FB" w:rsidRDefault="00B87F67" w:rsidP="0083097F">
      <w:pPr>
        <w:spacing w:line="360" w:lineRule="auto"/>
        <w:ind w:left="-478"/>
        <w:rPr>
          <w:rFonts w:ascii="David" w:hAnsi="David"/>
          <w:noProof w:val="0"/>
          <w:rtl/>
        </w:rPr>
      </w:pPr>
      <w:r w:rsidRPr="00A435FB">
        <w:rPr>
          <w:rFonts w:ascii="David" w:hAnsi="David"/>
          <w:noProof w:val="0"/>
          <w:rtl/>
        </w:rPr>
        <w:t>ניתן בזאת צו להשבת המוצג – טלפון</w:t>
      </w:r>
      <w:r>
        <w:rPr>
          <w:rFonts w:ascii="David" w:hAnsi="David"/>
          <w:noProof w:val="0"/>
          <w:rtl/>
        </w:rPr>
        <w:t xml:space="preserve"> מסוג סמסונג גלאקסי, לידי הנאשם, בכפוף לחלוף תקופת הערעור. </w:t>
      </w:r>
    </w:p>
    <w:p w14:paraId="41012FCF" w14:textId="77777777" w:rsidR="00B87F67" w:rsidRDefault="00B87F67" w:rsidP="0083097F">
      <w:pPr>
        <w:spacing w:line="360" w:lineRule="auto"/>
        <w:ind w:left="-478"/>
        <w:rPr>
          <w:rFonts w:ascii="David" w:hAnsi="David"/>
          <w:b/>
          <w:bCs/>
          <w:noProof w:val="0"/>
          <w:rtl/>
        </w:rPr>
      </w:pPr>
    </w:p>
    <w:p w14:paraId="6593FAE1" w14:textId="77777777" w:rsidR="00B87F67" w:rsidRPr="009E05ED" w:rsidRDefault="00B87F67" w:rsidP="0083097F">
      <w:pPr>
        <w:spacing w:line="360" w:lineRule="auto"/>
        <w:ind w:left="-478"/>
        <w:rPr>
          <w:rFonts w:ascii="David" w:hAnsi="David"/>
          <w:b/>
          <w:bCs/>
          <w:noProof w:val="0"/>
          <w:rtl/>
        </w:rPr>
      </w:pPr>
      <w:r w:rsidRPr="009E05ED">
        <w:rPr>
          <w:rFonts w:ascii="David" w:hAnsi="David"/>
          <w:b/>
          <w:bCs/>
          <w:noProof w:val="0"/>
          <w:rtl/>
        </w:rPr>
        <w:t xml:space="preserve">ניתן היום, </w:t>
      </w:r>
      <w:r>
        <w:rPr>
          <w:rFonts w:ascii="David" w:hAnsi="David"/>
          <w:b/>
          <w:bCs/>
          <w:noProof w:val="0"/>
          <w:rtl/>
        </w:rPr>
        <w:t>ד' טבת תש"פ</w:t>
      </w:r>
      <w:r w:rsidRPr="009E05ED">
        <w:rPr>
          <w:rFonts w:ascii="David" w:hAnsi="David"/>
          <w:b/>
          <w:bCs/>
          <w:noProof w:val="0"/>
          <w:rtl/>
        </w:rPr>
        <w:t xml:space="preserve">, </w:t>
      </w:r>
      <w:r>
        <w:rPr>
          <w:rFonts w:ascii="David" w:hAnsi="David"/>
          <w:b/>
          <w:bCs/>
          <w:noProof w:val="0"/>
          <w:rtl/>
        </w:rPr>
        <w:t>01 ינואר 2020</w:t>
      </w:r>
      <w:r w:rsidRPr="009E05ED">
        <w:rPr>
          <w:rFonts w:ascii="David" w:hAnsi="David"/>
          <w:b/>
          <w:bCs/>
          <w:noProof w:val="0"/>
          <w:rtl/>
        </w:rPr>
        <w:t>, במעמד הצדדים.</w:t>
      </w:r>
    </w:p>
    <w:p w14:paraId="790C6C0B" w14:textId="77777777" w:rsidR="00B87F67" w:rsidRPr="009E05ED" w:rsidRDefault="00B87F67" w:rsidP="0083097F">
      <w:pPr>
        <w:spacing w:line="360" w:lineRule="auto"/>
        <w:jc w:val="both"/>
        <w:rPr>
          <w:rFonts w:ascii="David" w:hAnsi="David"/>
          <w:noProof w:val="0"/>
          <w:rtl/>
        </w:rPr>
      </w:pPr>
    </w:p>
    <w:p w14:paraId="6C99C7D2" w14:textId="77777777" w:rsidR="00B87F67" w:rsidRPr="009E05ED" w:rsidRDefault="00B87F67" w:rsidP="0083097F">
      <w:pPr>
        <w:spacing w:line="360" w:lineRule="auto"/>
        <w:ind w:left="3600" w:firstLine="720"/>
        <w:jc w:val="both"/>
      </w:pPr>
      <w:r w:rsidRPr="00B6514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94" o:title=""/>
          </v:shape>
        </w:pict>
      </w:r>
    </w:p>
    <w:p w14:paraId="6293BDCC" w14:textId="77777777" w:rsidR="00B87F67" w:rsidRPr="009E05ED" w:rsidRDefault="00B87F67" w:rsidP="0083097F">
      <w:pPr>
        <w:spacing w:line="360" w:lineRule="auto"/>
        <w:ind w:left="3600" w:firstLine="720"/>
        <w:jc w:val="both"/>
        <w:rPr>
          <w:rFonts w:ascii="David" w:hAnsi="David"/>
          <w:noProof w:val="0"/>
          <w:rtl/>
        </w:rPr>
      </w:pPr>
    </w:p>
    <w:p w14:paraId="58E51459" w14:textId="77777777" w:rsidR="00B87F67" w:rsidRPr="009E05ED" w:rsidRDefault="00B87F67" w:rsidP="0083097F">
      <w:pPr>
        <w:spacing w:line="360" w:lineRule="auto"/>
        <w:jc w:val="both"/>
        <w:rPr>
          <w:rFonts w:ascii="David" w:hAnsi="David"/>
          <w:noProof w:val="0"/>
          <w:rtl/>
        </w:rPr>
      </w:pPr>
    </w:p>
    <w:p w14:paraId="674A80FB" w14:textId="77777777" w:rsidR="00B87F67" w:rsidRDefault="00B87F67" w:rsidP="0083097F">
      <w:pPr>
        <w:spacing w:line="360" w:lineRule="auto"/>
        <w:ind w:left="-851"/>
        <w:jc w:val="center"/>
        <w:rPr>
          <w:rFonts w:ascii="David" w:hAnsi="David"/>
          <w:b/>
          <w:bCs/>
          <w:noProof w:val="0"/>
          <w:sz w:val="28"/>
          <w:szCs w:val="28"/>
          <w:u w:val="single"/>
          <w:rtl/>
        </w:rPr>
      </w:pPr>
    </w:p>
    <w:p w14:paraId="3043178B" w14:textId="77777777" w:rsidR="00B87F67" w:rsidRDefault="00B87F67" w:rsidP="0083097F">
      <w:pPr>
        <w:spacing w:line="360" w:lineRule="auto"/>
        <w:ind w:left="-851"/>
        <w:jc w:val="center"/>
        <w:rPr>
          <w:rFonts w:ascii="David" w:hAnsi="David"/>
          <w:b/>
          <w:bCs/>
          <w:noProof w:val="0"/>
          <w:sz w:val="28"/>
          <w:szCs w:val="28"/>
          <w:u w:val="single"/>
          <w:rtl/>
        </w:rPr>
      </w:pPr>
      <w:r>
        <w:rPr>
          <w:rFonts w:ascii="David" w:hAnsi="David"/>
          <w:b/>
          <w:bCs/>
          <w:noProof w:val="0"/>
          <w:sz w:val="28"/>
          <w:szCs w:val="28"/>
          <w:u w:val="single"/>
          <w:rtl/>
        </w:rPr>
        <w:t>החלטה</w:t>
      </w:r>
    </w:p>
    <w:p w14:paraId="18EAFABA" w14:textId="77777777" w:rsidR="00B87F67" w:rsidRDefault="00B87F67" w:rsidP="0083097F">
      <w:pPr>
        <w:spacing w:line="360" w:lineRule="auto"/>
        <w:ind w:left="-851"/>
        <w:jc w:val="both"/>
        <w:rPr>
          <w:rFonts w:ascii="David" w:hAnsi="David"/>
          <w:noProof w:val="0"/>
          <w:rtl/>
        </w:rPr>
      </w:pPr>
    </w:p>
    <w:p w14:paraId="09A17323" w14:textId="77777777" w:rsidR="00B87F67" w:rsidRDefault="00B87F67" w:rsidP="0083097F">
      <w:pPr>
        <w:spacing w:line="360" w:lineRule="auto"/>
        <w:ind w:left="-851"/>
        <w:jc w:val="both"/>
        <w:rPr>
          <w:rFonts w:ascii="David" w:hAnsi="David" w:hint="cs"/>
          <w:noProof w:val="0"/>
          <w:rtl/>
        </w:rPr>
      </w:pPr>
      <w:r>
        <w:rPr>
          <w:rFonts w:ascii="David" w:hAnsi="David"/>
          <w:noProof w:val="0"/>
          <w:rtl/>
        </w:rPr>
        <w:t xml:space="preserve">רשמתי בפניי את התחייבות הנאשם להימנע מביצוע העבירות כמפורט בגזר הדין. </w:t>
      </w:r>
      <w:r>
        <w:rPr>
          <w:noProof w:val="0"/>
          <w:sz w:val="6"/>
          <w:szCs w:val="6"/>
          <w:rtl/>
        </w:rPr>
        <w:t>&lt;#3#&gt;</w:t>
      </w:r>
    </w:p>
    <w:p w14:paraId="11CAB6B9" w14:textId="77777777" w:rsidR="00571328" w:rsidRDefault="00571328" w:rsidP="0083097F">
      <w:pPr>
        <w:spacing w:line="360" w:lineRule="auto"/>
        <w:ind w:left="-851"/>
        <w:jc w:val="both"/>
        <w:rPr>
          <w:rFonts w:ascii="David" w:hAnsi="David" w:hint="cs"/>
          <w:noProof w:val="0"/>
          <w:rtl/>
        </w:rPr>
      </w:pPr>
    </w:p>
    <w:p w14:paraId="28D082BE" w14:textId="77777777" w:rsidR="00571328" w:rsidRDefault="00571328" w:rsidP="0083097F">
      <w:pPr>
        <w:spacing w:line="360" w:lineRule="auto"/>
        <w:ind w:left="-851"/>
        <w:jc w:val="both"/>
        <w:rPr>
          <w:rFonts w:ascii="David" w:hAnsi="David" w:hint="cs"/>
          <w:noProof w:val="0"/>
          <w:rtl/>
        </w:rPr>
      </w:pPr>
      <w:bookmarkStart w:id="8" w:name="Nitan"/>
      <w:r w:rsidRPr="004546A3">
        <w:rPr>
          <w:b/>
          <w:bCs/>
          <w:noProof w:val="0"/>
          <w:color w:val="FFFFFF"/>
          <w:sz w:val="2"/>
          <w:szCs w:val="2"/>
          <w:rtl/>
        </w:rPr>
        <w:t>54678313</w:t>
      </w:r>
      <w:r>
        <w:rPr>
          <w:b/>
          <w:bCs/>
          <w:noProof w:val="0"/>
          <w:rtl/>
        </w:rPr>
        <w:t>ניתנה והודעה היום ד' טבת תש"פ, 01/01/2020 במעמד הנוכחים.</w:t>
      </w:r>
      <w:bookmarkEnd w:id="8"/>
    </w:p>
    <w:p w14:paraId="62347AF4" w14:textId="77777777" w:rsidR="00B87F67" w:rsidRPr="004546A3" w:rsidRDefault="004546A3" w:rsidP="0083097F">
      <w:pPr>
        <w:spacing w:line="360" w:lineRule="auto"/>
        <w:ind w:left="-851"/>
        <w:jc w:val="both"/>
        <w:rPr>
          <w:rFonts w:ascii="David" w:hAnsi="David"/>
          <w:noProof w:val="0"/>
          <w:color w:val="FFFFFF"/>
          <w:sz w:val="2"/>
          <w:szCs w:val="2"/>
          <w:rtl/>
        </w:rPr>
      </w:pPr>
      <w:r w:rsidRPr="004546A3">
        <w:rPr>
          <w:rFonts w:ascii="David" w:hAnsi="David"/>
          <w:noProof w:val="0"/>
          <w:color w:val="FFFFFF"/>
          <w:sz w:val="2"/>
          <w:szCs w:val="2"/>
          <w:rtl/>
        </w:rPr>
        <w:t>5129371</w:t>
      </w: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B87F67" w14:paraId="3128C375" w14:textId="77777777" w:rsidTr="00E12FF3">
        <w:trPr>
          <w:trHeight w:val="361"/>
        </w:trPr>
        <w:tc>
          <w:tcPr>
            <w:tcW w:w="3936" w:type="dxa"/>
            <w:tcBorders>
              <w:left w:val="nil"/>
              <w:bottom w:val="nil"/>
              <w:right w:val="nil"/>
            </w:tcBorders>
          </w:tcPr>
          <w:p w14:paraId="125DCADE" w14:textId="77777777" w:rsidR="00B87F67" w:rsidRPr="00E12FF3" w:rsidRDefault="00B87F67" w:rsidP="00E12FF3">
            <w:pPr>
              <w:spacing w:line="360" w:lineRule="auto"/>
              <w:jc w:val="center"/>
              <w:rPr>
                <w:b/>
                <w:bCs/>
              </w:rPr>
            </w:pPr>
            <w:r w:rsidRPr="00E12FF3">
              <w:rPr>
                <w:b/>
                <w:bCs/>
                <w:noProof w:val="0"/>
                <w:rtl/>
              </w:rPr>
              <w:t xml:space="preserve">נגה שמואלי </w:t>
            </w:r>
            <w:r w:rsidRPr="00E12FF3">
              <w:rPr>
                <w:b/>
                <w:bCs/>
                <w:noProof w:val="0"/>
                <w:vertAlign w:val="superscript"/>
                <w:rtl/>
              </w:rPr>
              <w:t>–</w:t>
            </w:r>
            <w:r w:rsidRPr="00E12FF3">
              <w:rPr>
                <w:b/>
                <w:bCs/>
                <w:noProof w:val="0"/>
                <w:rtl/>
              </w:rPr>
              <w:t xml:space="preserve"> מאייר, שופטת </w:t>
            </w:r>
          </w:p>
          <w:p w14:paraId="333C7387" w14:textId="77777777" w:rsidR="00B87F67" w:rsidRPr="00E12FF3" w:rsidRDefault="00B87F67" w:rsidP="00E12FF3">
            <w:pPr>
              <w:spacing w:line="360" w:lineRule="auto"/>
              <w:jc w:val="center"/>
              <w:rPr>
                <w:b/>
                <w:bCs/>
                <w:noProof w:val="0"/>
                <w:rtl/>
              </w:rPr>
            </w:pPr>
            <w:r w:rsidRPr="00E12FF3">
              <w:rPr>
                <w:b/>
                <w:bCs/>
                <w:noProof w:val="0"/>
                <w:rtl/>
              </w:rPr>
              <w:t>סגנית נשיאה</w:t>
            </w:r>
          </w:p>
        </w:tc>
      </w:tr>
    </w:tbl>
    <w:p w14:paraId="03DF28F0" w14:textId="77777777" w:rsidR="00B87F67" w:rsidRPr="004546A3" w:rsidRDefault="00B87F67" w:rsidP="004546A3">
      <w:pPr>
        <w:keepNext/>
        <w:spacing w:line="360" w:lineRule="auto"/>
        <w:rPr>
          <w:rFonts w:ascii="David" w:hAnsi="David" w:hint="cs"/>
          <w:noProof w:val="0"/>
          <w:color w:val="000000"/>
          <w:sz w:val="22"/>
          <w:szCs w:val="22"/>
          <w:rtl/>
        </w:rPr>
      </w:pPr>
    </w:p>
    <w:p w14:paraId="233232F7" w14:textId="77777777" w:rsidR="004546A3" w:rsidRPr="004546A3" w:rsidRDefault="004546A3" w:rsidP="004546A3">
      <w:pPr>
        <w:keepNext/>
        <w:spacing w:line="360" w:lineRule="auto"/>
        <w:rPr>
          <w:rFonts w:ascii="David" w:hAnsi="David"/>
          <w:noProof w:val="0"/>
          <w:color w:val="000000"/>
          <w:sz w:val="22"/>
          <w:szCs w:val="22"/>
          <w:rtl/>
        </w:rPr>
      </w:pPr>
      <w:r w:rsidRPr="004546A3">
        <w:rPr>
          <w:rFonts w:ascii="David" w:hAnsi="David"/>
          <w:noProof w:val="0"/>
          <w:color w:val="000000"/>
          <w:sz w:val="22"/>
          <w:szCs w:val="22"/>
          <w:rtl/>
        </w:rPr>
        <w:t>נגה שמואלי מאייר 54678313</w:t>
      </w:r>
    </w:p>
    <w:p w14:paraId="57D9F4E9" w14:textId="77777777" w:rsidR="004546A3" w:rsidRDefault="004546A3" w:rsidP="004546A3">
      <w:pPr>
        <w:spacing w:line="360" w:lineRule="auto"/>
        <w:rPr>
          <w:rFonts w:ascii="David" w:hAnsi="David"/>
          <w:noProof w:val="0"/>
          <w:rtl/>
        </w:rPr>
      </w:pPr>
      <w:r w:rsidRPr="004546A3">
        <w:rPr>
          <w:rFonts w:ascii="David" w:hAnsi="David"/>
          <w:noProof w:val="0"/>
          <w:color w:val="000000"/>
          <w:rtl/>
        </w:rPr>
        <w:t>נוסח מסמך זה כפוף לשינויי ניסוח ועריכה</w:t>
      </w:r>
    </w:p>
    <w:p w14:paraId="5F957DE9" w14:textId="77777777" w:rsidR="004546A3" w:rsidRDefault="004546A3" w:rsidP="004546A3">
      <w:pPr>
        <w:spacing w:line="360" w:lineRule="auto"/>
        <w:rPr>
          <w:rFonts w:ascii="David" w:hAnsi="David"/>
          <w:noProof w:val="0"/>
          <w:rtl/>
        </w:rPr>
      </w:pPr>
    </w:p>
    <w:p w14:paraId="050C49BC" w14:textId="77777777" w:rsidR="004546A3" w:rsidRDefault="004546A3" w:rsidP="004546A3">
      <w:pPr>
        <w:spacing w:line="360" w:lineRule="auto"/>
        <w:jc w:val="center"/>
        <w:rPr>
          <w:rFonts w:ascii="David" w:hAnsi="David"/>
          <w:noProof w:val="0"/>
          <w:color w:val="0000FF"/>
          <w:u w:val="single"/>
          <w:rtl/>
        </w:rPr>
      </w:pPr>
      <w:hyperlink r:id="rId95" w:history="1">
        <w:r>
          <w:rPr>
            <w:rFonts w:ascii="David" w:hAnsi="David"/>
            <w:noProof w:val="0"/>
            <w:color w:val="0000FF"/>
            <w:u w:val="single"/>
            <w:rtl/>
          </w:rPr>
          <w:t>בעניין עריכה ושינויים במסמכי פסיקה, חקיקה ועוד באתר נבו – הקש כאן</w:t>
        </w:r>
      </w:hyperlink>
    </w:p>
    <w:p w14:paraId="43756EF7" w14:textId="77777777" w:rsidR="004546A3" w:rsidRPr="004546A3" w:rsidRDefault="004546A3" w:rsidP="004546A3">
      <w:pPr>
        <w:spacing w:line="360" w:lineRule="auto"/>
        <w:jc w:val="center"/>
        <w:rPr>
          <w:rFonts w:ascii="David" w:hAnsi="David" w:hint="cs"/>
          <w:noProof w:val="0"/>
          <w:color w:val="0000FF"/>
          <w:u w:val="single"/>
          <w:rtl/>
        </w:rPr>
      </w:pPr>
    </w:p>
    <w:sectPr w:rsidR="004546A3" w:rsidRPr="004546A3" w:rsidSect="004546A3">
      <w:headerReference w:type="even" r:id="rId96"/>
      <w:headerReference w:type="default" r:id="rId97"/>
      <w:footerReference w:type="even" r:id="rId98"/>
      <w:footerReference w:type="default" r:id="rId99"/>
      <w:pgSz w:w="11907" w:h="16840" w:code="9"/>
      <w:pgMar w:top="1701" w:right="1701" w:bottom="1134"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1B489" w14:textId="77777777" w:rsidR="007A746F" w:rsidRDefault="007A746F">
      <w:r>
        <w:separator/>
      </w:r>
    </w:p>
  </w:endnote>
  <w:endnote w:type="continuationSeparator" w:id="0">
    <w:p w14:paraId="4DA9038C" w14:textId="77777777" w:rsidR="007A746F" w:rsidRDefault="007A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C2921" w14:textId="77777777" w:rsidR="00347060" w:rsidRDefault="00347060" w:rsidP="004546A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962C848" w14:textId="77777777" w:rsidR="00347060" w:rsidRPr="004546A3" w:rsidRDefault="00347060" w:rsidP="004546A3">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15F1C" w14:textId="77777777" w:rsidR="00347060" w:rsidRDefault="00347060" w:rsidP="004546A3">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 xml:space="preserve">PAGE </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872FB5">
      <w:rPr>
        <w:rStyle w:val="ab"/>
        <w:rFonts w:ascii="FrankRuehl" w:hAnsi="FrankRuehl" w:cs="FrankRuehl"/>
        <w:rtl/>
      </w:rPr>
      <w:t>1</w:t>
    </w:r>
    <w:r>
      <w:rPr>
        <w:rStyle w:val="ab"/>
        <w:rFonts w:ascii="FrankRuehl" w:hAnsi="FrankRuehl" w:cs="FrankRuehl"/>
        <w:rtl/>
      </w:rPr>
      <w:fldChar w:fldCharType="end"/>
    </w:r>
  </w:p>
  <w:p w14:paraId="264A5F5C" w14:textId="77777777" w:rsidR="00347060" w:rsidRPr="004546A3" w:rsidRDefault="00347060" w:rsidP="004546A3">
    <w:pPr>
      <w:pStyle w:val="a4"/>
      <w:pBdr>
        <w:top w:val="single" w:sz="4" w:space="1" w:color="auto"/>
        <w:between w:val="single" w:sz="4" w:space="0" w:color="auto"/>
      </w:pBdr>
      <w:spacing w:after="60"/>
      <w:jc w:val="center"/>
      <w:rPr>
        <w:rStyle w:val="ab"/>
        <w:rFonts w:ascii="FrankRuehl" w:hAnsi="FrankRuehl" w:cs="FrankRuehl" w:hint="cs"/>
        <w:color w:val="000000"/>
        <w:rtl/>
      </w:rPr>
    </w:pPr>
    <w:r>
      <w:rPr>
        <w:rStyle w:val="ab"/>
        <w:rFonts w:ascii="FrankRuehl" w:hAnsi="FrankRuehl" w:cs="FrankRuehl" w:hint="cs"/>
        <w:color w:val="000000"/>
      </w:rPr>
      <w:pict w14:anchorId="273E1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91B78" w14:textId="77777777" w:rsidR="007A746F" w:rsidRDefault="007A746F">
      <w:r>
        <w:separator/>
      </w:r>
    </w:p>
  </w:footnote>
  <w:footnote w:type="continuationSeparator" w:id="0">
    <w:p w14:paraId="7FE9A887" w14:textId="77777777" w:rsidR="007A746F" w:rsidRDefault="007A7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FF528" w14:textId="77777777" w:rsidR="00347060" w:rsidRPr="004546A3" w:rsidRDefault="00347060" w:rsidP="004546A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42225-09-17</w:t>
    </w:r>
    <w:r>
      <w:rPr>
        <w:rFonts w:ascii="David" w:hAnsi="David"/>
        <w:color w:val="000000"/>
        <w:sz w:val="22"/>
        <w:szCs w:val="22"/>
        <w:rtl/>
      </w:rPr>
      <w:tab/>
      <w:t xml:space="preserve"> מדינת ישראל נ' יורם אוחנה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D62E0" w14:textId="77777777" w:rsidR="00347060" w:rsidRPr="004546A3" w:rsidRDefault="00347060" w:rsidP="004546A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42225-09-17</w:t>
    </w:r>
    <w:r>
      <w:rPr>
        <w:rFonts w:ascii="David" w:hAnsi="David"/>
        <w:color w:val="000000"/>
        <w:sz w:val="22"/>
        <w:szCs w:val="22"/>
        <w:rtl/>
      </w:rPr>
      <w:tab/>
      <w:t xml:space="preserve"> מדינת ישראל נ' יורם אוחנה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4E4D"/>
    <w:multiLevelType w:val="hybridMultilevel"/>
    <w:tmpl w:val="925C5534"/>
    <w:lvl w:ilvl="0" w:tplc="04090013">
      <w:start w:val="1"/>
      <w:numFmt w:val="hebrew1"/>
      <w:lvlText w:val="%1."/>
      <w:lvlJc w:val="center"/>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5A71790A"/>
    <w:multiLevelType w:val="hybridMultilevel"/>
    <w:tmpl w:val="A6C2D710"/>
    <w:lvl w:ilvl="0" w:tplc="04090013">
      <w:start w:val="1"/>
      <w:numFmt w:val="hebrew1"/>
      <w:lvlText w:val="%1."/>
      <w:lvlJc w:val="center"/>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606F5F9C"/>
    <w:multiLevelType w:val="hybridMultilevel"/>
    <w:tmpl w:val="4F6EC82C"/>
    <w:lvl w:ilvl="0" w:tplc="84B8F21C">
      <w:start w:val="2"/>
      <w:numFmt w:val="hebrew1"/>
      <w:lvlText w:val="%1."/>
      <w:lvlJc w:val="center"/>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74EC473C"/>
    <w:multiLevelType w:val="hybridMultilevel"/>
    <w:tmpl w:val="C8060306"/>
    <w:lvl w:ilvl="0" w:tplc="50961312">
      <w:start w:val="1"/>
      <w:numFmt w:val="hebrew1"/>
      <w:lvlText w:val="%1."/>
      <w:lvlJc w:val="center"/>
      <w:pPr>
        <w:ind w:left="242" w:hanging="360"/>
      </w:pPr>
      <w:rPr>
        <w:rFonts w:cs="Times New Roman"/>
        <w:sz w:val="24"/>
        <w:szCs w:val="24"/>
      </w:rPr>
    </w:lvl>
    <w:lvl w:ilvl="1" w:tplc="04090019" w:tentative="1">
      <w:start w:val="1"/>
      <w:numFmt w:val="lowerLetter"/>
      <w:lvlText w:val="%2."/>
      <w:lvlJc w:val="left"/>
      <w:pPr>
        <w:ind w:left="962" w:hanging="360"/>
      </w:pPr>
      <w:rPr>
        <w:rFonts w:cs="Times New Roman"/>
      </w:rPr>
    </w:lvl>
    <w:lvl w:ilvl="2" w:tplc="0409001B" w:tentative="1">
      <w:start w:val="1"/>
      <w:numFmt w:val="lowerRoman"/>
      <w:lvlText w:val="%3."/>
      <w:lvlJc w:val="right"/>
      <w:pPr>
        <w:ind w:left="1682" w:hanging="180"/>
      </w:pPr>
      <w:rPr>
        <w:rFonts w:cs="Times New Roman"/>
      </w:rPr>
    </w:lvl>
    <w:lvl w:ilvl="3" w:tplc="0409000F" w:tentative="1">
      <w:start w:val="1"/>
      <w:numFmt w:val="decimal"/>
      <w:lvlText w:val="%4."/>
      <w:lvlJc w:val="left"/>
      <w:pPr>
        <w:ind w:left="2402" w:hanging="360"/>
      </w:pPr>
      <w:rPr>
        <w:rFonts w:cs="Times New Roman"/>
      </w:rPr>
    </w:lvl>
    <w:lvl w:ilvl="4" w:tplc="04090019" w:tentative="1">
      <w:start w:val="1"/>
      <w:numFmt w:val="lowerLetter"/>
      <w:lvlText w:val="%5."/>
      <w:lvlJc w:val="left"/>
      <w:pPr>
        <w:ind w:left="3122" w:hanging="360"/>
      </w:pPr>
      <w:rPr>
        <w:rFonts w:cs="Times New Roman"/>
      </w:rPr>
    </w:lvl>
    <w:lvl w:ilvl="5" w:tplc="0409001B" w:tentative="1">
      <w:start w:val="1"/>
      <w:numFmt w:val="lowerRoman"/>
      <w:lvlText w:val="%6."/>
      <w:lvlJc w:val="right"/>
      <w:pPr>
        <w:ind w:left="3842" w:hanging="180"/>
      </w:pPr>
      <w:rPr>
        <w:rFonts w:cs="Times New Roman"/>
      </w:rPr>
    </w:lvl>
    <w:lvl w:ilvl="6" w:tplc="0409000F" w:tentative="1">
      <w:start w:val="1"/>
      <w:numFmt w:val="decimal"/>
      <w:lvlText w:val="%7."/>
      <w:lvlJc w:val="left"/>
      <w:pPr>
        <w:ind w:left="4562" w:hanging="360"/>
      </w:pPr>
      <w:rPr>
        <w:rFonts w:cs="Times New Roman"/>
      </w:rPr>
    </w:lvl>
    <w:lvl w:ilvl="7" w:tplc="04090019" w:tentative="1">
      <w:start w:val="1"/>
      <w:numFmt w:val="lowerLetter"/>
      <w:lvlText w:val="%8."/>
      <w:lvlJc w:val="left"/>
      <w:pPr>
        <w:ind w:left="5282" w:hanging="360"/>
      </w:pPr>
      <w:rPr>
        <w:rFonts w:cs="Times New Roman"/>
      </w:rPr>
    </w:lvl>
    <w:lvl w:ilvl="8" w:tplc="0409001B" w:tentative="1">
      <w:start w:val="1"/>
      <w:numFmt w:val="lowerRoman"/>
      <w:lvlText w:val="%9."/>
      <w:lvlJc w:val="right"/>
      <w:pPr>
        <w:ind w:left="6002" w:hanging="180"/>
      </w:pPr>
      <w:rPr>
        <w:rFonts w:cs="Times New Roman"/>
      </w:rPr>
    </w:lvl>
  </w:abstractNum>
  <w:abstractNum w:abstractNumId="4" w15:restartNumberingAfterBreak="0">
    <w:nsid w:val="7FB64588"/>
    <w:multiLevelType w:val="hybridMultilevel"/>
    <w:tmpl w:val="7F2AF320"/>
    <w:lvl w:ilvl="0" w:tplc="38B62A80">
      <w:start w:val="1"/>
      <w:numFmt w:val="decimal"/>
      <w:lvlText w:val="%1."/>
      <w:lvlJc w:val="left"/>
      <w:pPr>
        <w:ind w:left="720" w:hanging="360"/>
      </w:pPr>
      <w:rPr>
        <w:rFonts w:cs="David"/>
        <w:b w:val="0"/>
        <w:bCs w:val="0"/>
        <w:color w:val="auto"/>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78294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71569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464288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179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5616825">
    <w:abstractNumId w:val="0"/>
  </w:num>
  <w:num w:numId="6" w16cid:durableId="116149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53154"/>
    <w:rsid w:val="000564AB"/>
    <w:rsid w:val="00064FBD"/>
    <w:rsid w:val="0009265E"/>
    <w:rsid w:val="00096AF7"/>
    <w:rsid w:val="000C3B0F"/>
    <w:rsid w:val="000F0BC8"/>
    <w:rsid w:val="00100ED1"/>
    <w:rsid w:val="00104B8B"/>
    <w:rsid w:val="00107E6D"/>
    <w:rsid w:val="00115F8F"/>
    <w:rsid w:val="00140153"/>
    <w:rsid w:val="00144D2A"/>
    <w:rsid w:val="00180519"/>
    <w:rsid w:val="001C4003"/>
    <w:rsid w:val="002265FF"/>
    <w:rsid w:val="002C0AB4"/>
    <w:rsid w:val="00307A6A"/>
    <w:rsid w:val="00307C40"/>
    <w:rsid w:val="003176A8"/>
    <w:rsid w:val="00320433"/>
    <w:rsid w:val="00347060"/>
    <w:rsid w:val="0036743F"/>
    <w:rsid w:val="003D0235"/>
    <w:rsid w:val="0043125D"/>
    <w:rsid w:val="0043502B"/>
    <w:rsid w:val="004546A3"/>
    <w:rsid w:val="004829BB"/>
    <w:rsid w:val="004C4BDF"/>
    <w:rsid w:val="004D1187"/>
    <w:rsid w:val="004E6E3C"/>
    <w:rsid w:val="00503BF8"/>
    <w:rsid w:val="005268F6"/>
    <w:rsid w:val="00547DB7"/>
    <w:rsid w:val="00571328"/>
    <w:rsid w:val="0061449A"/>
    <w:rsid w:val="00622BAA"/>
    <w:rsid w:val="00624909"/>
    <w:rsid w:val="00634B9D"/>
    <w:rsid w:val="00671BD5"/>
    <w:rsid w:val="006805C1"/>
    <w:rsid w:val="00694556"/>
    <w:rsid w:val="006A2110"/>
    <w:rsid w:val="006B4B15"/>
    <w:rsid w:val="006E1A53"/>
    <w:rsid w:val="00772B77"/>
    <w:rsid w:val="007A746F"/>
    <w:rsid w:val="007E04C4"/>
    <w:rsid w:val="007E6115"/>
    <w:rsid w:val="00820005"/>
    <w:rsid w:val="0083097F"/>
    <w:rsid w:val="00862457"/>
    <w:rsid w:val="00872FB5"/>
    <w:rsid w:val="00894D37"/>
    <w:rsid w:val="00896889"/>
    <w:rsid w:val="008C5714"/>
    <w:rsid w:val="008F05BE"/>
    <w:rsid w:val="00903896"/>
    <w:rsid w:val="00906127"/>
    <w:rsid w:val="00906F3D"/>
    <w:rsid w:val="00933B3C"/>
    <w:rsid w:val="009428B6"/>
    <w:rsid w:val="00983F7E"/>
    <w:rsid w:val="009C4227"/>
    <w:rsid w:val="009E05ED"/>
    <w:rsid w:val="00A07C19"/>
    <w:rsid w:val="00A353ED"/>
    <w:rsid w:val="00A435FB"/>
    <w:rsid w:val="00A927FD"/>
    <w:rsid w:val="00A94B64"/>
    <w:rsid w:val="00AC5209"/>
    <w:rsid w:val="00B502A7"/>
    <w:rsid w:val="00B65149"/>
    <w:rsid w:val="00B80CBD"/>
    <w:rsid w:val="00B86096"/>
    <w:rsid w:val="00B87F67"/>
    <w:rsid w:val="00BE790C"/>
    <w:rsid w:val="00BF1908"/>
    <w:rsid w:val="00C22D93"/>
    <w:rsid w:val="00C34482"/>
    <w:rsid w:val="00D33B86"/>
    <w:rsid w:val="00D53924"/>
    <w:rsid w:val="00D90890"/>
    <w:rsid w:val="00D9188B"/>
    <w:rsid w:val="00D96D8C"/>
    <w:rsid w:val="00DA6649"/>
    <w:rsid w:val="00E12FF3"/>
    <w:rsid w:val="00E54642"/>
    <w:rsid w:val="00E74E0D"/>
    <w:rsid w:val="00EC37E9"/>
    <w:rsid w:val="00F7714E"/>
    <w:rsid w:val="00F84B6D"/>
    <w:rsid w:val="00FB4503"/>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64564A"/>
  <w15:chartTrackingRefBased/>
  <w15:docId w15:val="{BD75C0E8-D458-42EC-99B8-FD8B8CB8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1">
    <w:name w:val="heading 1"/>
    <w:basedOn w:val="a"/>
    <w:next w:val="a"/>
    <w:link w:val="10"/>
    <w:qFormat/>
    <w:rsid w:val="00A353ED"/>
    <w:pPr>
      <w:keepNext/>
      <w:keepLines/>
      <w:spacing w:before="240"/>
      <w:outlineLvl w:val="0"/>
    </w:pPr>
    <w:rPr>
      <w:rFonts w:ascii="Cambria" w:hAnsi="Cambria" w:cs="Times New Roman"/>
      <w:color w:val="365F91"/>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A353ED"/>
    <w:rPr>
      <w:rFonts w:ascii="Cambria" w:hAnsi="Cambria" w:cs="Times New Roman"/>
      <w:noProof/>
      <w:color w:val="365F91"/>
      <w:sz w:val="32"/>
      <w:szCs w:val="32"/>
    </w:rPr>
  </w:style>
  <w:style w:type="character" w:customStyle="1" w:styleId="ListParagraphChar">
    <w:name w:val="List Paragraph Char"/>
    <w:link w:val="ListParagraph"/>
    <w:locked/>
    <w:rsid w:val="00A353ED"/>
  </w:style>
  <w:style w:type="paragraph" w:customStyle="1" w:styleId="ListParagraph">
    <w:name w:val="List Paragraph"/>
    <w:basedOn w:val="a"/>
    <w:link w:val="ListParagraphChar"/>
    <w:qFormat/>
    <w:rsid w:val="00A353ED"/>
    <w:pPr>
      <w:spacing w:after="160" w:line="360" w:lineRule="auto"/>
      <w:ind w:left="720" w:hanging="357"/>
      <w:contextualSpacing/>
      <w:jc w:val="both"/>
    </w:pPr>
    <w:rPr>
      <w:rFonts w:cs="Times New Roman"/>
      <w:noProof w:val="0"/>
      <w:sz w:val="20"/>
      <w:szCs w:val="20"/>
    </w:rPr>
  </w:style>
  <w:style w:type="character" w:styleId="Hyperlink">
    <w:name w:val="Hyperlink"/>
    <w:semiHidden/>
    <w:rsid w:val="00A353E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42" Type="http://schemas.openxmlformats.org/officeDocument/2006/relationships/hyperlink" Target="http://www.nevo.co.il/case/5878649" TargetMode="External"/><Relationship Id="rId47" Type="http://schemas.openxmlformats.org/officeDocument/2006/relationships/hyperlink" Target="http://www.nevo.co.il/case/10459115"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5670039" TargetMode="External"/><Relationship Id="rId84" Type="http://schemas.openxmlformats.org/officeDocument/2006/relationships/hyperlink" Target="http://www.nevo.co.il/case/20458039" TargetMode="External"/><Relationship Id="rId89" Type="http://schemas.openxmlformats.org/officeDocument/2006/relationships/hyperlink" Target="http://www.nevo.co.il/case/6870343" TargetMode="External"/><Relationship Id="rId16" Type="http://schemas.openxmlformats.org/officeDocument/2006/relationships/hyperlink" Target="http://www.nevo.co.il/law/70301/51b.b1.2.f" TargetMode="External"/><Relationship Id="rId11"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 TargetMode="External"/><Relationship Id="rId53" Type="http://schemas.openxmlformats.org/officeDocument/2006/relationships/hyperlink" Target="http://www.nevo.co.il/case/16977583" TargetMode="External"/><Relationship Id="rId58" Type="http://schemas.openxmlformats.org/officeDocument/2006/relationships/hyperlink" Target="http://www.nevo.co.il/case/6032057" TargetMode="External"/><Relationship Id="rId74" Type="http://schemas.openxmlformats.org/officeDocument/2006/relationships/hyperlink" Target="http://www.nevo.co.il/case/20199517" TargetMode="External"/><Relationship Id="rId79" Type="http://schemas.openxmlformats.org/officeDocument/2006/relationships/hyperlink" Target="http://www.nevo.co.il/law/70301" TargetMode="External"/><Relationship Id="rId5" Type="http://schemas.openxmlformats.org/officeDocument/2006/relationships/webSettings" Target="webSettings.xml"/><Relationship Id="rId90" Type="http://schemas.openxmlformats.org/officeDocument/2006/relationships/hyperlink" Target="http://www.nevo.co.il/case/18676272" TargetMode="External"/><Relationship Id="rId95" Type="http://schemas.openxmlformats.org/officeDocument/2006/relationships/hyperlink" Target="http://www.nevo.co.il/advertisements/nevo-100.doc"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13" TargetMode="External"/><Relationship Id="rId43" Type="http://schemas.openxmlformats.org/officeDocument/2006/relationships/hyperlink" Target="http://www.nevo.co.il/case/21015131" TargetMode="External"/><Relationship Id="rId48" Type="http://schemas.openxmlformats.org/officeDocument/2006/relationships/hyperlink" Target="http://www.nevo.co.il/case/16997614" TargetMode="External"/><Relationship Id="rId64" Type="http://schemas.openxmlformats.org/officeDocument/2006/relationships/hyperlink" Target="http://www.nevo.co.il/law/70301/40ja.3" TargetMode="External"/><Relationship Id="rId69" Type="http://schemas.openxmlformats.org/officeDocument/2006/relationships/hyperlink" Target="http://www.nevo.co.il/case/21472242" TargetMode="External"/><Relationship Id="rId80" Type="http://schemas.openxmlformats.org/officeDocument/2006/relationships/hyperlink" Target="http://www.nevo.co.il/case/10459128" TargetMode="External"/><Relationship Id="rId85" Type="http://schemas.openxmlformats.org/officeDocument/2006/relationships/hyperlink" Target="http://www.nevo.co.il/case/20164764"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40d.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i.a.2" TargetMode="External"/><Relationship Id="rId46" Type="http://schemas.openxmlformats.org/officeDocument/2006/relationships/hyperlink" Target="http://www.nevo.co.il/case/20159024" TargetMode="External"/><Relationship Id="rId59" Type="http://schemas.openxmlformats.org/officeDocument/2006/relationships/hyperlink" Target="http://www.nevo.co.il/case/17941073" TargetMode="External"/><Relationship Id="rId67" Type="http://schemas.openxmlformats.org/officeDocument/2006/relationships/hyperlink" Target="http://www.nevo.co.il/law/70301" TargetMode="External"/><Relationship Id="rId20" Type="http://schemas.openxmlformats.org/officeDocument/2006/relationships/hyperlink" Target="http://www.nevo.co.il/law/4216/19a" TargetMode="External"/><Relationship Id="rId41" Type="http://schemas.openxmlformats.org/officeDocument/2006/relationships/hyperlink" Target="http://www.nevo.co.il/case/5704648" TargetMode="External"/><Relationship Id="rId54" Type="http://schemas.openxmlformats.org/officeDocument/2006/relationships/hyperlink" Target="http://www.nevo.co.il/case/21678674" TargetMode="External"/><Relationship Id="rId62" Type="http://schemas.openxmlformats.org/officeDocument/2006/relationships/hyperlink" Target="http://www.nevo.co.il/law/70301/40ja" TargetMode="External"/><Relationship Id="rId70" Type="http://schemas.openxmlformats.org/officeDocument/2006/relationships/hyperlink" Target="http://www.nevo.co.il/case/2392654" TargetMode="External"/><Relationship Id="rId75" Type="http://schemas.openxmlformats.org/officeDocument/2006/relationships/hyperlink" Target="http://www.nevo.co.il/case/10500701" TargetMode="External"/><Relationship Id="rId83" Type="http://schemas.openxmlformats.org/officeDocument/2006/relationships/hyperlink" Target="http://www.nevo.co.il/case/11269559" TargetMode="External"/><Relationship Id="rId88" Type="http://schemas.openxmlformats.org/officeDocument/2006/relationships/hyperlink" Target="http://www.nevo.co.il/case/11226498" TargetMode="External"/><Relationship Id="rId91" Type="http://schemas.openxmlformats.org/officeDocument/2006/relationships/hyperlink" Target="http://www.nevo.co.il/case/24154114" TargetMode="External"/><Relationship Id="rId9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i.a.5"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19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2070830" TargetMode="External"/><Relationship Id="rId57" Type="http://schemas.openxmlformats.org/officeDocument/2006/relationships/hyperlink" Target="http://www.nevo.co.il/case/4118638"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4216/19a" TargetMode="External"/><Relationship Id="rId44" Type="http://schemas.openxmlformats.org/officeDocument/2006/relationships/hyperlink" Target="http://www.nevo.co.il/case/20787902" TargetMode="External"/><Relationship Id="rId52" Type="http://schemas.openxmlformats.org/officeDocument/2006/relationships/hyperlink" Target="http://www.nevo.co.il/case/20793989" TargetMode="External"/><Relationship Id="rId60" Type="http://schemas.openxmlformats.org/officeDocument/2006/relationships/hyperlink" Target="http://www.nevo.co.il/case/5880417"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20213808" TargetMode="External"/><Relationship Id="rId78" Type="http://schemas.openxmlformats.org/officeDocument/2006/relationships/hyperlink" Target="http://www.nevo.co.il/law/70301/40d.a" TargetMode="External"/><Relationship Id="rId81" Type="http://schemas.openxmlformats.org/officeDocument/2006/relationships/hyperlink" Target="http://www.nevo.co.il/case/12930657" TargetMode="External"/><Relationship Id="rId86" Type="http://schemas.openxmlformats.org/officeDocument/2006/relationships/hyperlink" Target="http://www.nevo.co.il/case/4504224" TargetMode="External"/><Relationship Id="rId94" Type="http://schemas.openxmlformats.org/officeDocument/2006/relationships/image" Target="media/image1.jpeg"/><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4216/13" TargetMode="External"/><Relationship Id="rId13" Type="http://schemas.openxmlformats.org/officeDocument/2006/relationships/hyperlink" Target="http://www.nevo.co.il/law/70301/40d.a" TargetMode="External"/><Relationship Id="rId18" Type="http://schemas.openxmlformats.org/officeDocument/2006/relationships/hyperlink" Target="http://www.nevo.co.il/law/70301/40ja.3" TargetMode="External"/><Relationship Id="rId39" Type="http://schemas.openxmlformats.org/officeDocument/2006/relationships/hyperlink" Target="http://www.nevo.co.il/law/70301/40i.a.5" TargetMode="External"/><Relationship Id="rId34" Type="http://schemas.openxmlformats.org/officeDocument/2006/relationships/hyperlink" Target="http://www.nevo.co.il/case/5573417" TargetMode="External"/><Relationship Id="rId50" Type="http://schemas.openxmlformats.org/officeDocument/2006/relationships/hyperlink" Target="http://www.nevo.co.il/case/17997710" TargetMode="External"/><Relationship Id="rId55" Type="http://schemas.openxmlformats.org/officeDocument/2006/relationships/hyperlink" Target="http://www.nevo.co.il/case/20607230" TargetMode="External"/><Relationship Id="rId76" Type="http://schemas.openxmlformats.org/officeDocument/2006/relationships/hyperlink" Target="http://www.nevo.co.il/case/17015235" TargetMode="External"/><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www.nevo.co.il/case/20092201" TargetMode="External"/><Relationship Id="rId92" Type="http://schemas.openxmlformats.org/officeDocument/2006/relationships/hyperlink" Target="http://www.nevo.co.il/case/21550492" TargetMode="External"/><Relationship Id="rId2" Type="http://schemas.openxmlformats.org/officeDocument/2006/relationships/numbering" Target="numbering.xml"/><Relationship Id="rId29"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18793360" TargetMode="External"/><Relationship Id="rId66" Type="http://schemas.openxmlformats.org/officeDocument/2006/relationships/hyperlink" Target="http://www.nevo.co.il/law/70301/51b.b1.2.f" TargetMode="External"/><Relationship Id="rId87" Type="http://schemas.openxmlformats.org/officeDocument/2006/relationships/hyperlink" Target="http://www.nevo.co.il/case/6556523" TargetMode="External"/><Relationship Id="rId61" Type="http://schemas.openxmlformats.org/officeDocument/2006/relationships/hyperlink" Target="http://www.nevo.co.il/case/6824952" TargetMode="External"/><Relationship Id="rId82" Type="http://schemas.openxmlformats.org/officeDocument/2006/relationships/hyperlink" Target="http://www.nevo.co.il/case/6848505" TargetMode="External"/><Relationship Id="rId19" Type="http://schemas.openxmlformats.org/officeDocument/2006/relationships/hyperlink" Target="http://www.nevo.co.il/law/4216/13" TargetMode="External"/><Relationship Id="rId14" Type="http://schemas.openxmlformats.org/officeDocument/2006/relationships/hyperlink" Target="http://www.nevo.co.il/law/70301/40i.a.2"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70301/40c.a" TargetMode="External"/><Relationship Id="rId56" Type="http://schemas.openxmlformats.org/officeDocument/2006/relationships/hyperlink" Target="http://www.nevo.co.il/case/18768481" TargetMode="External"/><Relationship Id="rId77" Type="http://schemas.openxmlformats.org/officeDocument/2006/relationships/hyperlink" Target="http://www.nevo.co.il/case/20402459" TargetMode="External"/><Relationship Id="rId100" Type="http://schemas.openxmlformats.org/officeDocument/2006/relationships/fontTable" Target="fontTable.xml"/><Relationship Id="rId8" Type="http://schemas.openxmlformats.org/officeDocument/2006/relationships/hyperlink" Target="http://www.nevo.co.il/law/4216" TargetMode="External"/><Relationship Id="rId51" Type="http://schemas.openxmlformats.org/officeDocument/2006/relationships/hyperlink" Target="http://www.nevo.co.il/case/17972082" TargetMode="External"/><Relationship Id="rId72" Type="http://schemas.openxmlformats.org/officeDocument/2006/relationships/hyperlink" Target="http://www.nevo.co.il/case/18185314" TargetMode="External"/><Relationship Id="rId93" Type="http://schemas.openxmlformats.org/officeDocument/2006/relationships/hyperlink" Target="http://www.nevo.co.il/law/4216" TargetMode="External"/><Relationship Id="rId98"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5381</Words>
  <Characters>26909</Characters>
  <Application>Microsoft Office Word</Application>
  <DocSecurity>0</DocSecurity>
  <Lines>224</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32226</CharactersWithSpaces>
  <SharedDoc>false</SharedDoc>
  <HLinks>
    <vt:vector size="522" baseType="variant">
      <vt:variant>
        <vt:i4>393283</vt:i4>
      </vt:variant>
      <vt:variant>
        <vt:i4>258</vt:i4>
      </vt:variant>
      <vt:variant>
        <vt:i4>0</vt:i4>
      </vt:variant>
      <vt:variant>
        <vt:i4>5</vt:i4>
      </vt:variant>
      <vt:variant>
        <vt:lpwstr>http://www.nevo.co.il/advertisements/nevo-100.doc</vt:lpwstr>
      </vt:variant>
      <vt:variant>
        <vt:lpwstr/>
      </vt:variant>
      <vt:variant>
        <vt:i4>8257637</vt:i4>
      </vt:variant>
      <vt:variant>
        <vt:i4>255</vt:i4>
      </vt:variant>
      <vt:variant>
        <vt:i4>0</vt:i4>
      </vt:variant>
      <vt:variant>
        <vt:i4>5</vt:i4>
      </vt:variant>
      <vt:variant>
        <vt:lpwstr>http://www.nevo.co.il/law/4216</vt:lpwstr>
      </vt:variant>
      <vt:variant>
        <vt:lpwstr/>
      </vt:variant>
      <vt:variant>
        <vt:i4>4063348</vt:i4>
      </vt:variant>
      <vt:variant>
        <vt:i4>252</vt:i4>
      </vt:variant>
      <vt:variant>
        <vt:i4>0</vt:i4>
      </vt:variant>
      <vt:variant>
        <vt:i4>5</vt:i4>
      </vt:variant>
      <vt:variant>
        <vt:lpwstr>http://www.nevo.co.il/case/21550492</vt:lpwstr>
      </vt:variant>
      <vt:variant>
        <vt:lpwstr/>
      </vt:variant>
      <vt:variant>
        <vt:i4>3539060</vt:i4>
      </vt:variant>
      <vt:variant>
        <vt:i4>249</vt:i4>
      </vt:variant>
      <vt:variant>
        <vt:i4>0</vt:i4>
      </vt:variant>
      <vt:variant>
        <vt:i4>5</vt:i4>
      </vt:variant>
      <vt:variant>
        <vt:lpwstr>http://www.nevo.co.il/case/24154114</vt:lpwstr>
      </vt:variant>
      <vt:variant>
        <vt:lpwstr/>
      </vt:variant>
      <vt:variant>
        <vt:i4>3539065</vt:i4>
      </vt:variant>
      <vt:variant>
        <vt:i4>246</vt:i4>
      </vt:variant>
      <vt:variant>
        <vt:i4>0</vt:i4>
      </vt:variant>
      <vt:variant>
        <vt:i4>5</vt:i4>
      </vt:variant>
      <vt:variant>
        <vt:lpwstr>http://www.nevo.co.il/case/18676272</vt:lpwstr>
      </vt:variant>
      <vt:variant>
        <vt:lpwstr/>
      </vt:variant>
      <vt:variant>
        <vt:i4>3211384</vt:i4>
      </vt:variant>
      <vt:variant>
        <vt:i4>243</vt:i4>
      </vt:variant>
      <vt:variant>
        <vt:i4>0</vt:i4>
      </vt:variant>
      <vt:variant>
        <vt:i4>5</vt:i4>
      </vt:variant>
      <vt:variant>
        <vt:lpwstr>http://www.nevo.co.il/case/6870343</vt:lpwstr>
      </vt:variant>
      <vt:variant>
        <vt:lpwstr/>
      </vt:variant>
      <vt:variant>
        <vt:i4>3932275</vt:i4>
      </vt:variant>
      <vt:variant>
        <vt:i4>240</vt:i4>
      </vt:variant>
      <vt:variant>
        <vt:i4>0</vt:i4>
      </vt:variant>
      <vt:variant>
        <vt:i4>5</vt:i4>
      </vt:variant>
      <vt:variant>
        <vt:lpwstr>http://www.nevo.co.il/case/11226498</vt:lpwstr>
      </vt:variant>
      <vt:variant>
        <vt:lpwstr/>
      </vt:variant>
      <vt:variant>
        <vt:i4>3473525</vt:i4>
      </vt:variant>
      <vt:variant>
        <vt:i4>237</vt:i4>
      </vt:variant>
      <vt:variant>
        <vt:i4>0</vt:i4>
      </vt:variant>
      <vt:variant>
        <vt:i4>5</vt:i4>
      </vt:variant>
      <vt:variant>
        <vt:lpwstr>http://www.nevo.co.il/case/6556523</vt:lpwstr>
      </vt:variant>
      <vt:variant>
        <vt:lpwstr/>
      </vt:variant>
      <vt:variant>
        <vt:i4>3276919</vt:i4>
      </vt:variant>
      <vt:variant>
        <vt:i4>234</vt:i4>
      </vt:variant>
      <vt:variant>
        <vt:i4>0</vt:i4>
      </vt:variant>
      <vt:variant>
        <vt:i4>5</vt:i4>
      </vt:variant>
      <vt:variant>
        <vt:lpwstr>http://www.nevo.co.il/case/4504224</vt:lpwstr>
      </vt:variant>
      <vt:variant>
        <vt:lpwstr/>
      </vt:variant>
      <vt:variant>
        <vt:i4>3211381</vt:i4>
      </vt:variant>
      <vt:variant>
        <vt:i4>231</vt:i4>
      </vt:variant>
      <vt:variant>
        <vt:i4>0</vt:i4>
      </vt:variant>
      <vt:variant>
        <vt:i4>5</vt:i4>
      </vt:variant>
      <vt:variant>
        <vt:lpwstr>http://www.nevo.co.il/case/20164764</vt:lpwstr>
      </vt:variant>
      <vt:variant>
        <vt:lpwstr/>
      </vt:variant>
      <vt:variant>
        <vt:i4>3997809</vt:i4>
      </vt:variant>
      <vt:variant>
        <vt:i4>228</vt:i4>
      </vt:variant>
      <vt:variant>
        <vt:i4>0</vt:i4>
      </vt:variant>
      <vt:variant>
        <vt:i4>5</vt:i4>
      </vt:variant>
      <vt:variant>
        <vt:lpwstr>http://www.nevo.co.il/case/20458039</vt:lpwstr>
      </vt:variant>
      <vt:variant>
        <vt:lpwstr/>
      </vt:variant>
      <vt:variant>
        <vt:i4>4128886</vt:i4>
      </vt:variant>
      <vt:variant>
        <vt:i4>225</vt:i4>
      </vt:variant>
      <vt:variant>
        <vt:i4>0</vt:i4>
      </vt:variant>
      <vt:variant>
        <vt:i4>5</vt:i4>
      </vt:variant>
      <vt:variant>
        <vt:lpwstr>http://www.nevo.co.il/case/11269559</vt:lpwstr>
      </vt:variant>
      <vt:variant>
        <vt:lpwstr/>
      </vt:variant>
      <vt:variant>
        <vt:i4>3276916</vt:i4>
      </vt:variant>
      <vt:variant>
        <vt:i4>222</vt:i4>
      </vt:variant>
      <vt:variant>
        <vt:i4>0</vt:i4>
      </vt:variant>
      <vt:variant>
        <vt:i4>5</vt:i4>
      </vt:variant>
      <vt:variant>
        <vt:lpwstr>http://www.nevo.co.il/case/6848505</vt:lpwstr>
      </vt:variant>
      <vt:variant>
        <vt:lpwstr/>
      </vt:variant>
      <vt:variant>
        <vt:i4>3997811</vt:i4>
      </vt:variant>
      <vt:variant>
        <vt:i4>219</vt:i4>
      </vt:variant>
      <vt:variant>
        <vt:i4>0</vt:i4>
      </vt:variant>
      <vt:variant>
        <vt:i4>5</vt:i4>
      </vt:variant>
      <vt:variant>
        <vt:lpwstr>http://www.nevo.co.il/case/12930657</vt:lpwstr>
      </vt:variant>
      <vt:variant>
        <vt:lpwstr/>
      </vt:variant>
      <vt:variant>
        <vt:i4>4063344</vt:i4>
      </vt:variant>
      <vt:variant>
        <vt:i4>216</vt:i4>
      </vt:variant>
      <vt:variant>
        <vt:i4>0</vt:i4>
      </vt:variant>
      <vt:variant>
        <vt:i4>5</vt:i4>
      </vt:variant>
      <vt:variant>
        <vt:lpwstr>http://www.nevo.co.il/case/10459128</vt:lpwstr>
      </vt:variant>
      <vt:variant>
        <vt:lpwstr/>
      </vt:variant>
      <vt:variant>
        <vt:i4>7995492</vt:i4>
      </vt:variant>
      <vt:variant>
        <vt:i4>213</vt:i4>
      </vt:variant>
      <vt:variant>
        <vt:i4>0</vt:i4>
      </vt:variant>
      <vt:variant>
        <vt:i4>5</vt:i4>
      </vt:variant>
      <vt:variant>
        <vt:lpwstr>http://www.nevo.co.il/law/70301</vt:lpwstr>
      </vt:variant>
      <vt:variant>
        <vt:lpwstr/>
      </vt:variant>
      <vt:variant>
        <vt:i4>4915205</vt:i4>
      </vt:variant>
      <vt:variant>
        <vt:i4>210</vt:i4>
      </vt:variant>
      <vt:variant>
        <vt:i4>0</vt:i4>
      </vt:variant>
      <vt:variant>
        <vt:i4>5</vt:i4>
      </vt:variant>
      <vt:variant>
        <vt:lpwstr>http://www.nevo.co.il/law/70301/40d.a</vt:lpwstr>
      </vt:variant>
      <vt:variant>
        <vt:lpwstr/>
      </vt:variant>
      <vt:variant>
        <vt:i4>3211376</vt:i4>
      </vt:variant>
      <vt:variant>
        <vt:i4>207</vt:i4>
      </vt:variant>
      <vt:variant>
        <vt:i4>0</vt:i4>
      </vt:variant>
      <vt:variant>
        <vt:i4>5</vt:i4>
      </vt:variant>
      <vt:variant>
        <vt:lpwstr>http://www.nevo.co.il/case/20402459</vt:lpwstr>
      </vt:variant>
      <vt:variant>
        <vt:lpwstr/>
      </vt:variant>
      <vt:variant>
        <vt:i4>3604592</vt:i4>
      </vt:variant>
      <vt:variant>
        <vt:i4>204</vt:i4>
      </vt:variant>
      <vt:variant>
        <vt:i4>0</vt:i4>
      </vt:variant>
      <vt:variant>
        <vt:i4>5</vt:i4>
      </vt:variant>
      <vt:variant>
        <vt:lpwstr>http://www.nevo.co.il/case/17015235</vt:lpwstr>
      </vt:variant>
      <vt:variant>
        <vt:lpwstr/>
      </vt:variant>
      <vt:variant>
        <vt:i4>3407987</vt:i4>
      </vt:variant>
      <vt:variant>
        <vt:i4>201</vt:i4>
      </vt:variant>
      <vt:variant>
        <vt:i4>0</vt:i4>
      </vt:variant>
      <vt:variant>
        <vt:i4>5</vt:i4>
      </vt:variant>
      <vt:variant>
        <vt:lpwstr>http://www.nevo.co.il/case/10500701</vt:lpwstr>
      </vt:variant>
      <vt:variant>
        <vt:lpwstr/>
      </vt:variant>
      <vt:variant>
        <vt:i4>3866744</vt:i4>
      </vt:variant>
      <vt:variant>
        <vt:i4>198</vt:i4>
      </vt:variant>
      <vt:variant>
        <vt:i4>0</vt:i4>
      </vt:variant>
      <vt:variant>
        <vt:i4>5</vt:i4>
      </vt:variant>
      <vt:variant>
        <vt:lpwstr>http://www.nevo.co.il/case/20199517</vt:lpwstr>
      </vt:variant>
      <vt:variant>
        <vt:lpwstr/>
      </vt:variant>
      <vt:variant>
        <vt:i4>3342461</vt:i4>
      </vt:variant>
      <vt:variant>
        <vt:i4>195</vt:i4>
      </vt:variant>
      <vt:variant>
        <vt:i4>0</vt:i4>
      </vt:variant>
      <vt:variant>
        <vt:i4>5</vt:i4>
      </vt:variant>
      <vt:variant>
        <vt:lpwstr>http://www.nevo.co.il/case/20213808</vt:lpwstr>
      </vt:variant>
      <vt:variant>
        <vt:lpwstr/>
      </vt:variant>
      <vt:variant>
        <vt:i4>3407991</vt:i4>
      </vt:variant>
      <vt:variant>
        <vt:i4>192</vt:i4>
      </vt:variant>
      <vt:variant>
        <vt:i4>0</vt:i4>
      </vt:variant>
      <vt:variant>
        <vt:i4>5</vt:i4>
      </vt:variant>
      <vt:variant>
        <vt:lpwstr>http://www.nevo.co.il/case/18185314</vt:lpwstr>
      </vt:variant>
      <vt:variant>
        <vt:lpwstr/>
      </vt:variant>
      <vt:variant>
        <vt:i4>3145855</vt:i4>
      </vt:variant>
      <vt:variant>
        <vt:i4>189</vt:i4>
      </vt:variant>
      <vt:variant>
        <vt:i4>0</vt:i4>
      </vt:variant>
      <vt:variant>
        <vt:i4>5</vt:i4>
      </vt:variant>
      <vt:variant>
        <vt:lpwstr>http://www.nevo.co.il/case/20092201</vt:lpwstr>
      </vt:variant>
      <vt:variant>
        <vt:lpwstr/>
      </vt:variant>
      <vt:variant>
        <vt:i4>3735664</vt:i4>
      </vt:variant>
      <vt:variant>
        <vt:i4>186</vt:i4>
      </vt:variant>
      <vt:variant>
        <vt:i4>0</vt:i4>
      </vt:variant>
      <vt:variant>
        <vt:i4>5</vt:i4>
      </vt:variant>
      <vt:variant>
        <vt:lpwstr>http://www.nevo.co.il/case/2392654</vt:lpwstr>
      </vt:variant>
      <vt:variant>
        <vt:lpwstr/>
      </vt:variant>
      <vt:variant>
        <vt:i4>3145840</vt:i4>
      </vt:variant>
      <vt:variant>
        <vt:i4>183</vt:i4>
      </vt:variant>
      <vt:variant>
        <vt:i4>0</vt:i4>
      </vt:variant>
      <vt:variant>
        <vt:i4>5</vt:i4>
      </vt:variant>
      <vt:variant>
        <vt:lpwstr>http://www.nevo.co.il/case/21472242</vt:lpwstr>
      </vt:variant>
      <vt:variant>
        <vt:lpwstr/>
      </vt:variant>
      <vt:variant>
        <vt:i4>3866737</vt:i4>
      </vt:variant>
      <vt:variant>
        <vt:i4>180</vt:i4>
      </vt:variant>
      <vt:variant>
        <vt:i4>0</vt:i4>
      </vt:variant>
      <vt:variant>
        <vt:i4>5</vt:i4>
      </vt:variant>
      <vt:variant>
        <vt:lpwstr>http://www.nevo.co.il/case/5670039</vt:lpwstr>
      </vt:variant>
      <vt:variant>
        <vt:lpwstr/>
      </vt:variant>
      <vt:variant>
        <vt:i4>7995492</vt:i4>
      </vt:variant>
      <vt:variant>
        <vt:i4>177</vt:i4>
      </vt:variant>
      <vt:variant>
        <vt:i4>0</vt:i4>
      </vt:variant>
      <vt:variant>
        <vt:i4>5</vt:i4>
      </vt:variant>
      <vt:variant>
        <vt:lpwstr>http://www.nevo.co.il/law/70301</vt:lpwstr>
      </vt:variant>
      <vt:variant>
        <vt:lpwstr/>
      </vt:variant>
      <vt:variant>
        <vt:i4>3080288</vt:i4>
      </vt:variant>
      <vt:variant>
        <vt:i4>174</vt:i4>
      </vt:variant>
      <vt:variant>
        <vt:i4>0</vt:i4>
      </vt:variant>
      <vt:variant>
        <vt:i4>5</vt:i4>
      </vt:variant>
      <vt:variant>
        <vt:lpwstr>http://www.nevo.co.il/law/70301/51b.b1.2.f</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3604517</vt:i4>
      </vt:variant>
      <vt:variant>
        <vt:i4>168</vt:i4>
      </vt:variant>
      <vt:variant>
        <vt:i4>0</vt:i4>
      </vt:variant>
      <vt:variant>
        <vt:i4>5</vt:i4>
      </vt:variant>
      <vt:variant>
        <vt:lpwstr>http://www.nevo.co.il/law/70301/40ja.3</vt:lpwstr>
      </vt:variant>
      <vt:variant>
        <vt:lpwstr/>
      </vt:variant>
      <vt:variant>
        <vt:i4>7995492</vt:i4>
      </vt:variant>
      <vt:variant>
        <vt:i4>165</vt:i4>
      </vt:variant>
      <vt:variant>
        <vt:i4>0</vt:i4>
      </vt:variant>
      <vt:variant>
        <vt:i4>5</vt:i4>
      </vt:variant>
      <vt:variant>
        <vt:lpwstr>http://www.nevo.co.il/law/70301</vt:lpwstr>
      </vt:variant>
      <vt:variant>
        <vt:lpwstr/>
      </vt:variant>
      <vt:variant>
        <vt:i4>262155</vt:i4>
      </vt:variant>
      <vt:variant>
        <vt:i4>162</vt:i4>
      </vt:variant>
      <vt:variant>
        <vt:i4>0</vt:i4>
      </vt:variant>
      <vt:variant>
        <vt:i4>5</vt:i4>
      </vt:variant>
      <vt:variant>
        <vt:lpwstr>http://www.nevo.co.il/law/70301/40ja</vt:lpwstr>
      </vt:variant>
      <vt:variant>
        <vt:lpwstr/>
      </vt:variant>
      <vt:variant>
        <vt:i4>4128893</vt:i4>
      </vt:variant>
      <vt:variant>
        <vt:i4>159</vt:i4>
      </vt:variant>
      <vt:variant>
        <vt:i4>0</vt:i4>
      </vt:variant>
      <vt:variant>
        <vt:i4>5</vt:i4>
      </vt:variant>
      <vt:variant>
        <vt:lpwstr>http://www.nevo.co.il/case/6824952</vt:lpwstr>
      </vt:variant>
      <vt:variant>
        <vt:lpwstr/>
      </vt:variant>
      <vt:variant>
        <vt:i4>4063357</vt:i4>
      </vt:variant>
      <vt:variant>
        <vt:i4>156</vt:i4>
      </vt:variant>
      <vt:variant>
        <vt:i4>0</vt:i4>
      </vt:variant>
      <vt:variant>
        <vt:i4>5</vt:i4>
      </vt:variant>
      <vt:variant>
        <vt:lpwstr>http://www.nevo.co.il/case/5880417</vt:lpwstr>
      </vt:variant>
      <vt:variant>
        <vt:lpwstr/>
      </vt:variant>
      <vt:variant>
        <vt:i4>4063351</vt:i4>
      </vt:variant>
      <vt:variant>
        <vt:i4>153</vt:i4>
      </vt:variant>
      <vt:variant>
        <vt:i4>0</vt:i4>
      </vt:variant>
      <vt:variant>
        <vt:i4>5</vt:i4>
      </vt:variant>
      <vt:variant>
        <vt:lpwstr>http://www.nevo.co.il/case/17941073</vt:lpwstr>
      </vt:variant>
      <vt:variant>
        <vt:lpwstr/>
      </vt:variant>
      <vt:variant>
        <vt:i4>3276915</vt:i4>
      </vt:variant>
      <vt:variant>
        <vt:i4>150</vt:i4>
      </vt:variant>
      <vt:variant>
        <vt:i4>0</vt:i4>
      </vt:variant>
      <vt:variant>
        <vt:i4>5</vt:i4>
      </vt:variant>
      <vt:variant>
        <vt:lpwstr>http://www.nevo.co.il/case/6032057</vt:lpwstr>
      </vt:variant>
      <vt:variant>
        <vt:lpwstr/>
      </vt:variant>
      <vt:variant>
        <vt:i4>3866750</vt:i4>
      </vt:variant>
      <vt:variant>
        <vt:i4>147</vt:i4>
      </vt:variant>
      <vt:variant>
        <vt:i4>0</vt:i4>
      </vt:variant>
      <vt:variant>
        <vt:i4>5</vt:i4>
      </vt:variant>
      <vt:variant>
        <vt:lpwstr>http://www.nevo.co.il/case/4118638</vt:lpwstr>
      </vt:variant>
      <vt:variant>
        <vt:lpwstr/>
      </vt:variant>
      <vt:variant>
        <vt:i4>3539070</vt:i4>
      </vt:variant>
      <vt:variant>
        <vt:i4>144</vt:i4>
      </vt:variant>
      <vt:variant>
        <vt:i4>0</vt:i4>
      </vt:variant>
      <vt:variant>
        <vt:i4>5</vt:i4>
      </vt:variant>
      <vt:variant>
        <vt:lpwstr>http://www.nevo.co.il/case/18768481</vt:lpwstr>
      </vt:variant>
      <vt:variant>
        <vt:lpwstr/>
      </vt:variant>
      <vt:variant>
        <vt:i4>3145846</vt:i4>
      </vt:variant>
      <vt:variant>
        <vt:i4>141</vt:i4>
      </vt:variant>
      <vt:variant>
        <vt:i4>0</vt:i4>
      </vt:variant>
      <vt:variant>
        <vt:i4>5</vt:i4>
      </vt:variant>
      <vt:variant>
        <vt:lpwstr>http://www.nevo.co.il/case/20607230</vt:lpwstr>
      </vt:variant>
      <vt:variant>
        <vt:lpwstr/>
      </vt:variant>
      <vt:variant>
        <vt:i4>3866740</vt:i4>
      </vt:variant>
      <vt:variant>
        <vt:i4>138</vt:i4>
      </vt:variant>
      <vt:variant>
        <vt:i4>0</vt:i4>
      </vt:variant>
      <vt:variant>
        <vt:i4>5</vt:i4>
      </vt:variant>
      <vt:variant>
        <vt:lpwstr>http://www.nevo.co.il/case/21678674</vt:lpwstr>
      </vt:variant>
      <vt:variant>
        <vt:lpwstr/>
      </vt:variant>
      <vt:variant>
        <vt:i4>3604592</vt:i4>
      </vt:variant>
      <vt:variant>
        <vt:i4>135</vt:i4>
      </vt:variant>
      <vt:variant>
        <vt:i4>0</vt:i4>
      </vt:variant>
      <vt:variant>
        <vt:i4>5</vt:i4>
      </vt:variant>
      <vt:variant>
        <vt:lpwstr>http://www.nevo.co.il/case/16977583</vt:lpwstr>
      </vt:variant>
      <vt:variant>
        <vt:lpwstr/>
      </vt:variant>
      <vt:variant>
        <vt:i4>4063348</vt:i4>
      </vt:variant>
      <vt:variant>
        <vt:i4>132</vt:i4>
      </vt:variant>
      <vt:variant>
        <vt:i4>0</vt:i4>
      </vt:variant>
      <vt:variant>
        <vt:i4>5</vt:i4>
      </vt:variant>
      <vt:variant>
        <vt:lpwstr>http://www.nevo.co.il/case/20793989</vt:lpwstr>
      </vt:variant>
      <vt:variant>
        <vt:lpwstr/>
      </vt:variant>
      <vt:variant>
        <vt:i4>3276916</vt:i4>
      </vt:variant>
      <vt:variant>
        <vt:i4>129</vt:i4>
      </vt:variant>
      <vt:variant>
        <vt:i4>0</vt:i4>
      </vt:variant>
      <vt:variant>
        <vt:i4>5</vt:i4>
      </vt:variant>
      <vt:variant>
        <vt:lpwstr>http://www.nevo.co.il/case/17972082</vt:lpwstr>
      </vt:variant>
      <vt:variant>
        <vt:lpwstr/>
      </vt:variant>
      <vt:variant>
        <vt:i4>4063357</vt:i4>
      </vt:variant>
      <vt:variant>
        <vt:i4>126</vt:i4>
      </vt:variant>
      <vt:variant>
        <vt:i4>0</vt:i4>
      </vt:variant>
      <vt:variant>
        <vt:i4>5</vt:i4>
      </vt:variant>
      <vt:variant>
        <vt:lpwstr>http://www.nevo.co.il/case/17997710</vt:lpwstr>
      </vt:variant>
      <vt:variant>
        <vt:lpwstr/>
      </vt:variant>
      <vt:variant>
        <vt:i4>3211385</vt:i4>
      </vt:variant>
      <vt:variant>
        <vt:i4>123</vt:i4>
      </vt:variant>
      <vt:variant>
        <vt:i4>0</vt:i4>
      </vt:variant>
      <vt:variant>
        <vt:i4>5</vt:i4>
      </vt:variant>
      <vt:variant>
        <vt:lpwstr>http://www.nevo.co.il/case/22070830</vt:lpwstr>
      </vt:variant>
      <vt:variant>
        <vt:lpwstr/>
      </vt:variant>
      <vt:variant>
        <vt:i4>4063357</vt:i4>
      </vt:variant>
      <vt:variant>
        <vt:i4>120</vt:i4>
      </vt:variant>
      <vt:variant>
        <vt:i4>0</vt:i4>
      </vt:variant>
      <vt:variant>
        <vt:i4>5</vt:i4>
      </vt:variant>
      <vt:variant>
        <vt:lpwstr>http://www.nevo.co.il/case/16997614</vt:lpwstr>
      </vt:variant>
      <vt:variant>
        <vt:lpwstr/>
      </vt:variant>
      <vt:variant>
        <vt:i4>3997808</vt:i4>
      </vt:variant>
      <vt:variant>
        <vt:i4>117</vt:i4>
      </vt:variant>
      <vt:variant>
        <vt:i4>0</vt:i4>
      </vt:variant>
      <vt:variant>
        <vt:i4>5</vt:i4>
      </vt:variant>
      <vt:variant>
        <vt:lpwstr>http://www.nevo.co.il/case/10459115</vt:lpwstr>
      </vt:variant>
      <vt:variant>
        <vt:lpwstr/>
      </vt:variant>
      <vt:variant>
        <vt:i4>3670129</vt:i4>
      </vt:variant>
      <vt:variant>
        <vt:i4>114</vt:i4>
      </vt:variant>
      <vt:variant>
        <vt:i4>0</vt:i4>
      </vt:variant>
      <vt:variant>
        <vt:i4>5</vt:i4>
      </vt:variant>
      <vt:variant>
        <vt:lpwstr>http://www.nevo.co.il/case/20159024</vt:lpwstr>
      </vt:variant>
      <vt:variant>
        <vt:lpwstr/>
      </vt:variant>
      <vt:variant>
        <vt:i4>3342454</vt:i4>
      </vt:variant>
      <vt:variant>
        <vt:i4>111</vt:i4>
      </vt:variant>
      <vt:variant>
        <vt:i4>0</vt:i4>
      </vt:variant>
      <vt:variant>
        <vt:i4>5</vt:i4>
      </vt:variant>
      <vt:variant>
        <vt:lpwstr>http://www.nevo.co.il/case/18793360</vt:lpwstr>
      </vt:variant>
      <vt:variant>
        <vt:lpwstr/>
      </vt:variant>
      <vt:variant>
        <vt:i4>3276917</vt:i4>
      </vt:variant>
      <vt:variant>
        <vt:i4>108</vt:i4>
      </vt:variant>
      <vt:variant>
        <vt:i4>0</vt:i4>
      </vt:variant>
      <vt:variant>
        <vt:i4>5</vt:i4>
      </vt:variant>
      <vt:variant>
        <vt:lpwstr>http://www.nevo.co.il/case/20787902</vt:lpwstr>
      </vt:variant>
      <vt:variant>
        <vt:lpwstr/>
      </vt:variant>
      <vt:variant>
        <vt:i4>3407989</vt:i4>
      </vt:variant>
      <vt:variant>
        <vt:i4>105</vt:i4>
      </vt:variant>
      <vt:variant>
        <vt:i4>0</vt:i4>
      </vt:variant>
      <vt:variant>
        <vt:i4>5</vt:i4>
      </vt:variant>
      <vt:variant>
        <vt:lpwstr>http://www.nevo.co.il/case/21015131</vt:lpwstr>
      </vt:variant>
      <vt:variant>
        <vt:lpwstr/>
      </vt:variant>
      <vt:variant>
        <vt:i4>3997808</vt:i4>
      </vt:variant>
      <vt:variant>
        <vt:i4>102</vt:i4>
      </vt:variant>
      <vt:variant>
        <vt:i4>0</vt:i4>
      </vt:variant>
      <vt:variant>
        <vt:i4>5</vt:i4>
      </vt:variant>
      <vt:variant>
        <vt:lpwstr>http://www.nevo.co.il/case/5878649</vt:lpwstr>
      </vt:variant>
      <vt:variant>
        <vt:lpwstr/>
      </vt:variant>
      <vt:variant>
        <vt:i4>3866739</vt:i4>
      </vt:variant>
      <vt:variant>
        <vt:i4>99</vt:i4>
      </vt:variant>
      <vt:variant>
        <vt:i4>0</vt:i4>
      </vt:variant>
      <vt:variant>
        <vt:i4>5</vt:i4>
      </vt:variant>
      <vt:variant>
        <vt:lpwstr>http://www.nevo.co.il/case/5704648</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6619241</vt:i4>
      </vt:variant>
      <vt:variant>
        <vt:i4>93</vt:i4>
      </vt:variant>
      <vt:variant>
        <vt:i4>0</vt:i4>
      </vt:variant>
      <vt:variant>
        <vt:i4>5</vt:i4>
      </vt:variant>
      <vt:variant>
        <vt:lpwstr>http://www.nevo.co.il/law/70301/40i.a.5</vt:lpwstr>
      </vt:variant>
      <vt:variant>
        <vt:lpwstr/>
      </vt:variant>
      <vt:variant>
        <vt:i4>6619241</vt:i4>
      </vt:variant>
      <vt:variant>
        <vt:i4>90</vt:i4>
      </vt:variant>
      <vt:variant>
        <vt:i4>0</vt:i4>
      </vt:variant>
      <vt:variant>
        <vt:i4>5</vt:i4>
      </vt:variant>
      <vt:variant>
        <vt:lpwstr>http://www.nevo.co.il/law/70301/40i.a.2</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3211379</vt:i4>
      </vt:variant>
      <vt:variant>
        <vt:i4>78</vt:i4>
      </vt:variant>
      <vt:variant>
        <vt:i4>0</vt:i4>
      </vt:variant>
      <vt:variant>
        <vt:i4>5</vt:i4>
      </vt:variant>
      <vt:variant>
        <vt:lpwstr>http://www.nevo.co.il/case/5573417</vt:lpwstr>
      </vt:variant>
      <vt:variant>
        <vt:lpwstr/>
      </vt:variant>
      <vt:variant>
        <vt:i4>7995492</vt:i4>
      </vt:variant>
      <vt:variant>
        <vt:i4>75</vt:i4>
      </vt:variant>
      <vt:variant>
        <vt:i4>0</vt:i4>
      </vt:variant>
      <vt:variant>
        <vt:i4>5</vt:i4>
      </vt:variant>
      <vt:variant>
        <vt:lpwstr>http://www.nevo.co.il/law/70301</vt:lpwstr>
      </vt:variant>
      <vt:variant>
        <vt:lpwstr/>
      </vt:variant>
      <vt:variant>
        <vt:i4>8257637</vt:i4>
      </vt:variant>
      <vt:variant>
        <vt:i4>72</vt:i4>
      </vt:variant>
      <vt:variant>
        <vt:i4>0</vt:i4>
      </vt:variant>
      <vt:variant>
        <vt:i4>5</vt:i4>
      </vt:variant>
      <vt:variant>
        <vt:lpwstr>http://www.nevo.co.il/law/4216</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5177418</vt:i4>
      </vt:variant>
      <vt:variant>
        <vt:i4>66</vt:i4>
      </vt:variant>
      <vt:variant>
        <vt:i4>0</vt:i4>
      </vt:variant>
      <vt:variant>
        <vt:i4>5</vt:i4>
      </vt:variant>
      <vt:variant>
        <vt:lpwstr>http://www.nevo.co.il/law/4216/13</vt:lpwstr>
      </vt:variant>
      <vt:variant>
        <vt:lpwstr/>
      </vt:variant>
      <vt:variant>
        <vt:i4>8257637</vt:i4>
      </vt:variant>
      <vt:variant>
        <vt:i4>63</vt:i4>
      </vt:variant>
      <vt:variant>
        <vt:i4>0</vt:i4>
      </vt:variant>
      <vt:variant>
        <vt:i4>5</vt:i4>
      </vt:variant>
      <vt:variant>
        <vt:lpwstr>http://www.nevo.co.il/law/4216</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4915205</vt:i4>
      </vt:variant>
      <vt:variant>
        <vt:i4>51</vt:i4>
      </vt:variant>
      <vt:variant>
        <vt:i4>0</vt:i4>
      </vt:variant>
      <vt:variant>
        <vt:i4>5</vt:i4>
      </vt:variant>
      <vt:variant>
        <vt:lpwstr>http://www.nevo.co.il/law/70301/40d.a</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3604517</vt:i4>
      </vt:variant>
      <vt:variant>
        <vt:i4>30</vt:i4>
      </vt:variant>
      <vt:variant>
        <vt:i4>0</vt:i4>
      </vt:variant>
      <vt:variant>
        <vt:i4>5</vt:i4>
      </vt:variant>
      <vt:variant>
        <vt:lpwstr>http://www.nevo.co.il/law/70301/40ja.3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3080288</vt:i4>
      </vt:variant>
      <vt:variant>
        <vt:i4>24</vt:i4>
      </vt:variant>
      <vt:variant>
        <vt:i4>0</vt:i4>
      </vt:variant>
      <vt:variant>
        <vt:i4>5</vt:i4>
      </vt:variant>
      <vt:variant>
        <vt:lpwstr>http://www.nevo.co.il/law/70301/51b.b1.2.f</vt:lpwstr>
      </vt:variant>
      <vt:variant>
        <vt:lpwstr/>
      </vt:variant>
      <vt:variant>
        <vt:i4>6619241</vt:i4>
      </vt:variant>
      <vt:variant>
        <vt:i4>21</vt:i4>
      </vt:variant>
      <vt:variant>
        <vt:i4>0</vt:i4>
      </vt:variant>
      <vt:variant>
        <vt:i4>5</vt:i4>
      </vt:variant>
      <vt:variant>
        <vt:lpwstr>http://www.nevo.co.il/law/70301/40i.a.5</vt:lpwstr>
      </vt:variant>
      <vt:variant>
        <vt:lpwstr/>
      </vt:variant>
      <vt:variant>
        <vt:i4>6619241</vt:i4>
      </vt:variant>
      <vt:variant>
        <vt:i4>18</vt:i4>
      </vt:variant>
      <vt:variant>
        <vt:i4>0</vt:i4>
      </vt:variant>
      <vt:variant>
        <vt:i4>5</vt:i4>
      </vt:variant>
      <vt:variant>
        <vt:lpwstr>http://www.nevo.co.il/law/70301/40i.a.2</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2020-01-01T07:44:00Z</cp:lastPrinted>
  <dcterms:created xsi:type="dcterms:W3CDTF">2025-04-22T23:33:00Z</dcterms:created>
  <dcterms:modified xsi:type="dcterms:W3CDTF">2025-04-22T23:33:00Z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42225</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יורם אוחנה</vt:lpwstr>
  </property>
  <property fmtid="{D5CDD505-2E9C-101B-9397-08002B2CF9AE}" pid="10" name="LAWYER">
    <vt:lpwstr>ליבת אזולאי;דן גרובס</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20200101</vt:lpwstr>
  </property>
  <property fmtid="{D5CDD505-2E9C-101B-9397-08002B2CF9AE}" pid="14" name="TYPE_N_DATE">
    <vt:lpwstr>38020200101</vt:lpwstr>
  </property>
  <property fmtid="{D5CDD505-2E9C-101B-9397-08002B2CF9AE}" pid="15" name="WORDNUMPAGES">
    <vt:lpwstr>11</vt:lpwstr>
  </property>
  <property fmtid="{D5CDD505-2E9C-101B-9397-08002B2CF9AE}" pid="16" name="TYPE_ABS_DATE">
    <vt:lpwstr>380120200101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5573417;5704648;5878649;21015131;20787902;18793360;20159024;10459115;16997614;22070830;17997710;17972082;20793989;16977583;21678674;20607230;18768481;4118638;6032057;17941073;5880417;6824952;5670039;21472242;2392654;20092201;18185314;20213808;20199517</vt:lpwstr>
  </property>
  <property fmtid="{D5CDD505-2E9C-101B-9397-08002B2CF9AE}" pid="36" name="CASESLISTTMP2">
    <vt:lpwstr>10500701;17015235;20402459;10459128;12930657;6848505;11269559;20458039;20164764;4504224;6556523;11226498;6870343;18676272;24154114;21550492</vt:lpwstr>
  </property>
  <property fmtid="{D5CDD505-2E9C-101B-9397-08002B2CF9AE}" pid="37" name="LAWLISTTMP1">
    <vt:lpwstr>4216/013:2;019a:2</vt:lpwstr>
  </property>
  <property fmtid="{D5CDD505-2E9C-101B-9397-08002B2CF9AE}" pid="38" name="LAWLISTTMP2">
    <vt:lpwstr>70301/040c.a;040i.a.2;040i.a.5;40ja;40ja.3;051b.b1.2.f;040d.a</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8991;14346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20200105</vt:lpwstr>
  </property>
  <property fmtid="{D5CDD505-2E9C-101B-9397-08002B2CF9AE}" pid="73" name="METAKZER">
    <vt:lpwstr>שירי</vt:lpwstr>
  </property>
</Properties>
</file>