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797D" w:rsidRPr="00C0269A" w14:paraId="5814BE3D" w14:textId="77777777" w:rsidTr="00467889">
        <w:trPr>
          <w:trHeight w:hRule="exact" w:val="418"/>
          <w:jc w:val="center"/>
        </w:trPr>
        <w:tc>
          <w:tcPr>
            <w:tcW w:w="8721" w:type="dxa"/>
            <w:gridSpan w:val="2"/>
          </w:tcPr>
          <w:p w14:paraId="77782AF4" w14:textId="77777777" w:rsidR="0056797D" w:rsidRPr="00C0269A" w:rsidRDefault="0056797D" w:rsidP="004160B4">
            <w:pPr>
              <w:pStyle w:val="a3"/>
              <w:jc w:val="center"/>
              <w:rPr>
                <w:rFonts w:ascii="Tahoma" w:hAnsi="Tahoma" w:cs="Tahoma"/>
                <w:color w:val="000080"/>
                <w:rtl/>
              </w:rPr>
            </w:pPr>
            <w:bookmarkStart w:id="0" w:name="LastJudge"/>
            <w:r w:rsidRPr="00C0269A">
              <w:rPr>
                <w:rFonts w:ascii="Tahoma" w:hAnsi="Tahoma" w:cs="Tahoma"/>
                <w:b/>
                <w:bCs/>
                <w:color w:val="000080"/>
                <w:rtl/>
              </w:rPr>
              <w:t>בית משפט השלום בכפר סבא</w:t>
            </w:r>
          </w:p>
        </w:tc>
      </w:tr>
      <w:tr w:rsidR="0056797D" w:rsidRPr="00C0269A" w14:paraId="5261FEA4" w14:textId="77777777" w:rsidTr="00467889">
        <w:trPr>
          <w:trHeight w:val="337"/>
          <w:jc w:val="center"/>
        </w:trPr>
        <w:tc>
          <w:tcPr>
            <w:tcW w:w="5054" w:type="dxa"/>
          </w:tcPr>
          <w:p w14:paraId="2ED2FDB5" w14:textId="77777777" w:rsidR="0056797D" w:rsidRPr="00C0269A" w:rsidRDefault="0056797D" w:rsidP="004160B4">
            <w:pPr>
              <w:rPr>
                <w:rFonts w:cs="FrankRuehl"/>
                <w:sz w:val="28"/>
                <w:szCs w:val="28"/>
                <w:rtl/>
              </w:rPr>
            </w:pPr>
            <w:r w:rsidRPr="00C0269A">
              <w:rPr>
                <w:rFonts w:cs="FrankRuehl"/>
                <w:sz w:val="28"/>
                <w:szCs w:val="28"/>
                <w:rtl/>
              </w:rPr>
              <w:t>ת"פ</w:t>
            </w:r>
            <w:r w:rsidRPr="00C0269A">
              <w:rPr>
                <w:rFonts w:cs="FrankRuehl" w:hint="cs"/>
                <w:sz w:val="28"/>
                <w:szCs w:val="28"/>
                <w:rtl/>
              </w:rPr>
              <w:t xml:space="preserve"> </w:t>
            </w:r>
            <w:r w:rsidRPr="00C0269A">
              <w:rPr>
                <w:rFonts w:cs="FrankRuehl"/>
                <w:sz w:val="28"/>
                <w:szCs w:val="28"/>
                <w:rtl/>
              </w:rPr>
              <w:t>20538-11-17</w:t>
            </w:r>
            <w:r w:rsidRPr="00C0269A">
              <w:rPr>
                <w:rFonts w:cs="FrankRuehl" w:hint="cs"/>
                <w:sz w:val="28"/>
                <w:szCs w:val="28"/>
                <w:rtl/>
              </w:rPr>
              <w:t xml:space="preserve"> </w:t>
            </w:r>
            <w:r w:rsidRPr="00C0269A">
              <w:rPr>
                <w:rFonts w:cs="FrankRuehl"/>
                <w:sz w:val="28"/>
                <w:szCs w:val="28"/>
                <w:rtl/>
              </w:rPr>
              <w:t>מדינת ישראל נ' בלעום(עציר)</w:t>
            </w:r>
          </w:p>
          <w:p w14:paraId="6F5BD088" w14:textId="77777777" w:rsidR="0056797D" w:rsidRPr="00C0269A" w:rsidRDefault="0056797D" w:rsidP="004160B4">
            <w:pPr>
              <w:pStyle w:val="a3"/>
              <w:rPr>
                <w:rFonts w:cs="FrankRuehl"/>
                <w:sz w:val="28"/>
                <w:szCs w:val="28"/>
                <w:rtl/>
              </w:rPr>
            </w:pPr>
          </w:p>
        </w:tc>
        <w:tc>
          <w:tcPr>
            <w:tcW w:w="3667" w:type="dxa"/>
          </w:tcPr>
          <w:p w14:paraId="305BF20F" w14:textId="77777777" w:rsidR="0056797D" w:rsidRPr="00C0269A" w:rsidRDefault="0056797D" w:rsidP="004160B4">
            <w:pPr>
              <w:pStyle w:val="a3"/>
              <w:jc w:val="right"/>
              <w:rPr>
                <w:rFonts w:cs="FrankRuehl"/>
                <w:sz w:val="28"/>
                <w:szCs w:val="28"/>
                <w:rtl/>
              </w:rPr>
            </w:pPr>
            <w:r w:rsidRPr="00C0269A">
              <w:rPr>
                <w:rFonts w:cs="FrankRuehl" w:hint="cs"/>
                <w:sz w:val="28"/>
                <w:szCs w:val="28"/>
                <w:rtl/>
              </w:rPr>
              <w:t>30 מאי 2018</w:t>
            </w:r>
          </w:p>
        </w:tc>
      </w:tr>
    </w:tbl>
    <w:p w14:paraId="1472C793" w14:textId="77777777" w:rsidR="0056797D" w:rsidRPr="00C0269A" w:rsidRDefault="0056797D" w:rsidP="0056797D">
      <w:pPr>
        <w:pStyle w:val="a3"/>
        <w:rPr>
          <w:rtl/>
        </w:rPr>
      </w:pPr>
      <w:r w:rsidRPr="00C0269A">
        <w:rPr>
          <w:rFonts w:hint="cs"/>
          <w:rtl/>
        </w:rPr>
        <w:t xml:space="preserve"> </w:t>
      </w:r>
    </w:p>
    <w:p w14:paraId="125F1EC2" w14:textId="77777777" w:rsidR="0056797D" w:rsidRPr="00C0269A" w:rsidRDefault="0056797D" w:rsidP="0056797D">
      <w:pPr>
        <w:pStyle w:val="a3"/>
      </w:pPr>
      <w:r w:rsidRPr="00C0269A">
        <w:rPr>
          <w:rFonts w:cs="Times New Roman" w:hint="cs"/>
          <w:b/>
          <w:bCs/>
          <w:sz w:val="26"/>
          <w:szCs w:val="28"/>
          <w:rtl/>
        </w:rPr>
        <w:t xml:space="preserve"> </w:t>
      </w:r>
    </w:p>
    <w:p w14:paraId="662BAF79" w14:textId="77777777" w:rsidR="0056797D" w:rsidRPr="00C0269A" w:rsidRDefault="0056797D" w:rsidP="0056797D">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3990"/>
        <w:gridCol w:w="3635"/>
      </w:tblGrid>
      <w:tr w:rsidR="0056797D" w:rsidRPr="00C0269A" w14:paraId="2C32673F" w14:textId="77777777" w:rsidTr="0056797D">
        <w:trPr>
          <w:trHeight w:val="295"/>
          <w:jc w:val="center"/>
        </w:trPr>
        <w:tc>
          <w:tcPr>
            <w:tcW w:w="1195" w:type="dxa"/>
            <w:tcBorders>
              <w:top w:val="nil"/>
              <w:left w:val="nil"/>
              <w:bottom w:val="nil"/>
              <w:right w:val="nil"/>
            </w:tcBorders>
            <w:shd w:val="clear" w:color="auto" w:fill="auto"/>
          </w:tcPr>
          <w:p w14:paraId="34F79B3C" w14:textId="77777777" w:rsidR="0056797D" w:rsidRPr="00C0269A" w:rsidRDefault="0056797D" w:rsidP="0056797D">
            <w:pPr>
              <w:jc w:val="both"/>
              <w:rPr>
                <w:rFonts w:ascii="Arial" w:hAnsi="Arial"/>
                <w:sz w:val="26"/>
                <w:szCs w:val="26"/>
              </w:rPr>
            </w:pPr>
            <w:r w:rsidRPr="00C0269A">
              <w:rPr>
                <w:rFonts w:ascii="Arial" w:hAnsi="Arial" w:hint="cs"/>
                <w:sz w:val="26"/>
                <w:szCs w:val="26"/>
                <w:rtl/>
              </w:rPr>
              <w:t>ל</w:t>
            </w:r>
            <w:r w:rsidRPr="00C0269A">
              <w:rPr>
                <w:rFonts w:ascii="Arial" w:hAnsi="Arial"/>
                <w:sz w:val="26"/>
                <w:szCs w:val="26"/>
                <w:rtl/>
              </w:rPr>
              <w:t xml:space="preserve">פני </w:t>
            </w:r>
          </w:p>
        </w:tc>
        <w:tc>
          <w:tcPr>
            <w:tcW w:w="7625" w:type="dxa"/>
            <w:gridSpan w:val="2"/>
            <w:tcBorders>
              <w:top w:val="nil"/>
              <w:left w:val="nil"/>
              <w:bottom w:val="nil"/>
              <w:right w:val="nil"/>
            </w:tcBorders>
            <w:shd w:val="clear" w:color="auto" w:fill="auto"/>
          </w:tcPr>
          <w:p w14:paraId="1A0B2451" w14:textId="77777777" w:rsidR="0056797D" w:rsidRPr="00C0269A" w:rsidRDefault="0056797D" w:rsidP="0056797D">
            <w:pPr>
              <w:jc w:val="both"/>
              <w:rPr>
                <w:rFonts w:ascii="Arial" w:hAnsi="Arial"/>
                <w:b/>
                <w:bCs/>
                <w:sz w:val="26"/>
                <w:szCs w:val="26"/>
                <w:rtl/>
              </w:rPr>
            </w:pPr>
            <w:r w:rsidRPr="00C0269A">
              <w:rPr>
                <w:rFonts w:ascii="Arial" w:hAnsi="Arial" w:hint="cs"/>
                <w:b/>
                <w:bCs/>
                <w:sz w:val="26"/>
                <w:szCs w:val="26"/>
                <w:rtl/>
              </w:rPr>
              <w:t>כב' ה</w:t>
            </w:r>
            <w:r w:rsidRPr="00C0269A">
              <w:rPr>
                <w:rFonts w:ascii="Arial" w:hAnsi="Arial"/>
                <w:b/>
                <w:bCs/>
                <w:sz w:val="26"/>
                <w:szCs w:val="26"/>
                <w:rtl/>
              </w:rPr>
              <w:t>שופט</w:t>
            </w:r>
            <w:r w:rsidRPr="00C0269A">
              <w:rPr>
                <w:rFonts w:ascii="Arial" w:hAnsi="Arial" w:hint="cs"/>
                <w:b/>
                <w:bCs/>
                <w:sz w:val="26"/>
                <w:szCs w:val="26"/>
                <w:rtl/>
              </w:rPr>
              <w:t xml:space="preserve">  </w:t>
            </w:r>
            <w:r w:rsidRPr="00C0269A">
              <w:rPr>
                <w:rFonts w:ascii="Arial" w:hAnsi="Arial"/>
                <w:b/>
                <w:bCs/>
                <w:sz w:val="26"/>
                <w:szCs w:val="26"/>
                <w:rtl/>
              </w:rPr>
              <w:t>מיכאל קרשן</w:t>
            </w:r>
          </w:p>
          <w:p w14:paraId="387CF0E6" w14:textId="77777777" w:rsidR="0056797D" w:rsidRPr="00C0269A" w:rsidRDefault="0056797D" w:rsidP="0056797D">
            <w:pPr>
              <w:jc w:val="both"/>
              <w:rPr>
                <w:rFonts w:ascii="Arial" w:hAnsi="Arial"/>
                <w:sz w:val="26"/>
                <w:szCs w:val="26"/>
              </w:rPr>
            </w:pPr>
          </w:p>
        </w:tc>
      </w:tr>
      <w:tr w:rsidR="0056797D" w:rsidRPr="00C0269A" w14:paraId="56EB4AC6" w14:textId="77777777" w:rsidTr="0056797D">
        <w:trPr>
          <w:trHeight w:val="355"/>
          <w:jc w:val="center"/>
        </w:trPr>
        <w:tc>
          <w:tcPr>
            <w:tcW w:w="1195" w:type="dxa"/>
            <w:tcBorders>
              <w:top w:val="nil"/>
              <w:left w:val="nil"/>
              <w:bottom w:val="nil"/>
              <w:right w:val="nil"/>
            </w:tcBorders>
            <w:shd w:val="clear" w:color="auto" w:fill="auto"/>
          </w:tcPr>
          <w:p w14:paraId="24AF9E80" w14:textId="77777777" w:rsidR="0056797D" w:rsidRPr="00C0269A" w:rsidRDefault="0056797D" w:rsidP="0056797D">
            <w:pPr>
              <w:jc w:val="both"/>
              <w:rPr>
                <w:rFonts w:ascii="Arial" w:hAnsi="Arial"/>
                <w:sz w:val="26"/>
                <w:szCs w:val="26"/>
                <w:rtl/>
              </w:rPr>
            </w:pPr>
            <w:bookmarkStart w:id="1" w:name="FirstAppellant"/>
          </w:p>
          <w:p w14:paraId="00605A56" w14:textId="77777777" w:rsidR="0056797D" w:rsidRPr="00C0269A" w:rsidRDefault="0056797D" w:rsidP="0056797D">
            <w:pPr>
              <w:jc w:val="both"/>
              <w:rPr>
                <w:rFonts w:ascii="Arial" w:hAnsi="Arial"/>
                <w:sz w:val="26"/>
                <w:szCs w:val="26"/>
              </w:rPr>
            </w:pPr>
            <w:r w:rsidRPr="00C0269A">
              <w:rPr>
                <w:rFonts w:ascii="Arial" w:hAnsi="Arial" w:hint="cs"/>
                <w:sz w:val="26"/>
                <w:szCs w:val="26"/>
                <w:rtl/>
              </w:rPr>
              <w:t>בעניין:</w:t>
            </w:r>
          </w:p>
        </w:tc>
        <w:tc>
          <w:tcPr>
            <w:tcW w:w="3990" w:type="dxa"/>
            <w:tcBorders>
              <w:top w:val="nil"/>
              <w:left w:val="nil"/>
              <w:bottom w:val="nil"/>
              <w:right w:val="nil"/>
            </w:tcBorders>
            <w:shd w:val="clear" w:color="auto" w:fill="auto"/>
          </w:tcPr>
          <w:p w14:paraId="0B7653D0" w14:textId="77777777" w:rsidR="0056797D" w:rsidRPr="00C0269A" w:rsidRDefault="0056797D" w:rsidP="0056797D">
            <w:pPr>
              <w:jc w:val="both"/>
              <w:rPr>
                <w:rFonts w:ascii="Arial" w:hAnsi="Arial"/>
                <w:sz w:val="26"/>
                <w:szCs w:val="26"/>
                <w:rtl/>
              </w:rPr>
            </w:pPr>
          </w:p>
          <w:p w14:paraId="5579F960" w14:textId="77777777" w:rsidR="0056797D" w:rsidRPr="00C0269A" w:rsidRDefault="0056797D" w:rsidP="0056797D">
            <w:pPr>
              <w:jc w:val="both"/>
              <w:rPr>
                <w:rFonts w:ascii="Arial" w:hAnsi="Arial"/>
                <w:sz w:val="26"/>
                <w:szCs w:val="26"/>
              </w:rPr>
            </w:pPr>
            <w:r w:rsidRPr="00C0269A">
              <w:rPr>
                <w:rFonts w:ascii="Arial" w:hAnsi="Arial" w:hint="cs"/>
                <w:sz w:val="26"/>
                <w:szCs w:val="26"/>
                <w:rtl/>
              </w:rPr>
              <w:t>ה</w:t>
            </w:r>
            <w:r w:rsidRPr="00C0269A">
              <w:rPr>
                <w:rFonts w:ascii="Arial" w:hAnsi="Arial"/>
                <w:sz w:val="26"/>
                <w:szCs w:val="26"/>
                <w:rtl/>
              </w:rPr>
              <w:t>מאשימה</w:t>
            </w:r>
          </w:p>
        </w:tc>
        <w:tc>
          <w:tcPr>
            <w:tcW w:w="3635" w:type="dxa"/>
            <w:tcBorders>
              <w:top w:val="nil"/>
              <w:left w:val="nil"/>
              <w:bottom w:val="nil"/>
              <w:right w:val="nil"/>
            </w:tcBorders>
            <w:shd w:val="clear" w:color="auto" w:fill="auto"/>
          </w:tcPr>
          <w:p w14:paraId="4360C38A" w14:textId="77777777" w:rsidR="0056797D" w:rsidRPr="00C0269A" w:rsidRDefault="0056797D" w:rsidP="0056797D">
            <w:pPr>
              <w:jc w:val="both"/>
              <w:rPr>
                <w:rFonts w:ascii="Arial" w:hAnsi="Arial"/>
                <w:sz w:val="26"/>
                <w:szCs w:val="26"/>
                <w:rtl/>
              </w:rPr>
            </w:pPr>
          </w:p>
          <w:p w14:paraId="723A505C" w14:textId="77777777" w:rsidR="0056797D" w:rsidRPr="00C0269A" w:rsidRDefault="0056797D" w:rsidP="0056797D">
            <w:pPr>
              <w:jc w:val="both"/>
              <w:rPr>
                <w:sz w:val="26"/>
                <w:szCs w:val="26"/>
              </w:rPr>
            </w:pPr>
            <w:r w:rsidRPr="00C0269A">
              <w:rPr>
                <w:rFonts w:ascii="Arial" w:hAnsi="Arial"/>
                <w:sz w:val="26"/>
                <w:szCs w:val="26"/>
                <w:rtl/>
              </w:rPr>
              <w:t>מדינת ישראל</w:t>
            </w:r>
          </w:p>
          <w:p w14:paraId="4229C159" w14:textId="77777777" w:rsidR="0056797D" w:rsidRPr="00C0269A" w:rsidRDefault="0056797D" w:rsidP="0056797D">
            <w:pPr>
              <w:jc w:val="both"/>
              <w:rPr>
                <w:rFonts w:ascii="Arial" w:hAnsi="Arial"/>
                <w:sz w:val="26"/>
                <w:szCs w:val="26"/>
              </w:rPr>
            </w:pPr>
          </w:p>
        </w:tc>
      </w:tr>
      <w:bookmarkEnd w:id="1"/>
      <w:tr w:rsidR="0056797D" w:rsidRPr="00C0269A" w14:paraId="49E017D0" w14:textId="77777777" w:rsidTr="0056797D">
        <w:trPr>
          <w:trHeight w:val="355"/>
          <w:jc w:val="center"/>
        </w:trPr>
        <w:tc>
          <w:tcPr>
            <w:tcW w:w="1195" w:type="dxa"/>
            <w:tcBorders>
              <w:top w:val="nil"/>
              <w:left w:val="nil"/>
              <w:bottom w:val="nil"/>
              <w:right w:val="nil"/>
            </w:tcBorders>
            <w:shd w:val="clear" w:color="auto" w:fill="auto"/>
          </w:tcPr>
          <w:p w14:paraId="1BA066CC" w14:textId="77777777" w:rsidR="0056797D" w:rsidRPr="00C0269A" w:rsidRDefault="0056797D" w:rsidP="0056797D">
            <w:pPr>
              <w:jc w:val="both"/>
              <w:rPr>
                <w:rFonts w:ascii="Arial" w:hAnsi="Arial"/>
                <w:sz w:val="26"/>
                <w:szCs w:val="26"/>
                <w:rtl/>
              </w:rPr>
            </w:pPr>
          </w:p>
        </w:tc>
        <w:tc>
          <w:tcPr>
            <w:tcW w:w="3990" w:type="dxa"/>
            <w:tcBorders>
              <w:top w:val="nil"/>
              <w:left w:val="nil"/>
              <w:bottom w:val="nil"/>
              <w:right w:val="nil"/>
            </w:tcBorders>
            <w:shd w:val="clear" w:color="auto" w:fill="auto"/>
          </w:tcPr>
          <w:p w14:paraId="739463EB" w14:textId="77777777" w:rsidR="0056797D" w:rsidRPr="00C0269A" w:rsidRDefault="0056797D" w:rsidP="0056797D">
            <w:pPr>
              <w:jc w:val="both"/>
              <w:rPr>
                <w:sz w:val="26"/>
                <w:szCs w:val="26"/>
                <w:rtl/>
              </w:rPr>
            </w:pPr>
          </w:p>
        </w:tc>
        <w:tc>
          <w:tcPr>
            <w:tcW w:w="3635" w:type="dxa"/>
            <w:tcBorders>
              <w:top w:val="nil"/>
              <w:left w:val="nil"/>
              <w:bottom w:val="nil"/>
              <w:right w:val="nil"/>
            </w:tcBorders>
            <w:shd w:val="clear" w:color="auto" w:fill="auto"/>
          </w:tcPr>
          <w:p w14:paraId="1ECA16F9" w14:textId="77777777" w:rsidR="0056797D" w:rsidRPr="00C0269A" w:rsidRDefault="0056797D" w:rsidP="0056797D">
            <w:pPr>
              <w:jc w:val="both"/>
              <w:rPr>
                <w:rFonts w:ascii="Arial" w:hAnsi="Arial"/>
                <w:sz w:val="26"/>
                <w:szCs w:val="26"/>
                <w:rtl/>
              </w:rPr>
            </w:pPr>
          </w:p>
        </w:tc>
      </w:tr>
      <w:tr w:rsidR="0056797D" w:rsidRPr="00C0269A" w14:paraId="573F93F2" w14:textId="77777777" w:rsidTr="0056797D">
        <w:trPr>
          <w:trHeight w:val="355"/>
          <w:jc w:val="center"/>
        </w:trPr>
        <w:tc>
          <w:tcPr>
            <w:tcW w:w="1195" w:type="dxa"/>
            <w:tcBorders>
              <w:top w:val="nil"/>
              <w:left w:val="nil"/>
              <w:bottom w:val="nil"/>
              <w:right w:val="nil"/>
            </w:tcBorders>
            <w:shd w:val="clear" w:color="auto" w:fill="auto"/>
          </w:tcPr>
          <w:p w14:paraId="34FE59BC" w14:textId="77777777" w:rsidR="0056797D" w:rsidRPr="00C0269A" w:rsidRDefault="0056797D" w:rsidP="0056797D">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1CC54C9A" w14:textId="77777777" w:rsidR="0056797D" w:rsidRPr="00C0269A" w:rsidRDefault="0056797D" w:rsidP="0056797D">
            <w:pPr>
              <w:jc w:val="both"/>
              <w:rPr>
                <w:rFonts w:ascii="Arial" w:hAnsi="Arial"/>
                <w:b/>
                <w:bCs/>
                <w:sz w:val="26"/>
                <w:szCs w:val="26"/>
                <w:rtl/>
              </w:rPr>
            </w:pPr>
          </w:p>
          <w:p w14:paraId="5818787A" w14:textId="77777777" w:rsidR="0056797D" w:rsidRPr="00C0269A" w:rsidRDefault="0056797D" w:rsidP="0056797D">
            <w:pPr>
              <w:jc w:val="center"/>
              <w:rPr>
                <w:rFonts w:ascii="Arial" w:hAnsi="Arial"/>
                <w:b/>
                <w:bCs/>
                <w:sz w:val="26"/>
                <w:szCs w:val="26"/>
                <w:rtl/>
              </w:rPr>
            </w:pPr>
            <w:r w:rsidRPr="00C0269A">
              <w:rPr>
                <w:rFonts w:ascii="Arial" w:hAnsi="Arial"/>
                <w:b/>
                <w:bCs/>
                <w:sz w:val="26"/>
                <w:szCs w:val="26"/>
                <w:rtl/>
              </w:rPr>
              <w:t>נגד</w:t>
            </w:r>
          </w:p>
          <w:p w14:paraId="3DD2B391" w14:textId="77777777" w:rsidR="0056797D" w:rsidRPr="00C0269A" w:rsidRDefault="0056797D" w:rsidP="0056797D">
            <w:pPr>
              <w:jc w:val="both"/>
              <w:rPr>
                <w:rFonts w:ascii="Arial" w:hAnsi="Arial"/>
                <w:sz w:val="26"/>
                <w:szCs w:val="26"/>
              </w:rPr>
            </w:pPr>
          </w:p>
        </w:tc>
      </w:tr>
      <w:tr w:rsidR="0056797D" w:rsidRPr="00C0269A" w14:paraId="00D378A9" w14:textId="77777777" w:rsidTr="0056797D">
        <w:trPr>
          <w:trHeight w:val="355"/>
          <w:jc w:val="center"/>
        </w:trPr>
        <w:tc>
          <w:tcPr>
            <w:tcW w:w="1195" w:type="dxa"/>
            <w:tcBorders>
              <w:top w:val="nil"/>
              <w:left w:val="nil"/>
              <w:bottom w:val="nil"/>
              <w:right w:val="nil"/>
            </w:tcBorders>
            <w:shd w:val="clear" w:color="auto" w:fill="auto"/>
          </w:tcPr>
          <w:p w14:paraId="3D1B95B0" w14:textId="77777777" w:rsidR="0056797D" w:rsidRPr="00C0269A" w:rsidRDefault="0056797D" w:rsidP="0056797D">
            <w:pPr>
              <w:jc w:val="both"/>
              <w:rPr>
                <w:rFonts w:ascii="Arial" w:hAnsi="Arial"/>
                <w:sz w:val="26"/>
                <w:szCs w:val="26"/>
                <w:rtl/>
              </w:rPr>
            </w:pPr>
          </w:p>
        </w:tc>
        <w:tc>
          <w:tcPr>
            <w:tcW w:w="3990" w:type="dxa"/>
            <w:tcBorders>
              <w:top w:val="nil"/>
              <w:left w:val="nil"/>
              <w:bottom w:val="nil"/>
              <w:right w:val="nil"/>
            </w:tcBorders>
            <w:shd w:val="clear" w:color="auto" w:fill="auto"/>
          </w:tcPr>
          <w:p w14:paraId="664A548E" w14:textId="77777777" w:rsidR="0056797D" w:rsidRPr="00C0269A" w:rsidRDefault="0056797D" w:rsidP="0056797D">
            <w:pPr>
              <w:jc w:val="both"/>
              <w:rPr>
                <w:sz w:val="26"/>
                <w:szCs w:val="26"/>
                <w:rtl/>
              </w:rPr>
            </w:pPr>
            <w:r w:rsidRPr="00C0269A">
              <w:rPr>
                <w:rFonts w:ascii="Arial" w:hAnsi="Arial" w:hint="cs"/>
                <w:sz w:val="26"/>
                <w:szCs w:val="26"/>
                <w:rtl/>
              </w:rPr>
              <w:t>ה</w:t>
            </w:r>
            <w:r w:rsidRPr="00C0269A">
              <w:rPr>
                <w:rFonts w:ascii="Arial" w:hAnsi="Arial"/>
                <w:sz w:val="26"/>
                <w:szCs w:val="26"/>
                <w:rtl/>
              </w:rPr>
              <w:t>נא</w:t>
            </w:r>
            <w:r w:rsidRPr="00C0269A">
              <w:rPr>
                <w:rFonts w:ascii="Arial" w:hAnsi="Arial" w:hint="cs"/>
                <w:sz w:val="26"/>
                <w:szCs w:val="26"/>
                <w:rtl/>
              </w:rPr>
              <w:t>שם</w:t>
            </w:r>
          </w:p>
        </w:tc>
        <w:tc>
          <w:tcPr>
            <w:tcW w:w="3635" w:type="dxa"/>
            <w:tcBorders>
              <w:top w:val="nil"/>
              <w:left w:val="nil"/>
              <w:bottom w:val="nil"/>
              <w:right w:val="nil"/>
            </w:tcBorders>
            <w:shd w:val="clear" w:color="auto" w:fill="auto"/>
          </w:tcPr>
          <w:p w14:paraId="4C9AC0B3" w14:textId="77777777" w:rsidR="0056797D" w:rsidRPr="00C0269A" w:rsidRDefault="0056797D" w:rsidP="0056797D">
            <w:pPr>
              <w:jc w:val="both"/>
            </w:pPr>
            <w:r w:rsidRPr="00C0269A">
              <w:rPr>
                <w:rFonts w:ascii="Arial" w:hAnsi="Arial"/>
                <w:sz w:val="26"/>
                <w:szCs w:val="26"/>
                <w:rtl/>
              </w:rPr>
              <w:t>סטיב בלעום (עציר)</w:t>
            </w:r>
          </w:p>
          <w:p w14:paraId="67DF6931" w14:textId="77777777" w:rsidR="0056797D" w:rsidRPr="00C0269A" w:rsidRDefault="0056797D" w:rsidP="0056797D">
            <w:pPr>
              <w:jc w:val="both"/>
              <w:rPr>
                <w:rFonts w:ascii="Arial" w:hAnsi="Arial"/>
                <w:sz w:val="26"/>
                <w:szCs w:val="26"/>
              </w:rPr>
            </w:pPr>
          </w:p>
        </w:tc>
      </w:tr>
    </w:tbl>
    <w:p w14:paraId="4BC8A889" w14:textId="77777777" w:rsidR="0056797D" w:rsidRPr="00C0269A" w:rsidRDefault="0056797D" w:rsidP="0056797D">
      <w:pPr>
        <w:jc w:val="both"/>
        <w:rPr>
          <w:rtl/>
        </w:rPr>
      </w:pPr>
      <w:r w:rsidRPr="00C0269A">
        <w:rPr>
          <w:rFonts w:hint="cs"/>
          <w:rtl/>
        </w:rPr>
        <w:t>נוכחים:</w:t>
      </w:r>
    </w:p>
    <w:p w14:paraId="6BF67200" w14:textId="77777777" w:rsidR="0056797D" w:rsidRPr="00C0269A" w:rsidRDefault="0056797D" w:rsidP="0056797D">
      <w:pPr>
        <w:jc w:val="both"/>
        <w:rPr>
          <w:rtl/>
        </w:rPr>
      </w:pPr>
      <w:bookmarkStart w:id="2" w:name="FirstLawyer"/>
      <w:r w:rsidRPr="00C0269A">
        <w:rPr>
          <w:rFonts w:hint="cs"/>
          <w:rtl/>
        </w:rPr>
        <w:t>ב"כ</w:t>
      </w:r>
      <w:bookmarkEnd w:id="2"/>
      <w:r w:rsidRPr="00C0269A">
        <w:rPr>
          <w:rFonts w:hint="cs"/>
          <w:rtl/>
        </w:rPr>
        <w:t xml:space="preserve"> המאשימה עו"ד טלי קרת</w:t>
      </w:r>
    </w:p>
    <w:p w14:paraId="68805452" w14:textId="77777777" w:rsidR="00981560" w:rsidRDefault="0056797D" w:rsidP="00981560">
      <w:pPr>
        <w:spacing w:after="120" w:line="240" w:lineRule="exact"/>
        <w:ind w:left="283" w:hanging="283"/>
        <w:jc w:val="both"/>
        <w:rPr>
          <w:rtl/>
        </w:rPr>
      </w:pPr>
      <w:r w:rsidRPr="00C0269A">
        <w:rPr>
          <w:rFonts w:hint="cs"/>
          <w:rtl/>
        </w:rPr>
        <w:t>הנאשם הובא וב"כ עו"ד ווג'די ג'לג'</w:t>
      </w:r>
      <w:bookmarkStart w:id="3" w:name="LawTable"/>
      <w:bookmarkEnd w:id="3"/>
    </w:p>
    <w:p w14:paraId="1E2FC467" w14:textId="77777777" w:rsidR="00981560" w:rsidRPr="00981560" w:rsidRDefault="00981560" w:rsidP="00981560">
      <w:pPr>
        <w:spacing w:after="120" w:line="240" w:lineRule="exact"/>
        <w:ind w:left="283" w:hanging="283"/>
        <w:jc w:val="both"/>
        <w:rPr>
          <w:rFonts w:ascii="FrankRuehl" w:hAnsi="FrankRuehl" w:cs="FrankRuehl"/>
          <w:rtl/>
        </w:rPr>
      </w:pPr>
    </w:p>
    <w:p w14:paraId="298E6B80" w14:textId="77777777" w:rsidR="00981560" w:rsidRPr="00981560" w:rsidRDefault="00981560" w:rsidP="00981560">
      <w:pPr>
        <w:spacing w:after="120" w:line="240" w:lineRule="exact"/>
        <w:ind w:left="283" w:hanging="283"/>
        <w:jc w:val="both"/>
        <w:rPr>
          <w:rFonts w:ascii="FrankRuehl" w:hAnsi="FrankRuehl" w:cs="FrankRuehl"/>
          <w:rtl/>
        </w:rPr>
      </w:pPr>
      <w:r w:rsidRPr="00981560">
        <w:rPr>
          <w:rFonts w:ascii="FrankRuehl" w:hAnsi="FrankRuehl" w:cs="FrankRuehl"/>
          <w:rtl/>
        </w:rPr>
        <w:t xml:space="preserve">חקיקה שאוזכרה: </w:t>
      </w:r>
    </w:p>
    <w:p w14:paraId="57BEDD4C" w14:textId="77777777" w:rsidR="00981560" w:rsidRPr="00981560" w:rsidRDefault="00981560" w:rsidP="00981560">
      <w:pPr>
        <w:spacing w:after="120" w:line="240" w:lineRule="exact"/>
        <w:ind w:left="283" w:hanging="283"/>
        <w:jc w:val="both"/>
        <w:rPr>
          <w:rFonts w:ascii="FrankRuehl" w:hAnsi="FrankRuehl" w:cs="FrankRuehl"/>
          <w:rtl/>
        </w:rPr>
      </w:pPr>
      <w:hyperlink r:id="rId7" w:history="1">
        <w:r w:rsidRPr="00981560">
          <w:rPr>
            <w:rFonts w:ascii="FrankRuehl" w:hAnsi="FrankRuehl" w:cs="FrankRuehl"/>
            <w:color w:val="0000FF"/>
            <w:u w:val="single"/>
            <w:rtl/>
          </w:rPr>
          <w:t>פקודת הסמים המסוכנים [נוסח חדש], תשל"ג-1973</w:t>
        </w:r>
      </w:hyperlink>
      <w:r w:rsidRPr="00981560">
        <w:rPr>
          <w:rFonts w:ascii="FrankRuehl" w:hAnsi="FrankRuehl" w:cs="FrankRuehl"/>
          <w:rtl/>
        </w:rPr>
        <w:t xml:space="preserve">: סע'  </w:t>
      </w:r>
      <w:hyperlink r:id="rId8" w:history="1">
        <w:r w:rsidRPr="00981560">
          <w:rPr>
            <w:rFonts w:ascii="FrankRuehl" w:hAnsi="FrankRuehl" w:cs="FrankRuehl"/>
            <w:color w:val="0000FF"/>
            <w:u w:val="single"/>
            <w:rtl/>
          </w:rPr>
          <w:t>36א(ב)</w:t>
        </w:r>
      </w:hyperlink>
    </w:p>
    <w:p w14:paraId="503C979B" w14:textId="77777777" w:rsidR="00981560" w:rsidRPr="00981560" w:rsidRDefault="00981560" w:rsidP="00981560">
      <w:pPr>
        <w:spacing w:after="120" w:line="240" w:lineRule="exact"/>
        <w:ind w:left="283" w:hanging="283"/>
        <w:jc w:val="both"/>
        <w:rPr>
          <w:rFonts w:ascii="FrankRuehl" w:hAnsi="FrankRuehl" w:cs="FrankRuehl"/>
          <w:rtl/>
        </w:rPr>
      </w:pPr>
      <w:hyperlink r:id="rId9" w:history="1">
        <w:r w:rsidRPr="00981560">
          <w:rPr>
            <w:rFonts w:ascii="FrankRuehl" w:hAnsi="FrankRuehl" w:cs="FrankRuehl"/>
            <w:color w:val="0000FF"/>
            <w:u w:val="single"/>
            <w:rtl/>
          </w:rPr>
          <w:t>פקודת סדר הדין הפלילי (מעצר וחיפוש) [נוסח חדש], תשכ"ט-1969</w:t>
        </w:r>
      </w:hyperlink>
      <w:r w:rsidRPr="00981560">
        <w:rPr>
          <w:rFonts w:ascii="FrankRuehl" w:hAnsi="FrankRuehl" w:cs="FrankRuehl"/>
          <w:rtl/>
        </w:rPr>
        <w:t xml:space="preserve">: סע'  </w:t>
      </w:r>
      <w:hyperlink r:id="rId10" w:history="1">
        <w:r w:rsidRPr="00981560">
          <w:rPr>
            <w:rFonts w:ascii="FrankRuehl" w:hAnsi="FrankRuehl" w:cs="FrankRuehl"/>
            <w:color w:val="0000FF"/>
            <w:u w:val="single"/>
            <w:rtl/>
          </w:rPr>
          <w:t>39</w:t>
        </w:r>
      </w:hyperlink>
    </w:p>
    <w:p w14:paraId="3F90FDD5" w14:textId="77777777" w:rsidR="00981560" w:rsidRPr="00981560" w:rsidRDefault="00981560" w:rsidP="00981560">
      <w:pPr>
        <w:spacing w:after="120" w:line="240" w:lineRule="exact"/>
        <w:ind w:left="283" w:hanging="283"/>
        <w:jc w:val="both"/>
        <w:rPr>
          <w:rFonts w:ascii="FrankRuehl" w:hAnsi="FrankRuehl" w:cs="FrankRuehl"/>
          <w:rtl/>
        </w:rPr>
      </w:pPr>
    </w:p>
    <w:p w14:paraId="3866BD21" w14:textId="77777777" w:rsidR="00981560" w:rsidRPr="00981560" w:rsidRDefault="00981560" w:rsidP="00981560">
      <w:pPr>
        <w:spacing w:after="120" w:line="240" w:lineRule="exact"/>
        <w:ind w:left="283" w:hanging="283"/>
        <w:jc w:val="both"/>
        <w:rPr>
          <w:rtl/>
        </w:rPr>
      </w:pPr>
      <w:bookmarkStart w:id="4" w:name="LawTable_End"/>
      <w:bookmarkEnd w:id="4"/>
    </w:p>
    <w:p w14:paraId="58727247" w14:textId="77777777" w:rsidR="00981560" w:rsidRPr="00981560" w:rsidRDefault="00981560" w:rsidP="00981560">
      <w:pPr>
        <w:spacing w:after="120" w:line="240" w:lineRule="exact"/>
        <w:ind w:left="283" w:hanging="283"/>
        <w:jc w:val="both"/>
        <w:rPr>
          <w:rtl/>
        </w:rPr>
      </w:pPr>
    </w:p>
    <w:p w14:paraId="3996FF16" w14:textId="77777777" w:rsidR="00981560" w:rsidRPr="00981560" w:rsidRDefault="0056797D" w:rsidP="00981560">
      <w:pPr>
        <w:spacing w:after="120" w:line="240" w:lineRule="exact"/>
        <w:ind w:left="283" w:hanging="283"/>
        <w:jc w:val="both"/>
        <w:rPr>
          <w:rFonts w:ascii="FrankRuehl" w:hAnsi="FrankRuehl" w:cs="FrankRuehl"/>
          <w:rtl/>
        </w:rPr>
      </w:pPr>
      <w:r w:rsidRPr="00981560">
        <w:rPr>
          <w:rFonts w:hint="cs"/>
          <w:rtl/>
        </w:rPr>
        <w:t>ו</w:t>
      </w:r>
    </w:p>
    <w:p w14:paraId="70C4BB0B" w14:textId="77777777" w:rsidR="00981560" w:rsidRPr="00981560" w:rsidRDefault="00981560" w:rsidP="00467889">
      <w:pPr>
        <w:spacing w:after="120" w:line="240" w:lineRule="exact"/>
        <w:ind w:left="283" w:hanging="283"/>
        <w:jc w:val="both"/>
        <w:rPr>
          <w:rtl/>
        </w:rPr>
      </w:pPr>
    </w:p>
    <w:p w14:paraId="46487CD9" w14:textId="77777777" w:rsidR="00981560" w:rsidRPr="00981560" w:rsidRDefault="00981560" w:rsidP="00467889">
      <w:pPr>
        <w:spacing w:after="120" w:line="240" w:lineRule="exact"/>
        <w:ind w:left="283" w:hanging="283"/>
        <w:jc w:val="both"/>
        <w:rPr>
          <w:rtl/>
        </w:rPr>
      </w:pPr>
    </w:p>
    <w:p w14:paraId="65EA6161" w14:textId="77777777" w:rsidR="00467889" w:rsidRPr="00467889" w:rsidRDefault="0056797D" w:rsidP="00467889">
      <w:pPr>
        <w:spacing w:after="120" w:line="240" w:lineRule="exact"/>
        <w:ind w:left="283" w:hanging="283"/>
        <w:jc w:val="both"/>
        <w:rPr>
          <w:rFonts w:ascii="FrankRuehl" w:hAnsi="FrankRuehl" w:cs="FrankRuehl"/>
          <w:rtl/>
        </w:rPr>
      </w:pPr>
      <w:r w:rsidRPr="00981560">
        <w:rPr>
          <w:rFonts w:hint="cs"/>
          <w:rtl/>
        </w:rPr>
        <w:t>ל</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797D" w14:paraId="59E4D7E4" w14:textId="77777777" w:rsidTr="0056797D">
        <w:trPr>
          <w:trHeight w:val="355"/>
          <w:jc w:val="center"/>
        </w:trPr>
        <w:tc>
          <w:tcPr>
            <w:tcW w:w="8820" w:type="dxa"/>
            <w:tcBorders>
              <w:top w:val="nil"/>
              <w:left w:val="nil"/>
              <w:bottom w:val="nil"/>
              <w:right w:val="nil"/>
            </w:tcBorders>
            <w:shd w:val="clear" w:color="auto" w:fill="auto"/>
          </w:tcPr>
          <w:p w14:paraId="6BA6AA31" w14:textId="77777777" w:rsidR="00C0269A" w:rsidRPr="00C0269A" w:rsidRDefault="00C0269A" w:rsidP="00C0269A">
            <w:pPr>
              <w:jc w:val="center"/>
              <w:rPr>
                <w:rFonts w:ascii="Arial" w:hAnsi="Arial"/>
                <w:b/>
                <w:bCs/>
                <w:sz w:val="32"/>
                <w:szCs w:val="32"/>
                <w:u w:val="single"/>
                <w:rtl/>
              </w:rPr>
            </w:pPr>
            <w:bookmarkStart w:id="5" w:name="PsakDin" w:colFirst="0" w:colLast="0"/>
            <w:bookmarkEnd w:id="0"/>
            <w:r w:rsidRPr="00C0269A">
              <w:rPr>
                <w:rFonts w:ascii="Arial" w:hAnsi="Arial"/>
                <w:b/>
                <w:bCs/>
                <w:sz w:val="32"/>
                <w:szCs w:val="32"/>
                <w:u w:val="single"/>
                <w:rtl/>
              </w:rPr>
              <w:t>גזר דין</w:t>
            </w:r>
          </w:p>
          <w:p w14:paraId="73DBFF7A" w14:textId="77777777" w:rsidR="0056797D" w:rsidRPr="00C0269A" w:rsidRDefault="0056797D" w:rsidP="00C0269A">
            <w:pPr>
              <w:jc w:val="center"/>
              <w:rPr>
                <w:rFonts w:ascii="Arial" w:hAnsi="Arial"/>
                <w:bCs/>
                <w:sz w:val="32"/>
                <w:szCs w:val="32"/>
                <w:u w:val="single"/>
                <w:rtl/>
              </w:rPr>
            </w:pPr>
          </w:p>
        </w:tc>
      </w:tr>
      <w:bookmarkEnd w:id="5"/>
    </w:tbl>
    <w:p w14:paraId="3B3B274F" w14:textId="77777777" w:rsidR="0056797D" w:rsidRDefault="0056797D" w:rsidP="0056797D">
      <w:pPr>
        <w:jc w:val="both"/>
        <w:rPr>
          <w:rFonts w:ascii="Arial" w:hAnsi="Arial"/>
          <w:sz w:val="26"/>
          <w:szCs w:val="26"/>
          <w:rtl/>
        </w:rPr>
      </w:pPr>
    </w:p>
    <w:p w14:paraId="675FE79A" w14:textId="77777777" w:rsidR="0056797D" w:rsidRPr="003D6A84" w:rsidRDefault="0056797D" w:rsidP="0056797D">
      <w:pPr>
        <w:spacing w:line="360" w:lineRule="auto"/>
        <w:jc w:val="both"/>
        <w:rPr>
          <w:rFonts w:ascii="Arial" w:hAnsi="Arial"/>
          <w:b/>
          <w:bCs/>
          <w:u w:val="single"/>
          <w:rtl/>
        </w:rPr>
      </w:pPr>
      <w:r w:rsidRPr="003D6A84">
        <w:rPr>
          <w:rFonts w:ascii="Arial" w:hAnsi="Arial" w:hint="cs"/>
          <w:b/>
          <w:bCs/>
          <w:u w:val="single"/>
          <w:rtl/>
        </w:rPr>
        <w:t xml:space="preserve">העובדות    </w:t>
      </w:r>
    </w:p>
    <w:p w14:paraId="6544D9FB" w14:textId="77777777" w:rsidR="0056797D" w:rsidRDefault="0056797D" w:rsidP="0056797D">
      <w:pPr>
        <w:pStyle w:val="ListParagraph1"/>
        <w:numPr>
          <w:ilvl w:val="0"/>
          <w:numId w:val="1"/>
        </w:numPr>
        <w:spacing w:line="360" w:lineRule="auto"/>
        <w:ind w:left="0" w:firstLine="0"/>
        <w:jc w:val="both"/>
        <w:rPr>
          <w:rFonts w:ascii="Arial" w:hAnsi="Arial"/>
        </w:rPr>
      </w:pPr>
      <w:bookmarkStart w:id="6" w:name="ABSTRACT_START"/>
      <w:bookmarkEnd w:id="6"/>
      <w:r w:rsidRPr="00534AC9">
        <w:rPr>
          <w:rFonts w:ascii="Arial" w:hAnsi="Arial" w:hint="cs"/>
          <w:rtl/>
        </w:rPr>
        <w:t>הנאשם, סטיב בלעום יליד 1979</w:t>
      </w:r>
      <w:r>
        <w:rPr>
          <w:rFonts w:ascii="Arial" w:hAnsi="Arial" w:hint="cs"/>
          <w:rtl/>
        </w:rPr>
        <w:t>,</w:t>
      </w:r>
      <w:r w:rsidRPr="00534AC9">
        <w:rPr>
          <w:rFonts w:ascii="Arial" w:hAnsi="Arial" w:hint="cs"/>
          <w:rtl/>
        </w:rPr>
        <w:t xml:space="preserve"> הורשע על יסוד הודאתו בעובדות כתב אישום</w:t>
      </w:r>
      <w:r>
        <w:rPr>
          <w:rFonts w:ascii="Arial" w:hAnsi="Arial" w:hint="cs"/>
          <w:rtl/>
        </w:rPr>
        <w:t xml:space="preserve"> מתוקן, במסגרת הסדר דיוני שלא כל</w:t>
      </w:r>
      <w:r w:rsidRPr="00534AC9">
        <w:rPr>
          <w:rFonts w:ascii="Arial" w:hAnsi="Arial" w:hint="cs"/>
          <w:rtl/>
        </w:rPr>
        <w:t xml:space="preserve">ל הסכמה לעניין העונש, בביצוע עבירות של </w:t>
      </w:r>
      <w:r w:rsidRPr="00534AC9">
        <w:rPr>
          <w:rFonts w:ascii="Arial" w:hAnsi="Arial" w:hint="cs"/>
          <w:b/>
          <w:bCs/>
          <w:rtl/>
        </w:rPr>
        <w:t xml:space="preserve">החזקת סם מסוכן </w:t>
      </w:r>
      <w:r w:rsidRPr="00AC6A6C">
        <w:rPr>
          <w:rFonts w:ascii="Arial" w:hAnsi="Arial" w:hint="cs"/>
          <w:rtl/>
        </w:rPr>
        <w:t>ו-</w:t>
      </w:r>
      <w:r w:rsidRPr="00534AC9">
        <w:rPr>
          <w:rFonts w:ascii="Arial" w:hAnsi="Arial" w:hint="cs"/>
          <w:b/>
          <w:bCs/>
          <w:rtl/>
        </w:rPr>
        <w:t>הפרעה לשוטר במילוי תפקידו</w:t>
      </w:r>
      <w:r w:rsidRPr="00534AC9">
        <w:rPr>
          <w:rFonts w:ascii="Arial" w:hAnsi="Arial" w:hint="cs"/>
          <w:rtl/>
        </w:rPr>
        <w:t>.</w:t>
      </w:r>
    </w:p>
    <w:p w14:paraId="1D6B66A0" w14:textId="77777777" w:rsidR="0056797D" w:rsidRPr="00534AC9" w:rsidRDefault="0056797D" w:rsidP="0056797D">
      <w:pPr>
        <w:pStyle w:val="ListParagraph1"/>
        <w:spacing w:line="360" w:lineRule="auto"/>
        <w:ind w:left="0"/>
        <w:jc w:val="both"/>
        <w:rPr>
          <w:rFonts w:ascii="Arial" w:hAnsi="Arial"/>
        </w:rPr>
      </w:pPr>
      <w:bookmarkStart w:id="7" w:name="ABSTRACT_END"/>
      <w:bookmarkEnd w:id="7"/>
    </w:p>
    <w:p w14:paraId="3C4CC5F1" w14:textId="77777777" w:rsidR="0056797D" w:rsidRPr="00534AC9" w:rsidRDefault="0056797D" w:rsidP="0056797D">
      <w:pPr>
        <w:pStyle w:val="ListParagraph1"/>
        <w:numPr>
          <w:ilvl w:val="0"/>
          <w:numId w:val="1"/>
        </w:numPr>
        <w:spacing w:line="360" w:lineRule="auto"/>
        <w:ind w:left="0" w:firstLine="0"/>
        <w:jc w:val="both"/>
        <w:rPr>
          <w:rFonts w:ascii="Arial" w:hAnsi="Arial"/>
          <w:rtl/>
        </w:rPr>
      </w:pPr>
      <w:r w:rsidRPr="00534AC9">
        <w:rPr>
          <w:rFonts w:ascii="Arial" w:hAnsi="Arial" w:hint="cs"/>
          <w:rtl/>
        </w:rPr>
        <w:lastRenderedPageBreak/>
        <w:t xml:space="preserve"> לפי עובדות כתב האישום המתוקן ביום 4.11.2017 בשעה 01:00 או בסמוך לכך, נהג הנאשם ברכב מסוג וולבו. באותה העת החזיק הנאשם בתא המטען ברכב סמים מסוכנים שלא לצריכה עצמית </w:t>
      </w:r>
    </w:p>
    <w:p w14:paraId="685282C5" w14:textId="77777777" w:rsidR="0056797D" w:rsidRDefault="0056797D" w:rsidP="0056797D">
      <w:pPr>
        <w:spacing w:line="360" w:lineRule="auto"/>
        <w:jc w:val="both"/>
        <w:rPr>
          <w:rFonts w:ascii="Arial" w:hAnsi="Arial"/>
          <w:rtl/>
        </w:rPr>
      </w:pPr>
      <w:r>
        <w:rPr>
          <w:rFonts w:ascii="Arial" w:hAnsi="Arial" w:hint="cs"/>
          <w:rtl/>
        </w:rPr>
        <w:t>שלא כדין וללא היתר לפי הפירוט הבא:</w:t>
      </w:r>
    </w:p>
    <w:p w14:paraId="406F9FB3" w14:textId="77777777" w:rsidR="0056797D" w:rsidRDefault="0056797D" w:rsidP="0056797D">
      <w:pPr>
        <w:spacing w:line="360" w:lineRule="auto"/>
        <w:jc w:val="both"/>
        <w:rPr>
          <w:rFonts w:ascii="Arial" w:hAnsi="Arial"/>
          <w:rtl/>
        </w:rPr>
      </w:pPr>
    </w:p>
    <w:p w14:paraId="154E7198"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אצבעות סם מסוג חשיש במשקל של 67.9 גרם נטו, בבקבוק "דנונה" ירוק שהיה על מושב הנהג ברכב.</w:t>
      </w:r>
    </w:p>
    <w:p w14:paraId="7D688658"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אצבעות סם מסוג חשיש במשקל 90.9 גרם נטו, בבקבוק "דנונה" כחול שהיה על מושב הנהג ברכב.</w:t>
      </w:r>
    </w:p>
    <w:p w14:paraId="2DF6CBAA"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26 כדורי סם מסוג אקסטזי בקופסה בתא המטען של הרכב.</w:t>
      </w:r>
    </w:p>
    <w:p w14:paraId="6FF00F99"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שתי שקיות המכילות סם מסוג קוקאין במשקל 3.059 גרם נטו, בקופסה בתא המטען של הרכב.</w:t>
      </w:r>
    </w:p>
    <w:p w14:paraId="67934E6D"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50 כדורי סם מסוג אקסטזי בצבע ירוק, בתוך שקית בתא המטען של הרכב.</w:t>
      </w:r>
    </w:p>
    <w:p w14:paraId="19349087"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פלטה של סם מסוג חשיש במשקל 95.1 גרם נטו, בתא המטען הרכב.</w:t>
      </w:r>
    </w:p>
    <w:p w14:paraId="10995839"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4 שקיות המכילות סם מסוג מריחואנה במשקל 22.2 גרם נטו, בתא המטען של הרכב.</w:t>
      </w:r>
    </w:p>
    <w:p w14:paraId="65DA39A1"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שתי חתיכות של סם מסוג חשיש במשקל 1.8. גרם נטו, בתוך הרכב.</w:t>
      </w:r>
    </w:p>
    <w:p w14:paraId="7FE1B4CB"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 xml:space="preserve">30 גרם כדורי סם מסוג אקסטזי בצבע ורוד, בתוך שקית בתא המטען של הרכב. </w:t>
      </w:r>
    </w:p>
    <w:p w14:paraId="10E1D1C0"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כדור סם מסוג אקסטזי בצבע ירוק בצורת ראש של חתול, בתוך הכיס של הנאשם.</w:t>
      </w:r>
    </w:p>
    <w:p w14:paraId="42386BEC" w14:textId="77777777" w:rsidR="0056797D" w:rsidRDefault="0056797D" w:rsidP="0056797D">
      <w:pPr>
        <w:pStyle w:val="ListParagraph1"/>
        <w:numPr>
          <w:ilvl w:val="0"/>
          <w:numId w:val="2"/>
        </w:numPr>
        <w:spacing w:line="360" w:lineRule="auto"/>
        <w:jc w:val="both"/>
        <w:rPr>
          <w:rFonts w:ascii="Arial" w:hAnsi="Arial"/>
        </w:rPr>
      </w:pPr>
      <w:r>
        <w:rPr>
          <w:rFonts w:ascii="Arial" w:hAnsi="Arial" w:hint="cs"/>
          <w:rtl/>
        </w:rPr>
        <w:t xml:space="preserve">10 ריבועי נייר של סם מסוג </w:t>
      </w:r>
      <w:r>
        <w:rPr>
          <w:rFonts w:ascii="Arial" w:hAnsi="Arial" w:hint="cs"/>
        </w:rPr>
        <w:t>LSD</w:t>
      </w:r>
      <w:r>
        <w:rPr>
          <w:rFonts w:ascii="Arial" w:hAnsi="Arial" w:hint="cs"/>
          <w:rtl/>
        </w:rPr>
        <w:t xml:space="preserve">, בתוך טלפון נוקיה שחור של הנאשם. </w:t>
      </w:r>
    </w:p>
    <w:p w14:paraId="099106EB" w14:textId="77777777" w:rsidR="0056797D" w:rsidRDefault="0056797D" w:rsidP="0056797D">
      <w:pPr>
        <w:spacing w:line="360" w:lineRule="auto"/>
        <w:jc w:val="both"/>
        <w:rPr>
          <w:rFonts w:ascii="Arial" w:hAnsi="Arial"/>
          <w:rtl/>
        </w:rPr>
      </w:pPr>
    </w:p>
    <w:p w14:paraId="1BC3121B" w14:textId="77777777" w:rsidR="0056797D" w:rsidRDefault="0056797D" w:rsidP="0056797D">
      <w:pPr>
        <w:spacing w:line="360" w:lineRule="auto"/>
        <w:ind w:firstLine="720"/>
        <w:jc w:val="both"/>
        <w:rPr>
          <w:rFonts w:ascii="Arial" w:hAnsi="Arial"/>
          <w:rtl/>
        </w:rPr>
      </w:pPr>
      <w:r>
        <w:rPr>
          <w:rFonts w:ascii="Arial" w:hAnsi="Arial" w:hint="cs"/>
          <w:rtl/>
        </w:rPr>
        <w:t xml:space="preserve">באותה העת שהו במקום במסגרת תפקידם השוטרים אלכס סושקוב (להלן </w:t>
      </w:r>
      <w:r>
        <w:rPr>
          <w:rFonts w:ascii="Arial" w:hAnsi="Arial"/>
          <w:rtl/>
        </w:rPr>
        <w:t>–</w:t>
      </w:r>
      <w:r>
        <w:rPr>
          <w:rFonts w:ascii="Arial" w:hAnsi="Arial" w:hint="cs"/>
          <w:rtl/>
        </w:rPr>
        <w:t xml:space="preserve"> "</w:t>
      </w:r>
      <w:r w:rsidRPr="00814D99">
        <w:rPr>
          <w:rFonts w:ascii="Arial" w:hAnsi="Arial" w:hint="cs"/>
          <w:b/>
          <w:bCs/>
          <w:rtl/>
        </w:rPr>
        <w:t>השוטר אלכס</w:t>
      </w:r>
      <w:r>
        <w:rPr>
          <w:rFonts w:ascii="Arial" w:hAnsi="Arial" w:hint="cs"/>
          <w:rtl/>
        </w:rPr>
        <w:t xml:space="preserve">") וגל פדלון (להלן </w:t>
      </w:r>
      <w:r>
        <w:rPr>
          <w:rFonts w:ascii="Arial" w:hAnsi="Arial"/>
          <w:rtl/>
        </w:rPr>
        <w:t>–</w:t>
      </w:r>
      <w:r>
        <w:rPr>
          <w:rFonts w:ascii="Arial" w:hAnsi="Arial" w:hint="cs"/>
          <w:rtl/>
        </w:rPr>
        <w:t xml:space="preserve"> "</w:t>
      </w:r>
      <w:r w:rsidRPr="00814D99">
        <w:rPr>
          <w:rFonts w:ascii="Arial" w:hAnsi="Arial" w:hint="cs"/>
          <w:b/>
          <w:bCs/>
          <w:rtl/>
        </w:rPr>
        <w:t>השוטר גל</w:t>
      </w:r>
      <w:r>
        <w:rPr>
          <w:rFonts w:ascii="Arial" w:hAnsi="Arial" w:hint="cs"/>
          <w:rtl/>
        </w:rPr>
        <w:t xml:space="preserve">"). השוטרים עצרו את הנאשם לבדיקה והבחינו בסם שהיה גלוי לעין והורו לנאשם לצאת מהרכב. אז החל הנאשם לחפש בכיסיו ולאחר שביקש ממנו השוטר גל לשים את ידיו על הרכב כיווץ בעוצמה את אגרוף יד שמאל וסירב לפתחו. השוטר גל אחז בידו השמאלית של הנאשם ודרש ממנו לפתוח את ידו, אך הוא סירב, הוריד את ידיו מהרכב והמשיך להתנגד גם כשהשוטר גל ניסה לכבול את ידיו באזיקים. בתגובה הוציא השוטר גל אקדח טייזר וביקש מהנאשם להפסיק להתנגד. אז הגיע השוטר אלכס אחז בידו של הנאשם וביקש ממנו לפתוח אותה, הנאשם התמהמה מספר שניות ולאחר מכן פתח את ידו. </w:t>
      </w:r>
    </w:p>
    <w:p w14:paraId="259A5A25" w14:textId="77777777" w:rsidR="0056797D" w:rsidRDefault="0056797D" w:rsidP="0056797D">
      <w:pPr>
        <w:spacing w:line="360" w:lineRule="auto"/>
        <w:ind w:firstLine="720"/>
        <w:jc w:val="both"/>
        <w:rPr>
          <w:rFonts w:ascii="Arial" w:hAnsi="Arial"/>
          <w:rtl/>
        </w:rPr>
      </w:pPr>
    </w:p>
    <w:p w14:paraId="2D810A18" w14:textId="77777777" w:rsidR="0056797D" w:rsidRDefault="0056797D" w:rsidP="0056797D">
      <w:pPr>
        <w:spacing w:line="360" w:lineRule="auto"/>
        <w:ind w:firstLine="720"/>
        <w:jc w:val="both"/>
        <w:rPr>
          <w:rFonts w:ascii="Arial" w:hAnsi="Arial"/>
          <w:rtl/>
        </w:rPr>
      </w:pPr>
      <w:r>
        <w:rPr>
          <w:rFonts w:ascii="Arial" w:hAnsi="Arial" w:hint="cs"/>
          <w:rtl/>
        </w:rPr>
        <w:t>מידו נפלו מספר חתיכות של סם מסוג חשיש במשקל 3.2. גרם נטו.</w:t>
      </w:r>
    </w:p>
    <w:p w14:paraId="4A6D0D97" w14:textId="77777777" w:rsidR="0056797D" w:rsidRDefault="0056797D" w:rsidP="0056797D">
      <w:pPr>
        <w:spacing w:line="360" w:lineRule="auto"/>
        <w:jc w:val="both"/>
        <w:rPr>
          <w:rFonts w:ascii="Arial" w:hAnsi="Arial"/>
          <w:rtl/>
        </w:rPr>
      </w:pPr>
      <w:r>
        <w:rPr>
          <w:rFonts w:ascii="Arial" w:hAnsi="Arial" w:hint="cs"/>
          <w:rtl/>
        </w:rPr>
        <w:t xml:space="preserve"> </w:t>
      </w:r>
    </w:p>
    <w:p w14:paraId="54AF2FA6" w14:textId="77777777" w:rsidR="0056797D" w:rsidRPr="009D430E" w:rsidRDefault="0056797D" w:rsidP="0056797D">
      <w:pPr>
        <w:spacing w:line="360" w:lineRule="auto"/>
        <w:jc w:val="both"/>
        <w:rPr>
          <w:rFonts w:ascii="Arial" w:hAnsi="Arial"/>
          <w:b/>
          <w:bCs/>
          <w:u w:val="single"/>
          <w:rtl/>
        </w:rPr>
      </w:pPr>
      <w:r w:rsidRPr="009D430E">
        <w:rPr>
          <w:rFonts w:ascii="Arial" w:hAnsi="Arial" w:hint="cs"/>
          <w:b/>
          <w:bCs/>
          <w:u w:val="single"/>
          <w:rtl/>
        </w:rPr>
        <w:t>ראיות לעונש</w:t>
      </w:r>
    </w:p>
    <w:p w14:paraId="5FC3CC51"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לחובת הנאשם 10 הרשעות קודמות בתחום הסמים, הרכוש, הנשק והאלימות. הנאשם ריצה עונשי מאסר בפועל ולחובתו גם הרשעות מתחום התעבורה.</w:t>
      </w:r>
    </w:p>
    <w:p w14:paraId="75823788" w14:textId="77777777" w:rsidR="0056797D" w:rsidRDefault="0056797D" w:rsidP="0056797D">
      <w:pPr>
        <w:pStyle w:val="ListParagraph1"/>
        <w:spacing w:line="360" w:lineRule="auto"/>
        <w:ind w:left="0"/>
        <w:jc w:val="both"/>
        <w:rPr>
          <w:rFonts w:ascii="Arial" w:hAnsi="Arial"/>
        </w:rPr>
      </w:pPr>
    </w:p>
    <w:p w14:paraId="1F996321"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לבקשת ההגנה הוגש תסקיר מבחן אודות הנאשם. </w:t>
      </w:r>
      <w:r w:rsidRPr="008E3ADE">
        <w:rPr>
          <w:rFonts w:ascii="Arial" w:hAnsi="Arial" w:hint="cs"/>
          <w:rtl/>
        </w:rPr>
        <w:t xml:space="preserve">מהתסקיר עולה כי </w:t>
      </w:r>
      <w:r>
        <w:rPr>
          <w:rFonts w:ascii="Arial" w:hAnsi="Arial" w:hint="cs"/>
          <w:rtl/>
        </w:rPr>
        <w:t xml:space="preserve">הנאשם בן 39 גרוש בשנית ואב לשתי בנות. טרם מעצרו ניהל הנאשם קיוסק שבבעלות אביו המתמודד עם קשיי בריאות. הנאשם התקשה לקחת אחריות על מעורבותו בעבירות ומסר כי הסמים שנתפסו ברכב שייכים לחבר אשר שם אותם ברכבו ללא ידיעתו, ולדבריו רק הסמים שהחזיק בידו שייכים לו. לנאשם רקע התמכרותי לסמים, אך הוא אינו תופס עצמו כמכור. </w:t>
      </w:r>
      <w:r w:rsidRPr="00D34E82">
        <w:rPr>
          <w:rFonts w:ascii="Arial" w:hAnsi="Arial" w:hint="cs"/>
          <w:rtl/>
        </w:rPr>
        <w:t>לאחרונה פנה הנאשם לעו"ס בבית המעצר בו הוא נתון על מנת לברר בנוגע לפרויקט גמילה, אך לא הביע רצון להמשיך את התהליך</w:t>
      </w:r>
      <w:r>
        <w:rPr>
          <w:rFonts w:ascii="Arial" w:hAnsi="Arial" w:hint="cs"/>
          <w:rtl/>
        </w:rPr>
        <w:t xml:space="preserve"> ו</w:t>
      </w:r>
      <w:r w:rsidRPr="00D34E82">
        <w:rPr>
          <w:rFonts w:ascii="Arial" w:hAnsi="Arial" w:hint="cs"/>
          <w:rtl/>
        </w:rPr>
        <w:t>שירות המבחן לא התרשם כי הנאשם בשל ומוכן להשתלב בטיפול בנושא</w:t>
      </w:r>
      <w:r>
        <w:rPr>
          <w:rFonts w:ascii="Arial" w:hAnsi="Arial" w:hint="cs"/>
          <w:rtl/>
        </w:rPr>
        <w:t xml:space="preserve"> התמכרותו לסמים. </w:t>
      </w:r>
    </w:p>
    <w:p w14:paraId="5A7CB33E" w14:textId="77777777" w:rsidR="0056797D" w:rsidRDefault="0056797D" w:rsidP="0056797D">
      <w:pPr>
        <w:pStyle w:val="ListParagraph1"/>
        <w:spacing w:line="360" w:lineRule="auto"/>
        <w:ind w:left="0"/>
        <w:jc w:val="both"/>
        <w:rPr>
          <w:rFonts w:ascii="Arial" w:hAnsi="Arial"/>
          <w:rtl/>
        </w:rPr>
      </w:pPr>
    </w:p>
    <w:p w14:paraId="7CF52B95" w14:textId="77777777" w:rsidR="0056797D" w:rsidRDefault="0056797D" w:rsidP="0056797D">
      <w:pPr>
        <w:pStyle w:val="ListParagraph1"/>
        <w:spacing w:line="360" w:lineRule="auto"/>
        <w:ind w:left="0" w:firstLine="720"/>
        <w:jc w:val="both"/>
        <w:rPr>
          <w:rFonts w:ascii="Arial" w:hAnsi="Arial"/>
        </w:rPr>
      </w:pPr>
      <w:r>
        <w:rPr>
          <w:rFonts w:ascii="Arial" w:hAnsi="Arial" w:hint="cs"/>
          <w:rtl/>
        </w:rPr>
        <w:t>לפיכך, ומשום ששירות המבחן התרשם כי הנאשם מבטא עמדה קורבנית והציג מידע מגמתי ומצמצם ביחס לקשריו השוליים והתנהלותו פורצת הגבול, לא נתנה בעניינו של הנאשם כל המלצה טיפולית.</w:t>
      </w:r>
    </w:p>
    <w:p w14:paraId="64960011" w14:textId="77777777" w:rsidR="0056797D" w:rsidRDefault="0056797D" w:rsidP="0056797D">
      <w:pPr>
        <w:spacing w:line="360" w:lineRule="auto"/>
        <w:jc w:val="both"/>
        <w:rPr>
          <w:rFonts w:ascii="Arial" w:hAnsi="Arial"/>
          <w:rtl/>
        </w:rPr>
      </w:pPr>
    </w:p>
    <w:p w14:paraId="698D7FA3" w14:textId="77777777" w:rsidR="0056797D" w:rsidRPr="008C2602" w:rsidRDefault="0056797D" w:rsidP="0056797D">
      <w:pPr>
        <w:spacing w:line="360" w:lineRule="auto"/>
        <w:jc w:val="both"/>
        <w:rPr>
          <w:rFonts w:ascii="Arial" w:hAnsi="Arial"/>
          <w:b/>
          <w:bCs/>
          <w:u w:val="single"/>
        </w:rPr>
      </w:pPr>
      <w:r w:rsidRPr="008C2602">
        <w:rPr>
          <w:rFonts w:ascii="Arial" w:hAnsi="Arial" w:hint="cs"/>
          <w:b/>
          <w:bCs/>
          <w:u w:val="single"/>
          <w:rtl/>
        </w:rPr>
        <w:t xml:space="preserve">תמצית טענות הצדדים </w:t>
      </w:r>
    </w:p>
    <w:p w14:paraId="74668CE5" w14:textId="77777777" w:rsidR="0056797D" w:rsidRDefault="0056797D" w:rsidP="0056797D">
      <w:pPr>
        <w:pStyle w:val="ListParagraph1"/>
        <w:numPr>
          <w:ilvl w:val="0"/>
          <w:numId w:val="1"/>
        </w:numPr>
        <w:spacing w:line="360" w:lineRule="auto"/>
        <w:ind w:left="0" w:firstLine="0"/>
        <w:jc w:val="both"/>
        <w:rPr>
          <w:rFonts w:ascii="Arial" w:hAnsi="Arial"/>
        </w:rPr>
      </w:pPr>
      <w:r w:rsidRPr="00155AFD">
        <w:rPr>
          <w:rFonts w:ascii="Arial" w:hAnsi="Arial" w:hint="cs"/>
          <w:rtl/>
        </w:rPr>
        <w:t>באת כוח המאשימה, עו"ד טלי קרת</w:t>
      </w:r>
      <w:r>
        <w:rPr>
          <w:rFonts w:ascii="Arial" w:hAnsi="Arial" w:hint="cs"/>
          <w:rtl/>
        </w:rPr>
        <w:t>,</w:t>
      </w:r>
      <w:r w:rsidRPr="00155AFD">
        <w:rPr>
          <w:rFonts w:ascii="Arial" w:hAnsi="Arial" w:hint="cs"/>
          <w:rtl/>
        </w:rPr>
        <w:t xml:space="preserve"> הדגישה בטיעוניה את הכמות הרבה ואת המגוון של הסמים שנתפסו בחזקת הנאשם המעידים לטענתה על כוונתו להפיצם. עורכת הדין ציינה את הערכים המוגנים שנפגעו ממעשיו של הנאשם </w:t>
      </w:r>
      <w:r w:rsidRPr="00155AFD">
        <w:rPr>
          <w:rFonts w:ascii="Arial" w:hAnsi="Arial"/>
          <w:rtl/>
        </w:rPr>
        <w:t>–</w:t>
      </w:r>
      <w:r w:rsidRPr="00155AFD">
        <w:rPr>
          <w:rFonts w:ascii="Arial" w:hAnsi="Arial" w:hint="cs"/>
          <w:rtl/>
        </w:rPr>
        <w:t xml:space="preserve"> שמירה על בריאות הציבור וביטחונו ושמירה על הסדר הציבורי ועמדה על חומרתה של תופעת </w:t>
      </w:r>
      <w:r>
        <w:rPr>
          <w:rFonts w:ascii="Arial" w:hAnsi="Arial" w:hint="cs"/>
          <w:rtl/>
        </w:rPr>
        <w:t xml:space="preserve">צריכת </w:t>
      </w:r>
      <w:r w:rsidRPr="00155AFD">
        <w:rPr>
          <w:rFonts w:ascii="Arial" w:hAnsi="Arial" w:hint="cs"/>
          <w:rtl/>
        </w:rPr>
        <w:t>הסמים ועל הצורך להטיל בגינה ענישה מרתיעה</w:t>
      </w:r>
      <w:r>
        <w:rPr>
          <w:rFonts w:ascii="Arial" w:hAnsi="Arial" w:hint="cs"/>
          <w:rtl/>
        </w:rPr>
        <w:t xml:space="preserve">. </w:t>
      </w:r>
    </w:p>
    <w:p w14:paraId="1D3810A0" w14:textId="77777777" w:rsidR="0056797D" w:rsidRDefault="0056797D" w:rsidP="0056797D">
      <w:pPr>
        <w:pStyle w:val="ListParagraph1"/>
        <w:spacing w:line="360" w:lineRule="auto"/>
        <w:jc w:val="both"/>
        <w:rPr>
          <w:rFonts w:ascii="Arial" w:hAnsi="Arial"/>
          <w:rtl/>
        </w:rPr>
      </w:pPr>
    </w:p>
    <w:p w14:paraId="0AE27F1A" w14:textId="77777777" w:rsidR="0056797D" w:rsidRDefault="0056797D" w:rsidP="0056797D">
      <w:pPr>
        <w:pStyle w:val="ListParagraph1"/>
        <w:spacing w:line="360" w:lineRule="auto"/>
        <w:ind w:left="0" w:firstLine="720"/>
        <w:jc w:val="both"/>
        <w:rPr>
          <w:rFonts w:ascii="Arial" w:hAnsi="Arial"/>
          <w:rtl/>
        </w:rPr>
      </w:pPr>
      <w:r>
        <w:rPr>
          <w:rFonts w:ascii="Arial" w:hAnsi="Arial" w:hint="cs"/>
          <w:rtl/>
        </w:rPr>
        <w:t xml:space="preserve">המאשימה הפנתה לפסיקה ועתרה למתחם עונש הולם שינוע בין שנתיים לחמש שנות מאסר. הפרקליטות ביקשה לגזור את עונשו של הנאשם בשליש העליון של המתחם נוכח עברו המכביד. כמו-כן ביקשה המאשימה כי יושתו על הנאשם קנס כספי משמעותי ופסילה בפועל ועל תנאי. </w:t>
      </w:r>
    </w:p>
    <w:p w14:paraId="2E32CC08" w14:textId="77777777" w:rsidR="0056797D" w:rsidRDefault="0056797D" w:rsidP="0056797D">
      <w:pPr>
        <w:pStyle w:val="ListParagraph1"/>
        <w:spacing w:line="360" w:lineRule="auto"/>
        <w:ind w:left="0" w:firstLine="720"/>
        <w:jc w:val="both"/>
        <w:rPr>
          <w:rFonts w:ascii="Arial" w:hAnsi="Arial"/>
          <w:rtl/>
        </w:rPr>
      </w:pPr>
    </w:p>
    <w:p w14:paraId="6DCA2299" w14:textId="77777777" w:rsidR="0056797D" w:rsidRDefault="0056797D" w:rsidP="0056797D">
      <w:pPr>
        <w:pStyle w:val="ListParagraph1"/>
        <w:spacing w:line="360" w:lineRule="auto"/>
        <w:ind w:left="0" w:firstLine="720"/>
        <w:jc w:val="both"/>
        <w:rPr>
          <w:rFonts w:ascii="Arial" w:hAnsi="Arial"/>
          <w:rtl/>
        </w:rPr>
      </w:pPr>
      <w:r>
        <w:rPr>
          <w:rFonts w:ascii="Arial" w:hAnsi="Arial" w:hint="cs"/>
          <w:rtl/>
        </w:rPr>
        <w:t>בנוסף ביקשה המאשימה, בשלב הטיעונים לעונש, להכריז על הנאשם כסוחר סמים ולחלט את הרכב מסוג וולבו שבבעלותו, סך של 5,876 ₪ ו-100 דולר ושני טלפונים ניידים.</w:t>
      </w:r>
    </w:p>
    <w:p w14:paraId="7E9E43A9" w14:textId="77777777" w:rsidR="0056797D" w:rsidRDefault="0056797D" w:rsidP="0056797D">
      <w:pPr>
        <w:pStyle w:val="ListParagraph1"/>
        <w:spacing w:line="360" w:lineRule="auto"/>
        <w:ind w:left="0" w:firstLine="720"/>
        <w:jc w:val="both"/>
        <w:rPr>
          <w:rFonts w:ascii="Arial" w:hAnsi="Arial"/>
          <w:rtl/>
        </w:rPr>
      </w:pPr>
      <w:r>
        <w:rPr>
          <w:rFonts w:ascii="Arial" w:hAnsi="Arial" w:hint="cs"/>
          <w:rtl/>
        </w:rPr>
        <w:t xml:space="preserve"> </w:t>
      </w:r>
    </w:p>
    <w:p w14:paraId="1896A2CF"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ב"כ הנאשם, עו"ד איהב ג'לג'ולי, עמד בעיקר על נסיבות חייו האישיות של הנאשם ובכלל זה מצבו הבריאותי של אביו ותפקידו של הנאשם בפרנסת המשפחה כתוצאה מכך. הסנגור ביקש להתחשב במצבו של הנאשם, להקל עמו ולהסתפק בתקופת מעצרו. </w:t>
      </w:r>
    </w:p>
    <w:p w14:paraId="65F08EC7" w14:textId="77777777" w:rsidR="0056797D" w:rsidRDefault="0056797D" w:rsidP="0056797D">
      <w:pPr>
        <w:spacing w:line="360" w:lineRule="auto"/>
        <w:jc w:val="both"/>
        <w:rPr>
          <w:rFonts w:ascii="Arial" w:hAnsi="Arial"/>
          <w:rtl/>
        </w:rPr>
      </w:pPr>
    </w:p>
    <w:p w14:paraId="58A24F3E" w14:textId="77777777" w:rsidR="0056797D" w:rsidRDefault="0056797D" w:rsidP="0056797D">
      <w:pPr>
        <w:spacing w:line="360" w:lineRule="auto"/>
        <w:ind w:firstLine="720"/>
        <w:jc w:val="both"/>
        <w:rPr>
          <w:rFonts w:ascii="Arial" w:hAnsi="Arial"/>
          <w:rtl/>
        </w:rPr>
      </w:pPr>
      <w:r>
        <w:rPr>
          <w:rFonts w:ascii="Arial" w:hAnsi="Arial" w:hint="cs"/>
          <w:rtl/>
        </w:rPr>
        <w:t xml:space="preserve">הסנגור התנגד לבקשת המאשימה להכריז על הנאשם כסוחר סמים, וטען כי הבקשה לא הועלתה במועד </w:t>
      </w:r>
      <w:r>
        <w:rPr>
          <w:rFonts w:ascii="Arial" w:hAnsi="Arial"/>
          <w:rtl/>
        </w:rPr>
        <w:t>–</w:t>
      </w:r>
      <w:r>
        <w:rPr>
          <w:rFonts w:ascii="Arial" w:hAnsi="Arial" w:hint="cs"/>
          <w:rtl/>
        </w:rPr>
        <w:t xml:space="preserve"> קרי בשלב הכרעת הדין ואף לא באה לידי ביטוי בשלב המו"מ בין הצדדים. </w:t>
      </w:r>
      <w:r w:rsidRPr="004F5D3E">
        <w:rPr>
          <w:rFonts w:ascii="Arial" w:hAnsi="Arial" w:hint="cs"/>
          <w:b/>
          <w:bCs/>
          <w:rtl/>
        </w:rPr>
        <w:t>הסנגור הסכים כי רכב הנאשם מסוג וולבו יחולט</w:t>
      </w:r>
      <w:r>
        <w:rPr>
          <w:rFonts w:ascii="Arial" w:hAnsi="Arial" w:hint="cs"/>
          <w:rtl/>
        </w:rPr>
        <w:t>.</w:t>
      </w:r>
    </w:p>
    <w:p w14:paraId="65C6ED64" w14:textId="77777777" w:rsidR="0056797D" w:rsidRDefault="0056797D" w:rsidP="0056797D">
      <w:pPr>
        <w:spacing w:line="360" w:lineRule="auto"/>
        <w:ind w:firstLine="720"/>
        <w:jc w:val="both"/>
        <w:rPr>
          <w:rFonts w:ascii="Arial" w:hAnsi="Arial"/>
          <w:rtl/>
        </w:rPr>
      </w:pPr>
    </w:p>
    <w:p w14:paraId="1B8DF670"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בדברו האחרון לעונש הביע הנאשם חרטה על מעשיו.</w:t>
      </w:r>
    </w:p>
    <w:p w14:paraId="3033E9C0" w14:textId="77777777" w:rsidR="0056797D" w:rsidRDefault="0056797D" w:rsidP="0056797D">
      <w:pPr>
        <w:pStyle w:val="ListParagraph1"/>
        <w:spacing w:line="360" w:lineRule="auto"/>
        <w:ind w:left="0"/>
        <w:jc w:val="both"/>
        <w:rPr>
          <w:rFonts w:ascii="Arial" w:hAnsi="Arial"/>
          <w:rtl/>
        </w:rPr>
      </w:pPr>
    </w:p>
    <w:p w14:paraId="529B3407" w14:textId="77777777" w:rsidR="0056797D" w:rsidRDefault="0056797D" w:rsidP="0056797D">
      <w:pPr>
        <w:pStyle w:val="ListParagraph1"/>
        <w:spacing w:line="360" w:lineRule="auto"/>
        <w:ind w:left="0"/>
        <w:jc w:val="both"/>
        <w:rPr>
          <w:rFonts w:ascii="Arial" w:hAnsi="Arial"/>
          <w:b/>
          <w:bCs/>
          <w:u w:val="single"/>
          <w:rtl/>
        </w:rPr>
      </w:pPr>
      <w:r w:rsidRPr="00280EEE">
        <w:rPr>
          <w:rFonts w:ascii="Arial" w:hAnsi="Arial" w:hint="cs"/>
          <w:b/>
          <w:bCs/>
          <w:u w:val="single"/>
          <w:rtl/>
        </w:rPr>
        <w:t>דיון והכרעה</w:t>
      </w:r>
    </w:p>
    <w:p w14:paraId="2727E31C" w14:textId="77777777" w:rsidR="0056797D" w:rsidRPr="00CF76A2" w:rsidRDefault="0056797D" w:rsidP="0056797D">
      <w:pPr>
        <w:pStyle w:val="ListParagraph1"/>
        <w:numPr>
          <w:ilvl w:val="0"/>
          <w:numId w:val="1"/>
        </w:numPr>
        <w:spacing w:line="360" w:lineRule="auto"/>
        <w:ind w:left="0" w:firstLine="0"/>
        <w:jc w:val="both"/>
        <w:rPr>
          <w:rFonts w:ascii="Arial" w:hAnsi="Arial"/>
          <w:b/>
          <w:bCs/>
          <w:u w:val="single"/>
        </w:rPr>
      </w:pPr>
      <w:r>
        <w:rPr>
          <w:rFonts w:ascii="Arial" w:hAnsi="Arial" w:hint="cs"/>
          <w:rtl/>
        </w:rPr>
        <w:t xml:space="preserve">הנאשם נתפס כשבחזקתו כמות רבה ומגוונת של סמים. החל מסמים הנחשבים "קלים" ועד סמים כבדים יותר, אשר מכולם ללא ספק נשקפת סכנה ברורה לציבור. </w:t>
      </w:r>
    </w:p>
    <w:p w14:paraId="40407899" w14:textId="77777777" w:rsidR="0056797D" w:rsidRPr="001441EC" w:rsidRDefault="0056797D" w:rsidP="0056797D">
      <w:pPr>
        <w:pStyle w:val="ListParagraph1"/>
        <w:spacing w:line="360" w:lineRule="auto"/>
        <w:ind w:left="0"/>
        <w:jc w:val="both"/>
        <w:rPr>
          <w:rFonts w:ascii="Arial" w:hAnsi="Arial"/>
          <w:rtl/>
        </w:rPr>
      </w:pPr>
    </w:p>
    <w:p w14:paraId="045F4DBE" w14:textId="77777777" w:rsidR="0056797D" w:rsidRPr="00280EEE" w:rsidRDefault="0056797D" w:rsidP="0056797D">
      <w:pPr>
        <w:pStyle w:val="ListParagraph1"/>
        <w:spacing w:line="360" w:lineRule="auto"/>
        <w:ind w:left="0" w:firstLine="720"/>
        <w:jc w:val="both"/>
        <w:rPr>
          <w:rFonts w:ascii="Arial" w:hAnsi="Arial"/>
          <w:b/>
          <w:bCs/>
          <w:u w:val="single"/>
          <w:rtl/>
        </w:rPr>
      </w:pPr>
      <w:r>
        <w:rPr>
          <w:rFonts w:ascii="Arial" w:hAnsi="Arial" w:hint="cs"/>
          <w:rtl/>
        </w:rPr>
        <w:t xml:space="preserve">אין צורך להכביר במילים על חומרתן של עבירות הסמים, על התפשטות נגע הסמים ועל הצורך להוקיעו מן השורש. בקצרה אומר שהנזק הטמון בסמים הוא רב ויש בו כדי לפגוע בביטחון ובבריאות החברה ופרטיה. על בית המשפט כשותף טבעי במלחמה למיגור התופעה לנהוג בענישה מחמירה של כל גורמי הפצת הסמים, ביניהם הבלדרים הנענים להצעות מפתות לעשיית "רווחים קלים" [ראו </w:t>
      </w:r>
      <w:hyperlink r:id="rId11" w:history="1">
        <w:r w:rsidR="00C0269A" w:rsidRPr="00C0269A">
          <w:rPr>
            <w:rFonts w:ascii="Arial" w:hAnsi="Arial"/>
            <w:color w:val="0000FF"/>
            <w:u w:val="single"/>
            <w:rtl/>
          </w:rPr>
          <w:t>ע"פ 6029/03</w:t>
        </w:r>
      </w:hyperlink>
      <w:r>
        <w:rPr>
          <w:rFonts w:ascii="Arial" w:hAnsi="Arial" w:hint="cs"/>
          <w:rtl/>
        </w:rPr>
        <w:t xml:space="preserve"> </w:t>
      </w:r>
      <w:r>
        <w:rPr>
          <w:rFonts w:ascii="Arial" w:hAnsi="Arial" w:hint="cs"/>
          <w:b/>
          <w:bCs/>
          <w:rtl/>
        </w:rPr>
        <w:t>מדינת ישראל נ' גולן שמאי</w:t>
      </w:r>
      <w:r>
        <w:rPr>
          <w:rFonts w:ascii="Arial" w:hAnsi="Arial" w:hint="cs"/>
          <w:rtl/>
        </w:rPr>
        <w:t xml:space="preserve">, נח (2) פסקה 7(2004)].     </w:t>
      </w:r>
    </w:p>
    <w:p w14:paraId="5736226D" w14:textId="77777777" w:rsidR="0056797D" w:rsidRDefault="0056797D" w:rsidP="0056797D">
      <w:pPr>
        <w:spacing w:line="360" w:lineRule="auto"/>
        <w:ind w:firstLine="720"/>
        <w:jc w:val="both"/>
        <w:rPr>
          <w:rFonts w:ascii="Arial" w:hAnsi="Arial"/>
          <w:rtl/>
        </w:rPr>
      </w:pPr>
      <w:r>
        <w:rPr>
          <w:rFonts w:ascii="Arial" w:hAnsi="Arial" w:hint="cs"/>
          <w:rtl/>
        </w:rPr>
        <w:t xml:space="preserve">  </w:t>
      </w:r>
    </w:p>
    <w:p w14:paraId="52D39679"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בהתחשב בעקרון המנחה בענישה לפיו על העונש להלום את חומרת המעשה, בערכים המוגנים העומדים ביסוד העבירות אותן ביצע הנאשם  שעיקרם הגנה על בטחון ושלום הציבור, ברמת הענישה המקובלת [ראו, למשל, </w:t>
      </w:r>
      <w:hyperlink r:id="rId12" w:history="1">
        <w:r w:rsidR="00C0269A" w:rsidRPr="00C0269A">
          <w:rPr>
            <w:rFonts w:ascii="Arial" w:hAnsi="Arial"/>
            <w:color w:val="0000FF"/>
            <w:u w:val="single"/>
            <w:rtl/>
          </w:rPr>
          <w:t>רע"פ 1122/17</w:t>
        </w:r>
      </w:hyperlink>
      <w:r>
        <w:rPr>
          <w:rFonts w:ascii="Arial" w:hAnsi="Arial" w:hint="cs"/>
          <w:rtl/>
        </w:rPr>
        <w:t xml:space="preserve"> </w:t>
      </w:r>
      <w:r>
        <w:rPr>
          <w:rFonts w:ascii="Arial" w:hAnsi="Arial" w:hint="cs"/>
          <w:b/>
          <w:bCs/>
          <w:rtl/>
        </w:rPr>
        <w:t>גולדשטיין נ' מדינת ישראל</w:t>
      </w:r>
      <w:r>
        <w:rPr>
          <w:rFonts w:ascii="Arial" w:hAnsi="Arial" w:hint="cs"/>
          <w:rtl/>
        </w:rPr>
        <w:t xml:space="preserve"> (5.8.2017) וכן </w:t>
      </w:r>
      <w:hyperlink r:id="rId13" w:history="1">
        <w:r w:rsidR="00C0269A" w:rsidRPr="00C0269A">
          <w:rPr>
            <w:rFonts w:ascii="Arial" w:hAnsi="Arial"/>
            <w:color w:val="0000FF"/>
            <w:u w:val="single"/>
            <w:rtl/>
          </w:rPr>
          <w:t>ע"פ 1932/15</w:t>
        </w:r>
      </w:hyperlink>
      <w:r>
        <w:rPr>
          <w:rFonts w:ascii="Arial" w:hAnsi="Arial" w:hint="cs"/>
          <w:rtl/>
        </w:rPr>
        <w:t xml:space="preserve"> </w:t>
      </w:r>
      <w:r>
        <w:rPr>
          <w:rFonts w:ascii="Arial" w:hAnsi="Arial" w:hint="cs"/>
          <w:b/>
          <w:bCs/>
          <w:rtl/>
        </w:rPr>
        <w:t>בן סעדון נ' מדינת ישראל</w:t>
      </w:r>
      <w:r>
        <w:rPr>
          <w:rFonts w:ascii="Arial" w:hAnsi="Arial" w:hint="cs"/>
          <w:rtl/>
        </w:rPr>
        <w:t xml:space="preserve"> (17.4.2016) בו נקבע מתחם עונש הולם שנע בין שלוש לחמש שנות מאסר ביחס להחזקת סמים מסוכנים בכמויות גדולות פי כמה וכמה], ובנסיבות הקשורות בביצוע העבירה והן: כמות וסוג הסמים שנמצאו בחזקת הנאשם, מצאתי כי </w:t>
      </w:r>
      <w:r w:rsidRPr="00D34E82">
        <w:rPr>
          <w:rFonts w:ascii="Arial" w:hAnsi="Arial" w:hint="cs"/>
          <w:b/>
          <w:bCs/>
          <w:rtl/>
        </w:rPr>
        <w:t xml:space="preserve">מתחם העונש ההולם את עניינו של הנאשם שלפני נע בין 18 ל-36 חודשי מאסר </w:t>
      </w:r>
      <w:r>
        <w:rPr>
          <w:rFonts w:ascii="Arial" w:hAnsi="Arial" w:hint="cs"/>
          <w:b/>
          <w:bCs/>
          <w:rtl/>
        </w:rPr>
        <w:t xml:space="preserve">בפועל </w:t>
      </w:r>
      <w:r w:rsidRPr="00D34E82">
        <w:rPr>
          <w:rFonts w:ascii="Arial" w:hAnsi="Arial" w:hint="cs"/>
          <w:b/>
          <w:bCs/>
          <w:rtl/>
        </w:rPr>
        <w:t>וזאת כעונש עיקרי</w:t>
      </w:r>
      <w:r w:rsidRPr="00D34E82">
        <w:rPr>
          <w:rFonts w:ascii="Arial" w:hAnsi="Arial" w:hint="cs"/>
          <w:rtl/>
        </w:rPr>
        <w:t>.</w:t>
      </w:r>
    </w:p>
    <w:p w14:paraId="1A4088DC" w14:textId="77777777" w:rsidR="0056797D" w:rsidRDefault="0056797D" w:rsidP="0056797D">
      <w:pPr>
        <w:pStyle w:val="ListParagraph1"/>
        <w:spacing w:line="360" w:lineRule="auto"/>
        <w:ind w:left="0"/>
        <w:jc w:val="both"/>
        <w:rPr>
          <w:rFonts w:ascii="Arial" w:hAnsi="Arial"/>
          <w:rtl/>
        </w:rPr>
      </w:pPr>
    </w:p>
    <w:p w14:paraId="38CF1ECA" w14:textId="77777777" w:rsidR="0056797D" w:rsidRDefault="0056797D" w:rsidP="0056797D">
      <w:pPr>
        <w:pStyle w:val="ListParagraph1"/>
        <w:spacing w:line="360" w:lineRule="auto"/>
        <w:ind w:left="0" w:firstLine="720"/>
        <w:jc w:val="both"/>
        <w:rPr>
          <w:rFonts w:ascii="Arial" w:hAnsi="Arial"/>
          <w:rtl/>
        </w:rPr>
      </w:pPr>
      <w:r>
        <w:rPr>
          <w:rFonts w:ascii="Arial" w:hAnsi="Arial" w:hint="cs"/>
          <w:rtl/>
        </w:rPr>
        <w:t xml:space="preserve">מתחם הקנס ההולם את העבירה בנסיבותיה ינוע בין 10,000 ₪ ל-30,000 ₪. בקביעת מתחם הקנס הבאתי בחשבון את מצבו הכלכלי של הנאשם. </w:t>
      </w:r>
    </w:p>
    <w:p w14:paraId="7CDCEE11" w14:textId="77777777" w:rsidR="0056797D" w:rsidRDefault="0056797D" w:rsidP="0056797D">
      <w:pPr>
        <w:pStyle w:val="ListParagraph1"/>
        <w:spacing w:line="360" w:lineRule="auto"/>
        <w:ind w:left="0"/>
        <w:jc w:val="both"/>
        <w:rPr>
          <w:rFonts w:ascii="Arial" w:hAnsi="Arial"/>
          <w:rtl/>
        </w:rPr>
      </w:pPr>
    </w:p>
    <w:p w14:paraId="42A5F557"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אין במקרה זה כל הצדקה לחרוג ממתחם העונש ההולם לצורכי שיקום. התסקיר שהוגש אודות הנאשם אינו מגלה בשלב הנוכחי מקום לשיקום, שירות המבחן כאמור התרשם כי הנאשם אינו בשל להליך גמילה ואף אינו מכיר בהיותו מכור.</w:t>
      </w:r>
    </w:p>
    <w:p w14:paraId="73C1EB7C" w14:textId="77777777" w:rsidR="0056797D" w:rsidRDefault="0056797D" w:rsidP="0056797D">
      <w:pPr>
        <w:pStyle w:val="ListParagraph1"/>
        <w:spacing w:line="360" w:lineRule="auto"/>
        <w:ind w:left="141"/>
        <w:jc w:val="both"/>
        <w:rPr>
          <w:rFonts w:ascii="Arial" w:hAnsi="Arial"/>
          <w:rtl/>
        </w:rPr>
      </w:pPr>
    </w:p>
    <w:p w14:paraId="7173EEED"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כעת נותר לגזור את עונשו של הנאשם בתוך מתחם העונש שקבעתי.</w:t>
      </w:r>
    </w:p>
    <w:p w14:paraId="07A1F61C" w14:textId="77777777" w:rsidR="0056797D" w:rsidRDefault="0056797D" w:rsidP="0056797D">
      <w:pPr>
        <w:pStyle w:val="ListParagraph1"/>
        <w:spacing w:line="360" w:lineRule="auto"/>
        <w:ind w:left="141"/>
        <w:jc w:val="both"/>
        <w:rPr>
          <w:rFonts w:ascii="Arial" w:hAnsi="Arial"/>
        </w:rPr>
      </w:pPr>
    </w:p>
    <w:p w14:paraId="6B6B34F6"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בעשותי כן אתן דעתי לעברו הפלילי  המכביד של הנאשם, לעובדה שהנאשם אינו נוטל אחריות באופן מלא, וכן לשיקולי הרתעת הרבים והרתעת היחיד.</w:t>
      </w:r>
    </w:p>
    <w:p w14:paraId="0ADBA254" w14:textId="77777777" w:rsidR="0056797D" w:rsidRDefault="0056797D" w:rsidP="0056797D">
      <w:pPr>
        <w:pStyle w:val="ListParagraph1"/>
        <w:spacing w:line="360" w:lineRule="auto"/>
        <w:ind w:left="141"/>
        <w:jc w:val="both"/>
        <w:rPr>
          <w:rFonts w:ascii="Arial" w:hAnsi="Arial"/>
        </w:rPr>
      </w:pPr>
    </w:p>
    <w:p w14:paraId="26EF25CB"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מנגד אביא בחשבון את הודאתו של הנאשם בכתב האישום המתוקן על חיסכון הזמן השיפוטי שבה, החרטה שהביע הנאשם, תקופת מעצרו הממושכת של הנאשם, ההשפעה הצפויה של העונש על משפחתו ונסיבות חייו כפי שתוארו לעיל.  </w:t>
      </w:r>
    </w:p>
    <w:p w14:paraId="3F8995D8" w14:textId="77777777" w:rsidR="0056797D" w:rsidRDefault="0056797D" w:rsidP="0056797D">
      <w:pPr>
        <w:pStyle w:val="ListParagraph1"/>
        <w:spacing w:line="360" w:lineRule="auto"/>
        <w:ind w:left="141"/>
        <w:jc w:val="both"/>
        <w:rPr>
          <w:rFonts w:ascii="Arial" w:hAnsi="Arial"/>
        </w:rPr>
      </w:pPr>
    </w:p>
    <w:p w14:paraId="1C4642AF"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לאחר ששקלתי את מלוא טענות הצדדים ונתתי דעתי לכלל השיקולים לקולה ולחומרה הריני גוזר על הנאשם את העונשים הבאים:</w:t>
      </w:r>
    </w:p>
    <w:p w14:paraId="4E78E46D" w14:textId="77777777" w:rsidR="0056797D" w:rsidRDefault="0056797D" w:rsidP="0056797D">
      <w:pPr>
        <w:pStyle w:val="ListParagraph1"/>
        <w:spacing w:line="360" w:lineRule="auto"/>
        <w:ind w:left="0"/>
        <w:jc w:val="both"/>
        <w:rPr>
          <w:rFonts w:ascii="Arial" w:hAnsi="Arial"/>
        </w:rPr>
      </w:pPr>
    </w:p>
    <w:p w14:paraId="0EE013ED"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 xml:space="preserve">מאסר בפועל בן 27 חודשי מאסר, החל ביום מעצרו של הנאשם </w:t>
      </w:r>
      <w:r>
        <w:rPr>
          <w:rFonts w:ascii="Arial" w:hAnsi="Arial"/>
          <w:rtl/>
        </w:rPr>
        <w:t>–</w:t>
      </w:r>
      <w:r>
        <w:rPr>
          <w:rFonts w:ascii="Arial" w:hAnsi="Arial" w:hint="cs"/>
          <w:rtl/>
        </w:rPr>
        <w:t xml:space="preserve"> 4.11.2017.</w:t>
      </w:r>
    </w:p>
    <w:p w14:paraId="456914E8"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מאסר על תנאי בן 12 חודשים, והתנאי הוא כי בתקופה בת שלוש שנים מיום שחרורו לא יעבור הנאשם עבירת סמים מסוג פשע.</w:t>
      </w:r>
    </w:p>
    <w:p w14:paraId="6B53EFC1"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מאסר על תנאי בן 3 חודשים, והתנאי הוא כי בתקופה בת שלוש שנים מיום שחרורו לא יעבור הנאשם עבירת סמים מסוג עוון.</w:t>
      </w:r>
    </w:p>
    <w:p w14:paraId="0E21B966"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קנס בסך 12,000 ₪ או חודשיים מאסר תמורתו. הקנס ישתלם ב-12 תשלומים חודשיים שווים ורצופים החל מהאחד בחודש השני לשחרורו של הנאשם מבית האסורים.</w:t>
      </w:r>
    </w:p>
    <w:p w14:paraId="3ED24251"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 xml:space="preserve">פסילה בפועל בת 6 חודשים מלהחזיק רישיון נהיגה החל מיום שחרורו של הנאשם. </w:t>
      </w:r>
    </w:p>
    <w:p w14:paraId="2346E31C" w14:textId="77777777" w:rsidR="0056797D" w:rsidRDefault="0056797D" w:rsidP="0056797D">
      <w:pPr>
        <w:pStyle w:val="ListParagraph1"/>
        <w:numPr>
          <w:ilvl w:val="0"/>
          <w:numId w:val="3"/>
        </w:numPr>
        <w:spacing w:line="360" w:lineRule="auto"/>
        <w:jc w:val="both"/>
        <w:rPr>
          <w:rFonts w:ascii="Arial" w:hAnsi="Arial"/>
        </w:rPr>
      </w:pPr>
      <w:r>
        <w:rPr>
          <w:rFonts w:ascii="Arial" w:hAnsi="Arial" w:hint="cs"/>
          <w:rtl/>
        </w:rPr>
        <w:t>פסילה על תנאי בת 6 חודשים לשלוש שנים מיום שחרורו של הנאשם.</w:t>
      </w:r>
    </w:p>
    <w:p w14:paraId="71838029" w14:textId="77777777" w:rsidR="0056797D" w:rsidRDefault="0056797D" w:rsidP="0056797D">
      <w:pPr>
        <w:spacing w:line="360" w:lineRule="auto"/>
        <w:jc w:val="both"/>
        <w:rPr>
          <w:rFonts w:ascii="Arial" w:hAnsi="Arial"/>
          <w:rtl/>
        </w:rPr>
      </w:pPr>
    </w:p>
    <w:p w14:paraId="5CD8A0AD" w14:textId="77777777" w:rsidR="0056797D" w:rsidRDefault="0056797D" w:rsidP="0056797D">
      <w:pPr>
        <w:spacing w:line="360" w:lineRule="auto"/>
        <w:jc w:val="both"/>
        <w:rPr>
          <w:rFonts w:ascii="Arial" w:hAnsi="Arial"/>
          <w:rtl/>
        </w:rPr>
      </w:pPr>
      <w:r>
        <w:rPr>
          <w:rFonts w:ascii="Arial" w:hAnsi="Arial" w:hint="cs"/>
          <w:rtl/>
        </w:rPr>
        <w:t>ניתן צן להשמדת הסמים.</w:t>
      </w:r>
    </w:p>
    <w:p w14:paraId="7D98E961" w14:textId="77777777" w:rsidR="0056797D" w:rsidRDefault="0056797D" w:rsidP="0056797D">
      <w:pPr>
        <w:spacing w:line="360" w:lineRule="auto"/>
        <w:jc w:val="both"/>
        <w:rPr>
          <w:rFonts w:ascii="Arial" w:hAnsi="Arial"/>
          <w:b/>
          <w:bCs/>
          <w:rtl/>
        </w:rPr>
      </w:pPr>
    </w:p>
    <w:p w14:paraId="6E3E3AF3" w14:textId="77777777" w:rsidR="0056797D" w:rsidRPr="000F2182" w:rsidRDefault="0056797D" w:rsidP="0056797D">
      <w:pPr>
        <w:spacing w:line="360" w:lineRule="auto"/>
        <w:jc w:val="both"/>
        <w:rPr>
          <w:rFonts w:ascii="Arial" w:hAnsi="Arial"/>
          <w:b/>
          <w:bCs/>
          <w:u w:val="single"/>
        </w:rPr>
      </w:pPr>
      <w:r w:rsidRPr="000F2182">
        <w:rPr>
          <w:rFonts w:ascii="Arial" w:hAnsi="Arial" w:hint="cs"/>
          <w:b/>
          <w:bCs/>
          <w:u w:val="single"/>
          <w:rtl/>
        </w:rPr>
        <w:t xml:space="preserve">חילוט רכוש הנאשם </w:t>
      </w:r>
    </w:p>
    <w:p w14:paraId="64688146" w14:textId="77777777" w:rsidR="0056797D" w:rsidRDefault="00467889" w:rsidP="0056797D">
      <w:pPr>
        <w:pStyle w:val="ListParagraph1"/>
        <w:numPr>
          <w:ilvl w:val="0"/>
          <w:numId w:val="1"/>
        </w:numPr>
        <w:spacing w:line="360" w:lineRule="auto"/>
        <w:ind w:left="0" w:firstLine="0"/>
        <w:jc w:val="both"/>
        <w:rPr>
          <w:rFonts w:ascii="Arial" w:hAnsi="Arial"/>
        </w:rPr>
      </w:pPr>
      <w:hyperlink r:id="rId14" w:history="1">
        <w:r w:rsidRPr="00467889">
          <w:rPr>
            <w:rFonts w:ascii="Arial" w:hAnsi="Arial"/>
            <w:color w:val="0000FF"/>
            <w:u w:val="single"/>
            <w:rtl/>
          </w:rPr>
          <w:t>סעיף 36א(ב)</w:t>
        </w:r>
      </w:hyperlink>
      <w:r w:rsidR="0056797D" w:rsidRPr="00080380">
        <w:rPr>
          <w:rFonts w:ascii="Arial" w:hAnsi="Arial" w:hint="cs"/>
          <w:rtl/>
        </w:rPr>
        <w:t xml:space="preserve"> ל</w:t>
      </w:r>
      <w:hyperlink r:id="rId15" w:history="1">
        <w:r w:rsidR="00C0269A" w:rsidRPr="00C0269A">
          <w:rPr>
            <w:rFonts w:ascii="Arial" w:hAnsi="Arial"/>
            <w:color w:val="0000FF"/>
            <w:u w:val="single"/>
            <w:rtl/>
          </w:rPr>
          <w:t>פקודת הסמים המסוכנים</w:t>
        </w:r>
      </w:hyperlink>
      <w:r w:rsidR="0056797D" w:rsidRPr="00080380">
        <w:rPr>
          <w:rFonts w:ascii="Arial" w:hAnsi="Arial" w:hint="cs"/>
          <w:rtl/>
        </w:rPr>
        <w:t xml:space="preserve"> [נוסח חדש] תשל"ג-1973 </w:t>
      </w:r>
      <w:r w:rsidR="0056797D">
        <w:rPr>
          <w:rFonts w:ascii="Arial" w:hAnsi="Arial" w:hint="cs"/>
          <w:rtl/>
        </w:rPr>
        <w:t xml:space="preserve">(להלן </w:t>
      </w:r>
      <w:r w:rsidR="0056797D">
        <w:rPr>
          <w:rFonts w:ascii="Arial" w:hAnsi="Arial"/>
          <w:rtl/>
        </w:rPr>
        <w:t>–</w:t>
      </w:r>
      <w:r w:rsidR="0056797D">
        <w:rPr>
          <w:rFonts w:ascii="Arial" w:hAnsi="Arial" w:hint="cs"/>
          <w:rtl/>
        </w:rPr>
        <w:t xml:space="preserve"> "</w:t>
      </w:r>
      <w:r w:rsidR="0056797D">
        <w:rPr>
          <w:rFonts w:ascii="Arial" w:hAnsi="Arial" w:hint="cs"/>
          <w:b/>
          <w:bCs/>
          <w:rtl/>
        </w:rPr>
        <w:t>הפקודה</w:t>
      </w:r>
      <w:r w:rsidR="0056797D">
        <w:rPr>
          <w:rFonts w:ascii="Arial" w:hAnsi="Arial" w:hint="cs"/>
          <w:rtl/>
        </w:rPr>
        <w:t xml:space="preserve">") </w:t>
      </w:r>
      <w:r w:rsidR="0056797D" w:rsidRPr="00080380">
        <w:rPr>
          <w:rFonts w:ascii="Arial" w:hAnsi="Arial" w:hint="cs"/>
          <w:rtl/>
        </w:rPr>
        <w:t xml:space="preserve">קובע כי הכרזה על נאשם כסוחר סמים תעשה </w:t>
      </w:r>
      <w:r w:rsidR="0056797D" w:rsidRPr="00080380">
        <w:rPr>
          <w:rFonts w:ascii="Arial" w:hAnsi="Arial" w:hint="cs"/>
          <w:b/>
          <w:bCs/>
          <w:rtl/>
        </w:rPr>
        <w:t>במועד הכרעת הדין</w:t>
      </w:r>
      <w:r w:rsidR="0056797D" w:rsidRPr="00080380">
        <w:rPr>
          <w:rFonts w:ascii="Arial" w:hAnsi="Arial" w:hint="cs"/>
          <w:rtl/>
        </w:rPr>
        <w:t xml:space="preserve"> על-פי בקשת התובע</w:t>
      </w:r>
      <w:r w:rsidR="0056797D">
        <w:rPr>
          <w:rFonts w:ascii="Arial" w:hAnsi="Arial" w:hint="cs"/>
          <w:rtl/>
        </w:rPr>
        <w:t>.</w:t>
      </w:r>
    </w:p>
    <w:p w14:paraId="18344428" w14:textId="77777777" w:rsidR="0056797D" w:rsidRDefault="0056797D" w:rsidP="0056797D">
      <w:pPr>
        <w:pStyle w:val="ListParagraph1"/>
        <w:spacing w:line="360" w:lineRule="auto"/>
        <w:ind w:left="0"/>
        <w:jc w:val="both"/>
        <w:rPr>
          <w:rFonts w:ascii="Arial" w:hAnsi="Arial"/>
          <w:rtl/>
        </w:rPr>
      </w:pPr>
    </w:p>
    <w:p w14:paraId="28277153"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בכתב האישום המתוקן, בעובדותיו הודה הנאשם, נרשם במפורש כי בית המשפט יתבקש לקבוע בהכרעת הדין כי הנאשם הינו סוחר סמים. למרות האמור, נמנעה המאשימה מלעתור במעמד הודאת הנאשם ומתן הכרעת הדין, להכריז עליו כעל סוחר סמים כאמור. עתירה זו עלתה מפי נציגתה </w:t>
      </w:r>
      <w:r w:rsidRPr="00080380">
        <w:rPr>
          <w:rFonts w:ascii="Arial" w:hAnsi="Arial" w:hint="cs"/>
          <w:rtl/>
        </w:rPr>
        <w:t>ב</w:t>
      </w:r>
      <w:r>
        <w:rPr>
          <w:rFonts w:ascii="Arial" w:hAnsi="Arial" w:hint="cs"/>
          <w:rtl/>
        </w:rPr>
        <w:t>מעמד הטיעונים לעונש, כחודשיים ומחצה לאחר הכרעת הדין.</w:t>
      </w:r>
    </w:p>
    <w:p w14:paraId="0C3338E0" w14:textId="77777777" w:rsidR="0056797D" w:rsidRDefault="0056797D" w:rsidP="0056797D">
      <w:pPr>
        <w:pStyle w:val="ListParagraph1"/>
        <w:spacing w:line="360" w:lineRule="auto"/>
        <w:ind w:left="0"/>
        <w:jc w:val="both"/>
        <w:rPr>
          <w:rFonts w:ascii="Arial" w:hAnsi="Arial"/>
        </w:rPr>
      </w:pPr>
      <w:r>
        <w:rPr>
          <w:rFonts w:ascii="Arial" w:hAnsi="Arial" w:hint="cs"/>
          <w:rtl/>
        </w:rPr>
        <w:t xml:space="preserve"> </w:t>
      </w:r>
    </w:p>
    <w:p w14:paraId="241993F0"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כפי שהיטיבה המאשימה להראות, ההלכה הפסוקה מאפשרת לבית המשפט להכריז על נאשם כסוחר סמים גם לאחר הכרעת הדין, ובלבד שהדבר לא יביא לעיוות דין לנאשם [</w:t>
      </w:r>
      <w:hyperlink r:id="rId16" w:history="1">
        <w:r w:rsidR="00C0269A" w:rsidRPr="00C0269A">
          <w:rPr>
            <w:rFonts w:ascii="Arial" w:hAnsi="Arial"/>
            <w:color w:val="0000FF"/>
            <w:u w:val="single"/>
            <w:rtl/>
          </w:rPr>
          <w:t>ע"פ 170/07</w:t>
        </w:r>
      </w:hyperlink>
      <w:r>
        <w:rPr>
          <w:rFonts w:ascii="Arial" w:hAnsi="Arial" w:hint="cs"/>
          <w:rtl/>
        </w:rPr>
        <w:t xml:space="preserve"> </w:t>
      </w:r>
      <w:r>
        <w:rPr>
          <w:rFonts w:ascii="Arial" w:hAnsi="Arial" w:hint="cs"/>
          <w:b/>
          <w:bCs/>
          <w:rtl/>
        </w:rPr>
        <w:t>מטיס נ' מדינת ישראל</w:t>
      </w:r>
      <w:r>
        <w:rPr>
          <w:rFonts w:ascii="Arial" w:hAnsi="Arial" w:hint="cs"/>
          <w:rtl/>
        </w:rPr>
        <w:t xml:space="preserve"> (19.11.2007); להלן </w:t>
      </w:r>
      <w:r>
        <w:rPr>
          <w:rFonts w:ascii="Arial" w:hAnsi="Arial"/>
          <w:rtl/>
        </w:rPr>
        <w:t>–</w:t>
      </w:r>
      <w:r>
        <w:rPr>
          <w:rFonts w:ascii="Arial" w:hAnsi="Arial" w:hint="cs"/>
          <w:rtl/>
        </w:rPr>
        <w:t xml:space="preserve"> "</w:t>
      </w:r>
      <w:r>
        <w:rPr>
          <w:rFonts w:ascii="Arial" w:hAnsi="Arial" w:hint="cs"/>
          <w:b/>
          <w:bCs/>
          <w:rtl/>
        </w:rPr>
        <w:t>הלכת מטיס</w:t>
      </w:r>
      <w:r>
        <w:rPr>
          <w:rFonts w:ascii="Arial" w:hAnsi="Arial" w:hint="cs"/>
          <w:rtl/>
        </w:rPr>
        <w:t xml:space="preserve">"]. </w:t>
      </w:r>
    </w:p>
    <w:p w14:paraId="044D1843" w14:textId="77777777" w:rsidR="0056797D" w:rsidRDefault="0056797D" w:rsidP="0056797D">
      <w:pPr>
        <w:pStyle w:val="ListParagraph1"/>
        <w:spacing w:line="360" w:lineRule="auto"/>
        <w:ind w:left="0"/>
        <w:jc w:val="both"/>
        <w:rPr>
          <w:rFonts w:ascii="Arial" w:hAnsi="Arial"/>
        </w:rPr>
      </w:pPr>
    </w:p>
    <w:p w14:paraId="1CA86D0D"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 xml:space="preserve">הגם שאינני משוכנע כי נסיבות העניין שלפניי דומות דיין למקרה שנדון בהלכת </w:t>
      </w:r>
      <w:r w:rsidRPr="00341E5E">
        <w:rPr>
          <w:rFonts w:ascii="Arial" w:hAnsi="Arial" w:hint="cs"/>
          <w:b/>
          <w:bCs/>
          <w:rtl/>
        </w:rPr>
        <w:t>מטיס</w:t>
      </w:r>
      <w:r>
        <w:rPr>
          <w:rFonts w:ascii="Arial" w:hAnsi="Arial" w:hint="cs"/>
          <w:rtl/>
        </w:rPr>
        <w:t xml:space="preserve"> (שם האיחור בבקשה היה בן ימים בודדים והמדינה בקשה לתקן את הכרעת הדין, שלא כבענייננו), לא ראיתי כיצד נפגעו זכויותיו של הנאשם כתוצאה מן האיחור בבקשה, ועל כן לא מצאתי מניעה </w:t>
      </w:r>
      <w:r>
        <w:rPr>
          <w:rFonts w:ascii="Arial" w:hAnsi="Arial" w:hint="cs"/>
          <w:b/>
          <w:bCs/>
          <w:rtl/>
        </w:rPr>
        <w:t>דיונית</w:t>
      </w:r>
      <w:r>
        <w:rPr>
          <w:rFonts w:ascii="Arial" w:hAnsi="Arial" w:hint="cs"/>
          <w:rtl/>
        </w:rPr>
        <w:t xml:space="preserve"> לדון בבקשת המדינה.</w:t>
      </w:r>
    </w:p>
    <w:p w14:paraId="046C53BC" w14:textId="77777777" w:rsidR="0056797D" w:rsidRDefault="0056797D" w:rsidP="0056797D">
      <w:pPr>
        <w:pStyle w:val="ListParagraph1"/>
        <w:spacing w:line="360" w:lineRule="auto"/>
        <w:ind w:left="0"/>
        <w:jc w:val="both"/>
        <w:rPr>
          <w:rFonts w:ascii="Arial" w:hAnsi="Arial"/>
        </w:rPr>
      </w:pPr>
    </w:p>
    <w:p w14:paraId="4AD4F5C3" w14:textId="77777777" w:rsidR="0056797D" w:rsidRDefault="0056797D" w:rsidP="0056797D">
      <w:pPr>
        <w:pStyle w:val="ListParagraph1"/>
        <w:numPr>
          <w:ilvl w:val="0"/>
          <w:numId w:val="1"/>
        </w:numPr>
        <w:spacing w:line="360" w:lineRule="auto"/>
        <w:ind w:left="0" w:firstLine="0"/>
        <w:jc w:val="both"/>
        <w:rPr>
          <w:rFonts w:ascii="Arial" w:hAnsi="Arial"/>
        </w:rPr>
      </w:pPr>
      <w:r>
        <w:rPr>
          <w:rFonts w:ascii="Arial" w:hAnsi="Arial" w:hint="cs"/>
          <w:rtl/>
        </w:rPr>
        <w:t>לאחר שבחנתי את בקשת המדינה ואת תגובת הנאשם באתי לכלל מסקנה כי יש לדחות את הבקשה להכריז על הנאשם כעל "סוחר סמים".</w:t>
      </w:r>
    </w:p>
    <w:p w14:paraId="66E528F5" w14:textId="77777777" w:rsidR="0056797D" w:rsidRDefault="0056797D" w:rsidP="0056797D">
      <w:pPr>
        <w:pStyle w:val="ListParagraph1"/>
        <w:numPr>
          <w:ilvl w:val="0"/>
          <w:numId w:val="1"/>
        </w:numPr>
        <w:spacing w:line="360" w:lineRule="auto"/>
        <w:ind w:left="0" w:firstLine="0"/>
        <w:jc w:val="both"/>
        <w:rPr>
          <w:rFonts w:ascii="Arial" w:hAnsi="Arial"/>
          <w:rtl/>
        </w:rPr>
      </w:pPr>
      <w:r>
        <w:rPr>
          <w:rFonts w:ascii="Arial" w:hAnsi="Arial" w:hint="cs"/>
          <w:rtl/>
        </w:rPr>
        <w:t xml:space="preserve">כיוון שהנאשם הודה בעובדות כתב אישום מתוקן לא הובאו לפני בית המשפט ראיות כלשהן במסגרת בירור האשמה. הדרך היחידה העומדת אפוא לפני המדינה להוכיח את התנאי המהותי המנוי </w:t>
      </w:r>
      <w:hyperlink r:id="rId17" w:history="1">
        <w:r w:rsidR="00467889" w:rsidRPr="00467889">
          <w:rPr>
            <w:rFonts w:ascii="Arial" w:hAnsi="Arial"/>
            <w:color w:val="0000FF"/>
            <w:u w:val="single"/>
            <w:rtl/>
          </w:rPr>
          <w:t>בסעיף 36א(ב)</w:t>
        </w:r>
      </w:hyperlink>
      <w:r>
        <w:rPr>
          <w:rFonts w:ascii="Arial" w:hAnsi="Arial" w:hint="cs"/>
          <w:rtl/>
        </w:rPr>
        <w:t xml:space="preserve"> לפקודה, </w:t>
      </w:r>
      <w:r w:rsidRPr="005B47B3">
        <w:rPr>
          <w:rFonts w:ascii="Arial" w:hAnsi="Arial" w:cs="Miriam" w:hint="cs"/>
          <w:rtl/>
        </w:rPr>
        <w:t>כי הנאשם הפיק רווח מעבירה של עסקת סמים או שהיה אמור להפיק רווח מעבירה כאמור</w:t>
      </w:r>
      <w:r>
        <w:rPr>
          <w:rFonts w:ascii="Arial" w:hAnsi="Arial" w:hint="cs"/>
          <w:rtl/>
        </w:rPr>
        <w:t xml:space="preserve">, היא הפנייה לעובדות המנויות בכתב האישום המתוקן. </w:t>
      </w:r>
    </w:p>
    <w:p w14:paraId="00612729" w14:textId="77777777" w:rsidR="0056797D" w:rsidRDefault="0056797D" w:rsidP="0056797D">
      <w:pPr>
        <w:pStyle w:val="ListParagraph1"/>
        <w:spacing w:line="360" w:lineRule="auto"/>
        <w:ind w:left="0" w:firstLine="720"/>
        <w:jc w:val="both"/>
        <w:rPr>
          <w:rFonts w:ascii="Arial" w:hAnsi="Arial"/>
          <w:rtl/>
        </w:rPr>
      </w:pPr>
    </w:p>
    <w:p w14:paraId="2A27EF71" w14:textId="77777777" w:rsidR="0056797D" w:rsidRPr="00341E5E" w:rsidRDefault="0056797D" w:rsidP="0056797D">
      <w:pPr>
        <w:pStyle w:val="ListParagraph1"/>
        <w:spacing w:line="360" w:lineRule="auto"/>
        <w:ind w:left="0" w:firstLine="720"/>
        <w:jc w:val="both"/>
        <w:rPr>
          <w:rFonts w:ascii="Arial" w:hAnsi="Arial"/>
          <w:rtl/>
        </w:rPr>
      </w:pPr>
      <w:r>
        <w:rPr>
          <w:rFonts w:ascii="Arial" w:hAnsi="Arial" w:hint="cs"/>
          <w:rtl/>
        </w:rPr>
        <w:t xml:space="preserve"> אלא, שכתב האישום המתוקן ייחס לנאשם עבירה של החזקת סמים בלבד, ולא ביצוע עסקת סמים. העובדה כי ברכבו של הנאשם נתפס אוסף אקלקטי של סמים מסוגים שונים אינה מספקת, כלשעצמה, על מנת להוכיח כי אמור היה בעתיד להפיק רווח </w:t>
      </w:r>
      <w:r w:rsidRPr="00004425">
        <w:rPr>
          <w:rFonts w:ascii="Arial" w:hAnsi="Arial" w:hint="cs"/>
          <w:b/>
          <w:bCs/>
          <w:rtl/>
        </w:rPr>
        <w:t>מעסקת</w:t>
      </w:r>
      <w:r>
        <w:rPr>
          <w:rFonts w:ascii="Arial" w:hAnsi="Arial" w:hint="cs"/>
          <w:rtl/>
        </w:rPr>
        <w:t xml:space="preserve"> סם. העובדה כי בהלכת </w:t>
      </w:r>
      <w:r w:rsidRPr="00341E5E">
        <w:rPr>
          <w:rFonts w:ascii="Arial" w:hAnsi="Arial" w:hint="cs"/>
          <w:b/>
          <w:bCs/>
          <w:rtl/>
        </w:rPr>
        <w:t>מטיס</w:t>
      </w:r>
      <w:r>
        <w:rPr>
          <w:rFonts w:ascii="Arial" w:hAnsi="Arial" w:hint="cs"/>
          <w:rtl/>
        </w:rPr>
        <w:t xml:space="preserve"> מוכן היה בית המשפט להסיק הפקת רווח כזו מנסיבות ביצוע אחרות וחד משמעיות (שם מדובר היה בקנבוס במשקל 17.5 ק"ג נטו מחולק ל-28 אריזות נפרדות) אינה מחייבת להסיק כך בנסיבות שונות בתכלית. במלים אחרות, בניגוד להכרעת בית המשפט העליון בהלכת </w:t>
      </w:r>
      <w:r>
        <w:rPr>
          <w:rFonts w:ascii="Arial" w:hAnsi="Arial" w:hint="cs"/>
          <w:b/>
          <w:bCs/>
          <w:rtl/>
        </w:rPr>
        <w:t>מטיס</w:t>
      </w:r>
      <w:r>
        <w:rPr>
          <w:rFonts w:ascii="Arial" w:hAnsi="Arial" w:hint="cs"/>
          <w:rtl/>
        </w:rPr>
        <w:t>, בענייננו אינני סבור כי עבר נטל השכנוע בעניין זה אל כתפי הנאשם.</w:t>
      </w:r>
    </w:p>
    <w:p w14:paraId="59198796" w14:textId="77777777" w:rsidR="0056797D" w:rsidRDefault="0056797D" w:rsidP="0056797D">
      <w:pPr>
        <w:pStyle w:val="ListParagraph1"/>
        <w:spacing w:line="360" w:lineRule="auto"/>
        <w:ind w:left="0" w:firstLine="720"/>
        <w:jc w:val="both"/>
        <w:rPr>
          <w:rFonts w:ascii="Arial" w:hAnsi="Arial"/>
          <w:rtl/>
        </w:rPr>
      </w:pPr>
    </w:p>
    <w:p w14:paraId="43735CEF" w14:textId="77777777" w:rsidR="0056797D" w:rsidRDefault="0056797D" w:rsidP="0056797D">
      <w:pPr>
        <w:pStyle w:val="ListParagraph1"/>
        <w:numPr>
          <w:ilvl w:val="0"/>
          <w:numId w:val="1"/>
        </w:numPr>
        <w:spacing w:line="360" w:lineRule="auto"/>
        <w:ind w:left="0" w:firstLine="0"/>
        <w:jc w:val="both"/>
        <w:rPr>
          <w:rFonts w:ascii="Arial" w:hAnsi="Arial"/>
          <w:rtl/>
        </w:rPr>
      </w:pPr>
      <w:r>
        <w:rPr>
          <w:rFonts w:ascii="Arial" w:hAnsi="Arial" w:hint="cs"/>
          <w:rtl/>
        </w:rPr>
        <w:t xml:space="preserve">נוכח האמור אני דוחה את עתירת המדינה להכריז על הנאשם כעל "סוחר סמים", אך בהתאם להסכמה שהביע ב"כ הנאשם בישיבת הטיעונים לעונש </w:t>
      </w:r>
      <w:r>
        <w:rPr>
          <w:rFonts w:ascii="Arial" w:hAnsi="Arial"/>
          <w:rtl/>
        </w:rPr>
        <w:t>–</w:t>
      </w:r>
      <w:r>
        <w:rPr>
          <w:rFonts w:ascii="Arial" w:hAnsi="Arial" w:hint="cs"/>
          <w:rtl/>
        </w:rPr>
        <w:t xml:space="preserve"> אני מורה, מכוח סמכותי </w:t>
      </w:r>
      <w:hyperlink r:id="rId18" w:history="1">
        <w:r w:rsidR="00467889" w:rsidRPr="00467889">
          <w:rPr>
            <w:rFonts w:ascii="Arial" w:hAnsi="Arial"/>
            <w:color w:val="0000FF"/>
            <w:u w:val="single"/>
            <w:rtl/>
          </w:rPr>
          <w:t>בסעיף 39</w:t>
        </w:r>
      </w:hyperlink>
      <w:r>
        <w:rPr>
          <w:rFonts w:ascii="Arial" w:hAnsi="Arial" w:hint="cs"/>
          <w:rtl/>
        </w:rPr>
        <w:t xml:space="preserve"> ל</w:t>
      </w:r>
      <w:hyperlink r:id="rId19" w:history="1">
        <w:r w:rsidR="00C0269A" w:rsidRPr="00C0269A">
          <w:rPr>
            <w:rFonts w:ascii="Arial" w:hAnsi="Arial"/>
            <w:color w:val="0000FF"/>
            <w:u w:val="single"/>
            <w:rtl/>
          </w:rPr>
          <w:t>פקודת סדר הדין הפלילי (מעצר וחיפוש)</w:t>
        </w:r>
      </w:hyperlink>
      <w:r>
        <w:rPr>
          <w:rFonts w:ascii="Arial" w:hAnsi="Arial" w:hint="cs"/>
          <w:rtl/>
        </w:rPr>
        <w:t xml:space="preserve"> [נוסח חדש], התשכ"ט-1969, לחלט את רכב הנאשם מסוג וולבו לטובת אוצר המדינה.</w:t>
      </w:r>
    </w:p>
    <w:p w14:paraId="3BC115B1" w14:textId="77777777" w:rsidR="0056797D" w:rsidRDefault="0056797D" w:rsidP="0056797D">
      <w:pPr>
        <w:spacing w:line="360" w:lineRule="auto"/>
        <w:jc w:val="both"/>
        <w:rPr>
          <w:rFonts w:ascii="Arial" w:hAnsi="Arial"/>
          <w:b/>
          <w:bCs/>
          <w:rtl/>
        </w:rPr>
      </w:pPr>
    </w:p>
    <w:p w14:paraId="7969EB1C" w14:textId="77777777" w:rsidR="0056797D" w:rsidRPr="00004425" w:rsidRDefault="0056797D" w:rsidP="0056797D">
      <w:pPr>
        <w:spacing w:line="360" w:lineRule="auto"/>
        <w:jc w:val="both"/>
        <w:rPr>
          <w:rFonts w:ascii="Arial" w:hAnsi="Arial"/>
          <w:rtl/>
        </w:rPr>
      </w:pPr>
      <w:r w:rsidRPr="00004425">
        <w:rPr>
          <w:rFonts w:ascii="Arial" w:hAnsi="Arial" w:hint="cs"/>
          <w:rtl/>
        </w:rPr>
        <w:t>יתר התפוסים</w:t>
      </w:r>
      <w:r>
        <w:rPr>
          <w:rFonts w:ascii="Arial" w:hAnsi="Arial" w:hint="cs"/>
          <w:rtl/>
        </w:rPr>
        <w:t xml:space="preserve"> (שני טלפונים ניידים וסך של 5,876 ₪ ו-100 דולר ארה"ב)</w:t>
      </w:r>
      <w:r w:rsidRPr="00004425">
        <w:rPr>
          <w:rFonts w:ascii="Arial" w:hAnsi="Arial" w:hint="cs"/>
          <w:rtl/>
        </w:rPr>
        <w:t xml:space="preserve"> יושבו לנאשם תוך 30 יום.</w:t>
      </w:r>
    </w:p>
    <w:p w14:paraId="6F6D79C5" w14:textId="77777777" w:rsidR="0056797D" w:rsidRDefault="0056797D" w:rsidP="0056797D">
      <w:pPr>
        <w:spacing w:line="360" w:lineRule="auto"/>
        <w:jc w:val="both"/>
        <w:rPr>
          <w:rFonts w:ascii="Arial" w:hAnsi="Arial"/>
          <w:b/>
          <w:bCs/>
          <w:rtl/>
        </w:rPr>
      </w:pPr>
    </w:p>
    <w:p w14:paraId="55E56A49" w14:textId="77777777" w:rsidR="0056797D" w:rsidRPr="00706532" w:rsidRDefault="0056797D" w:rsidP="0056797D">
      <w:pPr>
        <w:spacing w:line="360" w:lineRule="auto"/>
        <w:jc w:val="both"/>
        <w:rPr>
          <w:rFonts w:ascii="Arial" w:hAnsi="Arial"/>
          <w:b/>
          <w:bCs/>
        </w:rPr>
      </w:pPr>
      <w:r w:rsidRPr="00706532">
        <w:rPr>
          <w:rFonts w:ascii="Arial" w:hAnsi="Arial" w:hint="cs"/>
          <w:b/>
          <w:bCs/>
          <w:rtl/>
        </w:rPr>
        <w:t>זכות ערעור לבית המשפט המחוזי תוך 45 יום</w:t>
      </w:r>
    </w:p>
    <w:p w14:paraId="5D2B45C3" w14:textId="77777777" w:rsidR="0056797D" w:rsidRPr="00706532" w:rsidRDefault="0056797D" w:rsidP="0056797D">
      <w:pPr>
        <w:pStyle w:val="ListParagraph1"/>
        <w:spacing w:line="360" w:lineRule="auto"/>
        <w:ind w:left="861"/>
        <w:jc w:val="both"/>
        <w:rPr>
          <w:rFonts w:ascii="Arial" w:hAnsi="Arial"/>
          <w:b/>
          <w:bCs/>
          <w:rtl/>
        </w:rPr>
      </w:pPr>
      <w:r w:rsidRPr="00706532">
        <w:rPr>
          <w:rFonts w:ascii="Arial" w:hAnsi="Arial" w:hint="cs"/>
          <w:b/>
          <w:bCs/>
          <w:rtl/>
        </w:rPr>
        <w:t xml:space="preserve"> </w:t>
      </w:r>
    </w:p>
    <w:p w14:paraId="60204279" w14:textId="77777777" w:rsidR="0056797D" w:rsidRPr="00D16BE6" w:rsidRDefault="00C0269A" w:rsidP="0056797D">
      <w:pPr>
        <w:jc w:val="both"/>
        <w:rPr>
          <w:sz w:val="28"/>
          <w:szCs w:val="28"/>
          <w:rtl/>
        </w:rPr>
      </w:pPr>
      <w:r w:rsidRPr="00C0269A">
        <w:rPr>
          <w:rFonts w:ascii="Arial" w:hAnsi="Arial"/>
          <w:color w:val="FFFFFF"/>
          <w:sz w:val="2"/>
          <w:szCs w:val="2"/>
          <w:rtl/>
        </w:rPr>
        <w:t>5129371</w:t>
      </w:r>
      <w:r>
        <w:rPr>
          <w:rFonts w:ascii="Arial" w:hAnsi="Arial"/>
          <w:sz w:val="26"/>
          <w:szCs w:val="26"/>
          <w:rtl/>
        </w:rPr>
        <w:t xml:space="preserve">ניתן היום,  ט"ז סיוון תשע"ח, 30 מאי 2018, במעמד הנוכחים.  </w:t>
      </w:r>
    </w:p>
    <w:p w14:paraId="50A306BB" w14:textId="77777777" w:rsidR="0056797D" w:rsidRPr="00C0269A" w:rsidRDefault="00C0269A" w:rsidP="0056797D">
      <w:pPr>
        <w:jc w:val="both"/>
        <w:rPr>
          <w:color w:val="FFFFFF"/>
          <w:sz w:val="2"/>
          <w:szCs w:val="2"/>
        </w:rPr>
      </w:pPr>
      <w:r w:rsidRPr="00C0269A">
        <w:rPr>
          <w:rFonts w:ascii="Arial" w:hAnsi="Arial"/>
          <w:color w:val="FFFFFF"/>
          <w:sz w:val="2"/>
          <w:szCs w:val="2"/>
          <w:rtl/>
        </w:rPr>
        <w:t>54678313</w:t>
      </w:r>
      <w:r w:rsidR="0056797D" w:rsidRPr="00C0269A">
        <w:rPr>
          <w:rFonts w:ascii="Arial" w:hAnsi="Arial" w:hint="cs"/>
          <w:color w:val="FFFFFF"/>
          <w:sz w:val="2"/>
          <w:szCs w:val="2"/>
          <w:rtl/>
        </w:rPr>
        <w:t xml:space="preserve">                                                                         </w:t>
      </w:r>
      <w:r w:rsidR="0056797D" w:rsidRPr="00C0269A">
        <w:rPr>
          <w:color w:val="FFFFFF"/>
          <w:sz w:val="2"/>
          <w:szCs w:val="2"/>
          <w:rtl/>
        </w:rPr>
        <w:t xml:space="preserve">     </w:t>
      </w:r>
    </w:p>
    <w:p w14:paraId="1946078E" w14:textId="77777777" w:rsidR="0056797D" w:rsidRPr="00D16BE6" w:rsidRDefault="0056797D" w:rsidP="0056797D">
      <w:pPr>
        <w:jc w:val="both"/>
        <w:rPr>
          <w:rFonts w:ascii="Arial" w:hAnsi="Arial"/>
          <w:sz w:val="28"/>
          <w:szCs w:val="28"/>
          <w:rtl/>
        </w:rPr>
      </w:pPr>
    </w:p>
    <w:p w14:paraId="2E9CA156" w14:textId="77777777" w:rsidR="0056797D" w:rsidRPr="00D16BE6" w:rsidRDefault="0056797D" w:rsidP="0056797D">
      <w:pPr>
        <w:jc w:val="both"/>
        <w:rPr>
          <w:sz w:val="28"/>
          <w:szCs w:val="28"/>
          <w:rtl/>
        </w:rPr>
      </w:pPr>
    </w:p>
    <w:p w14:paraId="49E63669" w14:textId="77777777" w:rsidR="0056797D" w:rsidRPr="00D16BE6" w:rsidRDefault="0056797D" w:rsidP="0056797D">
      <w:pPr>
        <w:pStyle w:val="a3"/>
        <w:jc w:val="both"/>
        <w:rPr>
          <w:rtl/>
        </w:rPr>
      </w:pPr>
    </w:p>
    <w:p w14:paraId="1FC22FA4" w14:textId="77777777" w:rsidR="0056797D" w:rsidRDefault="0056797D" w:rsidP="0056797D">
      <w:pPr>
        <w:jc w:val="both"/>
        <w:rPr>
          <w:rFonts w:ascii="Arial" w:hAnsi="Arial" w:cs="FrankRuehl"/>
          <w:sz w:val="28"/>
          <w:szCs w:val="28"/>
        </w:rPr>
      </w:pPr>
    </w:p>
    <w:p w14:paraId="77AA63B7" w14:textId="77777777" w:rsidR="00EB7D65" w:rsidRPr="00C0269A" w:rsidRDefault="00EB7D65" w:rsidP="00C0269A">
      <w:pPr>
        <w:keepNext/>
        <w:rPr>
          <w:rFonts w:ascii="David" w:hAnsi="David"/>
          <w:color w:val="000000"/>
          <w:sz w:val="22"/>
          <w:szCs w:val="22"/>
          <w:rtl/>
        </w:rPr>
      </w:pPr>
    </w:p>
    <w:p w14:paraId="5EC06C13" w14:textId="77777777" w:rsidR="00C0269A" w:rsidRPr="00C0269A" w:rsidRDefault="00C0269A" w:rsidP="00C0269A">
      <w:pPr>
        <w:keepNext/>
        <w:rPr>
          <w:rFonts w:ascii="David" w:hAnsi="David"/>
          <w:color w:val="000000"/>
          <w:sz w:val="22"/>
          <w:szCs w:val="22"/>
          <w:rtl/>
        </w:rPr>
      </w:pPr>
      <w:r w:rsidRPr="00C0269A">
        <w:rPr>
          <w:rFonts w:ascii="David" w:hAnsi="David"/>
          <w:color w:val="000000"/>
          <w:sz w:val="22"/>
          <w:szCs w:val="22"/>
          <w:rtl/>
        </w:rPr>
        <w:t>מיכאל קרשן 54678313</w:t>
      </w:r>
    </w:p>
    <w:p w14:paraId="16FEF3D7" w14:textId="77777777" w:rsidR="00C0269A" w:rsidRDefault="00C0269A" w:rsidP="00C0269A">
      <w:r w:rsidRPr="00C0269A">
        <w:rPr>
          <w:color w:val="000000"/>
          <w:rtl/>
        </w:rPr>
        <w:t>נוסח מסמך זה כפוף לשינויי ניסוח ועריכה</w:t>
      </w:r>
    </w:p>
    <w:p w14:paraId="4DDD37E7" w14:textId="77777777" w:rsidR="00C0269A" w:rsidRDefault="00C0269A" w:rsidP="00C0269A">
      <w:pPr>
        <w:rPr>
          <w:rtl/>
        </w:rPr>
      </w:pPr>
    </w:p>
    <w:p w14:paraId="3AB6669F" w14:textId="77777777" w:rsidR="00C0269A" w:rsidRDefault="00C0269A" w:rsidP="00C0269A">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28BA31A" w14:textId="77777777" w:rsidR="00C0269A" w:rsidRPr="00C0269A" w:rsidRDefault="00C0269A" w:rsidP="00C0269A">
      <w:pPr>
        <w:jc w:val="center"/>
        <w:rPr>
          <w:color w:val="0000FF"/>
          <w:u w:val="single"/>
        </w:rPr>
      </w:pPr>
    </w:p>
    <w:sectPr w:rsidR="00C0269A" w:rsidRPr="00C0269A" w:rsidSect="00C0269A">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A3606" w14:textId="77777777" w:rsidR="004C2075" w:rsidRDefault="004C2075" w:rsidP="000B1059">
      <w:r>
        <w:separator/>
      </w:r>
    </w:p>
  </w:endnote>
  <w:endnote w:type="continuationSeparator" w:id="0">
    <w:p w14:paraId="00B864AB" w14:textId="77777777" w:rsidR="004C2075" w:rsidRDefault="004C2075" w:rsidP="000B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13E82" w14:textId="77777777" w:rsidR="00C0269A" w:rsidRDefault="00C0269A" w:rsidP="00C026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E7EBC5" w14:textId="77777777" w:rsidR="004160B4" w:rsidRPr="00C0269A" w:rsidRDefault="00C0269A" w:rsidP="00C026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17A8" w14:textId="77777777" w:rsidR="00C0269A" w:rsidRDefault="00C0269A" w:rsidP="00C026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7227">
      <w:rPr>
        <w:rFonts w:ascii="FrankRuehl" w:hAnsi="FrankRuehl" w:cs="FrankRuehl"/>
        <w:noProof/>
        <w:rtl/>
      </w:rPr>
      <w:t>1</w:t>
    </w:r>
    <w:r>
      <w:rPr>
        <w:rFonts w:ascii="FrankRuehl" w:hAnsi="FrankRuehl" w:cs="FrankRuehl"/>
        <w:rtl/>
      </w:rPr>
      <w:fldChar w:fldCharType="end"/>
    </w:r>
  </w:p>
  <w:p w14:paraId="0FE65BE1" w14:textId="77777777" w:rsidR="004160B4" w:rsidRPr="00C0269A" w:rsidRDefault="00C0269A" w:rsidP="00C026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174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0488C" w14:textId="77777777" w:rsidR="004C2075" w:rsidRDefault="004C2075" w:rsidP="000B1059">
      <w:r>
        <w:separator/>
      </w:r>
    </w:p>
  </w:footnote>
  <w:footnote w:type="continuationSeparator" w:id="0">
    <w:p w14:paraId="2922CC10" w14:textId="77777777" w:rsidR="004C2075" w:rsidRDefault="004C2075" w:rsidP="000B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1962" w14:textId="77777777" w:rsidR="00C0269A" w:rsidRPr="00C0269A" w:rsidRDefault="00C0269A" w:rsidP="00C0269A">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(כ"ס) 20538-11-17</w:t>
    </w:r>
    <w:r>
      <w:rPr>
        <w:rFonts w:ascii="David" w:hAnsi="David"/>
        <w:color w:val="000000"/>
        <w:sz w:val="22"/>
        <w:szCs w:val="22"/>
        <w:rtl/>
      </w:rPr>
      <w:tab/>
      <w:t xml:space="preserve"> מדינת ישראל נ' סטיב בלעום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2E28" w14:textId="77777777" w:rsidR="00C0269A" w:rsidRPr="00C0269A" w:rsidRDefault="00C0269A" w:rsidP="00C026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20538-11-17</w:t>
    </w:r>
    <w:r>
      <w:rPr>
        <w:rFonts w:ascii="David" w:hAnsi="David"/>
        <w:color w:val="000000"/>
        <w:sz w:val="22"/>
        <w:szCs w:val="22"/>
        <w:rtl/>
      </w:rPr>
      <w:tab/>
      <w:t xml:space="preserve"> מדינת ישראל נ' סטיב בלעום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959DA"/>
    <w:multiLevelType w:val="hybridMultilevel"/>
    <w:tmpl w:val="878C810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CC4823"/>
    <w:multiLevelType w:val="hybridMultilevel"/>
    <w:tmpl w:val="0A6ACCF2"/>
    <w:lvl w:ilvl="0" w:tplc="D41277E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9F87E63"/>
    <w:multiLevelType w:val="hybridMultilevel"/>
    <w:tmpl w:val="D2602D36"/>
    <w:lvl w:ilvl="0" w:tplc="04090013">
      <w:start w:val="1"/>
      <w:numFmt w:val="hebrew1"/>
      <w:lvlText w:val="%1."/>
      <w:lvlJc w:val="center"/>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num w:numId="1" w16cid:durableId="1633975263">
    <w:abstractNumId w:val="1"/>
  </w:num>
  <w:num w:numId="2" w16cid:durableId="1609463890">
    <w:abstractNumId w:val="0"/>
  </w:num>
  <w:num w:numId="3" w16cid:durableId="1162965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797D"/>
    <w:rsid w:val="000B1059"/>
    <w:rsid w:val="00187805"/>
    <w:rsid w:val="001E7227"/>
    <w:rsid w:val="003022C5"/>
    <w:rsid w:val="004160B4"/>
    <w:rsid w:val="00467889"/>
    <w:rsid w:val="004C2075"/>
    <w:rsid w:val="0056797D"/>
    <w:rsid w:val="006C2CE3"/>
    <w:rsid w:val="00702E88"/>
    <w:rsid w:val="00981560"/>
    <w:rsid w:val="00BB0276"/>
    <w:rsid w:val="00C0269A"/>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216BF0"/>
  <w15:chartTrackingRefBased/>
  <w15:docId w15:val="{5CA395DA-F3B6-46FA-BF4F-44E5ED6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79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797D"/>
    <w:pPr>
      <w:tabs>
        <w:tab w:val="center" w:pos="4153"/>
        <w:tab w:val="right" w:pos="8306"/>
      </w:tabs>
    </w:pPr>
  </w:style>
  <w:style w:type="character" w:customStyle="1" w:styleId="a4">
    <w:name w:val="כותרת עליונה תו"/>
    <w:link w:val="a3"/>
    <w:rsid w:val="0056797D"/>
    <w:rPr>
      <w:rFonts w:ascii="Times New Roman" w:eastAsia="Times New Roman" w:hAnsi="Times New Roman" w:cs="David"/>
      <w:sz w:val="24"/>
      <w:szCs w:val="24"/>
    </w:rPr>
  </w:style>
  <w:style w:type="paragraph" w:styleId="a5">
    <w:name w:val="footer"/>
    <w:basedOn w:val="a"/>
    <w:link w:val="a6"/>
    <w:rsid w:val="0056797D"/>
    <w:pPr>
      <w:tabs>
        <w:tab w:val="center" w:pos="4153"/>
        <w:tab w:val="right" w:pos="8306"/>
      </w:tabs>
    </w:pPr>
  </w:style>
  <w:style w:type="character" w:customStyle="1" w:styleId="a6">
    <w:name w:val="כותרת תחתונה תו"/>
    <w:link w:val="a5"/>
    <w:rsid w:val="0056797D"/>
    <w:rPr>
      <w:rFonts w:ascii="Times New Roman" w:eastAsia="Times New Roman" w:hAnsi="Times New Roman" w:cs="David"/>
      <w:sz w:val="24"/>
      <w:szCs w:val="24"/>
    </w:rPr>
  </w:style>
  <w:style w:type="table" w:styleId="a7">
    <w:name w:val="Table Grid"/>
    <w:basedOn w:val="a1"/>
    <w:rsid w:val="005679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797D"/>
  </w:style>
  <w:style w:type="paragraph" w:customStyle="1" w:styleId="ListParagraph1">
    <w:name w:val="List Paragraph1"/>
    <w:basedOn w:val="a"/>
    <w:qFormat/>
    <w:rsid w:val="0056797D"/>
    <w:pPr>
      <w:ind w:left="720"/>
      <w:contextualSpacing/>
    </w:pPr>
  </w:style>
  <w:style w:type="character" w:styleId="Hyperlink">
    <w:name w:val="Hyperlink"/>
    <w:rsid w:val="00C026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a.b" TargetMode="External"/><Relationship Id="rId13" Type="http://schemas.openxmlformats.org/officeDocument/2006/relationships/hyperlink" Target="http://www.nevo.co.il/case/20118363" TargetMode="External"/><Relationship Id="rId18" Type="http://schemas.openxmlformats.org/officeDocument/2006/relationships/hyperlink" Target="http://www.nevo.co.il/law/74918/3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2217955" TargetMode="External"/><Relationship Id="rId17" Type="http://schemas.openxmlformats.org/officeDocument/2006/relationships/hyperlink" Target="http://www.nevo.co.il/law/4216/36a.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681787"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8682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1.xml"/><Relationship Id="rId10" Type="http://schemas.openxmlformats.org/officeDocument/2006/relationships/hyperlink" Target="http://www.nevo.co.il/law/74918/39" TargetMode="External"/><Relationship Id="rId19" Type="http://schemas.openxmlformats.org/officeDocument/2006/relationships/hyperlink" Target="http://www.nevo.co.il/law/74918" TargetMode="External"/><Relationship Id="rId4" Type="http://schemas.openxmlformats.org/officeDocument/2006/relationships/webSettings" Target="webSettings.xml"/><Relationship Id="rId9" Type="http://schemas.openxmlformats.org/officeDocument/2006/relationships/hyperlink" Target="http://www.nevo.co.il/law/74918" TargetMode="External"/><Relationship Id="rId14" Type="http://schemas.openxmlformats.org/officeDocument/2006/relationships/hyperlink" Target="http://www.nevo.co.il/law/4216/36a.b"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1692</Words>
  <Characters>8460</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10132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8323182</vt:i4>
      </vt:variant>
      <vt:variant>
        <vt:i4>36</vt:i4>
      </vt:variant>
      <vt:variant>
        <vt:i4>0</vt:i4>
      </vt:variant>
      <vt:variant>
        <vt:i4>5</vt:i4>
      </vt:variant>
      <vt:variant>
        <vt:lpwstr>http://www.nevo.co.il/law/74918</vt:lpwstr>
      </vt:variant>
      <vt:variant>
        <vt:lpwstr/>
      </vt:variant>
      <vt:variant>
        <vt:i4>6881381</vt:i4>
      </vt:variant>
      <vt:variant>
        <vt:i4>33</vt:i4>
      </vt:variant>
      <vt:variant>
        <vt:i4>0</vt:i4>
      </vt:variant>
      <vt:variant>
        <vt:i4>5</vt:i4>
      </vt:variant>
      <vt:variant>
        <vt:lpwstr>http://www.nevo.co.il/law/74918/39</vt:lpwstr>
      </vt:variant>
      <vt:variant>
        <vt:lpwstr/>
      </vt:variant>
      <vt:variant>
        <vt:i4>5111890</vt:i4>
      </vt:variant>
      <vt:variant>
        <vt:i4>30</vt:i4>
      </vt:variant>
      <vt:variant>
        <vt:i4>0</vt:i4>
      </vt:variant>
      <vt:variant>
        <vt:i4>5</vt:i4>
      </vt:variant>
      <vt:variant>
        <vt:lpwstr>http://www.nevo.co.il/law/4216/36a.b</vt:lpwstr>
      </vt:variant>
      <vt:variant>
        <vt:lpwstr/>
      </vt:variant>
      <vt:variant>
        <vt:i4>3997819</vt:i4>
      </vt:variant>
      <vt:variant>
        <vt:i4>27</vt:i4>
      </vt:variant>
      <vt:variant>
        <vt:i4>0</vt:i4>
      </vt:variant>
      <vt:variant>
        <vt:i4>5</vt:i4>
      </vt:variant>
      <vt:variant>
        <vt:lpwstr>http://www.nevo.co.il/case/5681787</vt:lpwstr>
      </vt:variant>
      <vt:variant>
        <vt:lpwstr/>
      </vt:variant>
      <vt:variant>
        <vt:i4>8257637</vt:i4>
      </vt:variant>
      <vt:variant>
        <vt:i4>24</vt:i4>
      </vt:variant>
      <vt:variant>
        <vt:i4>0</vt:i4>
      </vt:variant>
      <vt:variant>
        <vt:i4>5</vt:i4>
      </vt:variant>
      <vt:variant>
        <vt:lpwstr>http://www.nevo.co.il/law/4216</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3997814</vt:i4>
      </vt:variant>
      <vt:variant>
        <vt:i4>18</vt:i4>
      </vt:variant>
      <vt:variant>
        <vt:i4>0</vt:i4>
      </vt:variant>
      <vt:variant>
        <vt:i4>5</vt:i4>
      </vt:variant>
      <vt:variant>
        <vt:lpwstr>http://www.nevo.co.il/case/20118363</vt:lpwstr>
      </vt:variant>
      <vt:variant>
        <vt:lpwstr/>
      </vt:variant>
      <vt:variant>
        <vt:i4>3276926</vt:i4>
      </vt:variant>
      <vt:variant>
        <vt:i4>15</vt:i4>
      </vt:variant>
      <vt:variant>
        <vt:i4>0</vt:i4>
      </vt:variant>
      <vt:variant>
        <vt:i4>5</vt:i4>
      </vt:variant>
      <vt:variant>
        <vt:lpwstr>http://www.nevo.co.il/case/22217955</vt:lpwstr>
      </vt:variant>
      <vt:variant>
        <vt:lpwstr/>
      </vt:variant>
      <vt:variant>
        <vt:i4>3407991</vt:i4>
      </vt:variant>
      <vt:variant>
        <vt:i4>12</vt:i4>
      </vt:variant>
      <vt:variant>
        <vt:i4>0</vt:i4>
      </vt:variant>
      <vt:variant>
        <vt:i4>5</vt:i4>
      </vt:variant>
      <vt:variant>
        <vt:lpwstr>http://www.nevo.co.il/case/5786821</vt:lpwstr>
      </vt:variant>
      <vt:variant>
        <vt:lpwstr/>
      </vt:variant>
      <vt:variant>
        <vt:i4>6881381</vt:i4>
      </vt:variant>
      <vt:variant>
        <vt:i4>9</vt:i4>
      </vt:variant>
      <vt:variant>
        <vt:i4>0</vt:i4>
      </vt:variant>
      <vt:variant>
        <vt:i4>5</vt:i4>
      </vt:variant>
      <vt:variant>
        <vt:lpwstr>http://www.nevo.co.il/law/74918/39</vt:lpwstr>
      </vt:variant>
      <vt:variant>
        <vt:lpwstr/>
      </vt:variant>
      <vt:variant>
        <vt:i4>8323182</vt:i4>
      </vt:variant>
      <vt:variant>
        <vt:i4>6</vt:i4>
      </vt:variant>
      <vt:variant>
        <vt:i4>0</vt:i4>
      </vt:variant>
      <vt:variant>
        <vt:i4>5</vt:i4>
      </vt:variant>
      <vt:variant>
        <vt:lpwstr>http://www.nevo.co.il/law/74918</vt:lpwstr>
      </vt:variant>
      <vt:variant>
        <vt:lpwstr/>
      </vt:variant>
      <vt:variant>
        <vt:i4>5111890</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20538</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סטיב בלעום</vt:lpwstr>
  </property>
  <property fmtid="{D5CDD505-2E9C-101B-9397-08002B2CF9AE}" pid="10" name="LAWYER">
    <vt:lpwstr>טלי קרת;ווג'די ג'לג'ולי</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20180530</vt:lpwstr>
  </property>
  <property fmtid="{D5CDD505-2E9C-101B-9397-08002B2CF9AE}" pid="14" name="TYPE_N_DATE">
    <vt:lpwstr>38020180530</vt:lpwstr>
  </property>
  <property fmtid="{D5CDD505-2E9C-101B-9397-08002B2CF9AE}" pid="15" name="WORDNUMPAGES">
    <vt:lpwstr>6</vt:lpwstr>
  </property>
  <property fmtid="{D5CDD505-2E9C-101B-9397-08002B2CF9AE}" pid="16" name="TYPE_ABS_DATE">
    <vt:lpwstr>380020180530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5786821;22217955;20118363;5681787</vt:lpwstr>
  </property>
  <property fmtid="{D5CDD505-2E9C-101B-9397-08002B2CF9AE}" pid="36" name="LAWLISTTMP1">
    <vt:lpwstr>4216/036a.b:2</vt:lpwstr>
  </property>
  <property fmtid="{D5CDD505-2E9C-101B-9397-08002B2CF9AE}" pid="37" name="LAWLISTTMP2">
    <vt:lpwstr>74918/039</vt:lpwstr>
  </property>
</Properties>
</file>