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945F6A" w:rsidRPr="00DF5FDD" w14:paraId="5F8B81B3" w14:textId="77777777" w:rsidTr="0005132F">
        <w:trPr>
          <w:trHeight w:hRule="exact" w:val="418"/>
          <w:jc w:val="center"/>
        </w:trPr>
        <w:tc>
          <w:tcPr>
            <w:tcW w:w="8523" w:type="dxa"/>
            <w:gridSpan w:val="2"/>
          </w:tcPr>
          <w:p w14:paraId="6EAC3573" w14:textId="77777777" w:rsidR="00945F6A" w:rsidRPr="00DF5FDD" w:rsidRDefault="00945F6A" w:rsidP="00D14464">
            <w:pPr>
              <w:pStyle w:val="a3"/>
              <w:jc w:val="center"/>
              <w:rPr>
                <w:rFonts w:ascii="Tahoma" w:hAnsi="Tahoma"/>
                <w:color w:val="000080"/>
                <w:sz w:val="32"/>
                <w:szCs w:val="32"/>
                <w:rtl/>
              </w:rPr>
            </w:pPr>
            <w:bookmarkStart w:id="0" w:name="LastJudge"/>
            <w:r w:rsidRPr="00DF5FDD">
              <w:rPr>
                <w:rFonts w:ascii="Tahoma" w:hAnsi="Tahoma"/>
                <w:b/>
                <w:bCs/>
                <w:color w:val="000080"/>
                <w:sz w:val="32"/>
                <w:szCs w:val="32"/>
                <w:rtl/>
              </w:rPr>
              <w:t>בית משפט השלום בתל אביב - יפו</w:t>
            </w:r>
          </w:p>
        </w:tc>
      </w:tr>
      <w:tr w:rsidR="00945F6A" w:rsidRPr="00DF5FDD" w14:paraId="20C0550F" w14:textId="77777777" w:rsidTr="0005132F">
        <w:trPr>
          <w:trHeight w:val="337"/>
          <w:jc w:val="center"/>
        </w:trPr>
        <w:tc>
          <w:tcPr>
            <w:tcW w:w="4945" w:type="dxa"/>
          </w:tcPr>
          <w:p w14:paraId="05FB92DD" w14:textId="77777777" w:rsidR="00945F6A" w:rsidRPr="00DF5FDD" w:rsidRDefault="00945F6A" w:rsidP="00D14464">
            <w:pPr>
              <w:rPr>
                <w:sz w:val="26"/>
                <w:szCs w:val="26"/>
                <w:rtl/>
              </w:rPr>
            </w:pPr>
            <w:r w:rsidRPr="00DF5FDD">
              <w:rPr>
                <w:sz w:val="26"/>
                <w:szCs w:val="26"/>
                <w:rtl/>
              </w:rPr>
              <w:t>ת"פ</w:t>
            </w:r>
            <w:r w:rsidRPr="00DF5FDD">
              <w:rPr>
                <w:rFonts w:hint="cs"/>
                <w:sz w:val="26"/>
                <w:szCs w:val="26"/>
                <w:rtl/>
              </w:rPr>
              <w:t xml:space="preserve"> </w:t>
            </w:r>
            <w:r w:rsidRPr="00DF5FDD">
              <w:rPr>
                <w:sz w:val="26"/>
                <w:szCs w:val="26"/>
                <w:rtl/>
              </w:rPr>
              <w:t>30223-11-17</w:t>
            </w:r>
            <w:r w:rsidRPr="00DF5FDD">
              <w:rPr>
                <w:rFonts w:hint="cs"/>
                <w:sz w:val="26"/>
                <w:szCs w:val="26"/>
                <w:rtl/>
              </w:rPr>
              <w:t xml:space="preserve"> </w:t>
            </w:r>
            <w:r w:rsidRPr="00DF5FDD">
              <w:rPr>
                <w:sz w:val="26"/>
                <w:szCs w:val="26"/>
                <w:rtl/>
              </w:rPr>
              <w:t>מדינת ישראל נ' אבל דיכטר</w:t>
            </w:r>
          </w:p>
        </w:tc>
        <w:tc>
          <w:tcPr>
            <w:tcW w:w="3578" w:type="dxa"/>
          </w:tcPr>
          <w:p w14:paraId="1F3DCBCE" w14:textId="77777777" w:rsidR="00945F6A" w:rsidRPr="00DF5FDD" w:rsidRDefault="00945F6A" w:rsidP="00D14464">
            <w:pPr>
              <w:pStyle w:val="a3"/>
              <w:jc w:val="right"/>
              <w:rPr>
                <w:rFonts w:cs="FrankRuehl"/>
                <w:sz w:val="28"/>
                <w:szCs w:val="28"/>
                <w:rtl/>
              </w:rPr>
            </w:pPr>
          </w:p>
        </w:tc>
      </w:tr>
    </w:tbl>
    <w:p w14:paraId="0D8BF545" w14:textId="77777777" w:rsidR="00945F6A" w:rsidRPr="00DF5FDD" w:rsidRDefault="00945F6A" w:rsidP="00945F6A">
      <w:pPr>
        <w:pStyle w:val="a3"/>
        <w:rPr>
          <w:rtl/>
        </w:rPr>
      </w:pPr>
      <w:r w:rsidRPr="00DF5FDD">
        <w:rPr>
          <w:rFonts w:hint="cs"/>
          <w:rtl/>
        </w:rPr>
        <w:t xml:space="preserve"> </w:t>
      </w:r>
    </w:p>
    <w:p w14:paraId="4D4D2338" w14:textId="77777777" w:rsidR="00945F6A" w:rsidRPr="00DF5FDD" w:rsidRDefault="00945F6A" w:rsidP="00945F6A">
      <w:pPr>
        <w:rPr>
          <w:rtl/>
        </w:rPr>
      </w:pPr>
    </w:p>
    <w:p w14:paraId="234CFC4E" w14:textId="77777777" w:rsidR="00945F6A" w:rsidRPr="00DF5FDD" w:rsidRDefault="00945F6A" w:rsidP="00945F6A">
      <w:pPr>
        <w:rPr>
          <w:b/>
          <w:bCs/>
          <w:sz w:val="26"/>
          <w:szCs w:val="26"/>
          <w:rtl/>
        </w:rPr>
      </w:pPr>
      <w:r w:rsidRPr="00DF5FDD">
        <w:rPr>
          <w:rFonts w:hint="cs"/>
          <w:b/>
          <w:bCs/>
          <w:sz w:val="26"/>
          <w:szCs w:val="26"/>
          <w:rtl/>
        </w:rPr>
        <w:t>לפני כבוד השופט עידו דרויאן-גמליאל</w:t>
      </w:r>
    </w:p>
    <w:p w14:paraId="5B77F175" w14:textId="77777777" w:rsidR="00945F6A" w:rsidRPr="00DF5FDD" w:rsidRDefault="00945F6A" w:rsidP="00945F6A">
      <w:pPr>
        <w:rPr>
          <w:b/>
          <w:bCs/>
          <w:sz w:val="26"/>
          <w:szCs w:val="26"/>
          <w:rtl/>
        </w:rPr>
      </w:pPr>
    </w:p>
    <w:p w14:paraId="23770D64" w14:textId="77777777" w:rsidR="00945F6A" w:rsidRPr="00DF5FDD" w:rsidRDefault="00945F6A" w:rsidP="00945F6A">
      <w:pPr>
        <w:rPr>
          <w:sz w:val="26"/>
          <w:szCs w:val="26"/>
          <w:rtl/>
        </w:rPr>
      </w:pPr>
      <w:r w:rsidRPr="00DF5FDD">
        <w:rPr>
          <w:rFonts w:hint="cs"/>
          <w:b/>
          <w:bCs/>
          <w:sz w:val="26"/>
          <w:szCs w:val="26"/>
          <w:rtl/>
        </w:rPr>
        <w:t>ה</w:t>
      </w:r>
      <w:bookmarkStart w:id="1" w:name="FirstAppellant"/>
      <w:r w:rsidRPr="00DF5FDD">
        <w:rPr>
          <w:rFonts w:hint="cs"/>
          <w:b/>
          <w:bCs/>
          <w:sz w:val="26"/>
          <w:szCs w:val="26"/>
          <w:rtl/>
        </w:rPr>
        <w:t>מאשימ</w:t>
      </w:r>
      <w:bookmarkEnd w:id="1"/>
      <w:r w:rsidRPr="00DF5FDD">
        <w:rPr>
          <w:rFonts w:hint="cs"/>
          <w:b/>
          <w:bCs/>
          <w:sz w:val="26"/>
          <w:szCs w:val="26"/>
          <w:rtl/>
        </w:rPr>
        <w:t>ה</w:t>
      </w:r>
      <w:r w:rsidRPr="00DF5FDD">
        <w:rPr>
          <w:rFonts w:hint="cs"/>
          <w:b/>
          <w:bCs/>
          <w:sz w:val="26"/>
          <w:szCs w:val="26"/>
          <w:rtl/>
        </w:rPr>
        <w:tab/>
        <w:t>מדינת ישראל</w:t>
      </w:r>
    </w:p>
    <w:p w14:paraId="294980C8" w14:textId="77777777" w:rsidR="00945F6A" w:rsidRPr="00DF5FDD" w:rsidRDefault="00945F6A" w:rsidP="00945F6A">
      <w:pPr>
        <w:rPr>
          <w:sz w:val="26"/>
          <w:szCs w:val="26"/>
          <w:rtl/>
        </w:rPr>
      </w:pPr>
      <w:r w:rsidRPr="00DF5FDD">
        <w:rPr>
          <w:sz w:val="26"/>
          <w:szCs w:val="26"/>
          <w:rtl/>
        </w:rPr>
        <w:tab/>
      </w:r>
      <w:r w:rsidRPr="00DF5FDD">
        <w:rPr>
          <w:sz w:val="26"/>
          <w:szCs w:val="26"/>
          <w:rtl/>
        </w:rPr>
        <w:tab/>
      </w:r>
      <w:r w:rsidRPr="00DF5FDD">
        <w:rPr>
          <w:rFonts w:hint="cs"/>
          <w:sz w:val="26"/>
          <w:szCs w:val="26"/>
          <w:rtl/>
        </w:rPr>
        <w:t xml:space="preserve">ע"י </w:t>
      </w:r>
      <w:bookmarkStart w:id="2" w:name="FirstLawyer"/>
      <w:r w:rsidRPr="00DF5FDD">
        <w:rPr>
          <w:rFonts w:hint="cs"/>
          <w:sz w:val="26"/>
          <w:szCs w:val="26"/>
          <w:rtl/>
        </w:rPr>
        <w:t>ב"כ</w:t>
      </w:r>
      <w:bookmarkEnd w:id="2"/>
      <w:r w:rsidRPr="00DF5FDD">
        <w:rPr>
          <w:rFonts w:hint="cs"/>
          <w:sz w:val="26"/>
          <w:szCs w:val="26"/>
          <w:rtl/>
        </w:rPr>
        <w:t xml:space="preserve"> עוה"ד הרצוג ודניאל</w:t>
      </w:r>
    </w:p>
    <w:p w14:paraId="03DE4F21" w14:textId="77777777" w:rsidR="00945F6A" w:rsidRPr="00DF5FDD" w:rsidRDefault="00945F6A" w:rsidP="00945F6A">
      <w:pPr>
        <w:rPr>
          <w:b/>
          <w:bCs/>
          <w:sz w:val="26"/>
          <w:szCs w:val="26"/>
          <w:rtl/>
        </w:rPr>
      </w:pPr>
    </w:p>
    <w:p w14:paraId="028E49A2" w14:textId="77777777" w:rsidR="00945F6A" w:rsidRPr="00DF5FDD" w:rsidRDefault="00945F6A" w:rsidP="00945F6A">
      <w:pPr>
        <w:rPr>
          <w:b/>
          <w:bCs/>
          <w:sz w:val="26"/>
          <w:szCs w:val="26"/>
          <w:rtl/>
        </w:rPr>
      </w:pPr>
      <w:r w:rsidRPr="00DF5FDD">
        <w:rPr>
          <w:b/>
          <w:bCs/>
          <w:sz w:val="26"/>
          <w:szCs w:val="26"/>
          <w:rtl/>
        </w:rPr>
        <w:tab/>
      </w:r>
      <w:r w:rsidRPr="00DF5FDD">
        <w:rPr>
          <w:b/>
          <w:bCs/>
          <w:sz w:val="26"/>
          <w:szCs w:val="26"/>
          <w:rtl/>
        </w:rPr>
        <w:tab/>
      </w:r>
      <w:r w:rsidRPr="00DF5FDD">
        <w:rPr>
          <w:b/>
          <w:bCs/>
          <w:sz w:val="26"/>
          <w:szCs w:val="26"/>
          <w:rtl/>
        </w:rPr>
        <w:tab/>
      </w:r>
      <w:r w:rsidRPr="00DF5FDD">
        <w:rPr>
          <w:rFonts w:hint="cs"/>
          <w:b/>
          <w:bCs/>
          <w:sz w:val="26"/>
          <w:szCs w:val="26"/>
          <w:rtl/>
        </w:rPr>
        <w:t>נגד</w:t>
      </w:r>
    </w:p>
    <w:p w14:paraId="27AB7883" w14:textId="77777777" w:rsidR="00945F6A" w:rsidRPr="00DF5FDD" w:rsidRDefault="00945F6A" w:rsidP="00945F6A">
      <w:pPr>
        <w:rPr>
          <w:b/>
          <w:bCs/>
          <w:sz w:val="26"/>
          <w:szCs w:val="26"/>
          <w:rtl/>
        </w:rPr>
      </w:pPr>
    </w:p>
    <w:p w14:paraId="783AF6F5" w14:textId="77777777" w:rsidR="00945F6A" w:rsidRPr="00DF5FDD" w:rsidRDefault="00945F6A" w:rsidP="00945F6A">
      <w:pPr>
        <w:rPr>
          <w:sz w:val="26"/>
          <w:szCs w:val="26"/>
          <w:rtl/>
        </w:rPr>
      </w:pPr>
      <w:r w:rsidRPr="00DF5FDD">
        <w:rPr>
          <w:rFonts w:hint="cs"/>
          <w:b/>
          <w:bCs/>
          <w:sz w:val="26"/>
          <w:szCs w:val="26"/>
          <w:rtl/>
        </w:rPr>
        <w:t>הנאשם</w:t>
      </w:r>
      <w:r w:rsidRPr="00DF5FDD">
        <w:rPr>
          <w:rFonts w:hint="cs"/>
          <w:b/>
          <w:bCs/>
          <w:sz w:val="26"/>
          <w:szCs w:val="26"/>
          <w:rtl/>
        </w:rPr>
        <w:tab/>
      </w:r>
      <w:r w:rsidRPr="00DF5FDD">
        <w:rPr>
          <w:b/>
          <w:bCs/>
          <w:sz w:val="26"/>
          <w:szCs w:val="26"/>
          <w:rtl/>
        </w:rPr>
        <w:tab/>
      </w:r>
      <w:r w:rsidRPr="00DF5FDD">
        <w:rPr>
          <w:rFonts w:hint="cs"/>
          <w:b/>
          <w:bCs/>
          <w:sz w:val="26"/>
          <w:szCs w:val="26"/>
          <w:rtl/>
        </w:rPr>
        <w:t>לירן אבל דיכטר</w:t>
      </w:r>
    </w:p>
    <w:p w14:paraId="0920FCC9" w14:textId="77777777" w:rsidR="00945F6A" w:rsidRPr="00DF5FDD" w:rsidRDefault="00945F6A" w:rsidP="00945F6A">
      <w:pPr>
        <w:rPr>
          <w:sz w:val="26"/>
          <w:szCs w:val="26"/>
          <w:rtl/>
        </w:rPr>
      </w:pPr>
      <w:r w:rsidRPr="00DF5FDD">
        <w:rPr>
          <w:sz w:val="26"/>
          <w:szCs w:val="26"/>
          <w:rtl/>
        </w:rPr>
        <w:tab/>
      </w:r>
      <w:r w:rsidRPr="00DF5FDD">
        <w:rPr>
          <w:sz w:val="26"/>
          <w:szCs w:val="26"/>
          <w:rtl/>
        </w:rPr>
        <w:tab/>
      </w:r>
      <w:r w:rsidRPr="00DF5FDD">
        <w:rPr>
          <w:rFonts w:hint="cs"/>
          <w:sz w:val="26"/>
          <w:szCs w:val="26"/>
          <w:rtl/>
        </w:rPr>
        <w:t>ע"י ב"כ עו"ד שטרצר</w:t>
      </w:r>
    </w:p>
    <w:p w14:paraId="518E4E29" w14:textId="77777777" w:rsidR="00945F6A" w:rsidRPr="00DF5FDD" w:rsidRDefault="00945F6A" w:rsidP="00945F6A">
      <w:pPr>
        <w:rPr>
          <w:sz w:val="26"/>
          <w:szCs w:val="26"/>
          <w:rtl/>
        </w:rPr>
      </w:pPr>
    </w:p>
    <w:p w14:paraId="5B595C00" w14:textId="77777777" w:rsidR="00DF5FDD" w:rsidRDefault="00DF5FDD" w:rsidP="00945F6A">
      <w:pPr>
        <w:rPr>
          <w:rtl/>
        </w:rPr>
      </w:pPr>
      <w:bookmarkStart w:id="3" w:name="LawTable"/>
      <w:bookmarkEnd w:id="3"/>
    </w:p>
    <w:p w14:paraId="0E2B556D" w14:textId="77777777" w:rsidR="00DF5FDD" w:rsidRPr="00DF5FDD" w:rsidRDefault="00DF5FDD" w:rsidP="00DF5FDD">
      <w:pPr>
        <w:spacing w:after="120" w:line="240" w:lineRule="exact"/>
        <w:ind w:left="283" w:hanging="283"/>
        <w:jc w:val="both"/>
        <w:rPr>
          <w:rFonts w:ascii="FrankRuehl" w:hAnsi="FrankRuehl" w:cs="FrankRuehl"/>
          <w:rtl/>
        </w:rPr>
      </w:pPr>
    </w:p>
    <w:p w14:paraId="2F78FFE1" w14:textId="77777777" w:rsidR="00DF5FDD" w:rsidRPr="00DF5FDD" w:rsidRDefault="00DF5FDD" w:rsidP="00DF5FDD">
      <w:pPr>
        <w:spacing w:after="120" w:line="240" w:lineRule="exact"/>
        <w:ind w:left="283" w:hanging="283"/>
        <w:jc w:val="both"/>
        <w:rPr>
          <w:rFonts w:ascii="FrankRuehl" w:hAnsi="FrankRuehl" w:cs="FrankRuehl"/>
          <w:rtl/>
        </w:rPr>
      </w:pPr>
      <w:r w:rsidRPr="00DF5FDD">
        <w:rPr>
          <w:rFonts w:ascii="FrankRuehl" w:hAnsi="FrankRuehl" w:cs="FrankRuehl"/>
          <w:rtl/>
        </w:rPr>
        <w:t xml:space="preserve">חקיקה שאוזכרה: </w:t>
      </w:r>
    </w:p>
    <w:p w14:paraId="4FFD26F1" w14:textId="77777777" w:rsidR="00DF5FDD" w:rsidRPr="00DF5FDD" w:rsidRDefault="00DF5FDD" w:rsidP="00DF5FDD">
      <w:pPr>
        <w:spacing w:after="120" w:line="240" w:lineRule="exact"/>
        <w:ind w:left="283" w:hanging="283"/>
        <w:jc w:val="both"/>
        <w:rPr>
          <w:rFonts w:ascii="FrankRuehl" w:hAnsi="FrankRuehl" w:cs="FrankRuehl"/>
          <w:rtl/>
        </w:rPr>
      </w:pPr>
      <w:hyperlink r:id="rId7" w:history="1">
        <w:r w:rsidRPr="00DF5FDD">
          <w:rPr>
            <w:rFonts w:ascii="FrankRuehl" w:hAnsi="FrankRuehl" w:cs="FrankRuehl"/>
            <w:color w:val="0000FF"/>
            <w:u w:val="single"/>
            <w:rtl/>
          </w:rPr>
          <w:t>פקודת הסמים המסוכנים [נוסח חדש], תשל"ג-1973</w:t>
        </w:r>
      </w:hyperlink>
    </w:p>
    <w:p w14:paraId="3DCBBAFA" w14:textId="77777777" w:rsidR="00DF5FDD" w:rsidRPr="00DF5FDD" w:rsidRDefault="00DF5FDD" w:rsidP="00DF5FDD">
      <w:pPr>
        <w:spacing w:after="120" w:line="240" w:lineRule="exact"/>
        <w:ind w:left="283" w:hanging="283"/>
        <w:jc w:val="both"/>
        <w:rPr>
          <w:rFonts w:ascii="FrankRuehl" w:hAnsi="FrankRuehl" w:cs="FrankRuehl"/>
          <w:rtl/>
        </w:rPr>
      </w:pPr>
    </w:p>
    <w:p w14:paraId="4BD0D0FA" w14:textId="77777777" w:rsidR="00DF5FDD" w:rsidRPr="00DF5FDD" w:rsidRDefault="00DF5FDD" w:rsidP="00945F6A">
      <w:pPr>
        <w:rPr>
          <w:rtl/>
        </w:rPr>
      </w:pPr>
      <w:bookmarkStart w:id="4" w:name="LawTable_End"/>
      <w:bookmarkEnd w:id="4"/>
    </w:p>
    <w:p w14:paraId="24EDDD97" w14:textId="77777777" w:rsidR="00DF5FDD" w:rsidRPr="00DF5FDD" w:rsidRDefault="00DF5FDD" w:rsidP="00945F6A">
      <w:pPr>
        <w:rPr>
          <w:rtl/>
        </w:rPr>
      </w:pPr>
    </w:p>
    <w:p w14:paraId="545AAA5E" w14:textId="77777777" w:rsidR="00945F6A" w:rsidRPr="00DF5FDD" w:rsidRDefault="00945F6A" w:rsidP="00945F6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5F6A" w14:paraId="2DCA398B" w14:textId="77777777" w:rsidTr="00945F6A">
        <w:trPr>
          <w:trHeight w:val="355"/>
          <w:jc w:val="center"/>
        </w:trPr>
        <w:tc>
          <w:tcPr>
            <w:tcW w:w="8820" w:type="dxa"/>
            <w:tcBorders>
              <w:top w:val="nil"/>
              <w:left w:val="nil"/>
              <w:bottom w:val="nil"/>
              <w:right w:val="nil"/>
            </w:tcBorders>
            <w:shd w:val="clear" w:color="auto" w:fill="auto"/>
          </w:tcPr>
          <w:p w14:paraId="3546C10D" w14:textId="77777777" w:rsidR="00DF5FDD" w:rsidRPr="00DF5FDD" w:rsidRDefault="00DF5FDD" w:rsidP="00DF5FDD">
            <w:pPr>
              <w:jc w:val="center"/>
              <w:rPr>
                <w:rFonts w:ascii="Arial" w:hAnsi="Arial"/>
                <w:b/>
                <w:bCs/>
                <w:sz w:val="28"/>
                <w:szCs w:val="28"/>
                <w:u w:val="single"/>
                <w:rtl/>
              </w:rPr>
            </w:pPr>
            <w:bookmarkStart w:id="5" w:name="PsakDin" w:colFirst="0" w:colLast="0"/>
            <w:bookmarkEnd w:id="0"/>
            <w:r w:rsidRPr="00DF5FDD">
              <w:rPr>
                <w:rFonts w:ascii="Arial" w:hAnsi="Arial"/>
                <w:b/>
                <w:bCs/>
                <w:sz w:val="28"/>
                <w:szCs w:val="28"/>
                <w:u w:val="single"/>
                <w:rtl/>
              </w:rPr>
              <w:t>גזר דין</w:t>
            </w:r>
          </w:p>
          <w:p w14:paraId="7668CE96" w14:textId="77777777" w:rsidR="00945F6A" w:rsidRPr="00DF5FDD" w:rsidRDefault="00945F6A" w:rsidP="00DF5FDD">
            <w:pPr>
              <w:jc w:val="center"/>
              <w:rPr>
                <w:rFonts w:ascii="Arial" w:hAnsi="Arial"/>
                <w:bCs/>
                <w:sz w:val="28"/>
                <w:szCs w:val="28"/>
                <w:u w:val="single"/>
                <w:rtl/>
              </w:rPr>
            </w:pPr>
          </w:p>
        </w:tc>
      </w:tr>
      <w:bookmarkEnd w:id="5"/>
    </w:tbl>
    <w:p w14:paraId="420E5673" w14:textId="77777777" w:rsidR="00945F6A" w:rsidRDefault="00945F6A" w:rsidP="00945F6A">
      <w:pPr>
        <w:spacing w:line="360" w:lineRule="auto"/>
        <w:jc w:val="both"/>
        <w:rPr>
          <w:rFonts w:ascii="Arial" w:hAnsi="Arial"/>
          <w:rtl/>
        </w:rPr>
      </w:pPr>
    </w:p>
    <w:p w14:paraId="3B174229" w14:textId="77777777" w:rsidR="00945F6A" w:rsidRDefault="00945F6A" w:rsidP="00945F6A">
      <w:pPr>
        <w:spacing w:line="360" w:lineRule="auto"/>
        <w:jc w:val="both"/>
        <w:rPr>
          <w:rFonts w:ascii="Arial" w:hAnsi="Arial"/>
          <w:rtl/>
        </w:rPr>
      </w:pPr>
      <w:r>
        <w:rPr>
          <w:rFonts w:ascii="Arial" w:hAnsi="Arial" w:hint="cs"/>
          <w:b/>
          <w:bCs/>
          <w:u w:val="single"/>
          <w:rtl/>
        </w:rPr>
        <w:t>השתלשלות ההליך</w:t>
      </w:r>
      <w:r>
        <w:rPr>
          <w:rFonts w:ascii="Arial" w:hAnsi="Arial" w:hint="cs"/>
          <w:rtl/>
        </w:rPr>
        <w:t>:</w:t>
      </w:r>
    </w:p>
    <w:p w14:paraId="0651E435" w14:textId="77777777" w:rsidR="00945F6A" w:rsidRDefault="00945F6A" w:rsidP="00945F6A">
      <w:pPr>
        <w:pStyle w:val="a9"/>
        <w:numPr>
          <w:ilvl w:val="0"/>
          <w:numId w:val="1"/>
        </w:numPr>
        <w:spacing w:line="360" w:lineRule="auto"/>
        <w:jc w:val="both"/>
        <w:rPr>
          <w:rFonts w:ascii="Arial" w:hAnsi="Arial"/>
        </w:rPr>
      </w:pPr>
      <w:r>
        <w:rPr>
          <w:rFonts w:ascii="Arial" w:hAnsi="Arial" w:hint="cs"/>
          <w:rtl/>
        </w:rPr>
        <w:t>ביום 28.02.18, במסגרת הסדר טיעון, הודה הנאשם בכתב האישום והורשע בעבירה של החזקת סם מסוכן שלא לצריכה עצמית, לפי סעיף 7(א) בצירוף סעיף 7(ג) רישא ל</w:t>
      </w:r>
      <w:hyperlink r:id="rId8" w:history="1">
        <w:r w:rsidR="00DF5FDD" w:rsidRPr="00DF5FDD">
          <w:rPr>
            <w:rFonts w:ascii="Arial" w:hAnsi="Arial"/>
            <w:color w:val="0000FF"/>
            <w:u w:val="single"/>
            <w:rtl/>
          </w:rPr>
          <w:t>פקודת הסמים המסוכנים</w:t>
        </w:r>
      </w:hyperlink>
      <w:r>
        <w:rPr>
          <w:rFonts w:ascii="Arial" w:hAnsi="Arial" w:hint="cs"/>
          <w:rtl/>
        </w:rPr>
        <w:t>.</w:t>
      </w:r>
    </w:p>
    <w:p w14:paraId="0EAC7968" w14:textId="77777777" w:rsidR="00945F6A" w:rsidRDefault="00945F6A" w:rsidP="00945F6A">
      <w:pPr>
        <w:pStyle w:val="a9"/>
        <w:numPr>
          <w:ilvl w:val="0"/>
          <w:numId w:val="1"/>
        </w:numPr>
        <w:spacing w:line="360" w:lineRule="auto"/>
        <w:jc w:val="both"/>
        <w:rPr>
          <w:rFonts w:ascii="Arial" w:hAnsi="Arial"/>
        </w:rPr>
      </w:pPr>
      <w:r>
        <w:rPr>
          <w:rFonts w:ascii="Arial" w:hAnsi="Arial" w:hint="cs"/>
          <w:rtl/>
        </w:rPr>
        <w:t>לפי המוסכם, הופנה הנאשם לשירות המבחן והתקבל בעניינו תסקיר מיום 26.11.18: השירות מצא כי הנאשם אינו נזקק לטיפול והמליץ על ענישה חינוכית-קונקרטית של מאסר מותנה וצו של"צ בהיקף של 250 שעות.</w:t>
      </w:r>
    </w:p>
    <w:p w14:paraId="09BA4E72" w14:textId="77777777" w:rsidR="00945F6A" w:rsidRDefault="00945F6A" w:rsidP="00945F6A">
      <w:pPr>
        <w:pStyle w:val="a9"/>
        <w:numPr>
          <w:ilvl w:val="0"/>
          <w:numId w:val="1"/>
        </w:numPr>
        <w:spacing w:line="360" w:lineRule="auto"/>
        <w:jc w:val="both"/>
        <w:rPr>
          <w:rFonts w:ascii="Arial" w:hAnsi="Arial"/>
        </w:rPr>
      </w:pPr>
      <w:r>
        <w:rPr>
          <w:rFonts w:ascii="Arial" w:hAnsi="Arial" w:hint="cs"/>
          <w:rtl/>
        </w:rPr>
        <w:t>ביום 05.12.18, לאחר שמיעת הטיעונים לעונש, הפניתי את הנאשם לממונה על עבודות השירות והתקבלה בעניינו חוות דעת מיום 21.03.19 בה נמצא כשיר לריצוי מאסר בעבודות שירות.</w:t>
      </w:r>
    </w:p>
    <w:p w14:paraId="4B601FB7" w14:textId="77777777" w:rsidR="00945F6A" w:rsidRDefault="00945F6A" w:rsidP="00945F6A">
      <w:pPr>
        <w:pStyle w:val="a9"/>
        <w:numPr>
          <w:ilvl w:val="0"/>
          <w:numId w:val="1"/>
        </w:numPr>
        <w:spacing w:line="360" w:lineRule="auto"/>
        <w:jc w:val="both"/>
        <w:rPr>
          <w:rFonts w:ascii="Arial" w:hAnsi="Arial"/>
        </w:rPr>
      </w:pPr>
      <w:r>
        <w:rPr>
          <w:rFonts w:ascii="Arial" w:hAnsi="Arial" w:hint="cs"/>
          <w:rtl/>
        </w:rPr>
        <w:t>עוד בפניי גיליון הרשעות קודמות, לפיו לנאשם הרשעה יחידה בגין שוד שביצע בשנת 2010 ובגינו נדון לעשרה חודשי מאסר בפועל [תע/1], ומכתב המלצה ממעסיקו מיום 21.05.18 [תע/2].</w:t>
      </w:r>
    </w:p>
    <w:p w14:paraId="41AD8114" w14:textId="77777777" w:rsidR="00945F6A" w:rsidRPr="00C549C9" w:rsidRDefault="00945F6A" w:rsidP="00945F6A">
      <w:pPr>
        <w:pStyle w:val="a9"/>
        <w:numPr>
          <w:ilvl w:val="0"/>
          <w:numId w:val="1"/>
        </w:numPr>
        <w:spacing w:line="360" w:lineRule="auto"/>
        <w:jc w:val="both"/>
        <w:rPr>
          <w:rFonts w:ascii="Arial" w:hAnsi="Arial"/>
          <w:rtl/>
        </w:rPr>
      </w:pPr>
      <w:r>
        <w:rPr>
          <w:rFonts w:ascii="Arial" w:hAnsi="Arial" w:hint="cs"/>
          <w:rtl/>
        </w:rPr>
        <w:t>ביום 05.12.18 טענו ב"כ הצדדים לעונש, לפי הסדר הטיעון:</w:t>
      </w:r>
    </w:p>
    <w:p w14:paraId="383DAEB0" w14:textId="77777777" w:rsidR="00945F6A" w:rsidRDefault="00945F6A" w:rsidP="00945F6A">
      <w:pPr>
        <w:spacing w:line="360" w:lineRule="auto"/>
        <w:ind w:left="360"/>
        <w:jc w:val="both"/>
        <w:rPr>
          <w:rFonts w:ascii="Arial" w:hAnsi="Arial"/>
          <w:rtl/>
        </w:rPr>
      </w:pPr>
      <w:r>
        <w:rPr>
          <w:rFonts w:ascii="Arial" w:hAnsi="Arial" w:hint="cs"/>
          <w:rtl/>
        </w:rPr>
        <w:t>התביעה טענה לעונש עיקרי של מאסר לריצוי בעבודות שירות ולענישה נלווית של מאסר מותנה, קנס, פסילת רישיון נהיגה בפועל ופסילה מותנית;</w:t>
      </w:r>
    </w:p>
    <w:p w14:paraId="31636849" w14:textId="77777777" w:rsidR="00945F6A" w:rsidRDefault="00945F6A" w:rsidP="00945F6A">
      <w:pPr>
        <w:spacing w:line="360" w:lineRule="auto"/>
        <w:ind w:left="360"/>
        <w:jc w:val="both"/>
        <w:rPr>
          <w:rFonts w:ascii="Arial" w:hAnsi="Arial"/>
          <w:rtl/>
        </w:rPr>
      </w:pPr>
      <w:r>
        <w:rPr>
          <w:rFonts w:ascii="Arial" w:hAnsi="Arial" w:hint="cs"/>
          <w:rtl/>
        </w:rPr>
        <w:t xml:space="preserve">ההגנה טענה לעונש של מאסר מותנה, קנס ופסילה, וככל שימצא בכך בית המשפט צורך </w:t>
      </w:r>
      <w:r>
        <w:rPr>
          <w:rFonts w:ascii="Arial" w:hAnsi="Arial"/>
          <w:rtl/>
        </w:rPr>
        <w:t>–</w:t>
      </w:r>
      <w:r>
        <w:rPr>
          <w:rFonts w:ascii="Arial" w:hAnsi="Arial" w:hint="cs"/>
          <w:rtl/>
        </w:rPr>
        <w:t xml:space="preserve"> גם של"צ;</w:t>
      </w:r>
    </w:p>
    <w:p w14:paraId="4DA483E6" w14:textId="77777777" w:rsidR="00945F6A" w:rsidRDefault="00945F6A" w:rsidP="00945F6A">
      <w:pPr>
        <w:spacing w:line="360" w:lineRule="auto"/>
        <w:ind w:left="360"/>
        <w:jc w:val="both"/>
        <w:rPr>
          <w:rFonts w:ascii="Arial" w:hAnsi="Arial"/>
          <w:rtl/>
        </w:rPr>
      </w:pPr>
    </w:p>
    <w:p w14:paraId="3B64DE0E" w14:textId="77777777" w:rsidR="00945F6A" w:rsidRDefault="00945F6A" w:rsidP="00945F6A">
      <w:pPr>
        <w:spacing w:line="360" w:lineRule="auto"/>
        <w:jc w:val="both"/>
        <w:rPr>
          <w:rtl/>
        </w:rPr>
      </w:pPr>
      <w:r>
        <w:rPr>
          <w:rFonts w:hint="cs"/>
          <w:b/>
          <w:bCs/>
          <w:u w:val="single"/>
          <w:rtl/>
        </w:rPr>
        <w:t>מעשי הנאשם</w:t>
      </w:r>
      <w:r>
        <w:rPr>
          <w:rFonts w:hint="cs"/>
          <w:rtl/>
        </w:rPr>
        <w:t>:</w:t>
      </w:r>
    </w:p>
    <w:p w14:paraId="27A78E36" w14:textId="77777777" w:rsidR="00945F6A" w:rsidRDefault="00945F6A" w:rsidP="00945F6A">
      <w:pPr>
        <w:spacing w:line="360" w:lineRule="auto"/>
        <w:jc w:val="both"/>
        <w:rPr>
          <w:rtl/>
        </w:rPr>
      </w:pPr>
      <w:r>
        <w:rPr>
          <w:rFonts w:hint="cs"/>
          <w:rtl/>
        </w:rPr>
        <w:t>ב-17.11.16 בשעה 20:30 נלכד הנאשם כשרכב על קטנועו כשהוא מחזיק בתא המטען שמתחת למושב 302.04 גרם נטו קנבוס, שלא לצריכה עצמית.</w:t>
      </w:r>
    </w:p>
    <w:p w14:paraId="62078043" w14:textId="77777777" w:rsidR="00945F6A" w:rsidRDefault="00945F6A" w:rsidP="00945F6A">
      <w:pPr>
        <w:spacing w:line="360" w:lineRule="auto"/>
        <w:jc w:val="both"/>
        <w:rPr>
          <w:rtl/>
        </w:rPr>
      </w:pPr>
    </w:p>
    <w:p w14:paraId="54D07197" w14:textId="77777777" w:rsidR="00945F6A" w:rsidRDefault="00945F6A" w:rsidP="00945F6A">
      <w:pPr>
        <w:spacing w:line="360" w:lineRule="auto"/>
        <w:jc w:val="both"/>
        <w:rPr>
          <w:rtl/>
        </w:rPr>
      </w:pPr>
      <w:r>
        <w:rPr>
          <w:rFonts w:hint="cs"/>
          <w:b/>
          <w:bCs/>
          <w:u w:val="single"/>
          <w:rtl/>
        </w:rPr>
        <w:t xml:space="preserve">נסיבות העבירה </w:t>
      </w:r>
      <w:r>
        <w:rPr>
          <w:b/>
          <w:bCs/>
          <w:u w:val="single"/>
          <w:rtl/>
        </w:rPr>
        <w:t>–</w:t>
      </w:r>
      <w:r>
        <w:rPr>
          <w:rFonts w:hint="cs"/>
          <w:b/>
          <w:bCs/>
          <w:u w:val="single"/>
          <w:rtl/>
        </w:rPr>
        <w:t xml:space="preserve"> קביעת מתחם העונש ההולם</w:t>
      </w:r>
      <w:r>
        <w:rPr>
          <w:rFonts w:hint="cs"/>
          <w:rtl/>
        </w:rPr>
        <w:t>:</w:t>
      </w:r>
    </w:p>
    <w:p w14:paraId="5BA2933B" w14:textId="77777777" w:rsidR="00945F6A" w:rsidRDefault="00945F6A" w:rsidP="00945F6A">
      <w:pPr>
        <w:pStyle w:val="a9"/>
        <w:numPr>
          <w:ilvl w:val="0"/>
          <w:numId w:val="2"/>
        </w:numPr>
        <w:spacing w:line="360" w:lineRule="auto"/>
        <w:ind w:left="360"/>
        <w:jc w:val="both"/>
      </w:pPr>
      <w:r w:rsidRPr="00714BB3">
        <w:rPr>
          <w:rtl/>
        </w:rPr>
        <w:t>הפסיקה חזרה וקבעה בכל דרגות בתי המשפט את החומרה הרבה המיוחסת לעבירות סמים, עקב כובד משקלם של הערכים החברתיים המוגנים בעבירות סמים ואת חומרת הפגיעה בהם על ידי העבריינים. מדובר בנגע האוכל בחברה בכל פה, משחית את הגוף ואת הנפש, ושולח גרורות גם בדמות עבירות אלימות ורכוש חמורות לכלל הסביבה. זאת, עוד טרם שאזכיר את האומללות הפוקדת את משפחות הצרכנים ואת השימוש ברווחי הסמים למימונם של ארגוני פשיעה ושל כל סוגי העבריינות הקשה.</w:t>
      </w:r>
      <w:r>
        <w:rPr>
          <w:rFonts w:hint="cs"/>
          <w:rtl/>
        </w:rPr>
        <w:t xml:space="preserve"> עם-זאת, בהתחשב בסוג הסם, הפגיעה בערכים המוגנים קלה ביחס לזו הנגרמת מעיסוק בסמים "קשים".</w:t>
      </w:r>
    </w:p>
    <w:p w14:paraId="06F7356C" w14:textId="77777777" w:rsidR="00945F6A" w:rsidRDefault="00945F6A" w:rsidP="00945F6A">
      <w:pPr>
        <w:pStyle w:val="a9"/>
        <w:numPr>
          <w:ilvl w:val="0"/>
          <w:numId w:val="2"/>
        </w:numPr>
        <w:spacing w:line="360" w:lineRule="auto"/>
        <w:ind w:left="360"/>
        <w:jc w:val="both"/>
      </w:pPr>
      <w:r>
        <w:rPr>
          <w:rFonts w:hint="cs"/>
          <w:rtl/>
        </w:rPr>
        <w:t xml:space="preserve">הנאשם החזיק בסם בנסיבות המעוררות חשד של-ממש לקרבת העבירה למעשה הפצה, כשמדובר כמובן בעבירה מתוכננת, וכשפוטנציאל הנזק שנמנע עקב לכידתו הוא ממשי. הנאשם התחמק ממתן הסבר למעשה, כמתואר בתסקיר, והמסקנה המסתברת, פרי הניסיון, היא שהמעשה בוצע לשם בצע כסף </w:t>
      </w:r>
      <w:r>
        <w:rPr>
          <w:rtl/>
        </w:rPr>
        <w:t>–</w:t>
      </w:r>
      <w:r>
        <w:rPr>
          <w:rFonts w:hint="cs"/>
          <w:rtl/>
        </w:rPr>
        <w:t xml:space="preserve"> מה-גם שהנאשם עצמו אינו משתמש בסמים.</w:t>
      </w:r>
    </w:p>
    <w:p w14:paraId="54C934CB" w14:textId="77777777" w:rsidR="00945F6A" w:rsidRDefault="00945F6A" w:rsidP="00945F6A">
      <w:pPr>
        <w:pStyle w:val="a9"/>
        <w:numPr>
          <w:ilvl w:val="0"/>
          <w:numId w:val="2"/>
        </w:numPr>
        <w:spacing w:line="360" w:lineRule="auto"/>
        <w:ind w:left="360"/>
        <w:jc w:val="both"/>
      </w:pPr>
      <w:r>
        <w:rPr>
          <w:rFonts w:hint="cs"/>
          <w:rtl/>
        </w:rPr>
        <w:t xml:space="preserve">נסיבות אלו, שעיקרן קרבת העבירה למעשה הפצה לשם בצע כסף, יובילו לקביעת מתחם נוהג ושגור שבין חודשי מאסר ספורים שניתן לרצותם בעבודות שירות לבין עשרה חודשי מאסר בפועל (וראו למשל </w:t>
      </w:r>
      <w:hyperlink r:id="rId9" w:history="1">
        <w:r w:rsidR="00DF5FDD" w:rsidRPr="00DF5FDD">
          <w:rPr>
            <w:color w:val="0000FF"/>
            <w:u w:val="single"/>
            <w:rtl/>
          </w:rPr>
          <w:t>ת"פ (מחוזי חיפה) 27305-01-12</w:t>
        </w:r>
      </w:hyperlink>
      <w:r>
        <w:rPr>
          <w:rFonts w:hint="cs"/>
          <w:rtl/>
        </w:rPr>
        <w:t xml:space="preserve"> </w:t>
      </w:r>
      <w:r>
        <w:rPr>
          <w:rFonts w:hint="cs"/>
          <w:b/>
          <w:bCs/>
          <w:rtl/>
        </w:rPr>
        <w:t>מ.י. נ' אברומד</w:t>
      </w:r>
      <w:r>
        <w:rPr>
          <w:rFonts w:hint="cs"/>
          <w:rtl/>
        </w:rPr>
        <w:t xml:space="preserve"> (2012),  </w:t>
      </w:r>
      <w:hyperlink r:id="rId10" w:history="1">
        <w:r w:rsidR="00DF5FDD" w:rsidRPr="00DF5FDD">
          <w:rPr>
            <w:color w:val="0000FF"/>
            <w:u w:val="single"/>
            <w:rtl/>
          </w:rPr>
          <w:t>ת"פ 24215-03-16</w:t>
        </w:r>
      </w:hyperlink>
      <w:r>
        <w:rPr>
          <w:rFonts w:hint="cs"/>
          <w:rtl/>
        </w:rPr>
        <w:t xml:space="preserve"> </w:t>
      </w:r>
      <w:r>
        <w:rPr>
          <w:rFonts w:hint="cs"/>
          <w:b/>
          <w:bCs/>
          <w:rtl/>
        </w:rPr>
        <w:t>מ.י. נ' לאם</w:t>
      </w:r>
      <w:r>
        <w:rPr>
          <w:rFonts w:hint="cs"/>
          <w:rtl/>
        </w:rPr>
        <w:t xml:space="preserve"> (2018)</w:t>
      </w:r>
      <w:r>
        <w:rPr>
          <w:rStyle w:val="ac"/>
          <w:rtl/>
        </w:rPr>
        <w:footnoteReference w:id="1"/>
      </w:r>
      <w:r>
        <w:rPr>
          <w:rFonts w:hint="cs"/>
          <w:rtl/>
        </w:rPr>
        <w:t xml:space="preserve"> ו</w:t>
      </w:r>
      <w:hyperlink r:id="rId11" w:history="1">
        <w:r w:rsidR="00DF5FDD" w:rsidRPr="00DF5FDD">
          <w:rPr>
            <w:color w:val="0000FF"/>
            <w:u w:val="single"/>
            <w:rtl/>
          </w:rPr>
          <w:t>ת"פ 8439-07-15</w:t>
        </w:r>
      </w:hyperlink>
      <w:r>
        <w:rPr>
          <w:rFonts w:hint="cs"/>
          <w:rtl/>
        </w:rPr>
        <w:t xml:space="preserve"> </w:t>
      </w:r>
      <w:r>
        <w:rPr>
          <w:rFonts w:hint="cs"/>
          <w:b/>
          <w:bCs/>
          <w:rtl/>
        </w:rPr>
        <w:t>מ.י. נ' קוממי</w:t>
      </w:r>
      <w:r>
        <w:rPr>
          <w:rFonts w:hint="cs"/>
          <w:rtl/>
        </w:rPr>
        <w:t xml:space="preserve"> (2016)).</w:t>
      </w:r>
    </w:p>
    <w:p w14:paraId="45FB314D" w14:textId="77777777" w:rsidR="00945F6A" w:rsidRDefault="00945F6A" w:rsidP="00945F6A">
      <w:pPr>
        <w:spacing w:line="360" w:lineRule="auto"/>
        <w:jc w:val="both"/>
        <w:rPr>
          <w:rtl/>
        </w:rPr>
      </w:pPr>
    </w:p>
    <w:p w14:paraId="509F43D8" w14:textId="77777777" w:rsidR="00945F6A" w:rsidRDefault="00945F6A" w:rsidP="00945F6A">
      <w:pPr>
        <w:spacing w:line="360" w:lineRule="auto"/>
        <w:jc w:val="both"/>
        <w:rPr>
          <w:rtl/>
        </w:rPr>
      </w:pPr>
      <w:r>
        <w:rPr>
          <w:rFonts w:hint="cs"/>
          <w:b/>
          <w:bCs/>
          <w:u w:val="single"/>
          <w:rtl/>
        </w:rPr>
        <w:t xml:space="preserve">נסיבות הנאשם </w:t>
      </w:r>
      <w:r>
        <w:rPr>
          <w:b/>
          <w:bCs/>
          <w:u w:val="single"/>
          <w:rtl/>
        </w:rPr>
        <w:t>–</w:t>
      </w:r>
      <w:r>
        <w:rPr>
          <w:rFonts w:hint="cs"/>
          <w:b/>
          <w:bCs/>
          <w:u w:val="single"/>
          <w:rtl/>
        </w:rPr>
        <w:t xml:space="preserve"> קביעת העונש במתחם</w:t>
      </w:r>
      <w:r>
        <w:rPr>
          <w:rFonts w:hint="cs"/>
          <w:rtl/>
        </w:rPr>
        <w:t>:</w:t>
      </w:r>
    </w:p>
    <w:p w14:paraId="08FA8C64" w14:textId="77777777" w:rsidR="00945F6A" w:rsidRDefault="00945F6A" w:rsidP="00945F6A">
      <w:pPr>
        <w:pStyle w:val="a9"/>
        <w:numPr>
          <w:ilvl w:val="0"/>
          <w:numId w:val="3"/>
        </w:numPr>
        <w:spacing w:line="360" w:lineRule="auto"/>
        <w:jc w:val="both"/>
      </w:pPr>
      <w:r>
        <w:rPr>
          <w:rFonts w:hint="cs"/>
          <w:rtl/>
        </w:rPr>
        <w:t>הנאשם יליד 1977, כבן ארבעים כיום, נשוי ואב לשלושה, עובד כנהג סמיטריילר לשביעות רצון מעסיקיו [נע/1], ומנהל אורח חיים נורמטיבי ותקין. הנאשם אינו צורך סמים ושירות המבחן לא מצא כי נדרש טיפול כלשהו ובפרט לנוכח האפקט המרתיע של ההליך הפלילי.</w:t>
      </w:r>
    </w:p>
    <w:p w14:paraId="0EE8806B" w14:textId="77777777" w:rsidR="00945F6A" w:rsidRDefault="00945F6A" w:rsidP="00945F6A">
      <w:pPr>
        <w:pStyle w:val="a9"/>
        <w:numPr>
          <w:ilvl w:val="0"/>
          <w:numId w:val="3"/>
        </w:numPr>
        <w:spacing w:line="360" w:lineRule="auto"/>
        <w:jc w:val="both"/>
      </w:pPr>
      <w:r>
        <w:rPr>
          <w:rFonts w:hint="cs"/>
          <w:rtl/>
        </w:rPr>
        <w:t>בשנת 2010 ביצע הנאשם שוד, בגינו ריצה עשרה חודשי מאסר בפועל [תע/1], אך מאז לא הסתבך בפלילים. לנוכח חלוף הזמן וסוג העבירה, לא תשפיע הרשעה זו על העונש בתיק דנן.</w:t>
      </w:r>
    </w:p>
    <w:p w14:paraId="0893432B" w14:textId="77777777" w:rsidR="00945F6A" w:rsidRDefault="00945F6A" w:rsidP="00945F6A">
      <w:pPr>
        <w:pStyle w:val="a9"/>
        <w:numPr>
          <w:ilvl w:val="0"/>
          <w:numId w:val="3"/>
        </w:numPr>
        <w:spacing w:line="360" w:lineRule="auto"/>
        <w:jc w:val="both"/>
      </w:pPr>
      <w:r>
        <w:rPr>
          <w:rFonts w:hint="cs"/>
          <w:rtl/>
        </w:rPr>
        <w:t>לזכות הנאשם יעמדו הודאתו, שיש עמה נטילת אחריות, ולו חלקית, וחסכון במשאבי ציבור; אורח חייו הנורמטיבי והיצרני; הפגיעה הצפויה של עונש מאסר, ולו בעבודות שירות; וחלוף הזמן. כל אלה יצדיקו קביעתו של העונש העיקרי בחלקו התחתון של מתחם העונש שנקבע לעיל, כמאסר קצר לריצוי בעבודות שירות.</w:t>
      </w:r>
    </w:p>
    <w:p w14:paraId="1484883D" w14:textId="77777777" w:rsidR="00945F6A" w:rsidRDefault="00945F6A" w:rsidP="00945F6A">
      <w:pPr>
        <w:pStyle w:val="a9"/>
        <w:numPr>
          <w:ilvl w:val="0"/>
          <w:numId w:val="3"/>
        </w:numPr>
        <w:spacing w:line="360" w:lineRule="auto"/>
        <w:jc w:val="both"/>
      </w:pPr>
      <w:r>
        <w:rPr>
          <w:rFonts w:hint="cs"/>
          <w:rtl/>
        </w:rPr>
        <w:t>לצד העונש העיקרי ייקבעו לתוספת הרתעה מאסר מותנה והתחייבות כספית; הנאשם יחויב בקנס, המוצדק במניע הכלכלי לביצוע העבירה, אך הסכום יהא מתון, לנוכח הפגיעה בהשתכרות הנאשם שתתלווה לריצוי עבודות השירות; אמנע מקביעת פסילה בפועל, שיש עמה פגיעת-יתר בנאשם, וכאשר אין בנהיגתו סיכון לציבור המשתמשים בדרך.</w:t>
      </w:r>
    </w:p>
    <w:p w14:paraId="3B6B47CE" w14:textId="77777777" w:rsidR="00945F6A" w:rsidRDefault="00945F6A" w:rsidP="00945F6A">
      <w:pPr>
        <w:spacing w:line="360" w:lineRule="auto"/>
        <w:jc w:val="both"/>
        <w:rPr>
          <w:rtl/>
        </w:rPr>
      </w:pPr>
    </w:p>
    <w:p w14:paraId="1DAE73CB" w14:textId="77777777" w:rsidR="00945F6A" w:rsidRDefault="00945F6A" w:rsidP="00945F6A">
      <w:pPr>
        <w:spacing w:line="360" w:lineRule="auto"/>
        <w:jc w:val="both"/>
        <w:rPr>
          <w:rtl/>
        </w:rPr>
      </w:pPr>
      <w:r>
        <w:rPr>
          <w:rFonts w:hint="cs"/>
          <w:b/>
          <w:bCs/>
          <w:u w:val="single"/>
          <w:rtl/>
        </w:rPr>
        <w:t>סוף דבר, אני גוזר על הנאשם את העונשים הבאים</w:t>
      </w:r>
      <w:r>
        <w:rPr>
          <w:rFonts w:hint="cs"/>
          <w:rtl/>
        </w:rPr>
        <w:t>:</w:t>
      </w:r>
    </w:p>
    <w:p w14:paraId="489CF0F0" w14:textId="77777777" w:rsidR="00945F6A" w:rsidRDefault="00945F6A" w:rsidP="00945F6A">
      <w:pPr>
        <w:pStyle w:val="a9"/>
        <w:numPr>
          <w:ilvl w:val="0"/>
          <w:numId w:val="4"/>
        </w:numPr>
        <w:spacing w:line="360" w:lineRule="auto"/>
        <w:jc w:val="both"/>
      </w:pPr>
      <w:r>
        <w:rPr>
          <w:rFonts w:hint="cs"/>
          <w:rtl/>
        </w:rPr>
        <w:t xml:space="preserve">שלושה חודשי מאסר, שירוצה בעבודות שירות החל מיום 30.04.19 במועצת הפועלים בראשון לציון. הנאשם מוזהר כי כל אחד מאלה יוביל להפסקת העבודות ולהמשך ריצוי העונש בכליאה </w:t>
      </w:r>
      <w:r>
        <w:rPr>
          <w:rtl/>
        </w:rPr>
        <w:t>–</w:t>
      </w:r>
      <w:r>
        <w:rPr>
          <w:rFonts w:hint="cs"/>
          <w:rtl/>
        </w:rPr>
        <w:t xml:space="preserve"> אי-ציות להוראות הממונה על עה"ש או הממונים במקום העבודות, שימוש בסמים, הימנעות ממסירת בדיקות שתן לפי דרישה וניסיון להטיית תוצאות בדיקות שתן. תשומת-לב הנאשם להוראות ולהתראות שבחוות דעתו של הממונה;</w:t>
      </w:r>
    </w:p>
    <w:p w14:paraId="47D3F7E3" w14:textId="77777777" w:rsidR="00945F6A" w:rsidRDefault="00945F6A" w:rsidP="00945F6A">
      <w:pPr>
        <w:pStyle w:val="a9"/>
        <w:numPr>
          <w:ilvl w:val="0"/>
          <w:numId w:val="4"/>
        </w:numPr>
        <w:spacing w:line="360" w:lineRule="auto"/>
        <w:jc w:val="both"/>
      </w:pPr>
      <w:r>
        <w:rPr>
          <w:rFonts w:hint="cs"/>
          <w:rtl/>
        </w:rPr>
        <w:t>שלושה חודשי מאסר על-תנאי למשך שנתיים מהיום, שלא יעבור עבירת סמים שהיא פשע;</w:t>
      </w:r>
    </w:p>
    <w:p w14:paraId="29D98AFF" w14:textId="77777777" w:rsidR="00945F6A" w:rsidRDefault="00945F6A" w:rsidP="00945F6A">
      <w:pPr>
        <w:pStyle w:val="a9"/>
        <w:numPr>
          <w:ilvl w:val="0"/>
          <w:numId w:val="4"/>
        </w:numPr>
        <w:spacing w:line="360" w:lineRule="auto"/>
        <w:jc w:val="both"/>
      </w:pPr>
      <w:r>
        <w:rPr>
          <w:rFonts w:hint="cs"/>
          <w:rtl/>
        </w:rPr>
        <w:t>קנס בסך 800 ₪, או חודש מאסר תמורתו. הקנס ישולם עד ליום 01.06.19;</w:t>
      </w:r>
    </w:p>
    <w:p w14:paraId="19B60FB6" w14:textId="77777777" w:rsidR="00945F6A" w:rsidRDefault="00945F6A" w:rsidP="00945F6A">
      <w:pPr>
        <w:pStyle w:val="a9"/>
        <w:numPr>
          <w:ilvl w:val="0"/>
          <w:numId w:val="4"/>
        </w:numPr>
        <w:spacing w:line="360" w:lineRule="auto"/>
        <w:jc w:val="both"/>
      </w:pPr>
      <w:r>
        <w:rPr>
          <w:rFonts w:hint="cs"/>
          <w:rtl/>
        </w:rPr>
        <w:t>התחייבות בסך 1,000 ₪ למשך שנתיים מהיום, שלא יעבור עבירת סמים מכל סוג. לא תיחתם ההתחייבות, ייאסר הנאשם למשך חודש;</w:t>
      </w:r>
    </w:p>
    <w:p w14:paraId="78857FFF" w14:textId="77777777" w:rsidR="00945F6A" w:rsidRDefault="00945F6A" w:rsidP="00945F6A">
      <w:pPr>
        <w:pStyle w:val="a9"/>
        <w:numPr>
          <w:ilvl w:val="0"/>
          <w:numId w:val="4"/>
        </w:numPr>
        <w:spacing w:line="360" w:lineRule="auto"/>
        <w:jc w:val="both"/>
      </w:pPr>
      <w:r>
        <w:rPr>
          <w:rFonts w:hint="cs"/>
          <w:rtl/>
        </w:rPr>
        <w:t>שישה חודשי פסילה על-תנאי, מלקבל רישיון נהיגה או לנהוג, למשך שנתיים מהיום;</w:t>
      </w:r>
    </w:p>
    <w:p w14:paraId="348C5365" w14:textId="77777777" w:rsidR="00945F6A" w:rsidRDefault="00945F6A" w:rsidP="00945F6A">
      <w:pPr>
        <w:spacing w:line="360" w:lineRule="auto"/>
        <w:jc w:val="both"/>
        <w:rPr>
          <w:rtl/>
        </w:rPr>
      </w:pPr>
    </w:p>
    <w:p w14:paraId="066829FA" w14:textId="77777777" w:rsidR="00945F6A" w:rsidRDefault="00945F6A" w:rsidP="00945F6A">
      <w:pPr>
        <w:spacing w:line="360" w:lineRule="auto"/>
        <w:jc w:val="both"/>
        <w:rPr>
          <w:rtl/>
        </w:rPr>
      </w:pPr>
      <w:r>
        <w:rPr>
          <w:rFonts w:hint="cs"/>
          <w:b/>
          <w:bCs/>
          <w:u w:val="single"/>
          <w:rtl/>
        </w:rPr>
        <w:t>הוראות נלוות</w:t>
      </w:r>
      <w:r>
        <w:rPr>
          <w:rFonts w:hint="cs"/>
          <w:rtl/>
        </w:rPr>
        <w:t>:</w:t>
      </w:r>
    </w:p>
    <w:p w14:paraId="651F1EF4" w14:textId="77777777" w:rsidR="00945F6A" w:rsidRDefault="00945F6A" w:rsidP="00945F6A">
      <w:pPr>
        <w:pStyle w:val="a9"/>
        <w:numPr>
          <w:ilvl w:val="0"/>
          <w:numId w:val="5"/>
        </w:numPr>
        <w:spacing w:line="360" w:lineRule="auto"/>
        <w:jc w:val="both"/>
      </w:pPr>
      <w:r>
        <w:rPr>
          <w:rFonts w:hint="cs"/>
          <w:rtl/>
        </w:rPr>
        <w:t>עותקי גזר הדין יישלחו לממונה על עה"ש ולידיעת שירות המבחן;</w:t>
      </w:r>
    </w:p>
    <w:p w14:paraId="75F36D40" w14:textId="77777777" w:rsidR="00945F6A" w:rsidRDefault="00945F6A" w:rsidP="00945F6A">
      <w:pPr>
        <w:pStyle w:val="a9"/>
        <w:numPr>
          <w:ilvl w:val="0"/>
          <w:numId w:val="5"/>
        </w:numPr>
        <w:spacing w:line="360" w:lineRule="auto"/>
        <w:jc w:val="both"/>
      </w:pPr>
      <w:r>
        <w:rPr>
          <w:rFonts w:hint="cs"/>
          <w:rtl/>
        </w:rPr>
        <w:t>סמים יושמדו וכל מוצג אחר יועבר להכרעה פרטנית של קצין משטרה;</w:t>
      </w:r>
    </w:p>
    <w:p w14:paraId="16B31EB2" w14:textId="77777777" w:rsidR="00945F6A" w:rsidRDefault="00945F6A" w:rsidP="00945F6A">
      <w:pPr>
        <w:pStyle w:val="a9"/>
        <w:numPr>
          <w:ilvl w:val="0"/>
          <w:numId w:val="5"/>
        </w:numPr>
        <w:spacing w:line="360" w:lineRule="auto"/>
        <w:jc w:val="both"/>
      </w:pPr>
      <w:r>
        <w:rPr>
          <w:rFonts w:hint="cs"/>
          <w:rtl/>
        </w:rPr>
        <w:t xml:space="preserve">פיקדון שהפקיד הנאשם בתיק </w:t>
      </w:r>
      <w:hyperlink r:id="rId12" w:history="1">
        <w:r w:rsidR="00DF5FDD" w:rsidRPr="00DF5FDD">
          <w:rPr>
            <w:color w:val="0000FF"/>
            <w:u w:val="single"/>
            <w:rtl/>
          </w:rPr>
          <w:t>מ"י 42935-11-16</w:t>
        </w:r>
      </w:hyperlink>
      <w:r>
        <w:rPr>
          <w:rFonts w:hint="cs"/>
          <w:rtl/>
        </w:rPr>
        <w:t xml:space="preserve"> יושב לו;</w:t>
      </w:r>
    </w:p>
    <w:p w14:paraId="70AD629C" w14:textId="77777777" w:rsidR="00945F6A" w:rsidRDefault="00945F6A" w:rsidP="00945F6A">
      <w:pPr>
        <w:spacing w:line="360" w:lineRule="auto"/>
        <w:jc w:val="both"/>
        <w:rPr>
          <w:rtl/>
        </w:rPr>
      </w:pPr>
    </w:p>
    <w:p w14:paraId="46ACF39B" w14:textId="77777777" w:rsidR="00945F6A" w:rsidRPr="00C878A1" w:rsidRDefault="00945F6A" w:rsidP="00945F6A">
      <w:pPr>
        <w:spacing w:line="360" w:lineRule="auto"/>
        <w:jc w:val="both"/>
        <w:rPr>
          <w:rtl/>
        </w:rPr>
      </w:pPr>
      <w:r>
        <w:rPr>
          <w:rFonts w:hint="cs"/>
          <w:rtl/>
        </w:rPr>
        <w:t xml:space="preserve">זכות ערעור לבית המשפט המחוזי תוך 45 יום מהיום. </w:t>
      </w:r>
    </w:p>
    <w:p w14:paraId="740A61BD" w14:textId="77777777" w:rsidR="00945F6A" w:rsidRPr="00DF5FDD" w:rsidRDefault="00DF5FDD" w:rsidP="00945F6A">
      <w:pPr>
        <w:spacing w:line="360" w:lineRule="auto"/>
        <w:jc w:val="both"/>
        <w:rPr>
          <w:color w:val="FFFFFF"/>
          <w:sz w:val="2"/>
          <w:szCs w:val="2"/>
          <w:rtl/>
        </w:rPr>
      </w:pPr>
      <w:r w:rsidRPr="00DF5FDD">
        <w:rPr>
          <w:color w:val="FFFFFF"/>
          <w:sz w:val="2"/>
          <w:szCs w:val="2"/>
          <w:rtl/>
        </w:rPr>
        <w:t>5129371</w:t>
      </w:r>
    </w:p>
    <w:p w14:paraId="4D548718" w14:textId="77777777" w:rsidR="00945F6A" w:rsidRPr="00250B83" w:rsidRDefault="00DF5FDD" w:rsidP="00945F6A">
      <w:pPr>
        <w:rPr>
          <w:rtl/>
        </w:rPr>
      </w:pPr>
      <w:r w:rsidRPr="00DF5FDD">
        <w:rPr>
          <w:rFonts w:ascii="Arial" w:hAnsi="Arial"/>
          <w:color w:val="FFFFFF"/>
          <w:sz w:val="2"/>
          <w:szCs w:val="2"/>
          <w:rtl/>
        </w:rPr>
        <w:t>54678313</w:t>
      </w:r>
      <w:r>
        <w:rPr>
          <w:rFonts w:ascii="Arial" w:hAnsi="Arial"/>
          <w:rtl/>
        </w:rPr>
        <w:t xml:space="preserve">ניתן היום,  י"ט אדר ב' תשע"ט, 26 מרץ 2019, במעמד הצדדים. </w:t>
      </w:r>
    </w:p>
    <w:p w14:paraId="3ECF923D" w14:textId="77777777" w:rsidR="00945F6A" w:rsidRPr="00250B83" w:rsidRDefault="00945F6A" w:rsidP="00945F6A">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C2A04ED" w14:textId="77777777" w:rsidR="00945F6A" w:rsidRPr="00250B83" w:rsidRDefault="00945F6A" w:rsidP="00945F6A">
      <w:pPr>
        <w:jc w:val="center"/>
        <w:rPr>
          <w:rFonts w:ascii="Arial" w:hAnsi="Arial"/>
          <w:rtl/>
        </w:rPr>
      </w:pPr>
    </w:p>
    <w:p w14:paraId="330BDEFA" w14:textId="77777777" w:rsidR="00945F6A" w:rsidRPr="00250B83" w:rsidRDefault="00945F6A" w:rsidP="00945F6A">
      <w:pPr>
        <w:rPr>
          <w:rtl/>
        </w:rPr>
      </w:pPr>
    </w:p>
    <w:p w14:paraId="6975DF5B" w14:textId="77777777" w:rsidR="00945F6A" w:rsidRDefault="00945F6A" w:rsidP="00945F6A">
      <w:pPr>
        <w:pStyle w:val="a3"/>
        <w:jc w:val="center"/>
        <w:rPr>
          <w:rtl/>
        </w:rPr>
      </w:pPr>
    </w:p>
    <w:p w14:paraId="6A068B49" w14:textId="77777777" w:rsidR="004647BA" w:rsidRPr="00DF5FDD" w:rsidRDefault="004647BA" w:rsidP="00DF5FDD">
      <w:pPr>
        <w:keepNext/>
        <w:rPr>
          <w:rFonts w:ascii="David" w:hAnsi="David"/>
          <w:color w:val="000000"/>
          <w:sz w:val="22"/>
          <w:szCs w:val="22"/>
          <w:rtl/>
        </w:rPr>
      </w:pPr>
    </w:p>
    <w:p w14:paraId="181A5892" w14:textId="77777777" w:rsidR="00DF5FDD" w:rsidRPr="00DF5FDD" w:rsidRDefault="00DF5FDD" w:rsidP="00DF5FDD">
      <w:pPr>
        <w:keepNext/>
        <w:rPr>
          <w:rFonts w:ascii="David" w:hAnsi="David"/>
          <w:color w:val="000000"/>
          <w:sz w:val="22"/>
          <w:szCs w:val="22"/>
          <w:rtl/>
        </w:rPr>
      </w:pPr>
      <w:r w:rsidRPr="00DF5FDD">
        <w:rPr>
          <w:rFonts w:ascii="David" w:hAnsi="David"/>
          <w:color w:val="000000"/>
          <w:sz w:val="22"/>
          <w:szCs w:val="22"/>
          <w:rtl/>
        </w:rPr>
        <w:t>עידו דרויאן גמליאל 54678313</w:t>
      </w:r>
    </w:p>
    <w:p w14:paraId="45C4A5D7" w14:textId="77777777" w:rsidR="00DF5FDD" w:rsidRDefault="00DF5FDD" w:rsidP="00DF5FDD">
      <w:r w:rsidRPr="00DF5FDD">
        <w:rPr>
          <w:color w:val="000000"/>
          <w:rtl/>
        </w:rPr>
        <w:t>נוסח מסמך זה כפוף לשינויי ניסוח ועריכה</w:t>
      </w:r>
    </w:p>
    <w:p w14:paraId="241B09EA" w14:textId="77777777" w:rsidR="00DF5FDD" w:rsidRDefault="00DF5FDD" w:rsidP="00DF5FDD">
      <w:pPr>
        <w:rPr>
          <w:rtl/>
        </w:rPr>
      </w:pPr>
    </w:p>
    <w:p w14:paraId="3C58238F" w14:textId="77777777" w:rsidR="00DF5FDD" w:rsidRDefault="00DF5FDD" w:rsidP="00DF5FDD">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1C58FEB7" w14:textId="77777777" w:rsidR="00DF5FDD" w:rsidRPr="00DF5FDD" w:rsidRDefault="00DF5FDD" w:rsidP="00DF5FDD">
      <w:pPr>
        <w:jc w:val="center"/>
        <w:rPr>
          <w:color w:val="0000FF"/>
          <w:u w:val="single"/>
        </w:rPr>
      </w:pPr>
    </w:p>
    <w:sectPr w:rsidR="00DF5FDD" w:rsidRPr="00DF5FDD" w:rsidSect="00DF5FDD">
      <w:headerReference w:type="even" r:id="rId14"/>
      <w:headerReference w:type="default" r:id="rId15"/>
      <w:footerReference w:type="even" r:id="rId16"/>
      <w:footerReference w:type="default" r:id="rId1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549D2" w14:textId="77777777" w:rsidR="00BB55BE" w:rsidRDefault="00BB55BE" w:rsidP="00945F6A">
      <w:r>
        <w:separator/>
      </w:r>
    </w:p>
  </w:endnote>
  <w:endnote w:type="continuationSeparator" w:id="0">
    <w:p w14:paraId="4ADA8BAA" w14:textId="77777777" w:rsidR="00BB55BE" w:rsidRDefault="00BB55BE" w:rsidP="0094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03AA3" w14:textId="77777777" w:rsidR="00DF5FDD" w:rsidRDefault="00DF5FDD" w:rsidP="00DF5F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C640C7" w14:textId="77777777" w:rsidR="00D14464" w:rsidRPr="00DF5FDD" w:rsidRDefault="00DF5FDD" w:rsidP="00DF5F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3CA4B" w14:textId="77777777" w:rsidR="00DF5FDD" w:rsidRDefault="00DF5FDD" w:rsidP="00DF5F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7BC0">
      <w:rPr>
        <w:rFonts w:ascii="FrankRuehl" w:hAnsi="FrankRuehl" w:cs="FrankRuehl"/>
        <w:noProof/>
        <w:rtl/>
      </w:rPr>
      <w:t>1</w:t>
    </w:r>
    <w:r>
      <w:rPr>
        <w:rFonts w:ascii="FrankRuehl" w:hAnsi="FrankRuehl" w:cs="FrankRuehl"/>
        <w:rtl/>
      </w:rPr>
      <w:fldChar w:fldCharType="end"/>
    </w:r>
  </w:p>
  <w:p w14:paraId="2194672E" w14:textId="77777777" w:rsidR="00D14464" w:rsidRPr="00DF5FDD" w:rsidRDefault="00DF5FDD" w:rsidP="00DF5F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D8FE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F5195" w14:textId="77777777" w:rsidR="00BB55BE" w:rsidRDefault="00BB55BE" w:rsidP="00945F6A">
      <w:r>
        <w:separator/>
      </w:r>
    </w:p>
  </w:footnote>
  <w:footnote w:type="continuationSeparator" w:id="0">
    <w:p w14:paraId="3B1EC03E" w14:textId="77777777" w:rsidR="00BB55BE" w:rsidRDefault="00BB55BE" w:rsidP="00945F6A">
      <w:r>
        <w:continuationSeparator/>
      </w:r>
    </w:p>
  </w:footnote>
  <w:footnote w:id="1">
    <w:p w14:paraId="54D9F278" w14:textId="77777777" w:rsidR="00945F6A" w:rsidRDefault="00945F6A" w:rsidP="00945F6A">
      <w:pPr>
        <w:pStyle w:val="aa"/>
        <w:rPr>
          <w:rtl/>
        </w:rPr>
      </w:pPr>
      <w:r>
        <w:rPr>
          <w:rStyle w:val="ac"/>
        </w:rPr>
        <w:footnoteRef/>
      </w:r>
      <w:r>
        <w:rPr>
          <w:rtl/>
        </w:rPr>
        <w:t xml:space="preserve"> </w:t>
      </w:r>
      <w:r>
        <w:rPr>
          <w:rtl/>
        </w:rPr>
        <w:tab/>
      </w:r>
      <w:r>
        <w:rPr>
          <w:rFonts w:hint="cs"/>
          <w:rtl/>
        </w:rPr>
        <w:t>ערעור שהוגש מטעם הנאשם נדחה בהסכמה, בהמלצת בית המשפט  (</w:t>
      </w:r>
      <w:hyperlink r:id="rId1" w:history="1">
        <w:r w:rsidR="00DF5FDD" w:rsidRPr="00DF5FDD">
          <w:rPr>
            <w:color w:val="0000FF"/>
            <w:u w:val="single"/>
            <w:rtl/>
          </w:rPr>
          <w:t>עפ"ג 1109-03-18</w:t>
        </w:r>
      </w:hyperlink>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A30AE" w14:textId="77777777" w:rsidR="00DF5FDD" w:rsidRPr="00DF5FDD" w:rsidRDefault="00DF5FDD" w:rsidP="00DF5F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30223-11-17</w:t>
    </w:r>
    <w:r>
      <w:rPr>
        <w:rFonts w:ascii="David" w:hAnsi="David"/>
        <w:color w:val="000000"/>
        <w:sz w:val="22"/>
        <w:szCs w:val="22"/>
        <w:rtl/>
      </w:rPr>
      <w:tab/>
      <w:t xml:space="preserve"> מדינת ישראל נ' לירן אבל דיכטר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36730" w14:textId="77777777" w:rsidR="00DF5FDD" w:rsidRPr="00DF5FDD" w:rsidRDefault="00DF5FDD" w:rsidP="00DF5F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30223-11-17</w:t>
    </w:r>
    <w:r>
      <w:rPr>
        <w:rFonts w:ascii="David" w:hAnsi="David"/>
        <w:color w:val="000000"/>
        <w:sz w:val="22"/>
        <w:szCs w:val="22"/>
        <w:rtl/>
      </w:rPr>
      <w:tab/>
      <w:t xml:space="preserve"> מדינת ישראל נ' לירן אבל דיכטר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0C75"/>
    <w:multiLevelType w:val="hybridMultilevel"/>
    <w:tmpl w:val="46AE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641B5"/>
    <w:multiLevelType w:val="hybridMultilevel"/>
    <w:tmpl w:val="FBA46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471121"/>
    <w:multiLevelType w:val="hybridMultilevel"/>
    <w:tmpl w:val="8E3AB62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27960"/>
    <w:multiLevelType w:val="hybridMultilevel"/>
    <w:tmpl w:val="65863CC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63003"/>
    <w:multiLevelType w:val="hybridMultilevel"/>
    <w:tmpl w:val="453ED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02230401">
    <w:abstractNumId w:val="4"/>
  </w:num>
  <w:num w:numId="2" w16cid:durableId="978415615">
    <w:abstractNumId w:val="0"/>
  </w:num>
  <w:num w:numId="3" w16cid:durableId="1430853513">
    <w:abstractNumId w:val="1"/>
  </w:num>
  <w:num w:numId="4" w16cid:durableId="572862636">
    <w:abstractNumId w:val="3"/>
  </w:num>
  <w:num w:numId="5" w16cid:durableId="1715232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5F6A"/>
    <w:rsid w:val="0005132F"/>
    <w:rsid w:val="00274578"/>
    <w:rsid w:val="00381020"/>
    <w:rsid w:val="004647BA"/>
    <w:rsid w:val="006A290D"/>
    <w:rsid w:val="00797B39"/>
    <w:rsid w:val="00945F6A"/>
    <w:rsid w:val="00BB55BE"/>
    <w:rsid w:val="00CB7BC0"/>
    <w:rsid w:val="00CD7D24"/>
    <w:rsid w:val="00D14464"/>
    <w:rsid w:val="00DF5F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D97596"/>
  <w15:chartTrackingRefBased/>
  <w15:docId w15:val="{FDB54037-01C9-4D39-9188-25EE2353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5F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5F6A"/>
    <w:pPr>
      <w:tabs>
        <w:tab w:val="center" w:pos="4153"/>
        <w:tab w:val="right" w:pos="8306"/>
      </w:tabs>
    </w:pPr>
  </w:style>
  <w:style w:type="character" w:customStyle="1" w:styleId="a4">
    <w:name w:val="כותרת עליונה תו"/>
    <w:link w:val="a3"/>
    <w:rsid w:val="00945F6A"/>
    <w:rPr>
      <w:rFonts w:ascii="Times New Roman" w:eastAsia="Times New Roman" w:hAnsi="Times New Roman" w:cs="David"/>
      <w:sz w:val="24"/>
      <w:szCs w:val="24"/>
    </w:rPr>
  </w:style>
  <w:style w:type="paragraph" w:styleId="a5">
    <w:name w:val="footer"/>
    <w:basedOn w:val="a"/>
    <w:link w:val="a6"/>
    <w:rsid w:val="00945F6A"/>
    <w:pPr>
      <w:tabs>
        <w:tab w:val="center" w:pos="4153"/>
        <w:tab w:val="right" w:pos="8306"/>
      </w:tabs>
    </w:pPr>
  </w:style>
  <w:style w:type="character" w:customStyle="1" w:styleId="a6">
    <w:name w:val="כותרת תחתונה תו"/>
    <w:link w:val="a5"/>
    <w:rsid w:val="00945F6A"/>
    <w:rPr>
      <w:rFonts w:ascii="Times New Roman" w:eastAsia="Times New Roman" w:hAnsi="Times New Roman" w:cs="David"/>
      <w:sz w:val="24"/>
      <w:szCs w:val="24"/>
    </w:rPr>
  </w:style>
  <w:style w:type="table" w:styleId="a7">
    <w:name w:val="Table Grid"/>
    <w:basedOn w:val="a1"/>
    <w:rsid w:val="00945F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5F6A"/>
  </w:style>
  <w:style w:type="paragraph" w:styleId="a9">
    <w:name w:val="List Paragraph"/>
    <w:basedOn w:val="a"/>
    <w:qFormat/>
    <w:rsid w:val="00945F6A"/>
    <w:pPr>
      <w:ind w:left="720"/>
      <w:contextualSpacing/>
    </w:pPr>
  </w:style>
  <w:style w:type="paragraph" w:styleId="aa">
    <w:name w:val="footnote text"/>
    <w:basedOn w:val="a"/>
    <w:link w:val="ab"/>
    <w:rsid w:val="00945F6A"/>
    <w:rPr>
      <w:sz w:val="20"/>
      <w:szCs w:val="20"/>
    </w:rPr>
  </w:style>
  <w:style w:type="character" w:customStyle="1" w:styleId="ab">
    <w:name w:val="טקסט הערת שוליים תו"/>
    <w:link w:val="aa"/>
    <w:rsid w:val="00945F6A"/>
    <w:rPr>
      <w:rFonts w:ascii="Times New Roman" w:eastAsia="Times New Roman" w:hAnsi="Times New Roman" w:cs="David"/>
      <w:sz w:val="20"/>
      <w:szCs w:val="20"/>
    </w:rPr>
  </w:style>
  <w:style w:type="character" w:styleId="ac">
    <w:name w:val="footnote reference"/>
    <w:rsid w:val="00945F6A"/>
    <w:rPr>
      <w:vertAlign w:val="superscript"/>
    </w:rPr>
  </w:style>
  <w:style w:type="character" w:styleId="Hyperlink">
    <w:name w:val="Hyperlink"/>
    <w:rsid w:val="00DF5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22021783"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41568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2102362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case/4877484"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2375288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4232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5068</CharactersWithSpaces>
  <SharedDoc>false</SharedDoc>
  <HLinks>
    <vt:vector size="48" baseType="variant">
      <vt:variant>
        <vt:i4>393283</vt:i4>
      </vt:variant>
      <vt:variant>
        <vt:i4>18</vt:i4>
      </vt:variant>
      <vt:variant>
        <vt:i4>0</vt:i4>
      </vt:variant>
      <vt:variant>
        <vt:i4>5</vt:i4>
      </vt:variant>
      <vt:variant>
        <vt:lpwstr>http://www.nevo.co.il/advertisements/nevo-100.doc</vt:lpwstr>
      </vt:variant>
      <vt:variant>
        <vt:lpwstr/>
      </vt:variant>
      <vt:variant>
        <vt:i4>3866739</vt:i4>
      </vt:variant>
      <vt:variant>
        <vt:i4>15</vt:i4>
      </vt:variant>
      <vt:variant>
        <vt:i4>0</vt:i4>
      </vt:variant>
      <vt:variant>
        <vt:i4>5</vt:i4>
      </vt:variant>
      <vt:variant>
        <vt:lpwstr>http://www.nevo.co.il/case/22021783</vt:lpwstr>
      </vt:variant>
      <vt:variant>
        <vt:lpwstr/>
      </vt:variant>
      <vt:variant>
        <vt:i4>3866739</vt:i4>
      </vt:variant>
      <vt:variant>
        <vt:i4>12</vt:i4>
      </vt:variant>
      <vt:variant>
        <vt:i4>0</vt:i4>
      </vt:variant>
      <vt:variant>
        <vt:i4>5</vt:i4>
      </vt:variant>
      <vt:variant>
        <vt:lpwstr>http://www.nevo.co.il/case/20415687</vt:lpwstr>
      </vt:variant>
      <vt:variant>
        <vt:lpwstr/>
      </vt:variant>
      <vt:variant>
        <vt:i4>3342449</vt:i4>
      </vt:variant>
      <vt:variant>
        <vt:i4>9</vt:i4>
      </vt:variant>
      <vt:variant>
        <vt:i4>0</vt:i4>
      </vt:variant>
      <vt:variant>
        <vt:i4>5</vt:i4>
      </vt:variant>
      <vt:variant>
        <vt:lpwstr>http://www.nevo.co.il/case/21023627</vt:lpwstr>
      </vt:variant>
      <vt:variant>
        <vt:lpwstr/>
      </vt:variant>
      <vt:variant>
        <vt:i4>3342451</vt:i4>
      </vt:variant>
      <vt:variant>
        <vt:i4>6</vt:i4>
      </vt:variant>
      <vt:variant>
        <vt:i4>0</vt:i4>
      </vt:variant>
      <vt:variant>
        <vt:i4>5</vt:i4>
      </vt:variant>
      <vt:variant>
        <vt:lpwstr>http://www.nevo.co.il/case/4877484</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ariant>
        <vt:i4>4128890</vt:i4>
      </vt:variant>
      <vt:variant>
        <vt:i4>0</vt:i4>
      </vt:variant>
      <vt:variant>
        <vt:i4>0</vt:i4>
      </vt:variant>
      <vt:variant>
        <vt:i4>5</vt:i4>
      </vt:variant>
      <vt:variant>
        <vt:lpwstr>http://www.nevo.co.il/case/23752883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30223</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לירן אבל דיכטר</vt:lpwstr>
  </property>
  <property fmtid="{D5CDD505-2E9C-101B-9397-08002B2CF9AE}" pid="10" name="LAWYER">
    <vt:lpwstr>הרצוג ודניאל;שטרצר</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20190326</vt:lpwstr>
  </property>
  <property fmtid="{D5CDD505-2E9C-101B-9397-08002B2CF9AE}" pid="14" name="TYPE_N_DATE">
    <vt:lpwstr>38020190326</vt:lpwstr>
  </property>
  <property fmtid="{D5CDD505-2E9C-101B-9397-08002B2CF9AE}" pid="15" name="CASESLISTTMP1">
    <vt:lpwstr>4877484;21023627;20415687;22021783;23752883</vt:lpwstr>
  </property>
  <property fmtid="{D5CDD505-2E9C-101B-9397-08002B2CF9AE}" pid="16" name="LAWLISTTMP1">
    <vt:lpwstr>4216</vt:lpwstr>
  </property>
  <property fmtid="{D5CDD505-2E9C-101B-9397-08002B2CF9AE}" pid="17" name="WORDNUMPAGES">
    <vt:lpwstr>3</vt:lpwstr>
  </property>
  <property fmtid="{D5CDD505-2E9C-101B-9397-08002B2CF9AE}" pid="18" name="TYPE_ABS_DATE">
    <vt:lpwstr>380020190326</vt:lpwstr>
  </property>
</Properties>
</file>