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EA1667" w:rsidRPr="00803E08" w14:paraId="3FDB8B34" w14:textId="77777777" w:rsidTr="000343FC">
        <w:trPr>
          <w:trHeight w:hRule="exact" w:val="418"/>
          <w:jc w:val="center"/>
        </w:trPr>
        <w:tc>
          <w:tcPr>
            <w:tcW w:w="8721" w:type="dxa"/>
            <w:gridSpan w:val="2"/>
          </w:tcPr>
          <w:p w14:paraId="4EDE43CA" w14:textId="77777777" w:rsidR="00EA1667" w:rsidRPr="00803E08" w:rsidRDefault="00EA1667" w:rsidP="000343FC">
            <w:pPr>
              <w:pStyle w:val="a3"/>
              <w:jc w:val="center"/>
              <w:rPr>
                <w:rFonts w:ascii="Tahoma" w:hAnsi="Tahoma" w:cs="Tahoma"/>
                <w:noProof w:val="0"/>
                <w:color w:val="000080"/>
                <w:rtl/>
              </w:rPr>
            </w:pPr>
            <w:r w:rsidRPr="00803E08">
              <w:rPr>
                <w:rFonts w:ascii="Tahoma" w:hAnsi="Tahoma" w:cs="Tahoma"/>
                <w:b/>
                <w:bCs/>
                <w:noProof w:val="0"/>
                <w:color w:val="000080"/>
                <w:rtl/>
              </w:rPr>
              <w:t>בית משפט השלום בקריית גת</w:t>
            </w:r>
          </w:p>
        </w:tc>
      </w:tr>
      <w:tr w:rsidR="00EA1667" w:rsidRPr="00803E08" w14:paraId="4245CB7D" w14:textId="77777777" w:rsidTr="000343FC">
        <w:trPr>
          <w:trHeight w:val="337"/>
          <w:jc w:val="center"/>
        </w:trPr>
        <w:tc>
          <w:tcPr>
            <w:tcW w:w="5047" w:type="dxa"/>
          </w:tcPr>
          <w:p w14:paraId="6478162A" w14:textId="77777777" w:rsidR="00EA1667" w:rsidRPr="00803E08" w:rsidRDefault="00EA1667" w:rsidP="000343FC">
            <w:pPr>
              <w:rPr>
                <w:b/>
                <w:bCs/>
                <w:noProof w:val="0"/>
                <w:sz w:val="26"/>
                <w:szCs w:val="26"/>
                <w:rtl/>
              </w:rPr>
            </w:pPr>
          </w:p>
        </w:tc>
        <w:tc>
          <w:tcPr>
            <w:tcW w:w="3674" w:type="dxa"/>
          </w:tcPr>
          <w:p w14:paraId="6DF74603" w14:textId="77777777" w:rsidR="00EA1667" w:rsidRPr="00803E08" w:rsidRDefault="00EA1667" w:rsidP="000343FC">
            <w:pPr>
              <w:pStyle w:val="a3"/>
              <w:jc w:val="right"/>
              <w:rPr>
                <w:b/>
                <w:bCs/>
                <w:noProof w:val="0"/>
                <w:sz w:val="26"/>
                <w:szCs w:val="26"/>
                <w:rtl/>
              </w:rPr>
            </w:pPr>
            <w:r w:rsidRPr="00803E08">
              <w:rPr>
                <w:rFonts w:hint="cs"/>
                <w:b/>
                <w:bCs/>
                <w:noProof w:val="0"/>
                <w:sz w:val="26"/>
                <w:szCs w:val="26"/>
                <w:rtl/>
              </w:rPr>
              <w:t>16 ינואר 2019</w:t>
            </w:r>
          </w:p>
        </w:tc>
      </w:tr>
      <w:tr w:rsidR="00EA1667" w:rsidRPr="00803E08" w14:paraId="2E9F0F10" w14:textId="77777777" w:rsidTr="000343FC">
        <w:trPr>
          <w:trHeight w:val="337"/>
          <w:jc w:val="center"/>
        </w:trPr>
        <w:tc>
          <w:tcPr>
            <w:tcW w:w="8721" w:type="dxa"/>
            <w:gridSpan w:val="2"/>
          </w:tcPr>
          <w:p w14:paraId="0A9C518E" w14:textId="77777777" w:rsidR="00EA1667" w:rsidRPr="00803E08" w:rsidRDefault="00EA1667" w:rsidP="000343FC">
            <w:pPr>
              <w:rPr>
                <w:b/>
                <w:bCs/>
                <w:noProof w:val="0"/>
                <w:sz w:val="26"/>
                <w:szCs w:val="26"/>
                <w:rtl/>
              </w:rPr>
            </w:pPr>
            <w:r w:rsidRPr="00803E08">
              <w:rPr>
                <w:b/>
                <w:bCs/>
                <w:noProof w:val="0"/>
                <w:sz w:val="26"/>
                <w:szCs w:val="26"/>
                <w:rtl/>
              </w:rPr>
              <w:t>ת"פ 38435-11-17 מדינת ישראל נ' אשתר</w:t>
            </w:r>
          </w:p>
          <w:p w14:paraId="29F17194" w14:textId="77777777" w:rsidR="00EA1667" w:rsidRPr="00803E08" w:rsidRDefault="00EA1667" w:rsidP="000343FC">
            <w:pPr>
              <w:rPr>
                <w:rtl/>
              </w:rPr>
            </w:pPr>
          </w:p>
        </w:tc>
      </w:tr>
    </w:tbl>
    <w:p w14:paraId="2711998D" w14:textId="77777777" w:rsidR="00EA1667" w:rsidRPr="00803E08" w:rsidRDefault="00EA1667" w:rsidP="00EA1667"/>
    <w:tbl>
      <w:tblPr>
        <w:bidiVisual/>
        <w:tblW w:w="0" w:type="auto"/>
        <w:jc w:val="center"/>
        <w:tblLook w:val="0000" w:firstRow="0" w:lastRow="0" w:firstColumn="0" w:lastColumn="0" w:noHBand="0" w:noVBand="0"/>
      </w:tblPr>
      <w:tblGrid>
        <w:gridCol w:w="873"/>
        <w:gridCol w:w="7848"/>
      </w:tblGrid>
      <w:tr w:rsidR="00EA1667" w:rsidRPr="00803E08" w14:paraId="488E856D" w14:textId="77777777" w:rsidTr="000343FC">
        <w:trPr>
          <w:trHeight w:val="337"/>
          <w:jc w:val="center"/>
        </w:trPr>
        <w:tc>
          <w:tcPr>
            <w:tcW w:w="873" w:type="dxa"/>
          </w:tcPr>
          <w:p w14:paraId="693C8DA9" w14:textId="77777777" w:rsidR="00EA1667" w:rsidRPr="00803E08" w:rsidRDefault="00EA1667" w:rsidP="000343FC">
            <w:pPr>
              <w:tabs>
                <w:tab w:val="left" w:pos="1710"/>
              </w:tabs>
              <w:rPr>
                <w:b/>
                <w:bCs/>
                <w:sz w:val="28"/>
                <w:szCs w:val="28"/>
                <w:rtl/>
              </w:rPr>
            </w:pPr>
            <w:r w:rsidRPr="00803E08">
              <w:rPr>
                <w:rFonts w:hint="cs"/>
                <w:b/>
                <w:bCs/>
                <w:sz w:val="28"/>
                <w:szCs w:val="28"/>
                <w:rtl/>
              </w:rPr>
              <w:t>בפני</w:t>
            </w:r>
          </w:p>
        </w:tc>
        <w:tc>
          <w:tcPr>
            <w:tcW w:w="7848" w:type="dxa"/>
          </w:tcPr>
          <w:p w14:paraId="53138B9F" w14:textId="77777777" w:rsidR="00EA1667" w:rsidRPr="00803E08" w:rsidRDefault="00EA1667" w:rsidP="000343FC">
            <w:pPr>
              <w:rPr>
                <w:rFonts w:ascii="Arial" w:hAnsi="Arial"/>
                <w:b/>
                <w:bCs/>
                <w:sz w:val="28"/>
                <w:szCs w:val="28"/>
                <w:rtl/>
              </w:rPr>
            </w:pPr>
            <w:r w:rsidRPr="00803E08">
              <w:rPr>
                <w:rFonts w:ascii="Arial" w:hAnsi="Arial" w:hint="cs"/>
                <w:b/>
                <w:bCs/>
                <w:sz w:val="28"/>
                <w:szCs w:val="28"/>
                <w:rtl/>
              </w:rPr>
              <w:t xml:space="preserve">כב' השופטת </w:t>
            </w:r>
            <w:r w:rsidRPr="00803E08">
              <w:rPr>
                <w:rFonts w:ascii="Arial" w:hAnsi="Arial"/>
                <w:b/>
                <w:bCs/>
                <w:sz w:val="28"/>
                <w:szCs w:val="28"/>
                <w:rtl/>
              </w:rPr>
              <w:t>נגה שמואלי-מאייר</w:t>
            </w:r>
            <w:r w:rsidRPr="00803E08">
              <w:rPr>
                <w:rFonts w:ascii="Arial" w:hAnsi="Arial" w:hint="cs"/>
                <w:b/>
                <w:bCs/>
                <w:sz w:val="28"/>
                <w:szCs w:val="28"/>
                <w:rtl/>
              </w:rPr>
              <w:t>, סגנית הנשיאה</w:t>
            </w:r>
          </w:p>
          <w:p w14:paraId="2FE03CF0" w14:textId="77777777" w:rsidR="00EA1667" w:rsidRPr="00803E08" w:rsidRDefault="00EA1667" w:rsidP="000343FC">
            <w:pPr>
              <w:tabs>
                <w:tab w:val="left" w:pos="1710"/>
              </w:tabs>
              <w:rPr>
                <w:rtl/>
              </w:rPr>
            </w:pPr>
          </w:p>
        </w:tc>
      </w:tr>
    </w:tbl>
    <w:p w14:paraId="1EA16FF4" w14:textId="77777777" w:rsidR="00EA1667" w:rsidRPr="00803E08" w:rsidRDefault="00EA1667" w:rsidP="00EA1667">
      <w:pPr>
        <w:pStyle w:val="a3"/>
        <w:rPr>
          <w:noProof w:val="0"/>
          <w:rtl/>
        </w:rPr>
      </w:pPr>
      <w:bookmarkStart w:id="0" w:name="LastJudge"/>
      <w:bookmarkEnd w:id="0"/>
      <w:r w:rsidRPr="00803E08">
        <w:rPr>
          <w:noProof w:val="0"/>
          <w:rtl/>
        </w:rPr>
        <w:t xml:space="preserve"> </w:t>
      </w:r>
    </w:p>
    <w:p w14:paraId="3250B6D0" w14:textId="77777777" w:rsidR="00EA1667" w:rsidRPr="00803E08" w:rsidRDefault="00EA1667" w:rsidP="00EA1667">
      <w:pPr>
        <w:spacing w:line="360" w:lineRule="auto"/>
        <w:rPr>
          <w:sz w:val="28"/>
          <w:szCs w:val="28"/>
          <w:rtl/>
        </w:rPr>
      </w:pPr>
    </w:p>
    <w:tbl>
      <w:tblPr>
        <w:bidiVisual/>
        <w:tblW w:w="8820" w:type="dxa"/>
        <w:jc w:val="center"/>
        <w:tblLook w:val="01E0" w:firstRow="1" w:lastRow="1" w:firstColumn="1" w:lastColumn="1" w:noHBand="0" w:noVBand="0"/>
      </w:tblPr>
      <w:tblGrid>
        <w:gridCol w:w="5603"/>
        <w:gridCol w:w="3217"/>
      </w:tblGrid>
      <w:tr w:rsidR="00EA1667" w:rsidRPr="00803E08" w14:paraId="164E7135" w14:textId="77777777" w:rsidTr="00EA1667">
        <w:trPr>
          <w:jc w:val="center"/>
        </w:trPr>
        <w:tc>
          <w:tcPr>
            <w:tcW w:w="5603" w:type="dxa"/>
            <w:shd w:val="clear" w:color="auto" w:fill="auto"/>
          </w:tcPr>
          <w:p w14:paraId="5D8214DD" w14:textId="77777777" w:rsidR="00EA1667" w:rsidRPr="00803E08" w:rsidRDefault="00EA1667" w:rsidP="00EA1667">
            <w:pPr>
              <w:spacing w:line="360" w:lineRule="auto"/>
              <w:rPr>
                <w:b/>
                <w:bCs/>
                <w:noProof w:val="0"/>
                <w:sz w:val="28"/>
                <w:szCs w:val="28"/>
                <w:rtl/>
              </w:rPr>
            </w:pPr>
            <w:bookmarkStart w:id="1" w:name="FirstAppellant"/>
            <w:bookmarkStart w:id="2" w:name="FirstLawyer"/>
            <w:r w:rsidRPr="00803E08">
              <w:rPr>
                <w:rFonts w:ascii="Arial" w:hAnsi="Arial" w:hint="cs"/>
                <w:b/>
                <w:bCs/>
                <w:noProof w:val="0"/>
                <w:sz w:val="28"/>
                <w:szCs w:val="28"/>
                <w:rtl/>
              </w:rPr>
              <w:t>מדינת ישראל</w:t>
            </w:r>
          </w:p>
          <w:p w14:paraId="6267512D" w14:textId="77777777" w:rsidR="00EA1667" w:rsidRPr="00803E08" w:rsidRDefault="00EA1667" w:rsidP="00EA1667">
            <w:pPr>
              <w:spacing w:line="360" w:lineRule="auto"/>
              <w:rPr>
                <w:b/>
                <w:bCs/>
                <w:sz w:val="28"/>
                <w:szCs w:val="28"/>
                <w:rtl/>
              </w:rPr>
            </w:pPr>
            <w:r w:rsidRPr="00803E08">
              <w:rPr>
                <w:rFonts w:hint="cs"/>
                <w:b/>
                <w:bCs/>
                <w:sz w:val="28"/>
                <w:szCs w:val="28"/>
                <w:rtl/>
              </w:rPr>
              <w:t xml:space="preserve">ע"י ב"כ עו"ד ליטל נאווי </w:t>
            </w:r>
            <w:r w:rsidRPr="00803E08">
              <w:rPr>
                <w:b/>
                <w:bCs/>
                <w:sz w:val="28"/>
                <w:szCs w:val="28"/>
                <w:rtl/>
              </w:rPr>
              <w:t>–</w:t>
            </w:r>
            <w:r w:rsidRPr="00803E08">
              <w:rPr>
                <w:rFonts w:hint="cs"/>
                <w:b/>
                <w:bCs/>
                <w:sz w:val="28"/>
                <w:szCs w:val="28"/>
                <w:rtl/>
              </w:rPr>
              <w:t xml:space="preserve"> נוכחת</w:t>
            </w:r>
          </w:p>
        </w:tc>
        <w:tc>
          <w:tcPr>
            <w:tcW w:w="3217" w:type="dxa"/>
            <w:shd w:val="clear" w:color="auto" w:fill="auto"/>
          </w:tcPr>
          <w:p w14:paraId="30A224F5" w14:textId="77777777" w:rsidR="00EA1667" w:rsidRPr="00803E08" w:rsidRDefault="00EA1667" w:rsidP="00EA1667">
            <w:pPr>
              <w:bidi w:val="0"/>
              <w:spacing w:line="360" w:lineRule="auto"/>
              <w:jc w:val="right"/>
              <w:rPr>
                <w:rFonts w:ascii="Arial" w:hAnsi="Arial"/>
                <w:b/>
                <w:bCs/>
                <w:noProof w:val="0"/>
                <w:sz w:val="28"/>
                <w:szCs w:val="28"/>
                <w:rtl/>
              </w:rPr>
            </w:pPr>
            <w:r w:rsidRPr="00803E08">
              <w:rPr>
                <w:rFonts w:ascii="Arial" w:hAnsi="Arial" w:hint="cs"/>
                <w:b/>
                <w:bCs/>
                <w:noProof w:val="0"/>
                <w:sz w:val="28"/>
                <w:szCs w:val="28"/>
                <w:rtl/>
              </w:rPr>
              <w:t>ה</w:t>
            </w:r>
            <w:r w:rsidRPr="00803E08">
              <w:rPr>
                <w:rFonts w:ascii="Arial" w:hAnsi="Arial"/>
                <w:b/>
                <w:bCs/>
                <w:noProof w:val="0"/>
                <w:sz w:val="28"/>
                <w:szCs w:val="28"/>
                <w:rtl/>
              </w:rPr>
              <w:t>מאשימה</w:t>
            </w:r>
          </w:p>
          <w:p w14:paraId="57709D46" w14:textId="77777777" w:rsidR="00EA1667" w:rsidRPr="00803E08" w:rsidRDefault="00EA1667" w:rsidP="00EA1667">
            <w:pPr>
              <w:spacing w:line="360" w:lineRule="auto"/>
              <w:rPr>
                <w:b/>
                <w:bCs/>
                <w:noProof w:val="0"/>
                <w:sz w:val="28"/>
                <w:szCs w:val="28"/>
                <w:rtl/>
              </w:rPr>
            </w:pPr>
          </w:p>
        </w:tc>
      </w:tr>
      <w:bookmarkEnd w:id="1"/>
      <w:bookmarkEnd w:id="2"/>
      <w:tr w:rsidR="00EA1667" w:rsidRPr="00803E08" w14:paraId="3D158F57" w14:textId="77777777" w:rsidTr="00EA1667">
        <w:trPr>
          <w:jc w:val="center"/>
        </w:trPr>
        <w:tc>
          <w:tcPr>
            <w:tcW w:w="8820" w:type="dxa"/>
            <w:gridSpan w:val="2"/>
            <w:shd w:val="clear" w:color="auto" w:fill="auto"/>
          </w:tcPr>
          <w:p w14:paraId="5A59AB82" w14:textId="77777777" w:rsidR="00EA1667" w:rsidRPr="00803E08" w:rsidRDefault="00EA1667" w:rsidP="00EA1667">
            <w:pPr>
              <w:spacing w:line="360" w:lineRule="auto"/>
              <w:jc w:val="center"/>
              <w:rPr>
                <w:rFonts w:ascii="Arial" w:hAnsi="Arial"/>
                <w:b/>
                <w:bCs/>
                <w:noProof w:val="0"/>
                <w:sz w:val="28"/>
                <w:szCs w:val="28"/>
              </w:rPr>
            </w:pPr>
            <w:r w:rsidRPr="00803E08">
              <w:rPr>
                <w:rFonts w:ascii="Arial" w:hAnsi="Arial"/>
                <w:b/>
                <w:bCs/>
                <w:noProof w:val="0"/>
                <w:sz w:val="28"/>
                <w:szCs w:val="28"/>
                <w:rtl/>
              </w:rPr>
              <w:t>נ</w:t>
            </w:r>
            <w:r w:rsidRPr="00803E08">
              <w:rPr>
                <w:rFonts w:ascii="Arial" w:hAnsi="Arial" w:hint="cs"/>
                <w:b/>
                <w:bCs/>
                <w:noProof w:val="0"/>
                <w:sz w:val="28"/>
                <w:szCs w:val="28"/>
                <w:rtl/>
              </w:rPr>
              <w:t xml:space="preserve"> </w:t>
            </w:r>
            <w:r w:rsidRPr="00803E08">
              <w:rPr>
                <w:rFonts w:ascii="Arial" w:hAnsi="Arial"/>
                <w:b/>
                <w:bCs/>
                <w:noProof w:val="0"/>
                <w:sz w:val="28"/>
                <w:szCs w:val="28"/>
                <w:rtl/>
              </w:rPr>
              <w:t>ג</w:t>
            </w:r>
            <w:r w:rsidRPr="00803E08">
              <w:rPr>
                <w:rFonts w:ascii="Arial" w:hAnsi="Arial" w:hint="cs"/>
                <w:b/>
                <w:bCs/>
                <w:noProof w:val="0"/>
                <w:sz w:val="28"/>
                <w:szCs w:val="28"/>
                <w:rtl/>
              </w:rPr>
              <w:t xml:space="preserve"> </w:t>
            </w:r>
            <w:r w:rsidRPr="00803E08">
              <w:rPr>
                <w:rFonts w:ascii="Arial" w:hAnsi="Arial"/>
                <w:b/>
                <w:bCs/>
                <w:noProof w:val="0"/>
                <w:sz w:val="28"/>
                <w:szCs w:val="28"/>
                <w:rtl/>
              </w:rPr>
              <w:t>ד</w:t>
            </w:r>
          </w:p>
        </w:tc>
      </w:tr>
      <w:tr w:rsidR="00EA1667" w:rsidRPr="00803E08" w14:paraId="2FE001C3" w14:textId="77777777" w:rsidTr="00EA1667">
        <w:trPr>
          <w:jc w:val="center"/>
        </w:trPr>
        <w:tc>
          <w:tcPr>
            <w:tcW w:w="5603" w:type="dxa"/>
            <w:shd w:val="clear" w:color="auto" w:fill="auto"/>
          </w:tcPr>
          <w:p w14:paraId="7F28D2C5" w14:textId="77777777" w:rsidR="00EA1667" w:rsidRPr="00803E08" w:rsidRDefault="00EA1667" w:rsidP="00EA1667">
            <w:pPr>
              <w:spacing w:line="360" w:lineRule="auto"/>
              <w:rPr>
                <w:sz w:val="28"/>
                <w:szCs w:val="28"/>
              </w:rPr>
            </w:pPr>
            <w:r w:rsidRPr="00803E08">
              <w:rPr>
                <w:rFonts w:ascii="Arial" w:hAnsi="Arial" w:hint="cs"/>
                <w:b/>
                <w:bCs/>
                <w:noProof w:val="0"/>
                <w:sz w:val="28"/>
                <w:szCs w:val="28"/>
                <w:rtl/>
              </w:rPr>
              <w:t>רמי אשתר</w:t>
            </w:r>
            <w:r w:rsidRPr="00803E08">
              <w:rPr>
                <w:rFonts w:hint="cs"/>
                <w:sz w:val="28"/>
                <w:szCs w:val="28"/>
                <w:rtl/>
              </w:rPr>
              <w:t xml:space="preserve"> </w:t>
            </w:r>
            <w:r w:rsidRPr="00803E08">
              <w:rPr>
                <w:b/>
                <w:bCs/>
                <w:sz w:val="28"/>
                <w:szCs w:val="28"/>
                <w:rtl/>
              </w:rPr>
              <w:t>–</w:t>
            </w:r>
            <w:r w:rsidRPr="00803E08">
              <w:rPr>
                <w:rFonts w:hint="cs"/>
                <w:b/>
                <w:bCs/>
                <w:sz w:val="28"/>
                <w:szCs w:val="28"/>
                <w:rtl/>
              </w:rPr>
              <w:t xml:space="preserve"> נוכח</w:t>
            </w:r>
          </w:p>
          <w:p w14:paraId="5C2ACB6C" w14:textId="77777777" w:rsidR="00EA1667" w:rsidRPr="00803E08" w:rsidRDefault="00EA1667" w:rsidP="00EA1667">
            <w:pPr>
              <w:spacing w:line="360" w:lineRule="auto"/>
              <w:rPr>
                <w:b/>
                <w:bCs/>
                <w:noProof w:val="0"/>
                <w:sz w:val="28"/>
                <w:szCs w:val="28"/>
                <w:rtl/>
              </w:rPr>
            </w:pPr>
            <w:r w:rsidRPr="00803E08">
              <w:rPr>
                <w:rFonts w:hint="cs"/>
                <w:b/>
                <w:bCs/>
                <w:sz w:val="28"/>
                <w:szCs w:val="28"/>
                <w:rtl/>
              </w:rPr>
              <w:t>ע"י ב"כ עו"ד חן בן חיים - נוכחת</w:t>
            </w:r>
          </w:p>
        </w:tc>
        <w:tc>
          <w:tcPr>
            <w:tcW w:w="3217" w:type="dxa"/>
            <w:shd w:val="clear" w:color="auto" w:fill="auto"/>
          </w:tcPr>
          <w:p w14:paraId="70CAD1D0" w14:textId="77777777" w:rsidR="00EA1667" w:rsidRPr="00803E08" w:rsidRDefault="00EA1667" w:rsidP="00EA1667">
            <w:pPr>
              <w:spacing w:line="360" w:lineRule="auto"/>
              <w:rPr>
                <w:b/>
                <w:bCs/>
                <w:noProof w:val="0"/>
                <w:sz w:val="28"/>
                <w:szCs w:val="28"/>
                <w:rtl/>
              </w:rPr>
            </w:pPr>
            <w:r w:rsidRPr="00803E08">
              <w:rPr>
                <w:rFonts w:ascii="Arial" w:hAnsi="Arial" w:hint="cs"/>
                <w:b/>
                <w:bCs/>
                <w:noProof w:val="0"/>
                <w:sz w:val="28"/>
                <w:szCs w:val="28"/>
                <w:rtl/>
              </w:rPr>
              <w:t>ה</w:t>
            </w:r>
            <w:r w:rsidRPr="00803E08">
              <w:rPr>
                <w:rFonts w:ascii="Arial" w:hAnsi="Arial"/>
                <w:b/>
                <w:bCs/>
                <w:noProof w:val="0"/>
                <w:sz w:val="28"/>
                <w:szCs w:val="28"/>
                <w:rtl/>
              </w:rPr>
              <w:t>נאשם</w:t>
            </w:r>
          </w:p>
        </w:tc>
      </w:tr>
    </w:tbl>
    <w:p w14:paraId="3FB07094" w14:textId="77777777" w:rsidR="00EA1667" w:rsidRPr="00803E08" w:rsidRDefault="00EA1667" w:rsidP="00EA1667">
      <w:pPr>
        <w:spacing w:line="360" w:lineRule="auto"/>
        <w:rPr>
          <w:sz w:val="28"/>
          <w:szCs w:val="28"/>
          <w:rtl/>
        </w:rPr>
      </w:pPr>
    </w:p>
    <w:p w14:paraId="6EDBB654" w14:textId="77777777" w:rsidR="0018667B" w:rsidRDefault="00EA1667" w:rsidP="00202C71">
      <w:pPr>
        <w:spacing w:after="120" w:line="240" w:lineRule="exact"/>
        <w:ind w:left="283" w:hanging="283"/>
        <w:jc w:val="both"/>
        <w:rPr>
          <w:sz w:val="28"/>
          <w:szCs w:val="28"/>
          <w:rtl/>
        </w:rPr>
      </w:pPr>
      <w:r w:rsidRPr="00803E08">
        <w:rPr>
          <w:rFonts w:hint="cs"/>
          <w:b/>
          <w:bCs/>
          <w:sz w:val="28"/>
          <w:szCs w:val="28"/>
          <w:rtl/>
        </w:rPr>
        <w:t>הנאשם</w:t>
      </w:r>
      <w:r w:rsidRPr="00803E08">
        <w:rPr>
          <w:rFonts w:hint="cs"/>
          <w:sz w:val="28"/>
          <w:szCs w:val="28"/>
          <w:rtl/>
        </w:rPr>
        <w:t>: ככל שביהמ"ש יתחשב בי ויגזור עלי עונש של מאסר בעבודות שירות, אני מסכים לבצע בדיקות שתן, ככל שאדרש.</w:t>
      </w:r>
      <w:bookmarkStart w:id="3" w:name="LawTable"/>
      <w:bookmarkEnd w:id="3"/>
    </w:p>
    <w:p w14:paraId="7DEEA92D" w14:textId="77777777" w:rsidR="0018667B" w:rsidRPr="0018667B" w:rsidRDefault="0018667B" w:rsidP="0018667B">
      <w:pPr>
        <w:spacing w:after="120" w:line="240" w:lineRule="exact"/>
        <w:ind w:left="283" w:hanging="283"/>
        <w:jc w:val="both"/>
        <w:rPr>
          <w:rFonts w:ascii="FrankRuehl" w:hAnsi="FrankRuehl" w:cs="FrankRuehl"/>
          <w:rtl/>
        </w:rPr>
      </w:pPr>
    </w:p>
    <w:p w14:paraId="47DD1C82" w14:textId="77777777" w:rsidR="0018667B" w:rsidRPr="0018667B" w:rsidRDefault="0018667B" w:rsidP="0018667B">
      <w:pPr>
        <w:spacing w:after="120" w:line="240" w:lineRule="exact"/>
        <w:ind w:left="283" w:hanging="283"/>
        <w:jc w:val="both"/>
        <w:rPr>
          <w:rFonts w:ascii="FrankRuehl" w:hAnsi="FrankRuehl" w:cs="FrankRuehl"/>
          <w:rtl/>
        </w:rPr>
      </w:pPr>
      <w:r w:rsidRPr="0018667B">
        <w:rPr>
          <w:rFonts w:ascii="FrankRuehl" w:hAnsi="FrankRuehl" w:cs="FrankRuehl"/>
          <w:rtl/>
        </w:rPr>
        <w:t xml:space="preserve">חקיקה שאוזכרה: </w:t>
      </w:r>
    </w:p>
    <w:p w14:paraId="089B7621" w14:textId="77777777" w:rsidR="0018667B" w:rsidRPr="0018667B" w:rsidRDefault="0018667B" w:rsidP="0018667B">
      <w:pPr>
        <w:spacing w:after="120" w:line="240" w:lineRule="exact"/>
        <w:ind w:left="283" w:hanging="283"/>
        <w:jc w:val="both"/>
        <w:rPr>
          <w:rFonts w:ascii="FrankRuehl" w:hAnsi="FrankRuehl" w:cs="FrankRuehl"/>
          <w:rtl/>
        </w:rPr>
      </w:pPr>
      <w:hyperlink r:id="rId7" w:history="1">
        <w:r w:rsidRPr="0018667B">
          <w:rPr>
            <w:rFonts w:ascii="FrankRuehl" w:hAnsi="FrankRuehl" w:cs="FrankRuehl"/>
            <w:color w:val="0000FF"/>
            <w:u w:val="single"/>
            <w:rtl/>
          </w:rPr>
          <w:t>פקודת הסמים המסוכנים [נוסח חדש], תשל"ג-1973</w:t>
        </w:r>
      </w:hyperlink>
      <w:r w:rsidRPr="0018667B">
        <w:rPr>
          <w:rFonts w:ascii="FrankRuehl" w:hAnsi="FrankRuehl" w:cs="FrankRuehl"/>
          <w:rtl/>
        </w:rPr>
        <w:t xml:space="preserve">: סע'  </w:t>
      </w:r>
      <w:hyperlink r:id="rId8" w:history="1">
        <w:r w:rsidRPr="0018667B">
          <w:rPr>
            <w:rFonts w:ascii="FrankRuehl" w:hAnsi="FrankRuehl" w:cs="FrankRuehl"/>
            <w:color w:val="0000FF"/>
            <w:u w:val="single"/>
            <w:rtl/>
          </w:rPr>
          <w:t>6</w:t>
        </w:r>
      </w:hyperlink>
      <w:r w:rsidRPr="0018667B">
        <w:rPr>
          <w:rFonts w:ascii="FrankRuehl" w:hAnsi="FrankRuehl" w:cs="FrankRuehl"/>
          <w:rtl/>
        </w:rPr>
        <w:t xml:space="preserve">, </w:t>
      </w:r>
      <w:hyperlink r:id="rId9" w:history="1">
        <w:r w:rsidRPr="0018667B">
          <w:rPr>
            <w:rFonts w:ascii="FrankRuehl" w:hAnsi="FrankRuehl" w:cs="FrankRuehl"/>
            <w:color w:val="0000FF"/>
            <w:u w:val="single"/>
            <w:rtl/>
          </w:rPr>
          <w:t>10</w:t>
        </w:r>
      </w:hyperlink>
    </w:p>
    <w:p w14:paraId="4F0F8DBB" w14:textId="77777777" w:rsidR="0018667B" w:rsidRPr="0018667B" w:rsidRDefault="0018667B" w:rsidP="0018667B">
      <w:pPr>
        <w:spacing w:after="120" w:line="240" w:lineRule="exact"/>
        <w:ind w:left="283" w:hanging="283"/>
        <w:jc w:val="both"/>
        <w:rPr>
          <w:rFonts w:ascii="FrankRuehl" w:hAnsi="FrankRuehl" w:cs="FrankRuehl"/>
          <w:rtl/>
        </w:rPr>
      </w:pPr>
      <w:hyperlink r:id="rId10" w:history="1">
        <w:r w:rsidRPr="0018667B">
          <w:rPr>
            <w:rFonts w:ascii="FrankRuehl" w:hAnsi="FrankRuehl" w:cs="FrankRuehl"/>
            <w:color w:val="0000FF"/>
            <w:u w:val="single"/>
            <w:rtl/>
          </w:rPr>
          <w:t>חוק העונשין, תשל"ז-1977</w:t>
        </w:r>
      </w:hyperlink>
      <w:r w:rsidRPr="0018667B">
        <w:rPr>
          <w:rFonts w:ascii="FrankRuehl" w:hAnsi="FrankRuehl" w:cs="FrankRuehl"/>
          <w:rtl/>
        </w:rPr>
        <w:t xml:space="preserve">: סע'  </w:t>
      </w:r>
      <w:hyperlink r:id="rId11" w:history="1">
        <w:r w:rsidRPr="0018667B">
          <w:rPr>
            <w:rFonts w:ascii="FrankRuehl" w:hAnsi="FrankRuehl" w:cs="FrankRuehl"/>
            <w:color w:val="0000FF"/>
            <w:u w:val="single"/>
            <w:rtl/>
          </w:rPr>
          <w:t>40ג(א)</w:t>
        </w:r>
      </w:hyperlink>
      <w:r w:rsidRPr="0018667B">
        <w:rPr>
          <w:rFonts w:ascii="FrankRuehl" w:hAnsi="FrankRuehl" w:cs="FrankRuehl"/>
          <w:rtl/>
        </w:rPr>
        <w:t xml:space="preserve">, </w:t>
      </w:r>
      <w:hyperlink r:id="rId12" w:history="1">
        <w:r w:rsidRPr="0018667B">
          <w:rPr>
            <w:rFonts w:ascii="FrankRuehl" w:hAnsi="FrankRuehl" w:cs="FrankRuehl"/>
            <w:color w:val="0000FF"/>
            <w:u w:val="single"/>
            <w:rtl/>
          </w:rPr>
          <w:t>40ג(ב)</w:t>
        </w:r>
      </w:hyperlink>
      <w:r w:rsidRPr="0018667B">
        <w:rPr>
          <w:rFonts w:ascii="FrankRuehl" w:hAnsi="FrankRuehl" w:cs="FrankRuehl"/>
          <w:rtl/>
        </w:rPr>
        <w:t xml:space="preserve">, </w:t>
      </w:r>
      <w:hyperlink r:id="rId13" w:history="1">
        <w:r w:rsidRPr="0018667B">
          <w:rPr>
            <w:rFonts w:ascii="FrankRuehl" w:hAnsi="FrankRuehl" w:cs="FrankRuehl"/>
            <w:color w:val="0000FF"/>
            <w:u w:val="single"/>
            <w:rtl/>
          </w:rPr>
          <w:t>40ד(א)</w:t>
        </w:r>
      </w:hyperlink>
      <w:r w:rsidRPr="0018667B">
        <w:rPr>
          <w:rFonts w:ascii="FrankRuehl" w:hAnsi="FrankRuehl" w:cs="FrankRuehl"/>
          <w:rtl/>
        </w:rPr>
        <w:t xml:space="preserve">, </w:t>
      </w:r>
      <w:hyperlink r:id="rId14" w:history="1">
        <w:r w:rsidRPr="0018667B">
          <w:rPr>
            <w:rFonts w:ascii="FrankRuehl" w:hAnsi="FrankRuehl" w:cs="FrankRuehl"/>
            <w:color w:val="0000FF"/>
            <w:u w:val="single"/>
            <w:rtl/>
          </w:rPr>
          <w:t>40יא(3)</w:t>
        </w:r>
      </w:hyperlink>
      <w:r w:rsidRPr="0018667B">
        <w:rPr>
          <w:rFonts w:ascii="FrankRuehl" w:hAnsi="FrankRuehl" w:cs="FrankRuehl"/>
          <w:rtl/>
        </w:rPr>
        <w:t xml:space="preserve">, </w:t>
      </w:r>
      <w:hyperlink r:id="rId15" w:history="1">
        <w:r w:rsidRPr="0018667B">
          <w:rPr>
            <w:rFonts w:ascii="FrankRuehl" w:hAnsi="FrankRuehl" w:cs="FrankRuehl"/>
            <w:color w:val="0000FF"/>
            <w:u w:val="single"/>
            <w:rtl/>
          </w:rPr>
          <w:t>40יג</w:t>
        </w:r>
      </w:hyperlink>
    </w:p>
    <w:p w14:paraId="22BD0C30" w14:textId="77777777" w:rsidR="0018667B" w:rsidRPr="0018667B" w:rsidRDefault="0018667B" w:rsidP="0018667B">
      <w:pPr>
        <w:spacing w:after="120" w:line="240" w:lineRule="exact"/>
        <w:ind w:left="283" w:hanging="283"/>
        <w:jc w:val="both"/>
        <w:rPr>
          <w:rFonts w:ascii="FrankRuehl" w:hAnsi="FrankRuehl" w:cs="FrankRuehl"/>
          <w:rtl/>
        </w:rPr>
      </w:pPr>
    </w:p>
    <w:p w14:paraId="49894B54" w14:textId="77777777" w:rsidR="0018667B" w:rsidRPr="0018667B" w:rsidRDefault="0018667B" w:rsidP="00202C71">
      <w:pPr>
        <w:spacing w:after="120" w:line="240" w:lineRule="exact"/>
        <w:ind w:left="283" w:hanging="283"/>
        <w:jc w:val="both"/>
        <w:rPr>
          <w:sz w:val="28"/>
          <w:szCs w:val="28"/>
          <w:rtl/>
        </w:rPr>
      </w:pPr>
      <w:bookmarkStart w:id="4" w:name="LawTable_End"/>
      <w:bookmarkEnd w:id="4"/>
    </w:p>
    <w:p w14:paraId="331BB0B4" w14:textId="77777777" w:rsidR="0018667B" w:rsidRPr="0018667B" w:rsidRDefault="0018667B" w:rsidP="00202C71">
      <w:pPr>
        <w:spacing w:after="120" w:line="240" w:lineRule="exact"/>
        <w:ind w:left="283" w:hanging="283"/>
        <w:jc w:val="both"/>
        <w:rPr>
          <w:sz w:val="28"/>
          <w:szCs w:val="28"/>
          <w:rtl/>
        </w:rPr>
      </w:pPr>
    </w:p>
    <w:p w14:paraId="4856C567" w14:textId="77777777" w:rsidR="00202C71" w:rsidRPr="00202C71" w:rsidRDefault="00EA1667" w:rsidP="00202C71">
      <w:pPr>
        <w:spacing w:after="120" w:line="240" w:lineRule="exact"/>
        <w:ind w:left="283" w:hanging="283"/>
        <w:jc w:val="both"/>
        <w:rPr>
          <w:rFonts w:ascii="FrankRuehl" w:hAnsi="FrankRuehl" w:cs="FrankRuehl"/>
          <w:rtl/>
        </w:rPr>
      </w:pPr>
      <w:r w:rsidRPr="0018667B">
        <w:rPr>
          <w:rFonts w:hint="cs"/>
          <w:sz w:val="28"/>
          <w:szCs w:val="28"/>
          <w:rtl/>
        </w:rPr>
        <w:t xml:space="preserve"> </w:t>
      </w:r>
    </w:p>
    <w:tbl>
      <w:tblPr>
        <w:bidiVisual/>
        <w:tblW w:w="8820" w:type="dxa"/>
        <w:jc w:val="center"/>
        <w:tblLook w:val="01E0" w:firstRow="1" w:lastRow="1" w:firstColumn="1" w:lastColumn="1" w:noHBand="0" w:noVBand="0"/>
      </w:tblPr>
      <w:tblGrid>
        <w:gridCol w:w="8820"/>
      </w:tblGrid>
      <w:tr w:rsidR="00EA1667" w:rsidRPr="005E10FD" w14:paraId="15AB39A3" w14:textId="77777777" w:rsidTr="00EA1667">
        <w:trPr>
          <w:jc w:val="center"/>
        </w:trPr>
        <w:tc>
          <w:tcPr>
            <w:tcW w:w="8820" w:type="dxa"/>
            <w:shd w:val="clear" w:color="auto" w:fill="auto"/>
          </w:tcPr>
          <w:p w14:paraId="43DFDC5B" w14:textId="77777777" w:rsidR="00803E08" w:rsidRPr="00803E08" w:rsidRDefault="00803E08" w:rsidP="00803E08">
            <w:pPr>
              <w:bidi w:val="0"/>
              <w:spacing w:line="360" w:lineRule="auto"/>
              <w:jc w:val="center"/>
              <w:rPr>
                <w:rFonts w:ascii="Arial" w:hAnsi="Arial"/>
                <w:b/>
                <w:bCs/>
                <w:noProof w:val="0"/>
                <w:sz w:val="32"/>
                <w:szCs w:val="32"/>
                <w:u w:val="double"/>
              </w:rPr>
            </w:pPr>
            <w:bookmarkStart w:id="5" w:name="PsakDin" w:colFirst="0" w:colLast="0"/>
            <w:r w:rsidRPr="00803E08">
              <w:rPr>
                <w:rFonts w:ascii="Arial" w:hAnsi="Arial"/>
                <w:b/>
                <w:bCs/>
                <w:noProof w:val="0"/>
                <w:sz w:val="32"/>
                <w:szCs w:val="32"/>
                <w:u w:val="double"/>
                <w:rtl/>
              </w:rPr>
              <w:t>גזר דין</w:t>
            </w:r>
          </w:p>
          <w:p w14:paraId="7E156406" w14:textId="77777777" w:rsidR="00EA1667" w:rsidRPr="00803E08" w:rsidRDefault="00EA1667" w:rsidP="00803E08">
            <w:pPr>
              <w:bidi w:val="0"/>
              <w:spacing w:line="360" w:lineRule="auto"/>
              <w:jc w:val="center"/>
              <w:rPr>
                <w:rFonts w:ascii="Arial" w:hAnsi="Arial"/>
                <w:b/>
                <w:bCs/>
                <w:noProof w:val="0"/>
                <w:sz w:val="32"/>
                <w:szCs w:val="32"/>
                <w:u w:val="double"/>
              </w:rPr>
            </w:pPr>
          </w:p>
        </w:tc>
      </w:tr>
    </w:tbl>
    <w:bookmarkEnd w:id="5"/>
    <w:p w14:paraId="64CED4A4" w14:textId="77777777" w:rsidR="00EA1667" w:rsidRPr="005E10FD" w:rsidRDefault="00EA1667" w:rsidP="00EA1667">
      <w:pPr>
        <w:pStyle w:val="1"/>
        <w:spacing w:before="0" w:line="360" w:lineRule="auto"/>
        <w:jc w:val="both"/>
        <w:rPr>
          <w:rFonts w:cs="David"/>
          <w:b/>
          <w:bCs/>
          <w:color w:val="auto"/>
          <w:sz w:val="28"/>
          <w:szCs w:val="28"/>
          <w:u w:val="single"/>
          <w:rtl/>
        </w:rPr>
      </w:pPr>
      <w:r w:rsidRPr="005E10FD">
        <w:rPr>
          <w:rFonts w:cs="David" w:hint="cs"/>
          <w:b/>
          <w:bCs/>
          <w:color w:val="auto"/>
          <w:sz w:val="28"/>
          <w:szCs w:val="28"/>
          <w:rtl/>
        </w:rPr>
        <w:t xml:space="preserve">א. </w:t>
      </w:r>
      <w:r w:rsidRPr="005E10FD">
        <w:rPr>
          <w:rFonts w:cs="David" w:hint="cs"/>
          <w:b/>
          <w:bCs/>
          <w:color w:val="auto"/>
          <w:sz w:val="28"/>
          <w:szCs w:val="28"/>
          <w:u w:val="single"/>
          <w:rtl/>
        </w:rPr>
        <w:t>רקע עובדתי</w:t>
      </w:r>
    </w:p>
    <w:p w14:paraId="6DC07AC8" w14:textId="77777777" w:rsidR="00EA1667" w:rsidRDefault="00EA1667" w:rsidP="00EA1667">
      <w:pPr>
        <w:pStyle w:val="a9"/>
        <w:numPr>
          <w:ilvl w:val="0"/>
          <w:numId w:val="1"/>
        </w:numPr>
        <w:spacing w:after="0"/>
        <w:ind w:left="-58" w:hanging="425"/>
        <w:rPr>
          <w:sz w:val="26"/>
          <w:szCs w:val="26"/>
        </w:rPr>
      </w:pPr>
      <w:bookmarkStart w:id="6" w:name="ABSTRACT_START"/>
      <w:bookmarkEnd w:id="6"/>
      <w:r w:rsidRPr="005E10FD">
        <w:rPr>
          <w:rFonts w:hint="cs"/>
          <w:sz w:val="26"/>
          <w:szCs w:val="26"/>
          <w:rtl/>
        </w:rPr>
        <w:t xml:space="preserve">כפי הנטען בחלק הכללי בכתב האישום המתוקן, במועד הרלוונטי לכתב האישום, התגורר הנאשם במשק 24 במושב שתולים הנמצא בבעלותו מכוח ירושת המשק מהוריו. עוד נטען כי הנאשם מתגורר בקרוואן במקום וכי בסמוך לקרוואן נמצא מחסן גידול. </w:t>
      </w:r>
    </w:p>
    <w:p w14:paraId="0C333761" w14:textId="77777777" w:rsidR="00EA1667" w:rsidRPr="005E10FD" w:rsidRDefault="00EA1667" w:rsidP="00EA1667">
      <w:pPr>
        <w:pStyle w:val="a9"/>
        <w:spacing w:after="0"/>
        <w:ind w:left="-58" w:firstLine="0"/>
        <w:rPr>
          <w:sz w:val="26"/>
          <w:szCs w:val="26"/>
          <w:rtl/>
        </w:rPr>
      </w:pPr>
      <w:bookmarkStart w:id="7" w:name="ABSTRACT_END"/>
      <w:bookmarkEnd w:id="7"/>
    </w:p>
    <w:p w14:paraId="23E04D4C"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כפי הנטען בעובדות כתב האישום המתוקן, ביום 07.11.2017 בסמוך לשעה 13:00, במהלך חיפוש, נתגלה לשוטרים כי המחסן מחולק לשניים באמצעות מחיצות גבס, כאשר באחד מחלקי המחסן גידל הנאשם במעבדה מאובזרת, סם מסוכן מסוג קנבוס בדמות שתילים רבים, חלקם בוגרים וגדולים, וחלקם קטנים יותר ובמשקל כולל של 1.75 ק"ג נטו. </w:t>
      </w:r>
    </w:p>
    <w:p w14:paraId="6F0213E7" w14:textId="77777777" w:rsidR="00EA1667" w:rsidRPr="005E10FD" w:rsidRDefault="00EA1667" w:rsidP="00EA1667">
      <w:pPr>
        <w:pStyle w:val="a9"/>
        <w:spacing w:after="0"/>
        <w:ind w:left="-58" w:firstLine="0"/>
        <w:rPr>
          <w:sz w:val="26"/>
          <w:szCs w:val="26"/>
        </w:rPr>
      </w:pPr>
    </w:p>
    <w:p w14:paraId="3DC28712"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lastRenderedPageBreak/>
        <w:t xml:space="preserve">עוד נטען כי הנאשם החזיק במחסן ששימש כמעבדת סמים, כלים רבים אשר שימשו לגידול הסם והכנתו ובהם: אוהל (בו השתילים חוברו לחשמל ומים)ׂׂ; מזגן; שרשוריות של מזגן מנורות; חומרי דישון; אריזות אדמת דשן; אביזרי תאורה וחימום; פילטרים של מים. בנסיבות אלו, הנאשם נעצר על ידי השוטרים ונלקח לתחנת המשטרה. </w:t>
      </w:r>
    </w:p>
    <w:p w14:paraId="6AC484A5" w14:textId="77777777" w:rsidR="00EA1667" w:rsidRPr="005E10FD" w:rsidRDefault="00EA1667" w:rsidP="00EA1667">
      <w:pPr>
        <w:pStyle w:val="a9"/>
        <w:spacing w:after="0"/>
        <w:ind w:left="-58" w:firstLine="0"/>
        <w:rPr>
          <w:sz w:val="26"/>
          <w:szCs w:val="26"/>
        </w:rPr>
      </w:pPr>
    </w:p>
    <w:p w14:paraId="1021963F"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הנאשם הודה במיוחס לו לעיל, ועל יסוד הודאתו זו הורשע בעבירות של </w:t>
      </w:r>
      <w:r w:rsidRPr="005E10FD">
        <w:rPr>
          <w:rFonts w:hint="cs"/>
          <w:b/>
          <w:bCs/>
          <w:sz w:val="26"/>
          <w:szCs w:val="26"/>
          <w:rtl/>
        </w:rPr>
        <w:t>גידול סמים מסוכנים</w:t>
      </w:r>
      <w:r w:rsidRPr="005E10FD">
        <w:rPr>
          <w:rFonts w:hint="cs"/>
          <w:sz w:val="26"/>
          <w:szCs w:val="26"/>
          <w:rtl/>
        </w:rPr>
        <w:t xml:space="preserve">, לפי </w:t>
      </w:r>
      <w:hyperlink r:id="rId16" w:history="1">
        <w:r w:rsidR="00202C71" w:rsidRPr="00202C71">
          <w:rPr>
            <w:rFonts w:hint="cs"/>
            <w:color w:val="0000FF"/>
            <w:sz w:val="26"/>
            <w:szCs w:val="26"/>
            <w:u w:val="single"/>
            <w:rtl/>
          </w:rPr>
          <w:t>סעיף</w:t>
        </w:r>
        <w:r w:rsidR="00202C71" w:rsidRPr="00202C71">
          <w:rPr>
            <w:color w:val="0000FF"/>
            <w:sz w:val="26"/>
            <w:szCs w:val="26"/>
            <w:u w:val="single"/>
            <w:rtl/>
          </w:rPr>
          <w:t xml:space="preserve"> 6</w:t>
        </w:r>
      </w:hyperlink>
      <w:r w:rsidRPr="005E10FD">
        <w:rPr>
          <w:rFonts w:hint="cs"/>
          <w:sz w:val="26"/>
          <w:szCs w:val="26"/>
          <w:rtl/>
        </w:rPr>
        <w:t xml:space="preserve"> ל</w:t>
      </w:r>
      <w:hyperlink r:id="rId17" w:history="1">
        <w:r w:rsidR="00803E08" w:rsidRPr="00803E08">
          <w:rPr>
            <w:color w:val="0000FF"/>
            <w:sz w:val="26"/>
            <w:szCs w:val="26"/>
            <w:u w:val="single"/>
            <w:rtl/>
          </w:rPr>
          <w:t>פקודת הסמים המסוכנים</w:t>
        </w:r>
      </w:hyperlink>
      <w:r w:rsidRPr="005E10FD">
        <w:rPr>
          <w:rFonts w:hint="cs"/>
          <w:sz w:val="26"/>
          <w:szCs w:val="26"/>
          <w:rtl/>
        </w:rPr>
        <w:t xml:space="preserve"> [נוסח חדש], התשל"ג-1973 (להלן: </w:t>
      </w:r>
      <w:r w:rsidRPr="005E10FD">
        <w:rPr>
          <w:rFonts w:hint="cs"/>
          <w:b/>
          <w:bCs/>
          <w:sz w:val="26"/>
          <w:szCs w:val="26"/>
          <w:rtl/>
        </w:rPr>
        <w:t>"הפקודה"</w:t>
      </w:r>
      <w:r w:rsidRPr="005E10FD">
        <w:rPr>
          <w:rFonts w:hint="cs"/>
          <w:sz w:val="26"/>
          <w:szCs w:val="26"/>
          <w:rtl/>
        </w:rPr>
        <w:t xml:space="preserve">); </w:t>
      </w:r>
      <w:r w:rsidRPr="005E10FD">
        <w:rPr>
          <w:rFonts w:hint="cs"/>
          <w:b/>
          <w:bCs/>
          <w:sz w:val="26"/>
          <w:szCs w:val="26"/>
          <w:rtl/>
        </w:rPr>
        <w:t>והחזקת כלים להכנת סם שלא לצריכה עצמית</w:t>
      </w:r>
      <w:r w:rsidRPr="005E10FD">
        <w:rPr>
          <w:rFonts w:hint="cs"/>
          <w:sz w:val="26"/>
          <w:szCs w:val="26"/>
          <w:rtl/>
        </w:rPr>
        <w:t xml:space="preserve">, לפי </w:t>
      </w:r>
      <w:hyperlink r:id="rId18" w:history="1">
        <w:r w:rsidR="00202C71" w:rsidRPr="00202C71">
          <w:rPr>
            <w:rFonts w:hint="cs"/>
            <w:color w:val="0000FF"/>
            <w:sz w:val="26"/>
            <w:szCs w:val="26"/>
            <w:u w:val="single"/>
            <w:rtl/>
          </w:rPr>
          <w:t>סעיף</w:t>
        </w:r>
        <w:r w:rsidR="00202C71" w:rsidRPr="00202C71">
          <w:rPr>
            <w:color w:val="0000FF"/>
            <w:sz w:val="26"/>
            <w:szCs w:val="26"/>
            <w:u w:val="single"/>
            <w:rtl/>
          </w:rPr>
          <w:t xml:space="preserve"> 10</w:t>
        </w:r>
      </w:hyperlink>
      <w:r w:rsidRPr="005E10FD">
        <w:rPr>
          <w:rFonts w:hint="cs"/>
          <w:sz w:val="26"/>
          <w:szCs w:val="26"/>
          <w:rtl/>
        </w:rPr>
        <w:t xml:space="preserve"> רישא לפקודה.</w:t>
      </w:r>
    </w:p>
    <w:p w14:paraId="738D9C5E" w14:textId="77777777" w:rsidR="00EA1667" w:rsidRPr="005E10FD" w:rsidRDefault="00EA1667" w:rsidP="00EA1667">
      <w:pPr>
        <w:pStyle w:val="a9"/>
        <w:spacing w:after="0"/>
        <w:ind w:left="-58" w:firstLine="0"/>
        <w:rPr>
          <w:sz w:val="26"/>
          <w:szCs w:val="26"/>
        </w:rPr>
      </w:pPr>
    </w:p>
    <w:p w14:paraId="1AB4A5CE"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הצדדים לא הגיעו להסכמות בעניין העונש, אך הוסכם כי הנאשם יופנה לשירות המבחן על מנת שיתקבל תסקיר בעניינו, תוך שהמאשימה הצהירה כי עמדתה העונשית בתיק זה היא למאסר בפועל. </w:t>
      </w:r>
    </w:p>
    <w:p w14:paraId="1F4999CB" w14:textId="77777777" w:rsidR="00EA1667" w:rsidRPr="005E10FD" w:rsidRDefault="00EA1667" w:rsidP="00EA1667">
      <w:pPr>
        <w:pStyle w:val="a9"/>
        <w:spacing w:after="0"/>
        <w:ind w:left="-58" w:firstLine="0"/>
        <w:rPr>
          <w:sz w:val="26"/>
          <w:szCs w:val="26"/>
        </w:rPr>
      </w:pPr>
    </w:p>
    <w:p w14:paraId="659DBEEF"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בעניינו של הנאשם התקבלו שני תסקירים, ובסופם המליץ שירות המבחן על השתת עונש בדמות עבודות שירות לתקופה קצרה לשיקול דעת בית המשפט לצד מאסר מותנה וחתימה על התחייבות להימנע מביצוע עבירה. בגוף התסקירים, מפרט שירות המבחן אודות: קורותיו של הנאשם וקורות משפחתו, מאפייניו האישיים, ועוד. אשר לגופם של התסקירים, מטעמים של צנעת הפרט לא אעלה עלי גזר הדין את כל המפורט שם, וזאת מלבד אותם נתונים הרלוונטיים לשאלת העונש, שאליהם אתייחס בהמשך.</w:t>
      </w:r>
    </w:p>
    <w:p w14:paraId="6FB2CDE2" w14:textId="77777777" w:rsidR="00EA1667" w:rsidRPr="005E10FD" w:rsidRDefault="00EA1667" w:rsidP="00EA1667">
      <w:pPr>
        <w:pStyle w:val="a9"/>
        <w:spacing w:after="0"/>
        <w:ind w:left="-58" w:firstLine="0"/>
        <w:rPr>
          <w:sz w:val="26"/>
          <w:szCs w:val="26"/>
        </w:rPr>
      </w:pPr>
    </w:p>
    <w:p w14:paraId="399148FE" w14:textId="77777777" w:rsidR="00EA1667" w:rsidRDefault="00EA1667" w:rsidP="00EA1667">
      <w:pPr>
        <w:pStyle w:val="a9"/>
        <w:numPr>
          <w:ilvl w:val="0"/>
          <w:numId w:val="1"/>
        </w:numPr>
        <w:spacing w:after="0"/>
        <w:ind w:left="-58"/>
        <w:rPr>
          <w:sz w:val="26"/>
          <w:szCs w:val="26"/>
        </w:rPr>
      </w:pPr>
      <w:r w:rsidRPr="005E10FD">
        <w:rPr>
          <w:rFonts w:hint="cs"/>
          <w:b/>
          <w:bCs/>
          <w:sz w:val="26"/>
          <w:szCs w:val="26"/>
          <w:rtl/>
        </w:rPr>
        <w:t>מחוות דעת הממונה על עבודות השירות</w:t>
      </w:r>
      <w:r w:rsidRPr="005E10FD">
        <w:rPr>
          <w:rFonts w:hint="cs"/>
          <w:sz w:val="26"/>
          <w:szCs w:val="26"/>
          <w:rtl/>
        </w:rPr>
        <w:t xml:space="preserve">, שהתקבלה ביום 14.11.2018, עולה כי הנאשם מתאים לביצוע עבודות שירות. </w:t>
      </w:r>
    </w:p>
    <w:p w14:paraId="15AA15B6" w14:textId="77777777" w:rsidR="00EA1667" w:rsidRDefault="00EA1667" w:rsidP="00EA1667">
      <w:pPr>
        <w:pStyle w:val="a9"/>
        <w:spacing w:after="0"/>
        <w:ind w:left="-58" w:firstLine="0"/>
        <w:rPr>
          <w:b/>
          <w:bCs/>
          <w:sz w:val="26"/>
          <w:szCs w:val="26"/>
          <w:rtl/>
        </w:rPr>
      </w:pPr>
    </w:p>
    <w:p w14:paraId="390FAE00" w14:textId="77777777" w:rsidR="00EA1667" w:rsidRPr="005E10FD" w:rsidRDefault="00EA1667" w:rsidP="00EA1667">
      <w:pPr>
        <w:pStyle w:val="a9"/>
        <w:spacing w:after="0"/>
        <w:ind w:left="1440" w:hanging="1440"/>
        <w:jc w:val="left"/>
        <w:rPr>
          <w:sz w:val="26"/>
          <w:szCs w:val="26"/>
          <w:u w:val="single"/>
        </w:rPr>
      </w:pPr>
      <w:r w:rsidRPr="005E10FD">
        <w:rPr>
          <w:rFonts w:hint="cs"/>
          <w:b/>
          <w:bCs/>
          <w:sz w:val="28"/>
          <w:szCs w:val="28"/>
          <w:rtl/>
        </w:rPr>
        <w:t xml:space="preserve">ב. </w:t>
      </w:r>
      <w:r w:rsidRPr="005E10FD">
        <w:rPr>
          <w:rFonts w:hint="cs"/>
          <w:b/>
          <w:bCs/>
          <w:sz w:val="28"/>
          <w:szCs w:val="28"/>
          <w:u w:val="single"/>
          <w:rtl/>
        </w:rPr>
        <w:t>טיעוני הצדדים (עיקרי הדברים)</w:t>
      </w:r>
    </w:p>
    <w:p w14:paraId="29930966"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בא כוח המאשימה עמד על הערכים המוגנים שנפגעו כתוצאה ממעשיו של הנאשם ועל חומרת הנסיבות שנלוו אליהם. בכלל זה, הלה הפנה לציוד שהחזיק הנאשם לשם הגידול וטען כי חומרת מעשיו של הנאשם אינו נאמד אך במשקל השתילים גרידא. בהמשך, עתרה המאשימה לקבוע מתחם עונש הולם הנע בין 8 ל- 18 חודשי מאסר, ובשים לב לעובדה כי הנאשם לא עבר כל הליך טיפולי, עתרה להשית עליו עונש מאסר ברף הבינוני של המתחם, לצד מאסר מותנה, קנס, פסילת רישיון נהיגה (בפועל ומותנית) והתחייבות. </w:t>
      </w:r>
    </w:p>
    <w:p w14:paraId="08DC47E7" w14:textId="77777777" w:rsidR="00EA1667" w:rsidRPr="005E10FD" w:rsidRDefault="00EA1667" w:rsidP="00EA1667">
      <w:pPr>
        <w:pStyle w:val="a9"/>
        <w:spacing w:after="0"/>
        <w:ind w:left="-58" w:firstLine="0"/>
        <w:rPr>
          <w:sz w:val="26"/>
          <w:szCs w:val="26"/>
        </w:rPr>
      </w:pPr>
    </w:p>
    <w:p w14:paraId="05BF2517"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במסגרת הראיות לעונש הציגה המאשימה תצלומים של המעבדה הביתית שבמוקד כתב האישום המתוקן </w:t>
      </w:r>
      <w:r w:rsidRPr="005E10FD">
        <w:rPr>
          <w:rFonts w:hint="cs"/>
          <w:b/>
          <w:bCs/>
          <w:sz w:val="26"/>
          <w:szCs w:val="26"/>
          <w:rtl/>
        </w:rPr>
        <w:t>(ת/1).</w:t>
      </w:r>
      <w:r w:rsidRPr="005E10FD">
        <w:rPr>
          <w:rFonts w:hint="cs"/>
          <w:sz w:val="26"/>
          <w:szCs w:val="26"/>
          <w:rtl/>
        </w:rPr>
        <w:t xml:space="preserve"> </w:t>
      </w:r>
    </w:p>
    <w:p w14:paraId="10FE915D" w14:textId="77777777" w:rsidR="00EA1667" w:rsidRPr="005E10FD" w:rsidRDefault="00EA1667" w:rsidP="00EA1667">
      <w:pPr>
        <w:pStyle w:val="a9"/>
        <w:spacing w:after="0"/>
        <w:ind w:left="-58" w:firstLine="0"/>
        <w:rPr>
          <w:sz w:val="26"/>
          <w:szCs w:val="26"/>
        </w:rPr>
      </w:pPr>
    </w:p>
    <w:p w14:paraId="111B647F"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מנגד, באת כוח הנאשם חלקה על מתחם העונש ההולם אשר הוצג על ידי המאשימה, וטענה כי על המתחם לנוע בין 6 חודשי מאסר שיכול וירוצו בעבודות שירות ועד 18 חודשי מאסר בפועל וכי במקרה הנדון יש להשית על הנאשם עונש המצוי ברף התחתון של המתחם. וזאת בשים לב, בין היתר, להמלצת שירות המבחן, לעברו הפלילי החף מהרשעות ולניקיונו מסמים. עוד נטען כי בהיעדר אינדיקציה אחרת בכתב האישום, יש לראות בנאשם כמי שגידל את הסמים לצריכתו העצמית בלבד. </w:t>
      </w:r>
    </w:p>
    <w:p w14:paraId="62EB0918" w14:textId="77777777" w:rsidR="00EA1667" w:rsidRPr="005E10FD" w:rsidRDefault="00EA1667" w:rsidP="00EA1667">
      <w:pPr>
        <w:pStyle w:val="a9"/>
        <w:spacing w:after="0"/>
        <w:ind w:left="-58" w:firstLine="0"/>
        <w:rPr>
          <w:sz w:val="26"/>
          <w:szCs w:val="26"/>
        </w:rPr>
      </w:pPr>
    </w:p>
    <w:p w14:paraId="6DC8B6F5"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במסגרת הראיות לעונש מטעם ההגנה העיד מר </w:t>
      </w:r>
      <w:r w:rsidRPr="005E10FD">
        <w:rPr>
          <w:rFonts w:hint="cs"/>
          <w:b/>
          <w:bCs/>
          <w:sz w:val="26"/>
          <w:szCs w:val="26"/>
          <w:rtl/>
        </w:rPr>
        <w:t>דן טמיר</w:t>
      </w:r>
      <w:r w:rsidRPr="005E10FD">
        <w:rPr>
          <w:rFonts w:hint="cs"/>
          <w:sz w:val="26"/>
          <w:szCs w:val="26"/>
          <w:rtl/>
        </w:rPr>
        <w:t xml:space="preserve">, מנכ"ל "נ. טמיר פרויקטים בע"מ", מעסיקו של הנאשם שמסר כי הנאשם הינו עובד החיוני לחברה וכי הלה ישר ומהימן ומבצע את עבודתו במקצועיות. </w:t>
      </w:r>
    </w:p>
    <w:p w14:paraId="481FBBA8" w14:textId="77777777" w:rsidR="00EA1667" w:rsidRPr="005E10FD" w:rsidRDefault="00EA1667" w:rsidP="00EA1667">
      <w:pPr>
        <w:pStyle w:val="a9"/>
        <w:spacing w:after="0"/>
        <w:ind w:left="-58" w:firstLine="0"/>
        <w:rPr>
          <w:sz w:val="26"/>
          <w:szCs w:val="26"/>
        </w:rPr>
      </w:pPr>
    </w:p>
    <w:p w14:paraId="046EF02E"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כמו כן הגישה ההגנה אסופת מסמכים ובהם מכתב הערכה מהמעסיק ותלוש משכורת </w:t>
      </w:r>
      <w:r w:rsidRPr="005E10FD">
        <w:rPr>
          <w:rFonts w:hint="cs"/>
          <w:b/>
          <w:bCs/>
          <w:sz w:val="26"/>
          <w:szCs w:val="26"/>
          <w:rtl/>
        </w:rPr>
        <w:t>(נ/1).</w:t>
      </w:r>
      <w:r w:rsidRPr="005E10FD">
        <w:rPr>
          <w:rFonts w:hint="cs"/>
          <w:sz w:val="26"/>
          <w:szCs w:val="26"/>
          <w:rtl/>
        </w:rPr>
        <w:t xml:space="preserve"> </w:t>
      </w:r>
    </w:p>
    <w:p w14:paraId="2F00C784" w14:textId="77777777" w:rsidR="00EA1667" w:rsidRPr="005E10FD" w:rsidRDefault="00EA1667" w:rsidP="00EA1667">
      <w:pPr>
        <w:pStyle w:val="a9"/>
        <w:spacing w:after="0"/>
        <w:ind w:left="-58" w:firstLine="0"/>
        <w:rPr>
          <w:sz w:val="26"/>
          <w:szCs w:val="26"/>
        </w:rPr>
      </w:pPr>
    </w:p>
    <w:p w14:paraId="4BF2CC46" w14:textId="77777777" w:rsidR="00EA1667" w:rsidRPr="005E10FD" w:rsidRDefault="00EA1667" w:rsidP="00EA1667">
      <w:pPr>
        <w:pStyle w:val="a9"/>
        <w:numPr>
          <w:ilvl w:val="0"/>
          <w:numId w:val="1"/>
        </w:numPr>
        <w:spacing w:after="0"/>
        <w:ind w:left="-58" w:hanging="425"/>
        <w:rPr>
          <w:sz w:val="26"/>
          <w:szCs w:val="26"/>
        </w:rPr>
      </w:pPr>
      <w:r w:rsidRPr="005E10FD">
        <w:rPr>
          <w:rFonts w:hint="cs"/>
          <w:sz w:val="26"/>
          <w:szCs w:val="26"/>
          <w:rtl/>
        </w:rPr>
        <w:t xml:space="preserve">הנאשם אשר קיבל את "זכות המילה האחרונה", הביע חרטה על מעשיו; הפנים את חומרת המיוחס לו; הביע תקווה לצאת לדרך חדשה ולהיות אדם שומר חוק  ומודל חיקוי חיובי לבנו בן ה -13. </w:t>
      </w:r>
    </w:p>
    <w:p w14:paraId="3C93718C" w14:textId="77777777" w:rsidR="00EA1667" w:rsidRDefault="00EA1667" w:rsidP="00EA1667">
      <w:pPr>
        <w:pStyle w:val="1"/>
        <w:spacing w:before="0" w:line="360" w:lineRule="auto"/>
        <w:ind w:left="-908"/>
        <w:rPr>
          <w:rFonts w:cs="David"/>
          <w:b/>
          <w:bCs/>
          <w:color w:val="auto"/>
          <w:sz w:val="28"/>
          <w:szCs w:val="28"/>
          <w:u w:val="single"/>
          <w:rtl/>
        </w:rPr>
      </w:pPr>
    </w:p>
    <w:p w14:paraId="7F77D2B6" w14:textId="77777777" w:rsidR="00EA1667" w:rsidRDefault="00EA1667" w:rsidP="00EA1667">
      <w:pPr>
        <w:pStyle w:val="1"/>
        <w:spacing w:before="0" w:line="360" w:lineRule="auto"/>
        <w:ind w:left="-908" w:firstLine="850"/>
        <w:rPr>
          <w:rFonts w:cs="David"/>
          <w:b/>
          <w:bCs/>
          <w:color w:val="auto"/>
          <w:sz w:val="28"/>
          <w:szCs w:val="28"/>
          <w:u w:val="single"/>
          <w:rtl/>
        </w:rPr>
      </w:pPr>
      <w:r w:rsidRPr="007B77D0">
        <w:rPr>
          <w:rFonts w:cs="David" w:hint="cs"/>
          <w:b/>
          <w:bCs/>
          <w:color w:val="auto"/>
          <w:sz w:val="28"/>
          <w:szCs w:val="28"/>
          <w:u w:val="single"/>
          <w:rtl/>
        </w:rPr>
        <w:t>דיון והכרעה</w:t>
      </w:r>
    </w:p>
    <w:p w14:paraId="32DB7B91" w14:textId="77777777" w:rsidR="00EA1667" w:rsidRPr="007B77D0" w:rsidRDefault="00EA1667" w:rsidP="00EA1667">
      <w:pPr>
        <w:pStyle w:val="1"/>
        <w:spacing w:before="0" w:line="360" w:lineRule="auto"/>
        <w:ind w:left="-908" w:firstLine="850"/>
        <w:rPr>
          <w:rFonts w:cs="David"/>
          <w:b/>
          <w:bCs/>
          <w:color w:val="auto"/>
          <w:sz w:val="28"/>
          <w:szCs w:val="28"/>
          <w:u w:val="single"/>
        </w:rPr>
      </w:pPr>
      <w:r w:rsidRPr="00F005A0">
        <w:rPr>
          <w:rFonts w:cs="David" w:hint="cs"/>
          <w:b/>
          <w:bCs/>
          <w:color w:val="auto"/>
          <w:sz w:val="28"/>
          <w:szCs w:val="28"/>
          <w:rtl/>
        </w:rPr>
        <w:t xml:space="preserve">ג. </w:t>
      </w:r>
      <w:r w:rsidRPr="007B77D0">
        <w:rPr>
          <w:rFonts w:cs="David" w:hint="cs"/>
          <w:b/>
          <w:bCs/>
          <w:color w:val="auto"/>
          <w:sz w:val="28"/>
          <w:szCs w:val="28"/>
          <w:u w:val="single"/>
          <w:rtl/>
        </w:rPr>
        <w:t>קביעת מתחם העונש ההולם</w:t>
      </w:r>
    </w:p>
    <w:p w14:paraId="29202F70" w14:textId="77777777" w:rsidR="00EA1667" w:rsidRPr="005E10FD" w:rsidRDefault="00EA1667" w:rsidP="00EA1667">
      <w:pPr>
        <w:pStyle w:val="1"/>
        <w:spacing w:before="0" w:line="360" w:lineRule="auto"/>
        <w:ind w:left="-908" w:firstLine="850"/>
        <w:rPr>
          <w:rFonts w:cs="David"/>
          <w:color w:val="auto"/>
          <w:sz w:val="26"/>
          <w:szCs w:val="26"/>
          <w:u w:val="single"/>
          <w:rtl/>
        </w:rPr>
      </w:pPr>
      <w:r w:rsidRPr="005E10FD">
        <w:rPr>
          <w:rFonts w:cs="David" w:hint="cs"/>
          <w:color w:val="auto"/>
          <w:sz w:val="26"/>
          <w:szCs w:val="26"/>
          <w:u w:val="single"/>
          <w:rtl/>
        </w:rPr>
        <w:t>הערכים המוגנים שנפגעו, מידת הפגיעה בהם, ונסיבות ביצוע העבירות</w:t>
      </w:r>
    </w:p>
    <w:p w14:paraId="52C89349"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כאמור </w:t>
      </w:r>
      <w:hyperlink r:id="rId19" w:history="1">
        <w:r w:rsidR="00202C71" w:rsidRPr="00202C71">
          <w:rPr>
            <w:rFonts w:hint="cs"/>
            <w:color w:val="0000FF"/>
            <w:sz w:val="26"/>
            <w:szCs w:val="26"/>
            <w:u w:val="single"/>
            <w:rtl/>
          </w:rPr>
          <w:t>בסעיף</w:t>
        </w:r>
        <w:r w:rsidR="00202C71" w:rsidRPr="00202C71">
          <w:rPr>
            <w:color w:val="0000FF"/>
            <w:sz w:val="26"/>
            <w:szCs w:val="26"/>
            <w:u w:val="single"/>
            <w:rtl/>
          </w:rPr>
          <w:t xml:space="preserve"> 40</w:t>
        </w:r>
        <w:r w:rsidR="00202C71" w:rsidRPr="00202C71">
          <w:rPr>
            <w:rFonts w:hint="cs"/>
            <w:color w:val="0000FF"/>
            <w:sz w:val="26"/>
            <w:szCs w:val="26"/>
            <w:u w:val="single"/>
            <w:rtl/>
          </w:rPr>
          <w:t>ג</w:t>
        </w:r>
        <w:r w:rsidR="00202C71" w:rsidRPr="00202C71">
          <w:rPr>
            <w:color w:val="0000FF"/>
            <w:sz w:val="26"/>
            <w:szCs w:val="26"/>
            <w:u w:val="single"/>
            <w:rtl/>
          </w:rPr>
          <w:t>(</w:t>
        </w:r>
        <w:r w:rsidR="00202C71" w:rsidRPr="00202C71">
          <w:rPr>
            <w:rFonts w:hint="cs"/>
            <w:color w:val="0000FF"/>
            <w:sz w:val="26"/>
            <w:szCs w:val="26"/>
            <w:u w:val="single"/>
            <w:rtl/>
          </w:rPr>
          <w:t>א</w:t>
        </w:r>
        <w:r w:rsidR="00202C71" w:rsidRPr="00202C71">
          <w:rPr>
            <w:color w:val="0000FF"/>
            <w:sz w:val="26"/>
            <w:szCs w:val="26"/>
            <w:u w:val="single"/>
            <w:rtl/>
          </w:rPr>
          <w:t>)</w:t>
        </w:r>
      </w:hyperlink>
      <w:r w:rsidRPr="005E10FD">
        <w:rPr>
          <w:rFonts w:hint="cs"/>
          <w:sz w:val="26"/>
          <w:szCs w:val="26"/>
          <w:rtl/>
        </w:rPr>
        <w:t xml:space="preserve"> ל</w:t>
      </w:r>
      <w:hyperlink r:id="rId20" w:history="1">
        <w:r w:rsidR="00803E08" w:rsidRPr="00803E08">
          <w:rPr>
            <w:color w:val="0000FF"/>
            <w:sz w:val="26"/>
            <w:szCs w:val="26"/>
            <w:u w:val="single"/>
            <w:rtl/>
          </w:rPr>
          <w:t>חוק העונשין</w:t>
        </w:r>
      </w:hyperlink>
      <w:r w:rsidRPr="005E10FD">
        <w:rPr>
          <w:rFonts w:hint="cs"/>
          <w:sz w:val="26"/>
          <w:szCs w:val="26"/>
          <w:rtl/>
        </w:rPr>
        <w:t xml:space="preserve">, התשל"ז-1977 (להלן: </w:t>
      </w:r>
      <w:r w:rsidRPr="005E10FD">
        <w:rPr>
          <w:rFonts w:hint="cs"/>
          <w:b/>
          <w:bCs/>
          <w:sz w:val="26"/>
          <w:szCs w:val="26"/>
          <w:rtl/>
        </w:rPr>
        <w:t>"חוק העונשין"</w:t>
      </w:r>
      <w:r w:rsidRPr="005E10FD">
        <w:rPr>
          <w:rFonts w:hint="cs"/>
          <w:sz w:val="26"/>
          <w:szCs w:val="26"/>
          <w:rtl/>
        </w:rPr>
        <w:t>),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73C728D0" w14:textId="77777777" w:rsidR="00EA1667" w:rsidRPr="005E10FD" w:rsidRDefault="00EA1667" w:rsidP="00EA1667">
      <w:pPr>
        <w:pStyle w:val="a9"/>
        <w:spacing w:after="0"/>
        <w:ind w:left="-58" w:firstLine="0"/>
        <w:rPr>
          <w:sz w:val="26"/>
          <w:szCs w:val="26"/>
        </w:rPr>
      </w:pPr>
    </w:p>
    <w:p w14:paraId="3A75B6D6" w14:textId="77777777" w:rsidR="00EA1667" w:rsidRPr="005E10FD" w:rsidRDefault="00EA1667" w:rsidP="00EA1667">
      <w:pPr>
        <w:pStyle w:val="a9"/>
        <w:numPr>
          <w:ilvl w:val="0"/>
          <w:numId w:val="1"/>
        </w:numPr>
        <w:spacing w:after="0"/>
        <w:ind w:left="-58" w:hanging="425"/>
        <w:rPr>
          <w:sz w:val="26"/>
          <w:szCs w:val="26"/>
        </w:rPr>
      </w:pPr>
      <w:r w:rsidRPr="005E10FD">
        <w:rPr>
          <w:rFonts w:hint="cs"/>
          <w:sz w:val="26"/>
          <w:szCs w:val="26"/>
          <w:rtl/>
        </w:rPr>
        <w:t xml:space="preserve">בטרם אפנה לקבוע את מתחם העונש ההולם בגין מעשיו של נאשם, על אף שנדמה כי הדבר ברור מאליו אציין בבחינת למעלה מן הצורך, כי בכלל המעשים בהם הורשע הנאשם יש לראות כ"אירוע אחד", כמשמעו </w:t>
      </w:r>
      <w:hyperlink r:id="rId21" w:history="1">
        <w:r w:rsidR="00202C71" w:rsidRPr="00202C71">
          <w:rPr>
            <w:rFonts w:hint="cs"/>
            <w:color w:val="0000FF"/>
            <w:sz w:val="26"/>
            <w:szCs w:val="26"/>
            <w:u w:val="single"/>
            <w:rtl/>
          </w:rPr>
          <w:t>בסעיף</w:t>
        </w:r>
        <w:r w:rsidR="00202C71" w:rsidRPr="00202C71">
          <w:rPr>
            <w:color w:val="0000FF"/>
            <w:sz w:val="26"/>
            <w:szCs w:val="26"/>
            <w:u w:val="single"/>
            <w:rtl/>
          </w:rPr>
          <w:t xml:space="preserve"> 40</w:t>
        </w:r>
        <w:r w:rsidR="00202C71" w:rsidRPr="00202C71">
          <w:rPr>
            <w:rFonts w:hint="cs"/>
            <w:color w:val="0000FF"/>
            <w:sz w:val="26"/>
            <w:szCs w:val="26"/>
            <w:u w:val="single"/>
            <w:rtl/>
          </w:rPr>
          <w:t>יג</w:t>
        </w:r>
      </w:hyperlink>
      <w:r w:rsidRPr="005E10FD">
        <w:rPr>
          <w:rFonts w:hint="cs"/>
          <w:sz w:val="26"/>
          <w:szCs w:val="26"/>
          <w:rtl/>
        </w:rPr>
        <w:t xml:space="preserve"> ל</w:t>
      </w:r>
      <w:hyperlink r:id="rId22" w:history="1">
        <w:r w:rsidR="00803E08" w:rsidRPr="00803E08">
          <w:rPr>
            <w:color w:val="0000FF"/>
            <w:sz w:val="26"/>
            <w:szCs w:val="26"/>
            <w:u w:val="single"/>
            <w:rtl/>
          </w:rPr>
          <w:t>חוק העונשין</w:t>
        </w:r>
      </w:hyperlink>
      <w:r w:rsidRPr="005E10FD">
        <w:rPr>
          <w:rFonts w:hint="cs"/>
          <w:sz w:val="26"/>
          <w:szCs w:val="26"/>
          <w:rtl/>
        </w:rPr>
        <w:t xml:space="preserve">. מסקנתי זו עולה בקנה אחד עם "מבחן הקשר ההדוק" שנקבע </w:t>
      </w:r>
      <w:r w:rsidRPr="005E10FD">
        <w:rPr>
          <w:rFonts w:ascii="David" w:hAnsi="David" w:hint="cs"/>
          <w:sz w:val="26"/>
          <w:szCs w:val="26"/>
          <w:u w:val="single"/>
          <w:rtl/>
        </w:rPr>
        <w:t>ב</w:t>
      </w:r>
      <w:hyperlink r:id="rId23" w:history="1">
        <w:r w:rsidR="00803E08" w:rsidRPr="00803E08">
          <w:rPr>
            <w:rFonts w:ascii="David" w:hAnsi="David"/>
            <w:color w:val="0000FF"/>
            <w:sz w:val="26"/>
            <w:szCs w:val="26"/>
            <w:u w:val="single"/>
            <w:rtl/>
          </w:rPr>
          <w:t>ע"פ 4910/13</w:t>
        </w:r>
      </w:hyperlink>
      <w:r w:rsidRPr="005E10FD">
        <w:rPr>
          <w:rFonts w:ascii="David" w:hAnsi="David" w:hint="cs"/>
          <w:sz w:val="26"/>
          <w:szCs w:val="26"/>
          <w:rtl/>
        </w:rPr>
        <w:t xml:space="preserve"> ‏</w:t>
      </w:r>
      <w:r w:rsidRPr="005E10FD">
        <w:rPr>
          <w:rFonts w:ascii="David" w:hAnsi="David" w:hint="cs"/>
          <w:b/>
          <w:bCs/>
          <w:sz w:val="26"/>
          <w:szCs w:val="26"/>
          <w:rtl/>
        </w:rPr>
        <w:t>אחמד בני ג'אבר נגד מדינת ישראל</w:t>
      </w:r>
      <w:r w:rsidRPr="005E10FD">
        <w:rPr>
          <w:rFonts w:ascii="David" w:hAnsi="David" w:hint="cs"/>
          <w:sz w:val="26"/>
          <w:szCs w:val="26"/>
          <w:rtl/>
        </w:rPr>
        <w:t>, (פורסם במאגרים המשפטיים) (29.10.2014)</w:t>
      </w:r>
      <w:r w:rsidRPr="005E10FD">
        <w:rPr>
          <w:rFonts w:hint="cs"/>
          <w:sz w:val="26"/>
          <w:szCs w:val="26"/>
          <w:rtl/>
        </w:rPr>
        <w:t xml:space="preserve">, ובשים לב לאופיין הדומה של העבירות הנדונות, לכך שהן בוצעו באותו המקום ובאותו הזמן, לכך שנדמה כי קדם להן תכנון עברייני אחד, ולאור הקשר ההדוק שקיים בין עבירות אלו. </w:t>
      </w:r>
    </w:p>
    <w:p w14:paraId="50F41292" w14:textId="77777777" w:rsidR="00EA1667" w:rsidRPr="005E10FD" w:rsidRDefault="00EA1667" w:rsidP="00EA1667">
      <w:pPr>
        <w:pStyle w:val="a9"/>
        <w:numPr>
          <w:ilvl w:val="0"/>
          <w:numId w:val="1"/>
        </w:numPr>
        <w:spacing w:after="0"/>
        <w:ind w:left="-58" w:hanging="425"/>
        <w:rPr>
          <w:sz w:val="26"/>
          <w:szCs w:val="26"/>
        </w:rPr>
      </w:pPr>
      <w:r w:rsidRPr="005E10FD">
        <w:rPr>
          <w:rFonts w:hint="cs"/>
          <w:sz w:val="26"/>
          <w:szCs w:val="26"/>
          <w:rtl/>
        </w:rPr>
        <w:t xml:space="preserve">נדמה כי אין צורך להכביר מילים בנוגע לחומרה הרבה הכרוכה בעבירות הסמים. </w:t>
      </w:r>
      <w:hyperlink r:id="rId24" w:history="1">
        <w:r w:rsidR="00803E08" w:rsidRPr="00803E08">
          <w:rPr>
            <w:color w:val="0000FF"/>
            <w:sz w:val="26"/>
            <w:szCs w:val="26"/>
            <w:u w:val="single"/>
            <w:rtl/>
          </w:rPr>
          <w:t>פקודת הסמים המסוכנים</w:t>
        </w:r>
      </w:hyperlink>
      <w:r w:rsidRPr="005E10FD">
        <w:rPr>
          <w:rFonts w:hint="cs"/>
          <w:sz w:val="26"/>
          <w:szCs w:val="26"/>
          <w:rtl/>
        </w:rPr>
        <w:t xml:space="preserve"> נחקקה על מנת להגן על ערכים חברתיים מרכזיים ובראשם החובה להגן על שלומו של הציבור, על בריאותו, על בטחונו האישי ועל רכושו. </w:t>
      </w:r>
    </w:p>
    <w:p w14:paraId="3E795B48" w14:textId="77777777" w:rsidR="00EA1667" w:rsidRDefault="00EA1667" w:rsidP="00EA1667">
      <w:pPr>
        <w:pStyle w:val="a9"/>
        <w:spacing w:after="0"/>
        <w:ind w:left="-58" w:firstLine="0"/>
        <w:rPr>
          <w:sz w:val="26"/>
          <w:szCs w:val="26"/>
          <w:rtl/>
        </w:rPr>
      </w:pPr>
      <w:r w:rsidRPr="005E10FD">
        <w:rPr>
          <w:rFonts w:hint="cs"/>
          <w:sz w:val="26"/>
          <w:szCs w:val="26"/>
          <w:rtl/>
        </w:rPr>
        <w:t xml:space="preserve">עבירות הסמים פוגעות פגיעה קשה לא רק במשתמשים בסם, אלא גם בבני משפחתם, חבריהם ומכריהם וכן בציבור בכללותו, אשר הופך לא פעם קורבן לעבירות רכוש ואלימות המבוצעות לצורך מימון ההתמכרות. 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5" w:history="1">
        <w:r w:rsidR="00803E08" w:rsidRPr="00803E08">
          <w:rPr>
            <w:color w:val="0000FF"/>
            <w:sz w:val="26"/>
            <w:szCs w:val="26"/>
            <w:u w:val="single"/>
            <w:rtl/>
          </w:rPr>
          <w:t>ע"פ 575/88</w:t>
        </w:r>
      </w:hyperlink>
      <w:r w:rsidRPr="005E10FD">
        <w:rPr>
          <w:rFonts w:hint="cs"/>
          <w:sz w:val="26"/>
          <w:szCs w:val="26"/>
          <w:rtl/>
        </w:rPr>
        <w:t xml:space="preserve"> </w:t>
      </w:r>
      <w:r w:rsidRPr="005E10FD">
        <w:rPr>
          <w:rFonts w:hint="cs"/>
          <w:b/>
          <w:bCs/>
          <w:sz w:val="26"/>
          <w:szCs w:val="26"/>
          <w:rtl/>
        </w:rPr>
        <w:t>עודה נגד מדינת ישראל</w:t>
      </w:r>
      <w:r w:rsidRPr="005E10FD">
        <w:rPr>
          <w:rFonts w:hint="cs"/>
          <w:sz w:val="26"/>
          <w:szCs w:val="26"/>
          <w:rtl/>
        </w:rPr>
        <w:t xml:space="preserve"> (פורסם במאגרים המשפטיים) (11.12.1988)). יפים לעניין זה דבריו של כב' השופט נ' הנדל </w:t>
      </w:r>
      <w:r w:rsidRPr="005E10FD">
        <w:rPr>
          <w:rFonts w:hint="cs"/>
          <w:sz w:val="26"/>
          <w:szCs w:val="26"/>
          <w:u w:val="single"/>
          <w:rtl/>
        </w:rPr>
        <w:t>ב</w:t>
      </w:r>
      <w:hyperlink r:id="rId26" w:history="1">
        <w:r w:rsidR="00803E08" w:rsidRPr="00803E08">
          <w:rPr>
            <w:color w:val="0000FF"/>
            <w:sz w:val="26"/>
            <w:szCs w:val="26"/>
            <w:u w:val="single"/>
            <w:rtl/>
          </w:rPr>
          <w:t>ע"פ 972/11</w:t>
        </w:r>
      </w:hyperlink>
      <w:r w:rsidRPr="005E10FD">
        <w:rPr>
          <w:rFonts w:hint="cs"/>
          <w:sz w:val="26"/>
          <w:szCs w:val="26"/>
          <w:rtl/>
        </w:rPr>
        <w:t xml:space="preserve"> </w:t>
      </w:r>
      <w:r w:rsidRPr="005E10FD">
        <w:rPr>
          <w:rFonts w:hint="cs"/>
          <w:b/>
          <w:bCs/>
          <w:sz w:val="26"/>
          <w:szCs w:val="26"/>
          <w:rtl/>
        </w:rPr>
        <w:t>מדינת ישראל נגד יניב יונה</w:t>
      </w:r>
      <w:r w:rsidRPr="005E10FD">
        <w:rPr>
          <w:rFonts w:hint="cs"/>
          <w:sz w:val="26"/>
          <w:szCs w:val="26"/>
          <w:rtl/>
        </w:rPr>
        <w:t xml:space="preserve"> (פורסם במאגרים המשפטיים) (04.07.2012):</w:t>
      </w:r>
    </w:p>
    <w:p w14:paraId="50AFB6BE" w14:textId="77777777" w:rsidR="00EA1667" w:rsidRPr="007B77D0" w:rsidRDefault="00EA1667" w:rsidP="00EA1667">
      <w:pPr>
        <w:spacing w:line="360" w:lineRule="auto"/>
        <w:ind w:left="720" w:right="709"/>
        <w:jc w:val="both"/>
        <w:rPr>
          <w:b/>
          <w:bCs/>
          <w:sz w:val="26"/>
          <w:szCs w:val="26"/>
          <w:rtl/>
        </w:rPr>
      </w:pPr>
      <w:r w:rsidRPr="007B77D0">
        <w:rPr>
          <w:rFonts w:hint="cs"/>
          <w:b/>
          <w:bCs/>
          <w:sz w:val="26"/>
          <w:szCs w:val="26"/>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00026BD9" w14:textId="77777777" w:rsidR="00EA1667" w:rsidRPr="005E10FD" w:rsidRDefault="00EA1667" w:rsidP="00EA1667">
      <w:pPr>
        <w:pStyle w:val="a9"/>
        <w:spacing w:after="0"/>
        <w:ind w:left="-341" w:right="709" w:firstLine="0"/>
        <w:rPr>
          <w:b/>
          <w:bCs/>
          <w:sz w:val="26"/>
          <w:szCs w:val="26"/>
        </w:rPr>
      </w:pPr>
    </w:p>
    <w:p w14:paraId="77F0089E" w14:textId="77777777" w:rsidR="00EA1667" w:rsidRDefault="00EA1667" w:rsidP="00EA1667">
      <w:pPr>
        <w:pStyle w:val="a9"/>
        <w:spacing w:after="0"/>
        <w:ind w:left="-58" w:firstLine="0"/>
        <w:rPr>
          <w:sz w:val="26"/>
          <w:szCs w:val="26"/>
          <w:rtl/>
        </w:rPr>
      </w:pPr>
      <w:r w:rsidRPr="005E10FD">
        <w:rPr>
          <w:rFonts w:hint="cs"/>
          <w:sz w:val="26"/>
          <w:szCs w:val="26"/>
          <w:rtl/>
        </w:rPr>
        <w:t xml:space="preserve">עוד  ראו בעניין זה, למשל, דבריו של כב' השופט א' שהם </w:t>
      </w:r>
      <w:r w:rsidRPr="005E10FD">
        <w:rPr>
          <w:rFonts w:hint="cs"/>
          <w:sz w:val="26"/>
          <w:szCs w:val="26"/>
          <w:u w:val="single"/>
          <w:rtl/>
        </w:rPr>
        <w:t>ב</w:t>
      </w:r>
      <w:hyperlink r:id="rId27" w:history="1">
        <w:r w:rsidR="00803E08" w:rsidRPr="00803E08">
          <w:rPr>
            <w:color w:val="0000FF"/>
            <w:sz w:val="26"/>
            <w:szCs w:val="26"/>
            <w:u w:val="single"/>
            <w:rtl/>
          </w:rPr>
          <w:t>ע"פ 3117/12</w:t>
        </w:r>
      </w:hyperlink>
      <w:r w:rsidRPr="005E10FD">
        <w:rPr>
          <w:rFonts w:hint="cs"/>
          <w:sz w:val="26"/>
          <w:szCs w:val="26"/>
          <w:rtl/>
        </w:rPr>
        <w:t xml:space="preserve"> </w:t>
      </w:r>
      <w:r w:rsidRPr="005E10FD">
        <w:rPr>
          <w:rFonts w:hint="cs"/>
          <w:b/>
          <w:bCs/>
          <w:sz w:val="26"/>
          <w:szCs w:val="26"/>
          <w:rtl/>
        </w:rPr>
        <w:t>ארביב נ' מדינת ישראל</w:t>
      </w:r>
      <w:r w:rsidRPr="005E10FD">
        <w:rPr>
          <w:rFonts w:hint="cs"/>
          <w:sz w:val="26"/>
          <w:szCs w:val="26"/>
          <w:rtl/>
        </w:rPr>
        <w:t xml:space="preserve"> (פורסם במאגרים המשפטיים) (06.09.2012).</w:t>
      </w:r>
    </w:p>
    <w:p w14:paraId="4E879CB8" w14:textId="77777777" w:rsidR="00EA1667" w:rsidRPr="005E10FD" w:rsidRDefault="00EA1667" w:rsidP="00EA1667">
      <w:pPr>
        <w:pStyle w:val="a9"/>
        <w:spacing w:after="0"/>
        <w:ind w:left="-58" w:firstLine="0"/>
        <w:rPr>
          <w:sz w:val="26"/>
          <w:szCs w:val="26"/>
        </w:rPr>
      </w:pPr>
    </w:p>
    <w:p w14:paraId="43942845" w14:textId="77777777" w:rsidR="00EA1667" w:rsidRPr="005E10FD" w:rsidRDefault="00EA1667" w:rsidP="00EA1667">
      <w:pPr>
        <w:pStyle w:val="a9"/>
        <w:numPr>
          <w:ilvl w:val="0"/>
          <w:numId w:val="1"/>
        </w:numPr>
        <w:spacing w:after="0"/>
        <w:ind w:left="-58"/>
        <w:rPr>
          <w:sz w:val="26"/>
          <w:szCs w:val="26"/>
        </w:rPr>
      </w:pPr>
      <w:r w:rsidRPr="005E10FD">
        <w:rPr>
          <w:rFonts w:hint="cs"/>
          <w:sz w:val="26"/>
          <w:szCs w:val="26"/>
          <w:rtl/>
        </w:rPr>
        <w:t xml:space="preserve">אשר לעבירות גידול סמים, שלצורך ביצוען, בדרך כלל, מקימים העבריינים מעין מעבדות סמים ביתיות, הרי שאלו הפכו ל"מכת מדינה" של ממש. בבואו לגזור את עונשם של נאשמים אשר הקימו בביתם מעבדות לגידול סמים, שומה על בית המשפט ליתן דעתו, בין היתר, לקלות שבה מבוצעות עבירות אלו ולקושי הרב בו נתקלות רשויות אכיפת החוק באיתור העבריינים. עמד על כך בית המשפט המחוזי בתל אביב יפו </w:t>
      </w:r>
      <w:r w:rsidRPr="005E10FD">
        <w:rPr>
          <w:rFonts w:hint="cs"/>
          <w:sz w:val="26"/>
          <w:szCs w:val="26"/>
          <w:u w:val="single"/>
          <w:rtl/>
        </w:rPr>
        <w:t>ב</w:t>
      </w:r>
      <w:hyperlink r:id="rId28" w:history="1">
        <w:r w:rsidR="00803E08" w:rsidRPr="00803E08">
          <w:rPr>
            <w:color w:val="0000FF"/>
            <w:sz w:val="26"/>
            <w:szCs w:val="26"/>
            <w:u w:val="single"/>
            <w:rtl/>
          </w:rPr>
          <w:t>עפ"ג (מחוזי תל אביב יפו) 42358-10-14</w:t>
        </w:r>
      </w:hyperlink>
      <w:r w:rsidRPr="005E10FD">
        <w:rPr>
          <w:rFonts w:hint="cs"/>
          <w:sz w:val="26"/>
          <w:szCs w:val="26"/>
          <w:rtl/>
        </w:rPr>
        <w:t xml:space="preserve"> </w:t>
      </w:r>
      <w:r w:rsidRPr="005E10FD">
        <w:rPr>
          <w:rFonts w:hint="cs"/>
          <w:b/>
          <w:bCs/>
          <w:sz w:val="26"/>
          <w:szCs w:val="26"/>
          <w:rtl/>
        </w:rPr>
        <w:t>אבי גיא נגד מדינת ישראל</w:t>
      </w:r>
      <w:r w:rsidRPr="005E10FD">
        <w:rPr>
          <w:rFonts w:hint="cs"/>
          <w:sz w:val="26"/>
          <w:szCs w:val="26"/>
          <w:rtl/>
        </w:rPr>
        <w:t>, (פורסם במאגרים המשפטיים) (18.02.2015):</w:t>
      </w:r>
    </w:p>
    <w:p w14:paraId="25D9A859" w14:textId="77777777" w:rsidR="00EA1667" w:rsidRPr="005E10FD" w:rsidRDefault="00EA1667" w:rsidP="00EA1667">
      <w:pPr>
        <w:pStyle w:val="a9"/>
        <w:spacing w:after="0"/>
        <w:ind w:right="709" w:firstLine="0"/>
        <w:rPr>
          <w:b/>
          <w:bCs/>
          <w:sz w:val="26"/>
          <w:szCs w:val="26"/>
        </w:rPr>
      </w:pPr>
      <w:r w:rsidRPr="005E10FD">
        <w:rPr>
          <w:rFonts w:hint="cs"/>
          <w:b/>
          <w:bCs/>
          <w:sz w:val="26"/>
          <w:szCs w:val="26"/>
          <w:rt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2A1C2A89" w14:textId="77777777" w:rsidR="00EA1667" w:rsidRDefault="00EA1667" w:rsidP="00EA1667">
      <w:pPr>
        <w:pStyle w:val="a9"/>
        <w:numPr>
          <w:ilvl w:val="0"/>
          <w:numId w:val="1"/>
        </w:numPr>
        <w:spacing w:after="0"/>
        <w:ind w:left="-58" w:hanging="283"/>
        <w:rPr>
          <w:sz w:val="26"/>
          <w:szCs w:val="26"/>
        </w:rPr>
      </w:pPr>
      <w:r w:rsidRPr="005E10FD">
        <w:rPr>
          <w:rFonts w:hint="cs"/>
          <w:sz w:val="26"/>
          <w:szCs w:val="26"/>
          <w:rtl/>
        </w:rPr>
        <w:t xml:space="preserve">אם לא די באלה, הרי שעל חומרתן היתרה של העבירות אותן ביצע הנאשם, יכולים להעיד גם העונשים אשר נקבעו בצדן. כך למשל, העונש המרבי בגין ביצוע עבירת גידול סמים, הוא 20 שנות מאסר. עונש מרבי זהה קבוע גם בצידה של עבירת החזקת כלים המשמשים להכנת סם או לצריכתו, שלא לצריכה עצמית. </w:t>
      </w:r>
    </w:p>
    <w:p w14:paraId="15989932" w14:textId="77777777" w:rsidR="00EA1667" w:rsidRPr="005E10FD" w:rsidRDefault="00EA1667" w:rsidP="00EA1667">
      <w:pPr>
        <w:pStyle w:val="a9"/>
        <w:spacing w:after="0"/>
        <w:ind w:left="-58" w:firstLine="0"/>
        <w:rPr>
          <w:sz w:val="26"/>
          <w:szCs w:val="26"/>
        </w:rPr>
      </w:pPr>
    </w:p>
    <w:p w14:paraId="1A39DB53"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מבלי להתעלם שעסקינן בסם ה"קנבוס" אשר נמנה עם הסמים "הקלים", ואינו מצוי במדרג חומרה גבוה מבין הסמים השונים (כמובן שהדברים נאמרים מבלי שבית המשפט מקל ראש ולו לרגע בנזקים שגם סם "קל" זה עלול להסב לנאשם ולסביבתו), הרי שבשיקולים לחומרא, נתתי דעתי לכמות השתילים ומשקל הסם אשר נתפסו ברשותו של הנאשם, קרי, שתילי קנבוס רבים, חלקם צעירים וחלקם גדולים, בכמות של 1.75 ק"ג. ברי כי כמות זו אינה מבוטלת כלל ועיקר והגבוהה פי כמה וכמה מ"חזקת הצריכה העצמית" הקבועה בפקודה. </w:t>
      </w:r>
    </w:p>
    <w:p w14:paraId="389FAF8F" w14:textId="77777777" w:rsidR="00EA1667" w:rsidRPr="005E10FD" w:rsidRDefault="00EA1667" w:rsidP="00EA1667">
      <w:pPr>
        <w:pStyle w:val="a9"/>
        <w:spacing w:after="0"/>
        <w:ind w:left="-58" w:firstLine="0"/>
        <w:rPr>
          <w:sz w:val="26"/>
          <w:szCs w:val="26"/>
          <w:rtl/>
        </w:rPr>
      </w:pPr>
    </w:p>
    <w:p w14:paraId="611EC176" w14:textId="77777777" w:rsidR="00EA1667" w:rsidRPr="005E10FD" w:rsidRDefault="00EA1667" w:rsidP="00EA1667">
      <w:pPr>
        <w:pStyle w:val="a9"/>
        <w:numPr>
          <w:ilvl w:val="0"/>
          <w:numId w:val="1"/>
        </w:numPr>
        <w:spacing w:after="0"/>
        <w:ind w:left="-58" w:hanging="425"/>
        <w:rPr>
          <w:sz w:val="26"/>
          <w:szCs w:val="26"/>
          <w:rtl/>
        </w:rPr>
      </w:pPr>
      <w:r w:rsidRPr="005E10FD">
        <w:rPr>
          <w:rFonts w:hint="cs"/>
          <w:sz w:val="26"/>
          <w:szCs w:val="26"/>
          <w:rtl/>
        </w:rPr>
        <w:t xml:space="preserve">עוד ולחומרה, בית המשפט שוקל את העובדה שבמקרה הנדון אין המדובר בגידול סם באופן ספורדי, כמו באותם מקרים שבהם מבקש אדם לגדל שתיל בודד לשימושו העצמי גרידא (מעשה שגם הוא חמור בפני עצמו). אדרבא, נדמה שבמקרה הנדון עסקינן בנאשם אשר תכנן היטב את הדברים וכלכל את מעשיו מבעוד מועד, עת הקים מעבדת סמים ביתית של ממש, תוך שימוש בכלים ובציוד מתאים. </w:t>
      </w:r>
    </w:p>
    <w:p w14:paraId="73F0B4C4" w14:textId="77777777" w:rsidR="00EA1667" w:rsidRPr="005E10FD" w:rsidRDefault="00EA1667" w:rsidP="00EA1667">
      <w:pPr>
        <w:pStyle w:val="a9"/>
        <w:spacing w:after="0"/>
        <w:ind w:left="-58" w:firstLine="0"/>
        <w:rPr>
          <w:sz w:val="26"/>
          <w:szCs w:val="26"/>
        </w:rPr>
      </w:pPr>
    </w:p>
    <w:p w14:paraId="7453A86E"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כפי הידוע עבירת גידול הסמים לא מבחינה בין מצבים בהם גידול הסמים נעשה לצריכה עצמית לבין מצבים בהם הגידול נעשה שלא לצריכה עצמית. במקרה הנדון, הרי שאין כל אינדיקציה בכתב האישום לכך שהנאשם ביצע את עבירת הגידול כדי לספק או להפיץ את הסמים שגידל, כאשר כמות השתילים אשר נתפסה ברשותו של הנאשם לא פורשה בכתב האישום (וכל שנטען בעניין זה הוא כי המדובר ב"שתילים רבים</w:t>
      </w:r>
      <w:r>
        <w:rPr>
          <w:rFonts w:hint="cs"/>
          <w:sz w:val="26"/>
          <w:szCs w:val="26"/>
          <w:rtl/>
        </w:rPr>
        <w:t xml:space="preserve"> חלקם צעירים וחלקם גדולים</w:t>
      </w:r>
      <w:r w:rsidRPr="005E10FD">
        <w:rPr>
          <w:rFonts w:hint="cs"/>
          <w:sz w:val="26"/>
          <w:szCs w:val="26"/>
          <w:rtl/>
        </w:rPr>
        <w:t xml:space="preserve">"). </w:t>
      </w:r>
    </w:p>
    <w:p w14:paraId="48716D16" w14:textId="77777777" w:rsidR="00EA1667" w:rsidRPr="005E10FD" w:rsidRDefault="00EA1667" w:rsidP="00EA1667">
      <w:pPr>
        <w:pStyle w:val="a9"/>
        <w:spacing w:after="0"/>
        <w:ind w:left="-58" w:firstLine="0"/>
        <w:rPr>
          <w:sz w:val="26"/>
          <w:szCs w:val="26"/>
        </w:rPr>
      </w:pPr>
    </w:p>
    <w:p w14:paraId="4272B8D6"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אשר על כן, בהיעדר אמירה מפורשת בעניין זה, לא זו בלבד שאין לגזור חזקה, לפיה הנאשם התכוון לספק את הסמים שגידל לאחרים, אלא שאף יש לפרש את מכלול הנסיבות בדרך המקלה עם הנאשם, ולראות בסמים שגידל ככאלו שנועדו לצריכתו העצמית בלבד (ראו והשוו דברים שנאמרו </w:t>
      </w:r>
      <w:r w:rsidRPr="005E10FD">
        <w:rPr>
          <w:rFonts w:hint="cs"/>
          <w:b/>
          <w:bCs/>
          <w:sz w:val="26"/>
          <w:szCs w:val="26"/>
          <w:rtl/>
        </w:rPr>
        <w:t>בפרשת אבי גיא</w:t>
      </w:r>
      <w:r w:rsidRPr="005E10FD">
        <w:rPr>
          <w:rFonts w:hint="cs"/>
          <w:sz w:val="26"/>
          <w:szCs w:val="26"/>
          <w:rtl/>
        </w:rPr>
        <w:t xml:space="preserve"> שהוזכרה לעיל). כמובן שאין בכך כדי להצדיק את ביצוע העבירות, אך ברי כי אין דינו של אדם אשר מגדל סמים כדי למכור אותם לציבור, כדין אדם אשר מגדל שתילי סם מסוג קנבוס בביתו בשעה שהוא מבקש לספק את התמכרותו. שונה מצב הדברים הנוגע לכלים בהם החזיק הנאשם. בגין אלה, כזכור, הלה הואשם והודה בביצוע עבירה של החזקת כלים שלא לצריכה עצמית. </w:t>
      </w:r>
    </w:p>
    <w:p w14:paraId="4629CD66" w14:textId="77777777" w:rsidR="00EA1667" w:rsidRPr="005E10FD" w:rsidRDefault="00EA1667" w:rsidP="00EA1667">
      <w:pPr>
        <w:pStyle w:val="a9"/>
        <w:spacing w:after="0"/>
        <w:ind w:left="-58" w:firstLine="0"/>
        <w:rPr>
          <w:sz w:val="26"/>
          <w:szCs w:val="26"/>
        </w:rPr>
      </w:pPr>
    </w:p>
    <w:p w14:paraId="4CB98BDC"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בנוסף, נתתי דעתי לכך שכתוצאה ממעשיו של הנאשם לא נגרם נזק ישיר וממשי כלשהו. דא עקא,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כך, הסמים פוגעים פגיעה קשה לא רק במשתמשים בסם, כי אם גם בבני משפחתם, חבריהם ומכריהם וכן בציבור בכללותו. </w:t>
      </w:r>
    </w:p>
    <w:p w14:paraId="05374D8B" w14:textId="77777777" w:rsidR="00EA1667" w:rsidRPr="005E10FD" w:rsidRDefault="00EA1667" w:rsidP="00EA1667">
      <w:pPr>
        <w:pStyle w:val="a9"/>
        <w:spacing w:after="0"/>
        <w:ind w:left="-58" w:firstLine="0"/>
        <w:rPr>
          <w:sz w:val="26"/>
          <w:szCs w:val="26"/>
        </w:rPr>
      </w:pPr>
    </w:p>
    <w:p w14:paraId="35A68013" w14:textId="77777777" w:rsidR="00EA1667" w:rsidRDefault="00EA1667" w:rsidP="00EA1667">
      <w:pPr>
        <w:pStyle w:val="a9"/>
        <w:numPr>
          <w:ilvl w:val="0"/>
          <w:numId w:val="1"/>
        </w:numPr>
        <w:spacing w:after="0"/>
        <w:ind w:left="-58" w:hanging="425"/>
        <w:rPr>
          <w:sz w:val="26"/>
          <w:szCs w:val="26"/>
        </w:rPr>
      </w:pPr>
      <w:r w:rsidRPr="005E10FD">
        <w:rPr>
          <w:rFonts w:hint="cs"/>
          <w:sz w:val="26"/>
          <w:szCs w:val="26"/>
          <w:rtl/>
        </w:rPr>
        <w:t xml:space="preserve">אשר למידת הפגיעה של הנאשם בערכים המוגנים, יש להביא בחשבון את העובדה כי הלה הקים בביתו מעבדת סמים של ממש (תוך שגידול שתילי הקנבוס על ידו משתרע בחלקו של המחסן שהוקצה במיוחד לצורך הגידול) והחזיק בכלים ייעודיים המשמשים להכנת הסם ובהם, אוהל (בו השתילים חוברו לחשמל ולמים); מזגן; חומרי דישון; אריזות אדמת דשן; אביזרי תאורה וחימום; פילטרים של מים. כאמור, אין המדובר בגחמה גרידא, אלא הנאשם הצטייד בציוד רב לשם הגידול, וניכר כי השקיע משאבים לא מבוטלים לשם כך. לאור כל אלה, באתי לכלל מסקנה כי מידת הפגיעה של הנאשם בערכים המוגנים הינה ממשית. </w:t>
      </w:r>
    </w:p>
    <w:p w14:paraId="4F8C23AE" w14:textId="77777777" w:rsidR="00EA1667" w:rsidRDefault="00EA1667" w:rsidP="00EA1667">
      <w:pPr>
        <w:pStyle w:val="a9"/>
        <w:spacing w:after="0"/>
        <w:ind w:left="-58" w:firstLine="0"/>
        <w:rPr>
          <w:sz w:val="26"/>
          <w:szCs w:val="26"/>
        </w:rPr>
      </w:pPr>
    </w:p>
    <w:p w14:paraId="4E41AEB0" w14:textId="77777777" w:rsidR="00EA1667" w:rsidRPr="002C78FE" w:rsidRDefault="00EA1667" w:rsidP="00EA1667">
      <w:pPr>
        <w:rPr>
          <w:sz w:val="28"/>
          <w:szCs w:val="28"/>
        </w:rPr>
      </w:pPr>
      <w:r w:rsidRPr="002C78FE">
        <w:rPr>
          <w:rFonts w:hint="cs"/>
          <w:b/>
          <w:bCs/>
          <w:sz w:val="28"/>
          <w:szCs w:val="28"/>
          <w:rtl/>
        </w:rPr>
        <w:t xml:space="preserve">ד. </w:t>
      </w:r>
      <w:r w:rsidRPr="002C78FE">
        <w:rPr>
          <w:rFonts w:hint="cs"/>
          <w:b/>
          <w:bCs/>
          <w:sz w:val="28"/>
          <w:szCs w:val="28"/>
          <w:u w:val="single"/>
          <w:rtl/>
        </w:rPr>
        <w:t>מדיניות הענישה הנוהגת</w:t>
      </w:r>
    </w:p>
    <w:p w14:paraId="48D78608" w14:textId="77777777" w:rsidR="00EA1667" w:rsidRDefault="00EA1667" w:rsidP="00EA1667">
      <w:pPr>
        <w:pStyle w:val="a9"/>
        <w:numPr>
          <w:ilvl w:val="0"/>
          <w:numId w:val="1"/>
        </w:numPr>
        <w:spacing w:after="0"/>
        <w:ind w:left="-58" w:hanging="425"/>
        <w:rPr>
          <w:sz w:val="26"/>
          <w:szCs w:val="26"/>
        </w:rPr>
      </w:pPr>
      <w:r w:rsidRPr="002C78FE">
        <w:rPr>
          <w:rFonts w:hint="cs"/>
          <w:sz w:val="26"/>
          <w:szCs w:val="26"/>
          <w:rtl/>
        </w:rPr>
        <w:t xml:space="preserve">מדיניות הענישה בעבירות הסמים בהן הורשע הנאשם, מתחשבת בצורך במאבק בנגע הסמים המסוכנים בכלל, ובתופעת הקמת המעבדות הביתיות ההולכת וצוברת תאוצה בשנים האחרונות בפרט. בחינת מדיניות הענישה הנוהגת, מעלה כי במקרים דומים, </w:t>
      </w:r>
      <w:r w:rsidRPr="002C78FE">
        <w:rPr>
          <w:rFonts w:hint="cs"/>
          <w:b/>
          <w:bCs/>
          <w:sz w:val="26"/>
          <w:szCs w:val="26"/>
          <w:rtl/>
        </w:rPr>
        <w:t>על דרך הכלל</w:t>
      </w:r>
      <w:r w:rsidRPr="002C78FE">
        <w:rPr>
          <w:rFonts w:hint="cs"/>
          <w:sz w:val="26"/>
          <w:szCs w:val="26"/>
          <w:rtl/>
        </w:rPr>
        <w:t xml:space="preserve">, מוטלים על נאשמים עונשים במנעד רחב, החל ממספר חודשי מאסר בפועל לריצוי בעבודות שירות ועד לתקופות מאסר ממושכות. ברי כי לא אחת, במקרים חריגים, הושתו על נאשמים גם עונשים קלים יותר בדמות מאסרים מותנים וצווי של"צ אף ללא הרשעה, או לחילופין עונשי מאסר מאחורי סורג ובריח לתקופות ארוכות של חודשים רבים. מטבע הדברים העונש המושת על הנאשמים השונים מושפע מכמות הסם שנתפסה, סוגו, אופי ואופן הגידול, מטרת הגידול, נסיבותיו האישיות של הנאשם, ועוד. </w:t>
      </w:r>
    </w:p>
    <w:p w14:paraId="0F3DB08F" w14:textId="77777777" w:rsidR="00EA1667" w:rsidRDefault="00EA1667" w:rsidP="00EA1667">
      <w:pPr>
        <w:pStyle w:val="a9"/>
        <w:spacing w:after="0"/>
        <w:ind w:left="-58" w:firstLine="0"/>
        <w:rPr>
          <w:sz w:val="26"/>
          <w:szCs w:val="26"/>
        </w:rPr>
      </w:pPr>
    </w:p>
    <w:p w14:paraId="4CAB14A5" w14:textId="77777777" w:rsidR="00EA1667" w:rsidRDefault="00EA1667" w:rsidP="00EA1667">
      <w:pPr>
        <w:pStyle w:val="a9"/>
        <w:numPr>
          <w:ilvl w:val="0"/>
          <w:numId w:val="1"/>
        </w:numPr>
        <w:spacing w:after="0"/>
        <w:ind w:left="-58" w:hanging="425"/>
        <w:rPr>
          <w:sz w:val="26"/>
          <w:szCs w:val="26"/>
        </w:rPr>
      </w:pPr>
      <w:r w:rsidRPr="002C78FE">
        <w:rPr>
          <w:rFonts w:hint="cs"/>
          <w:sz w:val="26"/>
          <w:szCs w:val="26"/>
          <w:rtl/>
        </w:rPr>
        <w:t xml:space="preserve">להלן מספר גזרי דין שיש בהם כדי ללמד אודות קו הפסיקה הדומיננטי בגין ביצוע מעשים דומים לאלו שבהם הורשע הנאשם: </w:t>
      </w:r>
      <w:hyperlink r:id="rId29" w:history="1">
        <w:r w:rsidR="00803E08" w:rsidRPr="00803E08">
          <w:rPr>
            <w:color w:val="0000FF"/>
            <w:sz w:val="26"/>
            <w:szCs w:val="26"/>
            <w:u w:val="single"/>
            <w:rtl/>
          </w:rPr>
          <w:t>רע"פ 314/16</w:t>
        </w:r>
      </w:hyperlink>
      <w:r w:rsidRPr="002C78FE">
        <w:rPr>
          <w:rFonts w:hint="cs"/>
          <w:sz w:val="26"/>
          <w:szCs w:val="26"/>
          <w:rtl/>
        </w:rPr>
        <w:t xml:space="preserve"> </w:t>
      </w:r>
      <w:r w:rsidRPr="002C78FE">
        <w:rPr>
          <w:rFonts w:hint="cs"/>
          <w:b/>
          <w:bCs/>
          <w:sz w:val="26"/>
          <w:szCs w:val="26"/>
          <w:rtl/>
        </w:rPr>
        <w:t>גיא בן צבי נ' מדינת ישראל</w:t>
      </w:r>
      <w:r w:rsidRPr="002C78FE">
        <w:rPr>
          <w:rFonts w:hint="cs"/>
          <w:sz w:val="26"/>
          <w:szCs w:val="26"/>
          <w:rtl/>
        </w:rPr>
        <w:t xml:space="preserve">, (22.02.2016); </w:t>
      </w:r>
      <w:hyperlink r:id="rId30" w:history="1">
        <w:r w:rsidR="00803E08" w:rsidRPr="00803E08">
          <w:rPr>
            <w:color w:val="0000FF"/>
            <w:sz w:val="26"/>
            <w:szCs w:val="26"/>
            <w:u w:val="single"/>
            <w:rtl/>
          </w:rPr>
          <w:t>רע"פ 7005/14</w:t>
        </w:r>
      </w:hyperlink>
      <w:r w:rsidRPr="002C78FE">
        <w:rPr>
          <w:rFonts w:hint="cs"/>
          <w:sz w:val="26"/>
          <w:szCs w:val="26"/>
          <w:rtl/>
        </w:rPr>
        <w:t xml:space="preserve"> ‏</w:t>
      </w:r>
      <w:r w:rsidRPr="002C78FE">
        <w:rPr>
          <w:rFonts w:hint="cs"/>
          <w:b/>
          <w:bCs/>
          <w:sz w:val="26"/>
          <w:szCs w:val="26"/>
          <w:rtl/>
        </w:rPr>
        <w:t>עידן דגן נגד מדינת ישראל</w:t>
      </w:r>
      <w:r w:rsidRPr="002C78FE">
        <w:rPr>
          <w:rFonts w:hint="cs"/>
          <w:sz w:val="26"/>
          <w:szCs w:val="26"/>
          <w:rtl/>
        </w:rPr>
        <w:t xml:space="preserve">, (30.11.2014); </w:t>
      </w:r>
      <w:hyperlink r:id="rId31" w:history="1">
        <w:r w:rsidR="00803E08" w:rsidRPr="00803E08">
          <w:rPr>
            <w:color w:val="0000FF"/>
            <w:sz w:val="26"/>
            <w:szCs w:val="26"/>
            <w:u w:val="single"/>
            <w:rtl/>
          </w:rPr>
          <w:t>עפ"ג (מחוזי ירושלים) 56662-05-16</w:t>
        </w:r>
      </w:hyperlink>
      <w:r w:rsidRPr="002C78FE">
        <w:rPr>
          <w:rFonts w:hint="cs"/>
          <w:sz w:val="26"/>
          <w:szCs w:val="26"/>
          <w:rtl/>
        </w:rPr>
        <w:t xml:space="preserve"> </w:t>
      </w:r>
      <w:r w:rsidRPr="002C78FE">
        <w:rPr>
          <w:rFonts w:hint="cs"/>
          <w:b/>
          <w:bCs/>
          <w:sz w:val="26"/>
          <w:szCs w:val="26"/>
          <w:rtl/>
        </w:rPr>
        <w:t>ישראל מאיר ששון בוקעי נ' מדינת ישראל</w:t>
      </w:r>
      <w:r w:rsidRPr="002C78FE">
        <w:rPr>
          <w:rFonts w:hint="cs"/>
          <w:sz w:val="26"/>
          <w:szCs w:val="26"/>
          <w:rtl/>
        </w:rPr>
        <w:t xml:space="preserve">, (09.05.2017); </w:t>
      </w:r>
      <w:hyperlink r:id="rId32" w:history="1">
        <w:r w:rsidR="00803E08" w:rsidRPr="00803E08">
          <w:rPr>
            <w:color w:val="0000FF"/>
            <w:sz w:val="26"/>
            <w:szCs w:val="26"/>
            <w:u w:val="single"/>
            <w:rtl/>
          </w:rPr>
          <w:t>עפ"ג (מחוזי מרכז) 8650-04-15</w:t>
        </w:r>
      </w:hyperlink>
      <w:r w:rsidRPr="002C78FE">
        <w:rPr>
          <w:rFonts w:hint="cs"/>
          <w:sz w:val="26"/>
          <w:szCs w:val="26"/>
          <w:rtl/>
        </w:rPr>
        <w:t xml:space="preserve"> </w:t>
      </w:r>
      <w:r w:rsidRPr="002C78FE">
        <w:rPr>
          <w:rFonts w:hint="cs"/>
          <w:b/>
          <w:bCs/>
          <w:sz w:val="26"/>
          <w:szCs w:val="26"/>
          <w:rtl/>
        </w:rPr>
        <w:t>שמעון שורץ נגד מדינת ישראל</w:t>
      </w:r>
      <w:r w:rsidRPr="002C78FE">
        <w:rPr>
          <w:rFonts w:hint="cs"/>
          <w:sz w:val="26"/>
          <w:szCs w:val="26"/>
          <w:rtl/>
        </w:rPr>
        <w:t xml:space="preserve">, (22.12.2015); </w:t>
      </w:r>
      <w:hyperlink r:id="rId33" w:history="1">
        <w:r w:rsidR="00803E08" w:rsidRPr="00803E08">
          <w:rPr>
            <w:color w:val="0000FF"/>
            <w:sz w:val="26"/>
            <w:szCs w:val="26"/>
            <w:u w:val="single"/>
            <w:rtl/>
          </w:rPr>
          <w:t>עפ"ג (מחוזי באר שבע) 13901-11-15</w:t>
        </w:r>
      </w:hyperlink>
      <w:r w:rsidRPr="002C78FE">
        <w:rPr>
          <w:rFonts w:hint="cs"/>
          <w:sz w:val="26"/>
          <w:szCs w:val="26"/>
          <w:rtl/>
        </w:rPr>
        <w:t xml:space="preserve"> </w:t>
      </w:r>
      <w:r w:rsidRPr="002C78FE">
        <w:rPr>
          <w:rFonts w:hint="cs"/>
          <w:b/>
          <w:bCs/>
          <w:sz w:val="26"/>
          <w:szCs w:val="26"/>
          <w:rtl/>
        </w:rPr>
        <w:t>עזרא נ' מדינת ישראל</w:t>
      </w:r>
      <w:r w:rsidRPr="002C78FE">
        <w:rPr>
          <w:rFonts w:hint="cs"/>
          <w:sz w:val="26"/>
          <w:szCs w:val="26"/>
          <w:rtl/>
        </w:rPr>
        <w:t xml:space="preserve"> (09.12.2015); </w:t>
      </w:r>
      <w:hyperlink r:id="rId34" w:history="1">
        <w:r w:rsidR="00803E08" w:rsidRPr="00803E08">
          <w:rPr>
            <w:color w:val="0000FF"/>
            <w:sz w:val="26"/>
            <w:szCs w:val="26"/>
            <w:u w:val="single"/>
            <w:rtl/>
          </w:rPr>
          <w:t>ת"פ (שלום ק"ג) 40484-05-16</w:t>
        </w:r>
      </w:hyperlink>
      <w:r w:rsidRPr="002C78FE">
        <w:rPr>
          <w:rFonts w:hint="cs"/>
          <w:sz w:val="26"/>
          <w:szCs w:val="26"/>
          <w:rtl/>
        </w:rPr>
        <w:t xml:space="preserve"> </w:t>
      </w:r>
      <w:r w:rsidRPr="002C78FE">
        <w:rPr>
          <w:rFonts w:hint="cs"/>
          <w:b/>
          <w:bCs/>
          <w:sz w:val="26"/>
          <w:szCs w:val="26"/>
          <w:rtl/>
        </w:rPr>
        <w:t>מדינת ישראל נ' אדיר אשר</w:t>
      </w:r>
      <w:r w:rsidRPr="002C78FE">
        <w:rPr>
          <w:rFonts w:hint="cs"/>
          <w:sz w:val="26"/>
          <w:szCs w:val="26"/>
        </w:rPr>
        <w:t xml:space="preserve"> </w:t>
      </w:r>
      <w:r w:rsidRPr="002C78FE">
        <w:rPr>
          <w:rFonts w:hint="cs"/>
          <w:sz w:val="26"/>
          <w:szCs w:val="26"/>
          <w:rtl/>
        </w:rPr>
        <w:t xml:space="preserve">(16.10.2017); </w:t>
      </w:r>
      <w:hyperlink r:id="rId35" w:history="1">
        <w:r w:rsidR="00803E08" w:rsidRPr="00803E08">
          <w:rPr>
            <w:color w:val="0000FF"/>
            <w:sz w:val="26"/>
            <w:szCs w:val="26"/>
            <w:u w:val="single"/>
            <w:rtl/>
          </w:rPr>
          <w:t>ת"פ (שלום ק"ג) 50497-04-17</w:t>
        </w:r>
      </w:hyperlink>
      <w:r w:rsidRPr="002C78FE">
        <w:rPr>
          <w:rFonts w:hint="cs"/>
          <w:sz w:val="26"/>
          <w:szCs w:val="26"/>
          <w:rtl/>
        </w:rPr>
        <w:t xml:space="preserve"> </w:t>
      </w:r>
      <w:r w:rsidRPr="002C78FE">
        <w:rPr>
          <w:rFonts w:hint="cs"/>
          <w:b/>
          <w:bCs/>
          <w:sz w:val="26"/>
          <w:szCs w:val="26"/>
          <w:rtl/>
        </w:rPr>
        <w:t>מדינת ישראל נ' אלכסנדר קרביץ</w:t>
      </w:r>
      <w:r w:rsidRPr="002C78FE">
        <w:rPr>
          <w:rFonts w:hint="cs"/>
          <w:sz w:val="26"/>
          <w:szCs w:val="26"/>
          <w:rtl/>
        </w:rPr>
        <w:t xml:space="preserve"> (07.03.2018); </w:t>
      </w:r>
      <w:hyperlink r:id="rId36" w:history="1">
        <w:r w:rsidR="00803E08" w:rsidRPr="00803E08">
          <w:rPr>
            <w:color w:val="0000FF"/>
            <w:sz w:val="26"/>
            <w:szCs w:val="26"/>
            <w:u w:val="single"/>
            <w:rtl/>
          </w:rPr>
          <w:t>ת"פ (שלום ק"ג) 1969-02-17</w:t>
        </w:r>
      </w:hyperlink>
      <w:r w:rsidRPr="002C78FE">
        <w:rPr>
          <w:rFonts w:hint="cs"/>
          <w:sz w:val="26"/>
          <w:szCs w:val="26"/>
          <w:rtl/>
        </w:rPr>
        <w:t xml:space="preserve"> </w:t>
      </w:r>
      <w:r w:rsidRPr="002C78FE">
        <w:rPr>
          <w:rFonts w:hint="cs"/>
          <w:b/>
          <w:bCs/>
          <w:sz w:val="26"/>
          <w:szCs w:val="26"/>
          <w:rtl/>
        </w:rPr>
        <w:t>מדינת ישראל נ' מרקיאל אלישייב</w:t>
      </w:r>
      <w:r w:rsidRPr="002C78FE">
        <w:rPr>
          <w:rFonts w:hint="cs"/>
          <w:sz w:val="26"/>
          <w:szCs w:val="26"/>
          <w:rtl/>
        </w:rPr>
        <w:t xml:space="preserve">. </w:t>
      </w:r>
    </w:p>
    <w:p w14:paraId="5A43EEB5" w14:textId="77777777" w:rsidR="00EA1667" w:rsidRDefault="00EA1667" w:rsidP="00EA1667">
      <w:pPr>
        <w:pStyle w:val="a9"/>
        <w:spacing w:after="0"/>
        <w:ind w:left="-58" w:firstLine="0"/>
        <w:rPr>
          <w:sz w:val="26"/>
          <w:szCs w:val="26"/>
        </w:rPr>
      </w:pPr>
    </w:p>
    <w:p w14:paraId="7B297DC0" w14:textId="77777777" w:rsidR="00EA1667" w:rsidRDefault="00EA1667" w:rsidP="00EA1667">
      <w:pPr>
        <w:pStyle w:val="a9"/>
        <w:numPr>
          <w:ilvl w:val="0"/>
          <w:numId w:val="1"/>
        </w:numPr>
        <w:spacing w:after="0"/>
        <w:ind w:left="-58" w:hanging="425"/>
        <w:rPr>
          <w:sz w:val="26"/>
          <w:szCs w:val="26"/>
        </w:rPr>
      </w:pPr>
      <w:r w:rsidRPr="002C78FE">
        <w:rPr>
          <w:rFonts w:hint="cs"/>
          <w:sz w:val="26"/>
          <w:szCs w:val="26"/>
          <w:rtl/>
        </w:rPr>
        <w:t xml:space="preserve">כאן אציין, כי לא התעלמתי מהפסיקה שהוגשה לעיוני מטעם הצדדים, כאשר נהיר לבית המשפט כי קיימים מקרים שבהם הושתו עונשים החורגים לקולא או לחומרא מהמנעד שהוצג לעיל. הדבר אך טבעי הוא, שכן כידוע, הענישה היא אינדיווידואלית </w:t>
      </w:r>
      <w:r w:rsidRPr="002C78FE">
        <w:rPr>
          <w:rFonts w:hint="cs"/>
          <w:b/>
          <w:bCs/>
          <w:sz w:val="26"/>
          <w:szCs w:val="26"/>
          <w:rtl/>
        </w:rPr>
        <w:t>ו"אין עסקינן בשיטת ניקוד, או באריתמטיקה. ענישה היא מלאכת מחשבת – ולא מלאכת מחשב"</w:t>
      </w:r>
      <w:r w:rsidRPr="002C78FE">
        <w:rPr>
          <w:rFonts w:hint="cs"/>
          <w:sz w:val="26"/>
          <w:szCs w:val="26"/>
          <w:rtl/>
        </w:rPr>
        <w:t xml:space="preserve"> (</w:t>
      </w:r>
      <w:hyperlink r:id="rId37" w:history="1">
        <w:r w:rsidR="00803E08" w:rsidRPr="00803E08">
          <w:rPr>
            <w:color w:val="0000FF"/>
            <w:sz w:val="26"/>
            <w:szCs w:val="26"/>
            <w:u w:val="single"/>
            <w:rtl/>
          </w:rPr>
          <w:t>ע"פ 5768/10</w:t>
        </w:r>
      </w:hyperlink>
      <w:r w:rsidRPr="002C78FE">
        <w:rPr>
          <w:rFonts w:hint="cs"/>
          <w:sz w:val="26"/>
          <w:szCs w:val="26"/>
          <w:rtl/>
        </w:rPr>
        <w:t xml:space="preserve"> </w:t>
      </w:r>
      <w:r w:rsidRPr="002C78FE">
        <w:rPr>
          <w:rFonts w:hint="cs"/>
          <w:b/>
          <w:bCs/>
          <w:sz w:val="26"/>
          <w:szCs w:val="26"/>
          <w:rtl/>
        </w:rPr>
        <w:t>פלוני נ' מדינת ישראל</w:t>
      </w:r>
      <w:r w:rsidRPr="002C78FE">
        <w:rPr>
          <w:rFonts w:hint="cs"/>
          <w:sz w:val="26"/>
          <w:szCs w:val="26"/>
          <w:rtl/>
        </w:rPr>
        <w:t xml:space="preserve">, (08.06.2015)). לעולם אין לגזור עונשו של נאשם על סמך הכותרות של העבירות גרידא וכל מקרה צריך להיבחן לגופו ובנסיבותיו (ראו והשוו </w:t>
      </w:r>
      <w:hyperlink r:id="rId38" w:history="1">
        <w:r w:rsidR="00803E08" w:rsidRPr="00803E08">
          <w:rPr>
            <w:color w:val="0000FF"/>
            <w:sz w:val="26"/>
            <w:szCs w:val="26"/>
            <w:u w:val="single"/>
            <w:rtl/>
          </w:rPr>
          <w:t>ע"פ 433/89 ג'ורג' אטיאס נ' מדינת ישראל, פ"ד מג</w:t>
        </w:r>
      </w:hyperlink>
      <w:r w:rsidRPr="002C78FE">
        <w:rPr>
          <w:rFonts w:hint="cs"/>
          <w:sz w:val="26"/>
          <w:szCs w:val="26"/>
          <w:rtl/>
        </w:rPr>
        <w:t xml:space="preserve">(4) 170, (1989); </w:t>
      </w:r>
      <w:r w:rsidRPr="002C78FE">
        <w:rPr>
          <w:rFonts w:hint="cs"/>
          <w:sz w:val="26"/>
          <w:szCs w:val="26"/>
          <w:u w:val="single"/>
          <w:rtl/>
        </w:rPr>
        <w:t>ו</w:t>
      </w:r>
      <w:hyperlink r:id="rId39" w:history="1">
        <w:r w:rsidR="00803E08" w:rsidRPr="00803E08">
          <w:rPr>
            <w:color w:val="0000FF"/>
            <w:sz w:val="26"/>
            <w:szCs w:val="26"/>
            <w:u w:val="single"/>
            <w:rtl/>
          </w:rPr>
          <w:t>רע"פ 3173/09</w:t>
        </w:r>
      </w:hyperlink>
      <w:r w:rsidRPr="002C78FE">
        <w:rPr>
          <w:rFonts w:hint="cs"/>
          <w:sz w:val="26"/>
          <w:szCs w:val="26"/>
          <w:rtl/>
        </w:rPr>
        <w:t xml:space="preserve"> </w:t>
      </w:r>
      <w:r w:rsidRPr="002C78FE">
        <w:rPr>
          <w:rFonts w:hint="cs"/>
          <w:b/>
          <w:bCs/>
          <w:sz w:val="26"/>
          <w:szCs w:val="26"/>
          <w:rtl/>
        </w:rPr>
        <w:t>פראגין נ' מדינת ישראל</w:t>
      </w:r>
      <w:r w:rsidRPr="002C78FE">
        <w:rPr>
          <w:rFonts w:hint="cs"/>
          <w:sz w:val="26"/>
          <w:szCs w:val="26"/>
          <w:rtl/>
        </w:rPr>
        <w:t>, (05.05.2009)).</w:t>
      </w:r>
    </w:p>
    <w:p w14:paraId="01CA3374" w14:textId="77777777" w:rsidR="00EA1667" w:rsidRDefault="00EA1667" w:rsidP="00EA1667">
      <w:pPr>
        <w:pStyle w:val="a9"/>
        <w:spacing w:after="0"/>
        <w:ind w:left="-58" w:firstLine="0"/>
        <w:rPr>
          <w:sz w:val="26"/>
          <w:szCs w:val="26"/>
        </w:rPr>
      </w:pPr>
    </w:p>
    <w:p w14:paraId="452490A1" w14:textId="77777777" w:rsidR="00EA1667" w:rsidRDefault="00EA1667" w:rsidP="00EA1667">
      <w:pPr>
        <w:pStyle w:val="a9"/>
        <w:numPr>
          <w:ilvl w:val="0"/>
          <w:numId w:val="1"/>
        </w:numPr>
        <w:spacing w:after="0"/>
        <w:ind w:left="-58" w:hanging="425"/>
        <w:rPr>
          <w:sz w:val="26"/>
          <w:szCs w:val="26"/>
        </w:rPr>
      </w:pPr>
      <w:r w:rsidRPr="002C78FE">
        <w:rPr>
          <w:rFonts w:hint="cs"/>
          <w:sz w:val="26"/>
          <w:szCs w:val="26"/>
          <w:rtl/>
        </w:rPr>
        <w:t xml:space="preserve">לאור כל האמור לעיל, בהתחשב בערכים החברתיים שנפגעו כתוצאה ממעשי הנאשם, מידת הפגיעה בהם, נסיבות ביצוע המעשה ולאחר שבחנתי את מדיניות הענישה הנוהגת, ובשים לב לעבירות בהן הורשע הנאשם הריני לקבוע כי </w:t>
      </w:r>
      <w:r w:rsidRPr="002C78FE">
        <w:rPr>
          <w:rFonts w:hint="cs"/>
          <w:b/>
          <w:bCs/>
          <w:sz w:val="26"/>
          <w:szCs w:val="26"/>
          <w:rtl/>
        </w:rPr>
        <w:t>מתחם העונש ההולם במקרה הנדון נע בין 6 חודשי מאסר, שיכול שירוצו בעבודות שירות, לבין 24 חודשי מאסר בפועל, לצד ענישה נלווית</w:t>
      </w:r>
      <w:r w:rsidRPr="002C78FE">
        <w:rPr>
          <w:rFonts w:hint="cs"/>
          <w:sz w:val="26"/>
          <w:szCs w:val="26"/>
          <w:rtl/>
        </w:rPr>
        <w:t>.</w:t>
      </w:r>
    </w:p>
    <w:p w14:paraId="26CD3FC4" w14:textId="77777777" w:rsidR="00EA1667" w:rsidRDefault="00EA1667" w:rsidP="00EA1667">
      <w:pPr>
        <w:pStyle w:val="a9"/>
        <w:spacing w:after="0"/>
        <w:ind w:left="-58" w:firstLine="0"/>
        <w:rPr>
          <w:sz w:val="26"/>
          <w:szCs w:val="26"/>
        </w:rPr>
      </w:pPr>
    </w:p>
    <w:p w14:paraId="2B14136D" w14:textId="77777777" w:rsidR="00EA1667" w:rsidRPr="007B77D0" w:rsidRDefault="00EA1667" w:rsidP="00EA1667">
      <w:pPr>
        <w:pStyle w:val="1"/>
        <w:spacing w:before="0" w:line="360" w:lineRule="auto"/>
        <w:ind w:left="-341"/>
        <w:rPr>
          <w:rFonts w:cs="David"/>
          <w:b/>
          <w:bCs/>
          <w:color w:val="auto"/>
          <w:sz w:val="28"/>
          <w:szCs w:val="28"/>
          <w:u w:val="single"/>
        </w:rPr>
      </w:pPr>
      <w:r w:rsidRPr="00F005A0">
        <w:rPr>
          <w:rFonts w:cs="David" w:hint="cs"/>
          <w:b/>
          <w:bCs/>
          <w:color w:val="auto"/>
          <w:sz w:val="28"/>
          <w:szCs w:val="28"/>
          <w:rtl/>
        </w:rPr>
        <w:t xml:space="preserve">ה. </w:t>
      </w:r>
      <w:r w:rsidRPr="007B77D0">
        <w:rPr>
          <w:rFonts w:cs="David" w:hint="cs"/>
          <w:b/>
          <w:bCs/>
          <w:color w:val="auto"/>
          <w:sz w:val="28"/>
          <w:szCs w:val="28"/>
          <w:u w:val="single"/>
          <w:rtl/>
        </w:rPr>
        <w:t>גזירת העונש המתאים לנאשם</w:t>
      </w:r>
    </w:p>
    <w:p w14:paraId="3C3A128A" w14:textId="77777777" w:rsidR="00EA1667" w:rsidRDefault="00EA1667" w:rsidP="00EA1667">
      <w:pPr>
        <w:pStyle w:val="a9"/>
        <w:numPr>
          <w:ilvl w:val="0"/>
          <w:numId w:val="1"/>
        </w:numPr>
        <w:spacing w:after="0"/>
        <w:ind w:left="-58" w:hanging="425"/>
        <w:rPr>
          <w:sz w:val="26"/>
          <w:szCs w:val="26"/>
        </w:rPr>
      </w:pPr>
      <w:r w:rsidRPr="002C78FE">
        <w:rPr>
          <w:rFonts w:hint="cs"/>
          <w:sz w:val="26"/>
          <w:szCs w:val="26"/>
          <w:rtl/>
        </w:rPr>
        <w:t xml:space="preserve">כאמור </w:t>
      </w:r>
      <w:hyperlink r:id="rId40" w:history="1">
        <w:r w:rsidR="00202C71" w:rsidRPr="00202C71">
          <w:rPr>
            <w:rFonts w:hint="cs"/>
            <w:color w:val="0000FF"/>
            <w:sz w:val="26"/>
            <w:szCs w:val="26"/>
            <w:u w:val="single"/>
            <w:rtl/>
          </w:rPr>
          <w:t>בסעיף</w:t>
        </w:r>
        <w:r w:rsidR="00202C71" w:rsidRPr="00202C71">
          <w:rPr>
            <w:color w:val="0000FF"/>
            <w:sz w:val="26"/>
            <w:szCs w:val="26"/>
            <w:u w:val="single"/>
            <w:rtl/>
          </w:rPr>
          <w:t xml:space="preserve"> 40</w:t>
        </w:r>
        <w:r w:rsidR="00202C71" w:rsidRPr="00202C71">
          <w:rPr>
            <w:rFonts w:hint="cs"/>
            <w:color w:val="0000FF"/>
            <w:sz w:val="26"/>
            <w:szCs w:val="26"/>
            <w:u w:val="single"/>
            <w:rtl/>
          </w:rPr>
          <w:t>ג</w:t>
        </w:r>
        <w:r w:rsidR="00202C71" w:rsidRPr="00202C71">
          <w:rPr>
            <w:color w:val="0000FF"/>
            <w:sz w:val="26"/>
            <w:szCs w:val="26"/>
            <w:u w:val="single"/>
            <w:rtl/>
          </w:rPr>
          <w:t>(</w:t>
        </w:r>
        <w:r w:rsidR="00202C71" w:rsidRPr="00202C71">
          <w:rPr>
            <w:rFonts w:hint="cs"/>
            <w:color w:val="0000FF"/>
            <w:sz w:val="26"/>
            <w:szCs w:val="26"/>
            <w:u w:val="single"/>
            <w:rtl/>
          </w:rPr>
          <w:t>ב</w:t>
        </w:r>
        <w:r w:rsidR="00202C71" w:rsidRPr="00202C71">
          <w:rPr>
            <w:color w:val="0000FF"/>
            <w:sz w:val="26"/>
            <w:szCs w:val="26"/>
            <w:u w:val="single"/>
            <w:rtl/>
          </w:rPr>
          <w:t>)</w:t>
        </w:r>
      </w:hyperlink>
      <w:r w:rsidRPr="002C78FE">
        <w:rPr>
          <w:rFonts w:hint="cs"/>
          <w:sz w:val="26"/>
          <w:szCs w:val="26"/>
          <w:rtl/>
        </w:rPr>
        <w:t xml:space="preserve"> ל</w:t>
      </w:r>
      <w:hyperlink r:id="rId41" w:history="1">
        <w:r w:rsidR="00803E08" w:rsidRPr="00803E08">
          <w:rPr>
            <w:color w:val="0000FF"/>
            <w:sz w:val="26"/>
            <w:szCs w:val="26"/>
            <w:u w:val="single"/>
            <w:rtl/>
          </w:rPr>
          <w:t>חוק העונשין</w:t>
        </w:r>
      </w:hyperlink>
      <w:r w:rsidRPr="002C78FE">
        <w:rPr>
          <w:rFonts w:hint="cs"/>
          <w:sz w:val="26"/>
          <w:szCs w:val="26"/>
          <w:rtl/>
        </w:rPr>
        <w:t>, עובר לגזירת העונש המתאים לנאשם, בית המשפט ישקול את הנסיבות שאינן קשורות בביצוע העבירות.</w:t>
      </w:r>
    </w:p>
    <w:p w14:paraId="1AE61F16" w14:textId="77777777" w:rsidR="00EA1667" w:rsidRDefault="00EA1667" w:rsidP="00EA1667">
      <w:pPr>
        <w:pStyle w:val="a9"/>
        <w:spacing w:after="0"/>
        <w:ind w:left="-58" w:firstLine="0"/>
        <w:rPr>
          <w:sz w:val="26"/>
          <w:szCs w:val="26"/>
        </w:rPr>
      </w:pPr>
    </w:p>
    <w:p w14:paraId="09435880" w14:textId="77777777" w:rsidR="00EA1667" w:rsidRDefault="00EA1667" w:rsidP="00EA1667">
      <w:pPr>
        <w:pStyle w:val="a9"/>
        <w:numPr>
          <w:ilvl w:val="0"/>
          <w:numId w:val="1"/>
        </w:numPr>
        <w:spacing w:after="0"/>
        <w:ind w:left="-58" w:hanging="425"/>
        <w:rPr>
          <w:sz w:val="26"/>
          <w:szCs w:val="26"/>
        </w:rPr>
      </w:pPr>
      <w:r w:rsidRPr="002C78FE">
        <w:rPr>
          <w:rFonts w:hint="cs"/>
          <w:sz w:val="26"/>
          <w:szCs w:val="26"/>
          <w:rtl/>
        </w:rPr>
        <w:t>לעניין זה, נתתי דעתי לעברו הפלילי הנקי של הנאשם ולעובדה כי זו הסתבכותו הראשונה בפלילים. כן נתתי דעתי לפגיעה שעלולה להיגרם לו אם יושת עליו עונש מאסר, וזאת בשים לב לפגיעה הכלכלית הטמונה בכך ולנוכח כך שהלה טרם ריצה עונשי מאסר בעברו. בנוסף בית המשפט זוקף לזכותו של הנאשם את העובדה שהוא הודה במיוחס לו מה שהביא לחיסכון בזמן שיפוטי יקר. בנוסף, וזה העיקר, את מירב המשקל, ככל שהדברים נוגעים לנסיבה זו, יש לייחס לעובדה כי הנאשם הצטער על מעשיו והתרשמתי בצורה בלתי אמצעית מכנות החרטה שאותה הוא הביע. לדידי, יש בעצם כך כדי ללמד על כך שהנאשם הפנים את חומרת מעשיו ואת השלכותיהם, ולמזער את הסיכון שמא אלה יישנו בעתיד.</w:t>
      </w:r>
    </w:p>
    <w:p w14:paraId="77A6E13E" w14:textId="77777777" w:rsidR="00EA1667" w:rsidRDefault="00EA1667" w:rsidP="00EA1667">
      <w:pPr>
        <w:pStyle w:val="a9"/>
        <w:spacing w:after="0"/>
        <w:ind w:left="-58" w:firstLine="0"/>
        <w:rPr>
          <w:sz w:val="26"/>
          <w:szCs w:val="26"/>
        </w:rPr>
      </w:pPr>
    </w:p>
    <w:p w14:paraId="581BF0F2" w14:textId="77777777" w:rsidR="00EA1667" w:rsidRDefault="00EA1667" w:rsidP="00EA1667">
      <w:pPr>
        <w:pStyle w:val="a9"/>
        <w:numPr>
          <w:ilvl w:val="0"/>
          <w:numId w:val="1"/>
        </w:numPr>
        <w:spacing w:after="0"/>
        <w:ind w:left="-58" w:hanging="425"/>
        <w:rPr>
          <w:sz w:val="26"/>
          <w:szCs w:val="26"/>
        </w:rPr>
      </w:pPr>
      <w:r w:rsidRPr="002C78FE">
        <w:rPr>
          <w:rFonts w:hint="cs"/>
          <w:sz w:val="26"/>
          <w:szCs w:val="26"/>
          <w:rtl/>
        </w:rPr>
        <w:t xml:space="preserve">כמו כן, שקלתי את העובדה שהנאשם היה עצור בתיק זה במשך כחודשיים ובמשך תקופה לא מבוטלת נוספת שהה תחת תנאים מגבילים. ברי כי המעצר או הליך המעצר איננו "מקדמה על חשבון העונש", אולם נדמה כי ניתן ליתן לדברים משקל במסגרת הנסיבה הקבועה </w:t>
      </w:r>
      <w:hyperlink r:id="rId42" w:history="1">
        <w:r w:rsidR="00202C71" w:rsidRPr="00202C71">
          <w:rPr>
            <w:rFonts w:hint="cs"/>
            <w:color w:val="0000FF"/>
            <w:sz w:val="26"/>
            <w:szCs w:val="26"/>
            <w:u w:val="single"/>
            <w:rtl/>
          </w:rPr>
          <w:t>בסעיף</w:t>
        </w:r>
        <w:r w:rsidR="00202C71" w:rsidRPr="00202C71">
          <w:rPr>
            <w:color w:val="0000FF"/>
            <w:sz w:val="26"/>
            <w:szCs w:val="26"/>
            <w:u w:val="single"/>
            <w:rtl/>
          </w:rPr>
          <w:t xml:space="preserve"> 40</w:t>
        </w:r>
        <w:r w:rsidR="00202C71" w:rsidRPr="00202C71">
          <w:rPr>
            <w:rFonts w:hint="cs"/>
            <w:color w:val="0000FF"/>
            <w:sz w:val="26"/>
            <w:szCs w:val="26"/>
            <w:u w:val="single"/>
            <w:rtl/>
          </w:rPr>
          <w:t>יא</w:t>
        </w:r>
        <w:r w:rsidR="00202C71" w:rsidRPr="00202C71">
          <w:rPr>
            <w:color w:val="0000FF"/>
            <w:sz w:val="26"/>
            <w:szCs w:val="26"/>
            <w:u w:val="single"/>
            <w:rtl/>
          </w:rPr>
          <w:t>(3)</w:t>
        </w:r>
      </w:hyperlink>
      <w:r w:rsidRPr="002C78FE">
        <w:rPr>
          <w:rFonts w:hint="cs"/>
          <w:sz w:val="26"/>
          <w:szCs w:val="26"/>
          <w:rtl/>
        </w:rPr>
        <w:t xml:space="preserve"> ל</w:t>
      </w:r>
      <w:hyperlink r:id="rId43" w:history="1">
        <w:r w:rsidR="00803E08" w:rsidRPr="00803E08">
          <w:rPr>
            <w:color w:val="0000FF"/>
            <w:sz w:val="26"/>
            <w:szCs w:val="26"/>
            <w:u w:val="single"/>
            <w:rtl/>
          </w:rPr>
          <w:t>חוק העונשין</w:t>
        </w:r>
      </w:hyperlink>
      <w:r w:rsidRPr="002C78FE">
        <w:rPr>
          <w:rFonts w:hint="cs"/>
          <w:sz w:val="26"/>
          <w:szCs w:val="26"/>
          <w:rtl/>
        </w:rPr>
        <w:t xml:space="preserve">. </w:t>
      </w:r>
    </w:p>
    <w:p w14:paraId="42F763A2" w14:textId="77777777" w:rsidR="00EA1667" w:rsidRDefault="00EA1667" w:rsidP="00EA1667">
      <w:pPr>
        <w:pStyle w:val="a9"/>
        <w:spacing w:after="0"/>
        <w:ind w:left="-58" w:firstLine="0"/>
        <w:rPr>
          <w:sz w:val="26"/>
          <w:szCs w:val="26"/>
        </w:rPr>
      </w:pPr>
    </w:p>
    <w:p w14:paraId="27B61106" w14:textId="77777777" w:rsidR="00EA1667" w:rsidRDefault="00EA1667" w:rsidP="00EA1667">
      <w:pPr>
        <w:pStyle w:val="a9"/>
        <w:numPr>
          <w:ilvl w:val="0"/>
          <w:numId w:val="1"/>
        </w:numPr>
        <w:spacing w:after="0"/>
        <w:ind w:left="-58" w:hanging="425"/>
        <w:rPr>
          <w:sz w:val="26"/>
          <w:szCs w:val="26"/>
        </w:rPr>
      </w:pPr>
      <w:r w:rsidRPr="002C78FE">
        <w:rPr>
          <w:rFonts w:hint="cs"/>
          <w:sz w:val="26"/>
          <w:szCs w:val="26"/>
          <w:rtl/>
        </w:rPr>
        <w:t xml:space="preserve">עוד בית המשפט מוצא לשקול לקולא את העובדה כי הנאשם השתלב במסגרת הליך המעצר בקבוצה טיפולית לעצורי בית במסגרת שירות המבחן במשך יותר מחודש ימים, תוך שנמסר מגורמי הטיפול כי הלה הגיע בהתמדה למפגשי הקבוצה (למעט מפגש אחד), שיתף בתכנים אישיים ובהתנהלותו הכושלת בכל הקשור לאירועים שבמוקד כתב האישום, תוך ששירות המבחן התרשם כי המעצר וההליך המשפטי אותו חווה הלה לראשונה בחייו מהווים עבורו גורמים בעלי השפעה מרתיעה אותה הצליח להפנים. בנוסף שקלתי לקולא את העובדה כי הנאשם מסר בדיקות שתן שהעידו על ניקיונו מסמים. יחד עם זאת, לא מצאתי שבעניינו של הנאשם מתקיימים אותם שיקולי שיקום כבדי משקל שיהיה בהם כדי להצדיק סטייה לקולא ממתחם העונש ההולם אשר נקבע על ידי. שכן, על אף אותן בדיקות שתן שמסר, הנאשם שלל כל נזקקות טיפולית ובהתאם לכך, הנאשם לא שולב במסגרת התיק העיקרי בהליך טיפולי כלשהו. בהיעדר סיוע מגורמים טיפוליים כלשהם, וכאשר במהלך הקשר שלו עם שירות המבחן הצביע השירות על פערים ומידע לא עקבי שמסר הנאשם בנוגע לשימוש בסמים מצדו, נדמה כי גמילתו של הנאשם מסמים טרם הושלמה כאשר בנסיבות שכאלה מקנן החשש שמא הוא יחזור להשתמש בסמים, מה שבתורו עלול להוביל לביצוע עבירות נוספות. מה עוד, שלא ניתן להתעלם מכך כי הנאשם מחד גיסא, הודה בפני שירות המבחן במיוחס לו ונטל אחריות על כך שלא מנע את ביצוע העבירה, ומאידך גיסא, הלה הכחיש כל קשר ישיר בינו לבין גידול הסמים בפועל. </w:t>
      </w:r>
    </w:p>
    <w:p w14:paraId="0EB7DE7C" w14:textId="77777777" w:rsidR="00EA1667" w:rsidRDefault="00EA1667" w:rsidP="00EA1667">
      <w:pPr>
        <w:pStyle w:val="a9"/>
        <w:spacing w:after="0"/>
        <w:ind w:left="-58" w:firstLine="0"/>
        <w:rPr>
          <w:sz w:val="26"/>
          <w:szCs w:val="26"/>
        </w:rPr>
      </w:pPr>
    </w:p>
    <w:p w14:paraId="3EDF0394" w14:textId="77777777" w:rsidR="00EA1667" w:rsidRDefault="00EA1667" w:rsidP="00EA1667">
      <w:pPr>
        <w:pStyle w:val="a9"/>
        <w:numPr>
          <w:ilvl w:val="0"/>
          <w:numId w:val="1"/>
        </w:numPr>
        <w:spacing w:after="0"/>
        <w:ind w:left="-58" w:hanging="425"/>
        <w:rPr>
          <w:sz w:val="26"/>
          <w:szCs w:val="26"/>
        </w:rPr>
      </w:pPr>
      <w:r w:rsidRPr="002C78FE">
        <w:rPr>
          <w:rFonts w:hint="cs"/>
          <w:sz w:val="26"/>
          <w:szCs w:val="26"/>
          <w:rtl/>
        </w:rPr>
        <w:t xml:space="preserve">יתר על כן, אף אם הייתי קובעת שהנאשם השתקם בצורה מלאה או שקיים סיכוי ממשי לכך (ואינני קובעת זאת), עדיין אין זה אומר כי בית המשפט בהכרח יסטה לקולא ממתחמי הענישה, והרי לא בכדי נוקט </w:t>
      </w:r>
      <w:hyperlink r:id="rId44" w:history="1">
        <w:r w:rsidR="00202C71" w:rsidRPr="00202C71">
          <w:rPr>
            <w:rFonts w:hint="cs"/>
            <w:color w:val="0000FF"/>
            <w:sz w:val="26"/>
            <w:szCs w:val="26"/>
            <w:u w:val="single"/>
            <w:rtl/>
          </w:rPr>
          <w:t>סעיף</w:t>
        </w:r>
        <w:r w:rsidR="00202C71" w:rsidRPr="00202C71">
          <w:rPr>
            <w:color w:val="0000FF"/>
            <w:sz w:val="26"/>
            <w:szCs w:val="26"/>
            <w:u w:val="single"/>
            <w:rtl/>
          </w:rPr>
          <w:t xml:space="preserve"> 40</w:t>
        </w:r>
        <w:r w:rsidR="00202C71" w:rsidRPr="00202C71">
          <w:rPr>
            <w:rFonts w:hint="cs"/>
            <w:color w:val="0000FF"/>
            <w:sz w:val="26"/>
            <w:szCs w:val="26"/>
            <w:u w:val="single"/>
            <w:rtl/>
          </w:rPr>
          <w:t>ד</w:t>
        </w:r>
        <w:r w:rsidR="00202C71" w:rsidRPr="00202C71">
          <w:rPr>
            <w:color w:val="0000FF"/>
            <w:sz w:val="26"/>
            <w:szCs w:val="26"/>
            <w:u w:val="single"/>
            <w:rtl/>
          </w:rPr>
          <w:t>(</w:t>
        </w:r>
        <w:r w:rsidR="00202C71" w:rsidRPr="00202C71">
          <w:rPr>
            <w:rFonts w:hint="cs"/>
            <w:color w:val="0000FF"/>
            <w:sz w:val="26"/>
            <w:szCs w:val="26"/>
            <w:u w:val="single"/>
            <w:rtl/>
          </w:rPr>
          <w:t>א</w:t>
        </w:r>
        <w:r w:rsidR="00202C71" w:rsidRPr="00202C71">
          <w:rPr>
            <w:color w:val="0000FF"/>
            <w:sz w:val="26"/>
            <w:szCs w:val="26"/>
            <w:u w:val="single"/>
            <w:rtl/>
          </w:rPr>
          <w:t>)</w:t>
        </w:r>
      </w:hyperlink>
      <w:r w:rsidRPr="002C78FE">
        <w:rPr>
          <w:rFonts w:hint="cs"/>
          <w:sz w:val="26"/>
          <w:szCs w:val="26"/>
          <w:rtl/>
        </w:rPr>
        <w:t xml:space="preserve"> ל</w:t>
      </w:r>
      <w:hyperlink r:id="rId45" w:history="1">
        <w:r w:rsidR="00803E08" w:rsidRPr="00803E08">
          <w:rPr>
            <w:color w:val="0000FF"/>
            <w:sz w:val="26"/>
            <w:szCs w:val="26"/>
            <w:u w:val="single"/>
            <w:rtl/>
          </w:rPr>
          <w:t>חוק העונשין</w:t>
        </w:r>
      </w:hyperlink>
      <w:r w:rsidRPr="002C78FE">
        <w:rPr>
          <w:rFonts w:hint="cs"/>
          <w:sz w:val="26"/>
          <w:szCs w:val="26"/>
          <w:rtl/>
        </w:rPr>
        <w:t xml:space="preserve"> – בהתייחסו לאפשרות שבית המשפט יורה על סטייה לקולא ממתחם הענישה משיקולי שיקום – בלשון "רשאי" ולא "חייב". על אף חשיבותו הניכרת, אינטרס השיקום איננו בבחינת חזות הכול, ולצד אינטרס זה קיימים שיקולי ענישה נוספים כגון גמול (שהוא אף העיקרון המנחה בענישה, לאחר תיקון 113) והרתעה (ראו והשוו </w:t>
      </w:r>
      <w:hyperlink r:id="rId46" w:history="1">
        <w:r w:rsidR="00803E08" w:rsidRPr="00803E08">
          <w:rPr>
            <w:color w:val="0000FF"/>
            <w:sz w:val="26"/>
            <w:szCs w:val="26"/>
            <w:u w:val="single"/>
            <w:rtl/>
          </w:rPr>
          <w:t>ע"פ 1521/14</w:t>
        </w:r>
      </w:hyperlink>
      <w:r w:rsidRPr="002C78FE">
        <w:rPr>
          <w:rFonts w:hint="cs"/>
          <w:sz w:val="26"/>
          <w:szCs w:val="26"/>
          <w:rtl/>
        </w:rPr>
        <w:t xml:space="preserve"> </w:t>
      </w:r>
      <w:r w:rsidRPr="002C78FE">
        <w:rPr>
          <w:rFonts w:hint="cs"/>
          <w:b/>
          <w:bCs/>
          <w:sz w:val="26"/>
          <w:szCs w:val="26"/>
          <w:rtl/>
        </w:rPr>
        <w:t>יוסף אלפקיר נ' מדינת ישראל</w:t>
      </w:r>
      <w:r w:rsidRPr="002C78FE">
        <w:rPr>
          <w:rFonts w:hint="cs"/>
          <w:sz w:val="26"/>
          <w:szCs w:val="26"/>
          <w:rtl/>
        </w:rPr>
        <w:t xml:space="preserve">, (16.09.2015); </w:t>
      </w:r>
      <w:r w:rsidRPr="002C78FE">
        <w:rPr>
          <w:rFonts w:hint="cs"/>
          <w:sz w:val="26"/>
          <w:szCs w:val="26"/>
          <w:u w:val="single"/>
          <w:rtl/>
        </w:rPr>
        <w:t>ו</w:t>
      </w:r>
      <w:hyperlink r:id="rId47" w:history="1">
        <w:r w:rsidR="00803E08" w:rsidRPr="00803E08">
          <w:rPr>
            <w:color w:val="0000FF"/>
            <w:sz w:val="26"/>
            <w:szCs w:val="26"/>
            <w:u w:val="single"/>
            <w:rtl/>
          </w:rPr>
          <w:t>רע"פ 4097/16</w:t>
        </w:r>
      </w:hyperlink>
      <w:r w:rsidRPr="002C78FE">
        <w:rPr>
          <w:rFonts w:hint="cs"/>
          <w:sz w:val="26"/>
          <w:szCs w:val="26"/>
          <w:rtl/>
        </w:rPr>
        <w:t xml:space="preserve"> </w:t>
      </w:r>
      <w:r w:rsidRPr="002C78FE">
        <w:rPr>
          <w:rFonts w:hint="cs"/>
          <w:b/>
          <w:bCs/>
          <w:sz w:val="26"/>
          <w:szCs w:val="26"/>
          <w:rtl/>
        </w:rPr>
        <w:t>מוחמד מחמוד נ' מדינת ישראל</w:t>
      </w:r>
      <w:r w:rsidRPr="002C78FE">
        <w:rPr>
          <w:rFonts w:hint="cs"/>
          <w:sz w:val="26"/>
          <w:szCs w:val="26"/>
          <w:rtl/>
        </w:rPr>
        <w:t>, (24.05.2016)). במקרה הנדון, הדברים הללו אף מקבלים משנה תוקף, בשים לב לכך שהנאשם, כאמור, שלל כל נזקקות טיפולית (ומבלי שהתעלמתי מכך שמסר כמה בדיקות שתן שנמצאו נקיות משרידי סם).</w:t>
      </w:r>
    </w:p>
    <w:p w14:paraId="0C991804" w14:textId="77777777" w:rsidR="00EA1667" w:rsidRDefault="00EA1667" w:rsidP="00EA1667">
      <w:pPr>
        <w:pStyle w:val="a9"/>
        <w:spacing w:after="0"/>
        <w:ind w:left="-58" w:firstLine="0"/>
        <w:rPr>
          <w:sz w:val="26"/>
          <w:szCs w:val="26"/>
        </w:rPr>
      </w:pPr>
    </w:p>
    <w:p w14:paraId="683AFD5C" w14:textId="77777777" w:rsidR="00EA1667" w:rsidRDefault="00EA1667" w:rsidP="00EA1667">
      <w:pPr>
        <w:pStyle w:val="a9"/>
        <w:numPr>
          <w:ilvl w:val="0"/>
          <w:numId w:val="1"/>
        </w:numPr>
        <w:spacing w:after="0"/>
        <w:ind w:left="-58" w:hanging="425"/>
        <w:rPr>
          <w:sz w:val="26"/>
          <w:szCs w:val="26"/>
        </w:rPr>
      </w:pPr>
      <w:r w:rsidRPr="002C78FE">
        <w:rPr>
          <w:rFonts w:hint="cs"/>
          <w:sz w:val="26"/>
          <w:szCs w:val="26"/>
          <w:rtl/>
        </w:rPr>
        <w:t>יחד עם זאת, כידוע, אין הכרח שהנאשם יעבור שיקום "מוסדי" במסגרת טיפולית כלשהי, ולעיתים די בכך שבית המשפט ישתכנע שהנאשם מנהל אורח חיים נורמטיבי, משתף פעולה עם רשויות החוק ושירות המבחן, לא שב לדרכיו הרעות ולא מסתבך עוד בפלילים, כדי לקבוע כי אותו נאשם "השתקם או שיש סיכוי של ממש שישתקם בעתיד" (</w:t>
      </w:r>
      <w:hyperlink r:id="rId48" w:history="1">
        <w:r w:rsidR="00803E08" w:rsidRPr="00803E08">
          <w:rPr>
            <w:color w:val="0000FF"/>
            <w:sz w:val="26"/>
            <w:szCs w:val="26"/>
            <w:u w:val="single"/>
            <w:rtl/>
          </w:rPr>
          <w:t>ע"פ 1903/13</w:t>
        </w:r>
      </w:hyperlink>
      <w:r w:rsidRPr="002C78FE">
        <w:rPr>
          <w:rFonts w:hint="cs"/>
          <w:sz w:val="26"/>
          <w:szCs w:val="26"/>
          <w:rtl/>
        </w:rPr>
        <w:t xml:space="preserve"> </w:t>
      </w:r>
      <w:r w:rsidRPr="002C78FE">
        <w:rPr>
          <w:rFonts w:hint="cs"/>
          <w:b/>
          <w:bCs/>
          <w:sz w:val="26"/>
          <w:szCs w:val="26"/>
          <w:rtl/>
        </w:rPr>
        <w:t>חמודה עיאשה נ' מדינת ישראל</w:t>
      </w:r>
      <w:r w:rsidRPr="002C78FE">
        <w:rPr>
          <w:rFonts w:hint="cs"/>
          <w:sz w:val="26"/>
          <w:szCs w:val="26"/>
          <w:rtl/>
        </w:rPr>
        <w:t xml:space="preserve">, (14.07.2013); </w:t>
      </w:r>
      <w:hyperlink r:id="rId49" w:history="1">
        <w:r w:rsidR="00803E08" w:rsidRPr="00803E08">
          <w:rPr>
            <w:color w:val="0000FF"/>
            <w:sz w:val="26"/>
            <w:szCs w:val="26"/>
            <w:u w:val="single"/>
            <w:rtl/>
          </w:rPr>
          <w:t>רע"פ 7683/13</w:t>
        </w:r>
      </w:hyperlink>
      <w:r w:rsidRPr="002C78FE">
        <w:rPr>
          <w:rFonts w:hint="cs"/>
          <w:sz w:val="26"/>
          <w:szCs w:val="26"/>
          <w:rtl/>
        </w:rPr>
        <w:t xml:space="preserve"> </w:t>
      </w:r>
      <w:r w:rsidRPr="002C78FE">
        <w:rPr>
          <w:rFonts w:hint="cs"/>
          <w:b/>
          <w:bCs/>
          <w:sz w:val="26"/>
          <w:szCs w:val="26"/>
          <w:rtl/>
        </w:rPr>
        <w:t>דויד פרלמן נ' מדינת ישראל</w:t>
      </w:r>
      <w:r w:rsidRPr="002C78FE">
        <w:rPr>
          <w:rFonts w:hint="cs"/>
          <w:sz w:val="26"/>
          <w:szCs w:val="26"/>
          <w:rtl/>
        </w:rPr>
        <w:t xml:space="preserve">, (23.02.2014); </w:t>
      </w:r>
      <w:hyperlink r:id="rId50" w:history="1">
        <w:r w:rsidR="00803E08" w:rsidRPr="00803E08">
          <w:rPr>
            <w:color w:val="0000FF"/>
            <w:sz w:val="26"/>
            <w:szCs w:val="26"/>
            <w:u w:val="single"/>
            <w:rtl/>
          </w:rPr>
          <w:t>רע"פ 1441/14</w:t>
        </w:r>
      </w:hyperlink>
      <w:r w:rsidRPr="002C78FE">
        <w:rPr>
          <w:rFonts w:hint="cs"/>
          <w:sz w:val="26"/>
          <w:szCs w:val="26"/>
          <w:rtl/>
        </w:rPr>
        <w:t xml:space="preserve"> </w:t>
      </w:r>
      <w:r w:rsidRPr="002C78FE">
        <w:rPr>
          <w:rFonts w:hint="cs"/>
          <w:b/>
          <w:bCs/>
          <w:sz w:val="26"/>
          <w:szCs w:val="26"/>
          <w:rtl/>
        </w:rPr>
        <w:t>חמיס נ' מדינת ישראל</w:t>
      </w:r>
      <w:r w:rsidRPr="002C78FE">
        <w:rPr>
          <w:rFonts w:hint="cs"/>
          <w:sz w:val="26"/>
          <w:szCs w:val="26"/>
          <w:rtl/>
        </w:rPr>
        <w:t>, (09.12.2014);</w:t>
      </w:r>
      <w:r w:rsidRPr="002C78FE">
        <w:rPr>
          <w:rFonts w:hint="cs"/>
          <w:sz w:val="26"/>
          <w:szCs w:val="26"/>
        </w:rPr>
        <w:t xml:space="preserve"> </w:t>
      </w:r>
      <w:hyperlink r:id="rId51" w:history="1">
        <w:r w:rsidR="00803E08" w:rsidRPr="00803E08">
          <w:rPr>
            <w:color w:val="0000FF"/>
            <w:sz w:val="26"/>
            <w:szCs w:val="26"/>
            <w:u w:val="single"/>
            <w:rtl/>
          </w:rPr>
          <w:t>ע"פ 5341/13</w:t>
        </w:r>
      </w:hyperlink>
      <w:r w:rsidRPr="002C78FE">
        <w:rPr>
          <w:rFonts w:hint="cs"/>
          <w:sz w:val="26"/>
          <w:szCs w:val="26"/>
          <w:rtl/>
        </w:rPr>
        <w:t xml:space="preserve"> </w:t>
      </w:r>
      <w:r w:rsidRPr="002C78FE">
        <w:rPr>
          <w:rFonts w:hint="cs"/>
          <w:b/>
          <w:bCs/>
          <w:sz w:val="26"/>
          <w:szCs w:val="26"/>
          <w:rtl/>
        </w:rPr>
        <w:t>מדינת ישראל נ' מוחמד אלקרעאן,</w:t>
      </w:r>
      <w:r w:rsidRPr="002C78FE">
        <w:rPr>
          <w:rFonts w:hint="cs"/>
          <w:sz w:val="26"/>
          <w:szCs w:val="26"/>
          <w:rtl/>
        </w:rPr>
        <w:t xml:space="preserve"> (08.12.2013); </w:t>
      </w:r>
      <w:r w:rsidRPr="002C78FE">
        <w:rPr>
          <w:rFonts w:hint="cs"/>
          <w:sz w:val="26"/>
          <w:szCs w:val="26"/>
          <w:u w:val="single"/>
          <w:rtl/>
        </w:rPr>
        <w:t>ו</w:t>
      </w:r>
      <w:hyperlink r:id="rId52" w:history="1">
        <w:r w:rsidR="00803E08" w:rsidRPr="00803E08">
          <w:rPr>
            <w:color w:val="0000FF"/>
            <w:sz w:val="26"/>
            <w:szCs w:val="26"/>
            <w:u w:val="single"/>
            <w:rtl/>
          </w:rPr>
          <w:t>עפ"ג (מחוזי באר שבע) 37682-03-13</w:t>
        </w:r>
      </w:hyperlink>
      <w:r w:rsidRPr="002C78FE">
        <w:rPr>
          <w:rFonts w:hint="cs"/>
          <w:sz w:val="26"/>
          <w:szCs w:val="26"/>
          <w:rtl/>
        </w:rPr>
        <w:t xml:space="preserve"> </w:t>
      </w:r>
      <w:r w:rsidRPr="002C78FE">
        <w:rPr>
          <w:rFonts w:hint="cs"/>
          <w:b/>
          <w:bCs/>
          <w:sz w:val="26"/>
          <w:szCs w:val="26"/>
          <w:rtl/>
        </w:rPr>
        <w:t>גרניק נ' מדינת ישראל</w:t>
      </w:r>
      <w:r w:rsidRPr="002C78FE">
        <w:rPr>
          <w:rFonts w:hint="cs"/>
          <w:sz w:val="26"/>
          <w:szCs w:val="26"/>
          <w:rtl/>
        </w:rPr>
        <w:t xml:space="preserve">, (20.11.2013)). והרי שגם במקרה שבפניי, עסקינן בנאשם שמלכתחילה נעדר דפוסים עברייניים מושרשים, המנהל אורח חיים נורמטיבי, מגלה יציבות תעסוקתית ושבמשך כשנה מאז ביצע את העבירות שבגינן הוא נותן את הדין כעת, היטיב את דרכיו, שיתף פעולה עם שירות המבחן וכמובן נמנע מלשוב ולבצע עבירות נוספות – וכל זאת, </w:t>
      </w:r>
      <w:r w:rsidRPr="002C78FE">
        <w:rPr>
          <w:rFonts w:hint="cs"/>
          <w:b/>
          <w:bCs/>
          <w:sz w:val="26"/>
          <w:szCs w:val="26"/>
          <w:rtl/>
        </w:rPr>
        <w:t xml:space="preserve">כששירות המבחן מעריך כי נשקפת הימנו רמת מסוכנות נמוכה להישנות התנהגות עוברת חוק. </w:t>
      </w:r>
      <w:r w:rsidRPr="002C78FE">
        <w:rPr>
          <w:rFonts w:hint="cs"/>
          <w:sz w:val="26"/>
          <w:szCs w:val="26"/>
          <w:rtl/>
        </w:rPr>
        <w:t xml:space="preserve">לצד כל האמור, יובהר מיד כי אמנם שיקול השיקום יביא במקרה הנדון להקלה בעונשו של הנאשם, אולם לא יהיה בו כדי להטות את הכף לכיוון הימנעות מוחלטת משליחתו למאסר, לריצוי בעבודות שירות. באיזון הראוי בין מכלול האינטרסים ושיקולי הענישה, ובשים לב לחומרת מעשיו של הנאשם, מצד אחד; ולעוצמתו של השיקום, מצד שני, הרי שעונשו של הנאשם ימוקם ברף התחתון של מתחם העונש ההולם. </w:t>
      </w:r>
    </w:p>
    <w:p w14:paraId="3A169D32" w14:textId="77777777" w:rsidR="00EA1667" w:rsidRDefault="00EA1667" w:rsidP="00EA1667">
      <w:pPr>
        <w:pStyle w:val="a9"/>
        <w:spacing w:after="0"/>
        <w:ind w:left="-58" w:firstLine="0"/>
        <w:rPr>
          <w:sz w:val="26"/>
          <w:szCs w:val="26"/>
        </w:rPr>
      </w:pPr>
    </w:p>
    <w:p w14:paraId="10995ACA" w14:textId="77777777" w:rsidR="00EA1667" w:rsidRDefault="00EA1667" w:rsidP="00EA1667">
      <w:pPr>
        <w:pStyle w:val="a9"/>
        <w:numPr>
          <w:ilvl w:val="0"/>
          <w:numId w:val="1"/>
        </w:numPr>
        <w:spacing w:after="0"/>
        <w:ind w:left="-58" w:hanging="425"/>
        <w:rPr>
          <w:sz w:val="26"/>
          <w:szCs w:val="26"/>
        </w:rPr>
      </w:pPr>
      <w:r w:rsidRPr="00EA74F3">
        <w:rPr>
          <w:rFonts w:hint="cs"/>
          <w:sz w:val="26"/>
          <w:szCs w:val="26"/>
          <w:rtl/>
        </w:rPr>
        <w:t xml:space="preserve">טרם חתימת גזר הדין, אציין כי אכן ידוע הכלל לפיו בעבירות סמים נסוגים האינטרס של הנאשם ונסיבותיו האישיות מפני האינטרס הציבורי בהשתת ענישה מחמירה על עברייני הסמים. יחד עם זאת, במצבור הנסיבות שבתיק זה, ובייחוד בשים לב לשיקום שעבר הנאשם; לנסיבות חייו; וליתר הנסיבות שאינן קשורות בביצוע העבירות – מצאתי כאמור כי ניתן בזו הפעם להשית עליו ענישה בדמות מאסר לריצוי בעבודות שירות. </w:t>
      </w:r>
    </w:p>
    <w:p w14:paraId="663C9FC4" w14:textId="77777777" w:rsidR="00EA1667" w:rsidRDefault="00EA1667" w:rsidP="00EA1667">
      <w:pPr>
        <w:pStyle w:val="a9"/>
        <w:spacing w:after="0"/>
        <w:ind w:left="-58" w:firstLine="0"/>
        <w:rPr>
          <w:sz w:val="26"/>
          <w:szCs w:val="26"/>
        </w:rPr>
      </w:pPr>
    </w:p>
    <w:p w14:paraId="3ECA1EBC" w14:textId="77777777" w:rsidR="00EA1667" w:rsidRDefault="00EA1667" w:rsidP="00EA1667">
      <w:pPr>
        <w:pStyle w:val="a9"/>
        <w:numPr>
          <w:ilvl w:val="0"/>
          <w:numId w:val="1"/>
        </w:numPr>
        <w:spacing w:after="0"/>
        <w:ind w:left="-58" w:hanging="425"/>
        <w:rPr>
          <w:sz w:val="26"/>
          <w:szCs w:val="26"/>
        </w:rPr>
      </w:pPr>
      <w:r w:rsidRPr="00EA74F3">
        <w:rPr>
          <w:rFonts w:hint="cs"/>
          <w:sz w:val="26"/>
          <w:szCs w:val="26"/>
          <w:rtl/>
        </w:rPr>
        <w:t xml:space="preserve">בכל הנוגע לרכיב פסילת רישיון הנהיגה של הנאשם, בשים לב לעובדה שהמדובר בנאשם בעל עבר פלילי חף מהרשעות קודמות, ובייחוד בשים לב לכך שהלה מסר בדיקות שתן שהעידו על ניקיונו מסמים, מצאתי כי ניתן בזו הפעם ללכת לקראתו בפן הזה ולהסתפק בפסילת רישיון מותנית בלבד. בכל הנוגע לרכיב הכלכלי שבענישה, הרי שבית המשפט ישית על הנאשם קנס, אולם לצד חומרת העבירות, בקביעת גובהו יילקחו בחשבון גם מכלול מאפייניו החיוביים של הנאשם, כפי שפורט לעיל, ואף הפגיעה הכלכלית שצפויה להיגרם לו כתוצאה מעונש המאסר לריצוי בעבודות שירות אשר יושת עליו. </w:t>
      </w:r>
    </w:p>
    <w:p w14:paraId="6B09E7CA" w14:textId="77777777" w:rsidR="00EA1667" w:rsidRDefault="00EA1667" w:rsidP="00EA1667">
      <w:pPr>
        <w:pStyle w:val="a9"/>
        <w:spacing w:after="0"/>
        <w:ind w:left="-58" w:firstLine="0"/>
        <w:rPr>
          <w:sz w:val="26"/>
          <w:szCs w:val="26"/>
        </w:rPr>
      </w:pPr>
    </w:p>
    <w:p w14:paraId="760E13E2" w14:textId="77777777" w:rsidR="00EA1667" w:rsidRPr="00EA74F3" w:rsidRDefault="00EA1667" w:rsidP="00EA1667">
      <w:pPr>
        <w:pStyle w:val="a9"/>
        <w:numPr>
          <w:ilvl w:val="0"/>
          <w:numId w:val="1"/>
        </w:numPr>
        <w:spacing w:after="0"/>
        <w:ind w:left="-58" w:hanging="425"/>
        <w:rPr>
          <w:sz w:val="26"/>
          <w:szCs w:val="26"/>
        </w:rPr>
      </w:pPr>
      <w:r w:rsidRPr="00EA74F3">
        <w:rPr>
          <w:rFonts w:hint="cs"/>
          <w:b/>
          <w:bCs/>
          <w:sz w:val="26"/>
          <w:szCs w:val="26"/>
          <w:rtl/>
        </w:rPr>
        <w:t>מכל המקובץ לעיל, הריני גוזרת על הנאשם את העונשים הבאים:</w:t>
      </w:r>
    </w:p>
    <w:p w14:paraId="151DCDB3" w14:textId="77777777" w:rsidR="00EA1667" w:rsidRPr="00F005A0" w:rsidRDefault="00EA1667" w:rsidP="00EA1667">
      <w:pPr>
        <w:pStyle w:val="a9"/>
        <w:numPr>
          <w:ilvl w:val="0"/>
          <w:numId w:val="2"/>
        </w:numPr>
        <w:rPr>
          <w:b/>
          <w:bCs/>
          <w:sz w:val="26"/>
          <w:szCs w:val="26"/>
          <w:rtl/>
        </w:rPr>
      </w:pPr>
      <w:r w:rsidRPr="00F005A0">
        <w:rPr>
          <w:rFonts w:hint="cs"/>
          <w:b/>
          <w:bCs/>
          <w:sz w:val="26"/>
          <w:szCs w:val="26"/>
          <w:rtl/>
        </w:rPr>
        <w:t xml:space="preserve">6 חודשי מאסר בפועל, שירוצו בעבודות שירות, </w:t>
      </w:r>
      <w:r w:rsidRPr="00F005A0">
        <w:rPr>
          <w:rFonts w:hint="cs"/>
          <w:b/>
          <w:bCs/>
          <w:sz w:val="26"/>
          <w:szCs w:val="26"/>
          <w:u w:val="single"/>
          <w:rtl/>
        </w:rPr>
        <w:t>בניכוי ימי מעצרו</w:t>
      </w:r>
      <w:r w:rsidRPr="00F005A0">
        <w:rPr>
          <w:rFonts w:hint="cs"/>
          <w:b/>
          <w:bCs/>
          <w:sz w:val="26"/>
          <w:szCs w:val="26"/>
          <w:rtl/>
        </w:rPr>
        <w:t>.</w:t>
      </w:r>
    </w:p>
    <w:p w14:paraId="33690499" w14:textId="77777777" w:rsidR="00EA1667" w:rsidRPr="00F005A0" w:rsidRDefault="00EA1667" w:rsidP="00EA1667">
      <w:pPr>
        <w:pStyle w:val="a9"/>
        <w:ind w:firstLine="0"/>
        <w:rPr>
          <w:b/>
          <w:bCs/>
          <w:sz w:val="26"/>
          <w:szCs w:val="26"/>
          <w:rtl/>
        </w:rPr>
      </w:pPr>
      <w:r w:rsidRPr="00F005A0">
        <w:rPr>
          <w:rFonts w:hint="cs"/>
          <w:sz w:val="26"/>
          <w:szCs w:val="26"/>
          <w:rtl/>
        </w:rPr>
        <w:t xml:space="preserve">בהתאם לאמור בחוות דעת הממונה על עבודות השירות מיום 14.11.2018, העבודות תבוצענה במועצה הדתית אשדוד, בכתובת: הנרייטה סולד 1, אשדוד, במשך חמשה ימים בשבוע (6.5 שעות עבודה יומיות). </w:t>
      </w:r>
    </w:p>
    <w:p w14:paraId="5EE240BD" w14:textId="77777777" w:rsidR="00EA1667" w:rsidRPr="00F005A0" w:rsidRDefault="00EA1667" w:rsidP="00EA1667">
      <w:pPr>
        <w:pStyle w:val="a9"/>
        <w:ind w:firstLine="0"/>
        <w:rPr>
          <w:b/>
          <w:bCs/>
          <w:sz w:val="26"/>
          <w:szCs w:val="26"/>
          <w:rtl/>
        </w:rPr>
      </w:pPr>
      <w:r w:rsidRPr="00F005A0">
        <w:rPr>
          <w:rFonts w:hint="cs"/>
          <w:sz w:val="26"/>
          <w:szCs w:val="26"/>
          <w:rtl/>
        </w:rPr>
        <w:t xml:space="preserve">הנאשם יחל בריצוי המאסר ביום </w:t>
      </w:r>
      <w:r>
        <w:rPr>
          <w:rFonts w:hint="cs"/>
          <w:sz w:val="26"/>
          <w:szCs w:val="26"/>
          <w:rtl/>
        </w:rPr>
        <w:t>17/02/2019,</w:t>
      </w:r>
      <w:r w:rsidRPr="00F005A0">
        <w:rPr>
          <w:rFonts w:hint="cs"/>
          <w:sz w:val="26"/>
          <w:szCs w:val="26"/>
          <w:rtl/>
        </w:rPr>
        <w:t xml:space="preserve"> אלא אם הממונה יודיעו אחרת. </w:t>
      </w:r>
    </w:p>
    <w:p w14:paraId="28DA86BA" w14:textId="77777777" w:rsidR="00EA1667" w:rsidRPr="00F005A0" w:rsidRDefault="00EA1667" w:rsidP="00EA1667">
      <w:pPr>
        <w:pStyle w:val="a9"/>
        <w:ind w:firstLine="0"/>
        <w:rPr>
          <w:b/>
          <w:bCs/>
          <w:sz w:val="26"/>
          <w:szCs w:val="26"/>
          <w:rtl/>
        </w:rPr>
      </w:pPr>
      <w:r w:rsidRPr="00F005A0">
        <w:rPr>
          <w:rFonts w:hint="cs"/>
          <w:sz w:val="26"/>
          <w:szCs w:val="26"/>
          <w:rtl/>
        </w:rPr>
        <w:t>על הנאשם להתייצב לריצוי המאסר במפקדת גוש דרום של שב"ס ביחידה לעבודות השירות במועד הנקוב בשעה 08:00 או בכל מועד אחר שייקבע הממונה על עבודות השירות.</w:t>
      </w:r>
    </w:p>
    <w:p w14:paraId="626F4EE8" w14:textId="77777777" w:rsidR="00EA1667" w:rsidRPr="00F005A0" w:rsidRDefault="00EA1667" w:rsidP="00EA1667">
      <w:pPr>
        <w:pStyle w:val="a9"/>
        <w:ind w:firstLine="0"/>
        <w:rPr>
          <w:b/>
          <w:bCs/>
          <w:sz w:val="26"/>
          <w:szCs w:val="26"/>
          <w:rtl/>
        </w:rPr>
      </w:pPr>
      <w:r w:rsidRPr="00F005A0">
        <w:rPr>
          <w:rFonts w:hint="cs"/>
          <w:b/>
          <w:bCs/>
          <w:sz w:val="26"/>
          <w:szCs w:val="26"/>
          <w:rtl/>
        </w:rPr>
        <w:t xml:space="preserve">בהסכמת הנאשם, הממונה על עבודות השירות יוכל לבצע בדיקות שתן לנאשם, ככל שיידרש. </w:t>
      </w:r>
    </w:p>
    <w:p w14:paraId="6333031B" w14:textId="77777777" w:rsidR="00EA1667" w:rsidRPr="00F005A0" w:rsidRDefault="00EA1667" w:rsidP="00EA1667">
      <w:pPr>
        <w:pStyle w:val="a9"/>
        <w:ind w:firstLine="0"/>
        <w:rPr>
          <w:b/>
          <w:bCs/>
          <w:sz w:val="26"/>
          <w:szCs w:val="26"/>
          <w:rtl/>
        </w:rPr>
      </w:pPr>
      <w:r w:rsidRPr="00F005A0">
        <w:rPr>
          <w:rFonts w:hint="cs"/>
          <w:sz w:val="26"/>
          <w:szCs w:val="26"/>
          <w:rtl/>
        </w:rPr>
        <w:t>מוסבר לנאשם כי עליו לעמוד בתנאי העבודה, וכי כל הפרה של תנאי עבודות השירות עלולה להביא להפסקה מנהלית של העבודות ולריצוי יתרת התקופה במאסר ממש</w:t>
      </w:r>
      <w:r w:rsidRPr="00F005A0">
        <w:rPr>
          <w:rFonts w:hint="cs"/>
          <w:b/>
          <w:bCs/>
          <w:sz w:val="26"/>
          <w:szCs w:val="26"/>
          <w:rtl/>
        </w:rPr>
        <w:t>.</w:t>
      </w:r>
    </w:p>
    <w:p w14:paraId="370B0112" w14:textId="77777777" w:rsidR="00EA1667" w:rsidRDefault="00EA1667" w:rsidP="00EA1667">
      <w:pPr>
        <w:pStyle w:val="a9"/>
        <w:ind w:firstLine="0"/>
        <w:rPr>
          <w:sz w:val="26"/>
          <w:szCs w:val="26"/>
          <w:u w:val="single"/>
          <w:rtl/>
        </w:rPr>
      </w:pPr>
      <w:r w:rsidRPr="00F005A0">
        <w:rPr>
          <w:rFonts w:hint="cs"/>
          <w:sz w:val="26"/>
          <w:szCs w:val="26"/>
          <w:u w:val="single"/>
          <w:rtl/>
        </w:rPr>
        <w:t>העתק ההחלטה בדחיפות לממונה על עבודות השירות.</w:t>
      </w:r>
    </w:p>
    <w:p w14:paraId="3C34D659" w14:textId="77777777" w:rsidR="00EA1667" w:rsidRPr="00F005A0" w:rsidRDefault="00EA1667" w:rsidP="00EA1667">
      <w:pPr>
        <w:pStyle w:val="a9"/>
        <w:ind w:firstLine="0"/>
        <w:rPr>
          <w:sz w:val="26"/>
          <w:szCs w:val="26"/>
          <w:u w:val="single"/>
          <w:rtl/>
        </w:rPr>
      </w:pPr>
    </w:p>
    <w:p w14:paraId="520FE0C2" w14:textId="77777777" w:rsidR="00EA1667" w:rsidRDefault="00EA1667" w:rsidP="00EA1667">
      <w:pPr>
        <w:pStyle w:val="a9"/>
        <w:numPr>
          <w:ilvl w:val="0"/>
          <w:numId w:val="2"/>
        </w:numPr>
        <w:rPr>
          <w:b/>
          <w:bCs/>
          <w:sz w:val="26"/>
          <w:szCs w:val="26"/>
        </w:rPr>
      </w:pPr>
      <w:r w:rsidRPr="00F005A0">
        <w:rPr>
          <w:rFonts w:hint="cs"/>
          <w:b/>
          <w:bCs/>
          <w:sz w:val="26"/>
          <w:szCs w:val="26"/>
          <w:rtl/>
        </w:rPr>
        <w:t>מאסר מותנה למשך 8 חודשים, אשר יופעל אם תוך תקופה של 3 שנים מהיום הנאשם יעבור עבירה לפי פקודת הסמים, מסוג פשע.</w:t>
      </w:r>
    </w:p>
    <w:p w14:paraId="462E56CE" w14:textId="77777777" w:rsidR="00EA1667" w:rsidRPr="00F005A0" w:rsidRDefault="00EA1667" w:rsidP="00EA1667">
      <w:pPr>
        <w:pStyle w:val="a9"/>
        <w:ind w:firstLine="0"/>
        <w:rPr>
          <w:b/>
          <w:bCs/>
          <w:sz w:val="26"/>
          <w:szCs w:val="26"/>
          <w:rtl/>
        </w:rPr>
      </w:pPr>
    </w:p>
    <w:p w14:paraId="7AC4FEFD" w14:textId="77777777" w:rsidR="00EA1667" w:rsidRDefault="00EA1667" w:rsidP="00EA1667">
      <w:pPr>
        <w:pStyle w:val="a9"/>
        <w:numPr>
          <w:ilvl w:val="0"/>
          <w:numId w:val="2"/>
        </w:numPr>
        <w:rPr>
          <w:b/>
          <w:bCs/>
          <w:sz w:val="26"/>
          <w:szCs w:val="26"/>
        </w:rPr>
      </w:pPr>
      <w:r w:rsidRPr="00F005A0">
        <w:rPr>
          <w:rFonts w:hint="cs"/>
          <w:b/>
          <w:bCs/>
          <w:sz w:val="26"/>
          <w:szCs w:val="26"/>
          <w:rtl/>
        </w:rPr>
        <w:t>מאסר מותנה למשך 4 חודשים, אשר יופעל אם תוך תקופה של 3 שנים מהיום הנאשם יעבור עבירה לפי פקודת הסמים, מסוג עוון.</w:t>
      </w:r>
    </w:p>
    <w:p w14:paraId="72772E29" w14:textId="77777777" w:rsidR="00EA1667" w:rsidRPr="00F005A0" w:rsidRDefault="00EA1667" w:rsidP="00EA1667">
      <w:pPr>
        <w:pStyle w:val="a9"/>
        <w:ind w:firstLine="0"/>
        <w:rPr>
          <w:b/>
          <w:bCs/>
          <w:sz w:val="26"/>
          <w:szCs w:val="26"/>
          <w:rtl/>
        </w:rPr>
      </w:pPr>
    </w:p>
    <w:p w14:paraId="6132DDA5" w14:textId="77777777" w:rsidR="00EA1667" w:rsidRPr="00F005A0" w:rsidRDefault="00EA1667" w:rsidP="00EA1667">
      <w:pPr>
        <w:pStyle w:val="a9"/>
        <w:numPr>
          <w:ilvl w:val="0"/>
          <w:numId w:val="2"/>
        </w:numPr>
        <w:rPr>
          <w:b/>
          <w:bCs/>
          <w:sz w:val="26"/>
          <w:szCs w:val="26"/>
          <w:rtl/>
        </w:rPr>
      </w:pPr>
      <w:r w:rsidRPr="00F005A0">
        <w:rPr>
          <w:rFonts w:hint="cs"/>
          <w:b/>
          <w:bCs/>
          <w:sz w:val="26"/>
          <w:szCs w:val="26"/>
          <w:rtl/>
        </w:rPr>
        <w:t xml:space="preserve">קנס בסך </w:t>
      </w:r>
      <w:r>
        <w:rPr>
          <w:rFonts w:hint="cs"/>
          <w:b/>
          <w:bCs/>
          <w:sz w:val="26"/>
          <w:szCs w:val="26"/>
          <w:rtl/>
        </w:rPr>
        <w:t>5,000</w:t>
      </w:r>
      <w:r w:rsidRPr="00F005A0">
        <w:rPr>
          <w:rFonts w:hint="cs"/>
          <w:b/>
          <w:bCs/>
          <w:sz w:val="26"/>
          <w:szCs w:val="26"/>
          <w:rtl/>
        </w:rPr>
        <w:t xml:space="preserve"> ₪ או </w:t>
      </w:r>
      <w:r>
        <w:rPr>
          <w:rFonts w:hint="cs"/>
          <w:b/>
          <w:bCs/>
          <w:sz w:val="26"/>
          <w:szCs w:val="26"/>
          <w:rtl/>
        </w:rPr>
        <w:t>50</w:t>
      </w:r>
      <w:r w:rsidRPr="00F005A0">
        <w:rPr>
          <w:rFonts w:hint="cs"/>
          <w:b/>
          <w:bCs/>
          <w:sz w:val="26"/>
          <w:szCs w:val="26"/>
          <w:rtl/>
        </w:rPr>
        <w:t xml:space="preserve"> ימי מאסר תמורתו.</w:t>
      </w:r>
    </w:p>
    <w:p w14:paraId="776DDB6E" w14:textId="77777777" w:rsidR="00EA1667" w:rsidRPr="00F005A0" w:rsidRDefault="00EA1667" w:rsidP="00EA1667">
      <w:pPr>
        <w:pStyle w:val="a9"/>
        <w:ind w:firstLine="0"/>
        <w:rPr>
          <w:b/>
          <w:bCs/>
          <w:sz w:val="26"/>
          <w:szCs w:val="26"/>
          <w:rtl/>
        </w:rPr>
      </w:pPr>
      <w:r w:rsidRPr="00F005A0">
        <w:rPr>
          <w:rFonts w:hint="cs"/>
          <w:sz w:val="26"/>
          <w:szCs w:val="26"/>
          <w:rtl/>
        </w:rPr>
        <w:t>הקנס יקוזז מסכום ההפקדה הקיימת בתיק זה.</w:t>
      </w:r>
    </w:p>
    <w:p w14:paraId="4C87F8A8" w14:textId="77777777" w:rsidR="00EA1667" w:rsidRDefault="00EA1667" w:rsidP="00EA1667">
      <w:pPr>
        <w:pStyle w:val="a9"/>
        <w:ind w:firstLine="0"/>
        <w:rPr>
          <w:sz w:val="26"/>
          <w:szCs w:val="26"/>
          <w:rtl/>
        </w:rPr>
      </w:pPr>
      <w:r w:rsidRPr="00F005A0">
        <w:rPr>
          <w:rFonts w:hint="cs"/>
          <w:sz w:val="26"/>
          <w:szCs w:val="26"/>
          <w:rtl/>
        </w:rPr>
        <w:t>ככל שיוברר כי לא קיימת הפקדה בתיק או שלא ניתן מסיבה חוקית כזו או אחרת לקזז מתוכה את הקנס שהושת או את חלקו, כי אז הקנס או יתרת הקנס ישולם ב</w:t>
      </w:r>
      <w:r>
        <w:rPr>
          <w:rFonts w:hint="cs"/>
          <w:sz w:val="26"/>
          <w:szCs w:val="26"/>
          <w:rtl/>
        </w:rPr>
        <w:t xml:space="preserve">- 5 </w:t>
      </w:r>
      <w:r w:rsidRPr="00F005A0">
        <w:rPr>
          <w:rFonts w:hint="cs"/>
          <w:sz w:val="26"/>
          <w:szCs w:val="26"/>
          <w:rtl/>
        </w:rPr>
        <w:t>שיעורים שווים ו</w:t>
      </w:r>
      <w:r>
        <w:rPr>
          <w:rFonts w:hint="cs"/>
          <w:sz w:val="26"/>
          <w:szCs w:val="26"/>
          <w:rtl/>
        </w:rPr>
        <w:t>רצופים, שהראשון שבהם ביום 17/6/2019.</w:t>
      </w:r>
    </w:p>
    <w:p w14:paraId="175B1BE0" w14:textId="77777777" w:rsidR="00EA1667" w:rsidRPr="00F005A0" w:rsidRDefault="00EA1667" w:rsidP="00EA1667">
      <w:pPr>
        <w:pStyle w:val="a9"/>
        <w:ind w:firstLine="0"/>
        <w:rPr>
          <w:b/>
          <w:bCs/>
          <w:sz w:val="26"/>
          <w:szCs w:val="26"/>
          <w:rtl/>
        </w:rPr>
      </w:pPr>
    </w:p>
    <w:p w14:paraId="1D4927DC" w14:textId="77777777" w:rsidR="00EA1667" w:rsidRPr="00F005A0" w:rsidRDefault="00EA1667" w:rsidP="00EA1667">
      <w:pPr>
        <w:pStyle w:val="a9"/>
        <w:numPr>
          <w:ilvl w:val="0"/>
          <w:numId w:val="2"/>
        </w:numPr>
        <w:rPr>
          <w:b/>
          <w:bCs/>
          <w:sz w:val="26"/>
          <w:szCs w:val="26"/>
          <w:rtl/>
        </w:rPr>
      </w:pPr>
      <w:r w:rsidRPr="00F005A0">
        <w:rPr>
          <w:rFonts w:hint="cs"/>
          <w:b/>
          <w:bCs/>
          <w:sz w:val="26"/>
          <w:szCs w:val="26"/>
          <w:rtl/>
        </w:rPr>
        <w:t xml:space="preserve">הנאשם יחתום על התחייבות כספית על סך 10,000 ₪ שלא לעבור כל עבירת בניגוד לפקודת הסמים, וזאת לתקופה של שלוש שנים מהיום. </w:t>
      </w:r>
    </w:p>
    <w:p w14:paraId="1A8AE157" w14:textId="77777777" w:rsidR="00EA1667" w:rsidRDefault="00EA1667" w:rsidP="00EA1667">
      <w:pPr>
        <w:pStyle w:val="a9"/>
        <w:ind w:firstLine="0"/>
        <w:rPr>
          <w:sz w:val="26"/>
          <w:szCs w:val="26"/>
          <w:rtl/>
        </w:rPr>
      </w:pPr>
      <w:r w:rsidRPr="00F005A0">
        <w:rPr>
          <w:rFonts w:hint="cs"/>
          <w:sz w:val="26"/>
          <w:szCs w:val="26"/>
          <w:rtl/>
        </w:rPr>
        <w:t>ככל שלא תיחתם ההתחייבות תוך 7 ימים, ייאסר הנאשם למשך 10 ימים.</w:t>
      </w:r>
    </w:p>
    <w:p w14:paraId="5CF385D8" w14:textId="77777777" w:rsidR="00EA1667" w:rsidRPr="00F005A0" w:rsidRDefault="00EA1667" w:rsidP="00EA1667">
      <w:pPr>
        <w:pStyle w:val="a9"/>
        <w:ind w:firstLine="0"/>
        <w:rPr>
          <w:sz w:val="26"/>
          <w:szCs w:val="26"/>
          <w:rtl/>
        </w:rPr>
      </w:pPr>
    </w:p>
    <w:p w14:paraId="05629500" w14:textId="77777777" w:rsidR="00EA1667" w:rsidRDefault="00EA1667" w:rsidP="00EA1667">
      <w:pPr>
        <w:pStyle w:val="a9"/>
        <w:numPr>
          <w:ilvl w:val="0"/>
          <w:numId w:val="2"/>
        </w:numPr>
        <w:spacing w:after="0"/>
        <w:rPr>
          <w:rFonts w:eastAsia="Times New Roman"/>
          <w:sz w:val="26"/>
          <w:szCs w:val="26"/>
        </w:rPr>
      </w:pPr>
      <w:r w:rsidRPr="00F005A0">
        <w:rPr>
          <w:rFonts w:hint="cs"/>
          <w:sz w:val="26"/>
          <w:szCs w:val="26"/>
          <w:rtl/>
        </w:rPr>
        <w:t xml:space="preserve">אני פוסלת את הנאשם מלקבל או מלהחזיק רישיון נהיגה למשך 4 חודשים, וזאת על תנאי שלא </w:t>
      </w:r>
      <w:r w:rsidRPr="00F005A0">
        <w:rPr>
          <w:rFonts w:eastAsia="Times New Roman" w:hint="cs"/>
          <w:sz w:val="26"/>
          <w:szCs w:val="26"/>
          <w:rtl/>
        </w:rPr>
        <w:t>יעבור כל עבירה בניגוד ל</w:t>
      </w:r>
      <w:hyperlink r:id="rId53" w:history="1">
        <w:r w:rsidR="00803E08" w:rsidRPr="00803E08">
          <w:rPr>
            <w:rFonts w:eastAsia="Times New Roman"/>
            <w:color w:val="0000FF"/>
            <w:sz w:val="26"/>
            <w:szCs w:val="26"/>
            <w:u w:val="single"/>
            <w:rtl/>
          </w:rPr>
          <w:t>פקודת הסמים המסוכנים</w:t>
        </w:r>
      </w:hyperlink>
      <w:r w:rsidRPr="00F005A0">
        <w:rPr>
          <w:rFonts w:eastAsia="Times New Roman" w:hint="cs"/>
          <w:sz w:val="26"/>
          <w:szCs w:val="26"/>
          <w:rtl/>
        </w:rPr>
        <w:t xml:space="preserve"> במשך שנתיים מהיום.</w:t>
      </w:r>
    </w:p>
    <w:p w14:paraId="31FAD933" w14:textId="77777777" w:rsidR="00EA1667" w:rsidRDefault="00EA1667" w:rsidP="00EA1667">
      <w:pPr>
        <w:spacing w:line="360" w:lineRule="auto"/>
        <w:ind w:left="360"/>
        <w:rPr>
          <w:rFonts w:ascii="Calibri" w:hAnsi="Calibri"/>
          <w:sz w:val="26"/>
          <w:szCs w:val="26"/>
          <w:rtl/>
        </w:rPr>
      </w:pPr>
    </w:p>
    <w:p w14:paraId="7F6B35D7" w14:textId="77777777" w:rsidR="00EA1667" w:rsidRPr="00F005A0" w:rsidRDefault="00EA1667" w:rsidP="00EA1667">
      <w:pPr>
        <w:spacing w:line="360" w:lineRule="auto"/>
        <w:jc w:val="both"/>
        <w:rPr>
          <w:rFonts w:ascii="Calibri" w:hAnsi="Calibri"/>
          <w:sz w:val="26"/>
          <w:szCs w:val="26"/>
          <w:rtl/>
        </w:rPr>
      </w:pPr>
      <w:r w:rsidRPr="00F005A0">
        <w:rPr>
          <w:rFonts w:ascii="Calibri" w:hAnsi="Calibri" w:hint="cs"/>
          <w:sz w:val="26"/>
          <w:szCs w:val="26"/>
          <w:rtl/>
        </w:rPr>
        <w:t xml:space="preserve">בהסכמת באי כוח הצדדים, הנני מצווה על חילוט סך של 3,620 ₪ שנמצאו באחזקתו של הנאשם לטובת אוצר המדינה. </w:t>
      </w:r>
    </w:p>
    <w:p w14:paraId="4EFD81C6" w14:textId="77777777" w:rsidR="00EA1667" w:rsidRDefault="00EA1667" w:rsidP="00EA1667">
      <w:pPr>
        <w:spacing w:line="360" w:lineRule="auto"/>
        <w:jc w:val="both"/>
        <w:rPr>
          <w:rFonts w:ascii="Calibri" w:hAnsi="Calibri"/>
          <w:sz w:val="26"/>
          <w:szCs w:val="26"/>
          <w:rtl/>
        </w:rPr>
      </w:pPr>
    </w:p>
    <w:p w14:paraId="6E686EC1" w14:textId="77777777" w:rsidR="00EA1667" w:rsidRPr="00F005A0" w:rsidRDefault="00EA1667" w:rsidP="00EA1667">
      <w:pPr>
        <w:spacing w:line="360" w:lineRule="auto"/>
        <w:jc w:val="both"/>
        <w:rPr>
          <w:rFonts w:ascii="Calibri" w:hAnsi="Calibri"/>
          <w:sz w:val="26"/>
          <w:szCs w:val="26"/>
          <w:rtl/>
        </w:rPr>
      </w:pPr>
      <w:r w:rsidRPr="00F005A0">
        <w:rPr>
          <w:rFonts w:ascii="Calibri" w:hAnsi="Calibri" w:hint="cs"/>
          <w:sz w:val="26"/>
          <w:szCs w:val="26"/>
          <w:rtl/>
        </w:rPr>
        <w:t xml:space="preserve">ניתן בזאת צו להשמדת המוצגים –סמים, חזיזים, בכפוף </w:t>
      </w:r>
      <w:r w:rsidRPr="00F005A0">
        <w:rPr>
          <w:rFonts w:hint="cs"/>
          <w:sz w:val="26"/>
          <w:szCs w:val="26"/>
          <w:rtl/>
        </w:rPr>
        <w:t>לחלוף תקופת הערעור.</w:t>
      </w:r>
    </w:p>
    <w:p w14:paraId="376DDC8C" w14:textId="77777777" w:rsidR="00EA1667" w:rsidRPr="00F005A0" w:rsidRDefault="00EA1667" w:rsidP="00EA1667">
      <w:pPr>
        <w:spacing w:line="360" w:lineRule="auto"/>
        <w:ind w:left="-58"/>
        <w:rPr>
          <w:rFonts w:ascii="Calibri" w:hAnsi="Calibri"/>
          <w:sz w:val="28"/>
          <w:szCs w:val="28"/>
        </w:rPr>
      </w:pPr>
      <w:r w:rsidRPr="00F005A0">
        <w:rPr>
          <w:rFonts w:hint="cs"/>
          <w:b/>
          <w:bCs/>
          <w:sz w:val="28"/>
          <w:szCs w:val="28"/>
          <w:rtl/>
        </w:rPr>
        <w:t>זכות ערעור כחוק.</w:t>
      </w:r>
    </w:p>
    <w:p w14:paraId="0CB2B936" w14:textId="77777777" w:rsidR="00EA1667" w:rsidRPr="005E10FD" w:rsidRDefault="00803E08" w:rsidP="00EA1667">
      <w:pPr>
        <w:spacing w:line="360" w:lineRule="auto"/>
        <w:jc w:val="both"/>
        <w:rPr>
          <w:rFonts w:ascii="Arial" w:hAnsi="Arial"/>
          <w:noProof w:val="0"/>
          <w:sz w:val="26"/>
          <w:szCs w:val="26"/>
          <w:rtl/>
        </w:rPr>
      </w:pPr>
      <w:r>
        <w:rPr>
          <w:rFonts w:ascii="Arial" w:hAnsi="Arial"/>
          <w:b/>
          <w:bCs/>
          <w:noProof w:val="0"/>
          <w:sz w:val="26"/>
          <w:szCs w:val="26"/>
          <w:rtl/>
        </w:rPr>
        <w:t xml:space="preserve">ניתן היום,  י' שבט תשע"ט, 16 ינואר 2019, במעמד הצדדים. </w:t>
      </w:r>
    </w:p>
    <w:p w14:paraId="3F77F1A2" w14:textId="77777777" w:rsidR="00EA1667" w:rsidRPr="005E10FD" w:rsidRDefault="00EA1667" w:rsidP="00EA1667">
      <w:pPr>
        <w:spacing w:line="360" w:lineRule="auto"/>
        <w:ind w:left="3600" w:firstLine="720"/>
        <w:jc w:val="both"/>
      </w:pPr>
      <w:r>
        <w:rPr>
          <w:rtl/>
        </w:rPr>
        <w:t xml:space="preserve">     </w:t>
      </w:r>
    </w:p>
    <w:p w14:paraId="777DA359" w14:textId="77777777" w:rsidR="00EA1667" w:rsidRPr="00803E08" w:rsidRDefault="00803E08" w:rsidP="00EA1667">
      <w:pPr>
        <w:spacing w:line="360" w:lineRule="auto"/>
        <w:ind w:left="3600" w:firstLine="720"/>
        <w:jc w:val="both"/>
        <w:rPr>
          <w:rFonts w:ascii="Arial" w:hAnsi="Arial"/>
          <w:noProof w:val="0"/>
          <w:color w:val="FFFFFF"/>
          <w:sz w:val="2"/>
          <w:szCs w:val="2"/>
          <w:rtl/>
        </w:rPr>
      </w:pPr>
      <w:r w:rsidRPr="00803E08">
        <w:rPr>
          <w:rFonts w:ascii="Arial" w:hAnsi="Arial"/>
          <w:noProof w:val="0"/>
          <w:color w:val="FFFFFF"/>
          <w:sz w:val="2"/>
          <w:szCs w:val="2"/>
          <w:rtl/>
        </w:rPr>
        <w:t>5129371</w:t>
      </w:r>
    </w:p>
    <w:p w14:paraId="29F082D2" w14:textId="77777777" w:rsidR="00EA1667" w:rsidRPr="00803E08" w:rsidRDefault="00803E08" w:rsidP="00EA1667">
      <w:pPr>
        <w:spacing w:line="360" w:lineRule="auto"/>
        <w:jc w:val="both"/>
        <w:rPr>
          <w:rFonts w:ascii="Arial" w:hAnsi="Arial"/>
          <w:noProof w:val="0"/>
          <w:color w:val="FFFFFF"/>
          <w:sz w:val="2"/>
          <w:szCs w:val="2"/>
          <w:rtl/>
        </w:rPr>
      </w:pPr>
      <w:r w:rsidRPr="00803E08">
        <w:rPr>
          <w:rFonts w:ascii="Arial" w:hAnsi="Arial"/>
          <w:noProof w:val="0"/>
          <w:color w:val="FFFFFF"/>
          <w:sz w:val="2"/>
          <w:szCs w:val="2"/>
          <w:rtl/>
        </w:rPr>
        <w:t>54678313</w:t>
      </w:r>
    </w:p>
    <w:p w14:paraId="0AD784F0" w14:textId="77777777" w:rsidR="00803E08" w:rsidRDefault="00803E08" w:rsidP="00803E08">
      <w:pPr>
        <w:rPr>
          <w:rtl/>
        </w:rPr>
      </w:pPr>
    </w:p>
    <w:p w14:paraId="0913AC14" w14:textId="77777777" w:rsidR="00803E08" w:rsidRDefault="00803E08" w:rsidP="00803E08">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r w:rsidR="000D5120">
        <w:rPr>
          <w:rFonts w:hint="cs"/>
          <w:color w:val="0000FF"/>
          <w:u w:val="single"/>
          <w:rtl/>
        </w:rPr>
        <w:t xml:space="preserve"> </w:t>
      </w:r>
    </w:p>
    <w:p w14:paraId="52BD3A48" w14:textId="77777777" w:rsidR="00202C71" w:rsidRPr="00202C71" w:rsidRDefault="00202C71" w:rsidP="00202C71">
      <w:pPr>
        <w:keepNext/>
        <w:rPr>
          <w:rFonts w:ascii="David" w:hAnsi="David" w:hint="cs"/>
          <w:color w:val="000000"/>
          <w:sz w:val="22"/>
          <w:szCs w:val="22"/>
          <w:rtl/>
        </w:rPr>
      </w:pPr>
    </w:p>
    <w:p w14:paraId="4071ACC8" w14:textId="77777777" w:rsidR="00202C71" w:rsidRPr="00202C71" w:rsidRDefault="00202C71" w:rsidP="00202C71">
      <w:pPr>
        <w:keepNext/>
        <w:rPr>
          <w:rFonts w:ascii="David" w:hAnsi="David"/>
          <w:color w:val="000000"/>
          <w:sz w:val="22"/>
          <w:szCs w:val="22"/>
          <w:rtl/>
        </w:rPr>
      </w:pPr>
      <w:r w:rsidRPr="00202C71">
        <w:rPr>
          <w:rFonts w:ascii="David" w:hAnsi="David"/>
          <w:color w:val="000000"/>
          <w:sz w:val="22"/>
          <w:szCs w:val="22"/>
          <w:rtl/>
        </w:rPr>
        <w:t>נגה שמואלי מאייר 54678313-/</w:t>
      </w:r>
    </w:p>
    <w:p w14:paraId="63FE3937" w14:textId="77777777" w:rsidR="00803E08" w:rsidRPr="00803E08" w:rsidRDefault="00202C71" w:rsidP="00202C71">
      <w:pPr>
        <w:rPr>
          <w:rFonts w:hint="cs"/>
          <w:color w:val="0000FF"/>
          <w:u w:val="single"/>
        </w:rPr>
      </w:pPr>
      <w:r w:rsidRPr="00202C71">
        <w:rPr>
          <w:color w:val="000000"/>
          <w:u w:val="single"/>
          <w:rtl/>
        </w:rPr>
        <w:t>נוסח מסמך זה כפוף לשינויי ניסוח ועריכה</w:t>
      </w:r>
    </w:p>
    <w:sectPr w:rsidR="00803E08" w:rsidRPr="00803E08" w:rsidSect="00202C71">
      <w:headerReference w:type="even" r:id="rId55"/>
      <w:headerReference w:type="default" r:id="rId56"/>
      <w:footerReference w:type="even" r:id="rId57"/>
      <w:footerReference w:type="default" r:id="rId58"/>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896A8" w14:textId="77777777" w:rsidR="00F84A2E" w:rsidRDefault="00F84A2E" w:rsidP="004B2F8A">
      <w:r>
        <w:separator/>
      </w:r>
    </w:p>
  </w:endnote>
  <w:endnote w:type="continuationSeparator" w:id="0">
    <w:p w14:paraId="0A9F6BA9" w14:textId="77777777" w:rsidR="00F84A2E" w:rsidRDefault="00F84A2E" w:rsidP="004B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077B1" w14:textId="77777777" w:rsidR="00202C71" w:rsidRDefault="00202C71" w:rsidP="00202C7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6CC96B9" w14:textId="77777777" w:rsidR="00803E08" w:rsidRPr="00202C71" w:rsidRDefault="00202C71" w:rsidP="00202C71">
    <w:pPr>
      <w:pStyle w:val="a5"/>
      <w:pBdr>
        <w:top w:val="single" w:sz="4" w:space="1" w:color="auto"/>
        <w:between w:val="single" w:sz="4" w:space="0" w:color="auto"/>
      </w:pBdr>
      <w:spacing w:after="60"/>
      <w:jc w:val="center"/>
      <w:rPr>
        <w:rFonts w:ascii="FrankRuehl" w:hAnsi="FrankRuehl" w:cs="FrankRuehl"/>
        <w:color w:val="000000"/>
      </w:rPr>
    </w:pPr>
    <w:r w:rsidRPr="00202C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58897" w14:textId="77777777" w:rsidR="00202C71" w:rsidRDefault="00202C71" w:rsidP="00202C71">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74B1D">
      <w:rPr>
        <w:rStyle w:val="a8"/>
        <w:rFonts w:ascii="FrankRuehl" w:hAnsi="FrankRuehl" w:cs="FrankRuehl"/>
        <w:rtl/>
      </w:rPr>
      <w:t>1</w:t>
    </w:r>
    <w:r>
      <w:rPr>
        <w:rStyle w:val="a8"/>
        <w:rFonts w:ascii="FrankRuehl" w:hAnsi="FrankRuehl" w:cs="FrankRuehl"/>
        <w:rtl/>
      </w:rPr>
      <w:fldChar w:fldCharType="end"/>
    </w:r>
  </w:p>
  <w:p w14:paraId="3D75E757" w14:textId="77777777" w:rsidR="000343FC" w:rsidRPr="00202C71" w:rsidRDefault="00202C71" w:rsidP="00202C71">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202C71">
      <w:rPr>
        <w:rStyle w:val="a8"/>
        <w:rFonts w:ascii="FrankRuehl" w:hAnsi="FrankRuehl" w:cs="FrankRuehl" w:hint="cs"/>
        <w:color w:val="000000"/>
      </w:rPr>
      <w:pict w14:anchorId="1FC725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778A4" w14:textId="77777777" w:rsidR="00F84A2E" w:rsidRDefault="00F84A2E" w:rsidP="004B2F8A">
      <w:r>
        <w:separator/>
      </w:r>
    </w:p>
  </w:footnote>
  <w:footnote w:type="continuationSeparator" w:id="0">
    <w:p w14:paraId="31789096" w14:textId="77777777" w:rsidR="00F84A2E" w:rsidRDefault="00F84A2E" w:rsidP="004B2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C16A9" w14:textId="77777777" w:rsidR="00803E08" w:rsidRPr="00202C71" w:rsidRDefault="00202C71" w:rsidP="00202C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38435-11-17</w:t>
    </w:r>
    <w:r>
      <w:rPr>
        <w:rFonts w:ascii="David" w:hAnsi="David"/>
        <w:color w:val="000000"/>
        <w:sz w:val="22"/>
        <w:szCs w:val="22"/>
        <w:rtl/>
      </w:rPr>
      <w:tab/>
      <w:t xml:space="preserve"> מדינת ישראל נ' רמי אשתר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9B520" w14:textId="77777777" w:rsidR="00803E08" w:rsidRPr="00202C71" w:rsidRDefault="00202C71" w:rsidP="00202C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38435-11-17</w:t>
    </w:r>
    <w:r>
      <w:rPr>
        <w:rFonts w:ascii="David" w:hAnsi="David"/>
        <w:color w:val="000000"/>
        <w:sz w:val="22"/>
        <w:szCs w:val="22"/>
        <w:rtl/>
      </w:rPr>
      <w:tab/>
      <w:t xml:space="preserve"> מדינת ישראל נ' רמי אשתר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56522"/>
    <w:multiLevelType w:val="hybridMultilevel"/>
    <w:tmpl w:val="5AA62BF0"/>
    <w:lvl w:ilvl="0" w:tplc="83A84876">
      <w:start w:val="1"/>
      <w:numFmt w:val="decimal"/>
      <w:lvlText w:val="%1."/>
      <w:lvlJc w:val="left"/>
      <w:pPr>
        <w:ind w:left="720" w:hanging="360"/>
      </w:pPr>
      <w:rPr>
        <w:b w:val="0"/>
        <w:bCs w:val="0"/>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FA6899"/>
    <w:multiLevelType w:val="hybridMultilevel"/>
    <w:tmpl w:val="6EC8821C"/>
    <w:lvl w:ilvl="0" w:tplc="F5AC5928">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6863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694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1667"/>
    <w:rsid w:val="000343FC"/>
    <w:rsid w:val="00074B1D"/>
    <w:rsid w:val="000D5120"/>
    <w:rsid w:val="0018667B"/>
    <w:rsid w:val="00202C71"/>
    <w:rsid w:val="00381020"/>
    <w:rsid w:val="0041458E"/>
    <w:rsid w:val="004B2F8A"/>
    <w:rsid w:val="00521496"/>
    <w:rsid w:val="00803E08"/>
    <w:rsid w:val="008B1524"/>
    <w:rsid w:val="00A51681"/>
    <w:rsid w:val="00CA1720"/>
    <w:rsid w:val="00EA1667"/>
    <w:rsid w:val="00F84A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40309C2"/>
  <w15:chartTrackingRefBased/>
  <w15:docId w15:val="{32CC5A11-754C-491F-B31B-620E0FBB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1667"/>
    <w:pPr>
      <w:bidi/>
    </w:pPr>
    <w:rPr>
      <w:rFonts w:ascii="Times New Roman" w:eastAsia="Times New Roman" w:hAnsi="Times New Roman" w:cs="David"/>
      <w:noProof/>
      <w:sz w:val="24"/>
      <w:szCs w:val="24"/>
    </w:rPr>
  </w:style>
  <w:style w:type="paragraph" w:styleId="1">
    <w:name w:val="heading 1"/>
    <w:basedOn w:val="a"/>
    <w:next w:val="a"/>
    <w:link w:val="10"/>
    <w:qFormat/>
    <w:rsid w:val="00EA1667"/>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A1667"/>
    <w:rPr>
      <w:rFonts w:ascii="Calibri Light" w:eastAsia="Times New Roman" w:hAnsi="Calibri Light" w:cs="Times New Roman"/>
      <w:noProof/>
      <w:color w:val="2E74B5"/>
      <w:sz w:val="32"/>
      <w:szCs w:val="32"/>
    </w:rPr>
  </w:style>
  <w:style w:type="paragraph" w:styleId="a3">
    <w:name w:val="header"/>
    <w:basedOn w:val="a"/>
    <w:link w:val="a4"/>
    <w:rsid w:val="00EA1667"/>
    <w:pPr>
      <w:tabs>
        <w:tab w:val="center" w:pos="4153"/>
        <w:tab w:val="right" w:pos="8306"/>
      </w:tabs>
    </w:pPr>
  </w:style>
  <w:style w:type="character" w:customStyle="1" w:styleId="a4">
    <w:name w:val="כותרת עליונה תו"/>
    <w:link w:val="a3"/>
    <w:rsid w:val="00EA1667"/>
    <w:rPr>
      <w:rFonts w:ascii="Times New Roman" w:eastAsia="Times New Roman" w:hAnsi="Times New Roman" w:cs="David"/>
      <w:noProof/>
      <w:sz w:val="24"/>
      <w:szCs w:val="24"/>
    </w:rPr>
  </w:style>
  <w:style w:type="paragraph" w:styleId="a5">
    <w:name w:val="footer"/>
    <w:basedOn w:val="a"/>
    <w:link w:val="a6"/>
    <w:rsid w:val="00EA1667"/>
    <w:pPr>
      <w:tabs>
        <w:tab w:val="center" w:pos="4153"/>
        <w:tab w:val="right" w:pos="8306"/>
      </w:tabs>
    </w:pPr>
  </w:style>
  <w:style w:type="character" w:customStyle="1" w:styleId="a6">
    <w:name w:val="כותרת תחתונה תו"/>
    <w:link w:val="a5"/>
    <w:rsid w:val="00EA1667"/>
    <w:rPr>
      <w:rFonts w:ascii="Times New Roman" w:eastAsia="Times New Roman" w:hAnsi="Times New Roman" w:cs="David"/>
      <w:noProof/>
      <w:sz w:val="24"/>
      <w:szCs w:val="24"/>
    </w:rPr>
  </w:style>
  <w:style w:type="table" w:styleId="a7">
    <w:name w:val="Table Grid"/>
    <w:basedOn w:val="a1"/>
    <w:rsid w:val="00EA16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1667"/>
  </w:style>
  <w:style w:type="paragraph" w:styleId="a9">
    <w:name w:val="List Paragraph"/>
    <w:basedOn w:val="a"/>
    <w:qFormat/>
    <w:rsid w:val="00EA1667"/>
    <w:pPr>
      <w:spacing w:after="160" w:line="360" w:lineRule="auto"/>
      <w:ind w:left="720" w:hanging="357"/>
      <w:contextualSpacing/>
      <w:jc w:val="both"/>
    </w:pPr>
    <w:rPr>
      <w:rFonts w:ascii="Calibri" w:eastAsia="Calibri" w:hAnsi="Calibri"/>
      <w:noProof w:val="0"/>
    </w:rPr>
  </w:style>
  <w:style w:type="character" w:styleId="Hyperlink">
    <w:name w:val="Hyperlink"/>
    <w:rsid w:val="00803E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5738608" TargetMode="External"/><Relationship Id="rId39" Type="http://schemas.openxmlformats.org/officeDocument/2006/relationships/hyperlink" Target="http://www.nevo.co.il/case/5880417" TargetMode="External"/><Relationship Id="rId21" Type="http://schemas.openxmlformats.org/officeDocument/2006/relationships/hyperlink" Target="http://www.nevo.co.il/law/70301/40jc" TargetMode="External"/><Relationship Id="rId34" Type="http://schemas.openxmlformats.org/officeDocument/2006/relationships/hyperlink" Target="http://www.nevo.co.il/case/21636003" TargetMode="External"/><Relationship Id="rId42" Type="http://schemas.openxmlformats.org/officeDocument/2006/relationships/hyperlink" Target="http://www.nevo.co.il/law/70301/40ja.3" TargetMode="External"/><Relationship Id="rId47" Type="http://schemas.openxmlformats.org/officeDocument/2006/relationships/hyperlink" Target="http://www.nevo.co.il/case/21474481" TargetMode="External"/><Relationship Id="rId50" Type="http://schemas.openxmlformats.org/officeDocument/2006/relationships/hyperlink" Target="http://www.nevo.co.il/case/12930657"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0881083"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0159091" TargetMode="External"/><Relationship Id="rId37" Type="http://schemas.openxmlformats.org/officeDocument/2006/relationships/hyperlink" Target="http://www.nevo.co.il/case/6032057" TargetMode="External"/><Relationship Id="rId40" Type="http://schemas.openxmlformats.org/officeDocument/2006/relationships/hyperlink" Target="http://www.nevo.co.il/law/70301/40c.b" TargetMode="External"/><Relationship Id="rId45" Type="http://schemas.openxmlformats.org/officeDocument/2006/relationships/hyperlink" Target="http://www.nevo.co.il/law/70301"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40c.a"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0301/40ja.3"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583030" TargetMode="External"/><Relationship Id="rId30" Type="http://schemas.openxmlformats.org/officeDocument/2006/relationships/hyperlink" Target="http://www.nevo.co.il/case/18107527" TargetMode="External"/><Relationship Id="rId35" Type="http://schemas.openxmlformats.org/officeDocument/2006/relationships/hyperlink" Target="http://www.nevo.co.il/case/22558940"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6824952" TargetMode="External"/><Relationship Id="rId56"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www.nevo.co.il/case/7821838" TargetMode="Externa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7939812" TargetMode="External"/><Relationship Id="rId33" Type="http://schemas.openxmlformats.org/officeDocument/2006/relationships/hyperlink" Target="http://www.nevo.co.il/case/20707362" TargetMode="External"/><Relationship Id="rId38" Type="http://schemas.openxmlformats.org/officeDocument/2006/relationships/hyperlink" Target="http://www.nevo.co.il/case/17941073" TargetMode="External"/><Relationship Id="rId46" Type="http://schemas.openxmlformats.org/officeDocument/2006/relationships/hyperlink" Target="http://www.nevo.co.il/case/13015510" TargetMode="External"/><Relationship Id="rId59"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18119161" TargetMode="External"/><Relationship Id="rId36" Type="http://schemas.openxmlformats.org/officeDocument/2006/relationships/hyperlink" Target="http://www.nevo.co.il/case/22212088" TargetMode="External"/><Relationship Id="rId49" Type="http://schemas.openxmlformats.org/officeDocument/2006/relationships/hyperlink" Target="http://www.nevo.co.il/case/10459128" TargetMode="External"/><Relationship Id="rId57" Type="http://schemas.openxmlformats.org/officeDocument/2006/relationships/footer" Target="footer1.xml"/><Relationship Id="rId10" Type="http://schemas.openxmlformats.org/officeDocument/2006/relationships/hyperlink" Target="http://www.nevo.co.il/law/70301" TargetMode="External"/><Relationship Id="rId31" Type="http://schemas.openxmlformats.org/officeDocument/2006/relationships/hyperlink" Target="http://www.nevo.co.il/case/21887974" TargetMode="External"/><Relationship Id="rId44" Type="http://schemas.openxmlformats.org/officeDocument/2006/relationships/hyperlink" Target="http://www.nevo.co.il/law/70301/40d.a" TargetMode="External"/><Relationship Id="rId52" Type="http://schemas.openxmlformats.org/officeDocument/2006/relationships/hyperlink" Target="http://www.nevo.co.il/case/6848505"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3547</Words>
  <Characters>17739</Characters>
  <Application>Microsoft Office Word</Application>
  <DocSecurity>0</DocSecurity>
  <Lines>147</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21244</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8257637</vt:i4>
      </vt:variant>
      <vt:variant>
        <vt:i4>138</vt:i4>
      </vt:variant>
      <vt:variant>
        <vt:i4>0</vt:i4>
      </vt:variant>
      <vt:variant>
        <vt:i4>5</vt:i4>
      </vt:variant>
      <vt:variant>
        <vt:lpwstr>http://www.nevo.co.il/law/4216</vt:lpwstr>
      </vt:variant>
      <vt:variant>
        <vt:lpwstr/>
      </vt:variant>
      <vt:variant>
        <vt:i4>3276916</vt:i4>
      </vt:variant>
      <vt:variant>
        <vt:i4>135</vt:i4>
      </vt:variant>
      <vt:variant>
        <vt:i4>0</vt:i4>
      </vt:variant>
      <vt:variant>
        <vt:i4>5</vt:i4>
      </vt:variant>
      <vt:variant>
        <vt:lpwstr>http://www.nevo.co.il/case/6848505</vt:lpwstr>
      </vt:variant>
      <vt:variant>
        <vt:lpwstr/>
      </vt:variant>
      <vt:variant>
        <vt:i4>3473534</vt:i4>
      </vt:variant>
      <vt:variant>
        <vt:i4>132</vt:i4>
      </vt:variant>
      <vt:variant>
        <vt:i4>0</vt:i4>
      </vt:variant>
      <vt:variant>
        <vt:i4>5</vt:i4>
      </vt:variant>
      <vt:variant>
        <vt:lpwstr>http://www.nevo.co.il/case/7821838</vt:lpwstr>
      </vt:variant>
      <vt:variant>
        <vt:lpwstr/>
      </vt:variant>
      <vt:variant>
        <vt:i4>3997811</vt:i4>
      </vt:variant>
      <vt:variant>
        <vt:i4>129</vt:i4>
      </vt:variant>
      <vt:variant>
        <vt:i4>0</vt:i4>
      </vt:variant>
      <vt:variant>
        <vt:i4>5</vt:i4>
      </vt:variant>
      <vt:variant>
        <vt:lpwstr>http://www.nevo.co.il/case/12930657</vt:lpwstr>
      </vt:variant>
      <vt:variant>
        <vt:lpwstr/>
      </vt:variant>
      <vt:variant>
        <vt:i4>4063344</vt:i4>
      </vt:variant>
      <vt:variant>
        <vt:i4>126</vt:i4>
      </vt:variant>
      <vt:variant>
        <vt:i4>0</vt:i4>
      </vt:variant>
      <vt:variant>
        <vt:i4>5</vt:i4>
      </vt:variant>
      <vt:variant>
        <vt:lpwstr>http://www.nevo.co.il/case/10459128</vt:lpwstr>
      </vt:variant>
      <vt:variant>
        <vt:lpwstr/>
      </vt:variant>
      <vt:variant>
        <vt:i4>4128893</vt:i4>
      </vt:variant>
      <vt:variant>
        <vt:i4>123</vt:i4>
      </vt:variant>
      <vt:variant>
        <vt:i4>0</vt:i4>
      </vt:variant>
      <vt:variant>
        <vt:i4>5</vt:i4>
      </vt:variant>
      <vt:variant>
        <vt:lpwstr>http://www.nevo.co.il/case/6824952</vt:lpwstr>
      </vt:variant>
      <vt:variant>
        <vt:lpwstr/>
      </vt:variant>
      <vt:variant>
        <vt:i4>3801206</vt:i4>
      </vt:variant>
      <vt:variant>
        <vt:i4>120</vt:i4>
      </vt:variant>
      <vt:variant>
        <vt:i4>0</vt:i4>
      </vt:variant>
      <vt:variant>
        <vt:i4>5</vt:i4>
      </vt:variant>
      <vt:variant>
        <vt:lpwstr>http://www.nevo.co.il/case/21474481</vt:lpwstr>
      </vt:variant>
      <vt:variant>
        <vt:lpwstr/>
      </vt:variant>
      <vt:variant>
        <vt:i4>3473523</vt:i4>
      </vt:variant>
      <vt:variant>
        <vt:i4>117</vt:i4>
      </vt:variant>
      <vt:variant>
        <vt:i4>0</vt:i4>
      </vt:variant>
      <vt:variant>
        <vt:i4>5</vt:i4>
      </vt:variant>
      <vt:variant>
        <vt:lpwstr>http://www.nevo.co.il/case/13015510</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4915205</vt:i4>
      </vt:variant>
      <vt:variant>
        <vt:i4>111</vt:i4>
      </vt:variant>
      <vt:variant>
        <vt:i4>0</vt:i4>
      </vt:variant>
      <vt:variant>
        <vt:i4>5</vt:i4>
      </vt:variant>
      <vt:variant>
        <vt:lpwstr>http://www.nevo.co.il/law/70301/40d.a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3604517</vt:i4>
      </vt:variant>
      <vt:variant>
        <vt:i4>105</vt:i4>
      </vt:variant>
      <vt:variant>
        <vt:i4>0</vt:i4>
      </vt:variant>
      <vt:variant>
        <vt:i4>5</vt:i4>
      </vt:variant>
      <vt:variant>
        <vt:lpwstr>http://www.nevo.co.il/law/70301/40ja.3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4915202</vt:i4>
      </vt:variant>
      <vt:variant>
        <vt:i4>99</vt:i4>
      </vt:variant>
      <vt:variant>
        <vt:i4>0</vt:i4>
      </vt:variant>
      <vt:variant>
        <vt:i4>5</vt:i4>
      </vt:variant>
      <vt:variant>
        <vt:lpwstr>http://www.nevo.co.il/law/70301/40c.b</vt:lpwstr>
      </vt:variant>
      <vt:variant>
        <vt:lpwstr/>
      </vt:variant>
      <vt:variant>
        <vt:i4>4063357</vt:i4>
      </vt:variant>
      <vt:variant>
        <vt:i4>96</vt:i4>
      </vt:variant>
      <vt:variant>
        <vt:i4>0</vt:i4>
      </vt:variant>
      <vt:variant>
        <vt:i4>5</vt:i4>
      </vt:variant>
      <vt:variant>
        <vt:lpwstr>http://www.nevo.co.il/case/5880417</vt:lpwstr>
      </vt:variant>
      <vt:variant>
        <vt:lpwstr/>
      </vt:variant>
      <vt:variant>
        <vt:i4>4063351</vt:i4>
      </vt:variant>
      <vt:variant>
        <vt:i4>93</vt:i4>
      </vt:variant>
      <vt:variant>
        <vt:i4>0</vt:i4>
      </vt:variant>
      <vt:variant>
        <vt:i4>5</vt:i4>
      </vt:variant>
      <vt:variant>
        <vt:lpwstr>http://www.nevo.co.il/case/17941073</vt:lpwstr>
      </vt:variant>
      <vt:variant>
        <vt:lpwstr/>
      </vt:variant>
      <vt:variant>
        <vt:i4>3276915</vt:i4>
      </vt:variant>
      <vt:variant>
        <vt:i4>90</vt:i4>
      </vt:variant>
      <vt:variant>
        <vt:i4>0</vt:i4>
      </vt:variant>
      <vt:variant>
        <vt:i4>5</vt:i4>
      </vt:variant>
      <vt:variant>
        <vt:lpwstr>http://www.nevo.co.il/case/6032057</vt:lpwstr>
      </vt:variant>
      <vt:variant>
        <vt:lpwstr/>
      </vt:variant>
      <vt:variant>
        <vt:i4>3801207</vt:i4>
      </vt:variant>
      <vt:variant>
        <vt:i4>87</vt:i4>
      </vt:variant>
      <vt:variant>
        <vt:i4>0</vt:i4>
      </vt:variant>
      <vt:variant>
        <vt:i4>5</vt:i4>
      </vt:variant>
      <vt:variant>
        <vt:lpwstr>http://www.nevo.co.il/case/22212088</vt:lpwstr>
      </vt:variant>
      <vt:variant>
        <vt:lpwstr/>
      </vt:variant>
      <vt:variant>
        <vt:i4>3866746</vt:i4>
      </vt:variant>
      <vt:variant>
        <vt:i4>84</vt:i4>
      </vt:variant>
      <vt:variant>
        <vt:i4>0</vt:i4>
      </vt:variant>
      <vt:variant>
        <vt:i4>5</vt:i4>
      </vt:variant>
      <vt:variant>
        <vt:lpwstr>http://www.nevo.co.il/case/22558940</vt:lpwstr>
      </vt:variant>
      <vt:variant>
        <vt:lpwstr/>
      </vt:variant>
      <vt:variant>
        <vt:i4>3276918</vt:i4>
      </vt:variant>
      <vt:variant>
        <vt:i4>81</vt:i4>
      </vt:variant>
      <vt:variant>
        <vt:i4>0</vt:i4>
      </vt:variant>
      <vt:variant>
        <vt:i4>5</vt:i4>
      </vt:variant>
      <vt:variant>
        <vt:lpwstr>http://www.nevo.co.il/case/21636003</vt:lpwstr>
      </vt:variant>
      <vt:variant>
        <vt:lpwstr/>
      </vt:variant>
      <vt:variant>
        <vt:i4>3407991</vt:i4>
      </vt:variant>
      <vt:variant>
        <vt:i4>78</vt:i4>
      </vt:variant>
      <vt:variant>
        <vt:i4>0</vt:i4>
      </vt:variant>
      <vt:variant>
        <vt:i4>5</vt:i4>
      </vt:variant>
      <vt:variant>
        <vt:lpwstr>http://www.nevo.co.il/case/20707362</vt:lpwstr>
      </vt:variant>
      <vt:variant>
        <vt:lpwstr/>
      </vt:variant>
      <vt:variant>
        <vt:i4>3342449</vt:i4>
      </vt:variant>
      <vt:variant>
        <vt:i4>75</vt:i4>
      </vt:variant>
      <vt:variant>
        <vt:i4>0</vt:i4>
      </vt:variant>
      <vt:variant>
        <vt:i4>5</vt:i4>
      </vt:variant>
      <vt:variant>
        <vt:lpwstr>http://www.nevo.co.il/case/20159091</vt:lpwstr>
      </vt:variant>
      <vt:variant>
        <vt:lpwstr/>
      </vt:variant>
      <vt:variant>
        <vt:i4>3801204</vt:i4>
      </vt:variant>
      <vt:variant>
        <vt:i4>72</vt:i4>
      </vt:variant>
      <vt:variant>
        <vt:i4>0</vt:i4>
      </vt:variant>
      <vt:variant>
        <vt:i4>5</vt:i4>
      </vt:variant>
      <vt:variant>
        <vt:lpwstr>http://www.nevo.co.il/case/21887974</vt:lpwstr>
      </vt:variant>
      <vt:variant>
        <vt:lpwstr/>
      </vt:variant>
      <vt:variant>
        <vt:i4>3473529</vt:i4>
      </vt:variant>
      <vt:variant>
        <vt:i4>69</vt:i4>
      </vt:variant>
      <vt:variant>
        <vt:i4>0</vt:i4>
      </vt:variant>
      <vt:variant>
        <vt:i4>5</vt:i4>
      </vt:variant>
      <vt:variant>
        <vt:lpwstr>http://www.nevo.co.il/case/18107527</vt:lpwstr>
      </vt:variant>
      <vt:variant>
        <vt:lpwstr/>
      </vt:variant>
      <vt:variant>
        <vt:i4>3342460</vt:i4>
      </vt:variant>
      <vt:variant>
        <vt:i4>66</vt:i4>
      </vt:variant>
      <vt:variant>
        <vt:i4>0</vt:i4>
      </vt:variant>
      <vt:variant>
        <vt:i4>5</vt:i4>
      </vt:variant>
      <vt:variant>
        <vt:lpwstr>http://www.nevo.co.il/case/20881083</vt:lpwstr>
      </vt:variant>
      <vt:variant>
        <vt:lpwstr/>
      </vt:variant>
      <vt:variant>
        <vt:i4>4128892</vt:i4>
      </vt:variant>
      <vt:variant>
        <vt:i4>63</vt:i4>
      </vt:variant>
      <vt:variant>
        <vt:i4>0</vt:i4>
      </vt:variant>
      <vt:variant>
        <vt:i4>5</vt:i4>
      </vt:variant>
      <vt:variant>
        <vt:lpwstr>http://www.nevo.co.il/case/18119161</vt:lpwstr>
      </vt:variant>
      <vt:variant>
        <vt:lpwstr/>
      </vt:variant>
      <vt:variant>
        <vt:i4>3997809</vt:i4>
      </vt:variant>
      <vt:variant>
        <vt:i4>60</vt:i4>
      </vt:variant>
      <vt:variant>
        <vt:i4>0</vt:i4>
      </vt:variant>
      <vt:variant>
        <vt:i4>5</vt:i4>
      </vt:variant>
      <vt:variant>
        <vt:lpwstr>http://www.nevo.co.il/case/5583030</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3145848</vt:i4>
      </vt:variant>
      <vt:variant>
        <vt:i4>54</vt:i4>
      </vt:variant>
      <vt:variant>
        <vt:i4>0</vt:i4>
      </vt:variant>
      <vt:variant>
        <vt:i4>5</vt:i4>
      </vt:variant>
      <vt:variant>
        <vt:lpwstr>http://www.nevo.co.il/case/17939812</vt:lpwstr>
      </vt:variant>
      <vt:variant>
        <vt:lpwstr/>
      </vt:variant>
      <vt:variant>
        <vt:i4>8257637</vt:i4>
      </vt:variant>
      <vt:variant>
        <vt:i4>51</vt:i4>
      </vt:variant>
      <vt:variant>
        <vt:i4>0</vt:i4>
      </vt:variant>
      <vt:variant>
        <vt:i4>5</vt:i4>
      </vt:variant>
      <vt:variant>
        <vt:lpwstr>http://www.nevo.co.il/law/4216</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3604517</vt:i4>
      </vt:variant>
      <vt:variant>
        <vt:i4>21</vt:i4>
      </vt:variant>
      <vt:variant>
        <vt:i4>0</vt:i4>
      </vt:variant>
      <vt:variant>
        <vt:i4>5</vt:i4>
      </vt:variant>
      <vt:variant>
        <vt:lpwstr>http://www.nevo.co.il/law/70301/40ja.3</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2025-04-22T23:35:00Z</dcterms:created>
  <dcterms:modified xsi:type="dcterms:W3CDTF">2025-04-22T23:35:00Z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38435</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רמי אשתר</vt:lpwstr>
  </property>
  <property fmtid="{D5CDD505-2E9C-101B-9397-08002B2CF9AE}" pid="10" name="LAWYER">
    <vt:lpwstr>ליטל נאווי;חן בן חיים</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20190116</vt:lpwstr>
  </property>
  <property fmtid="{D5CDD505-2E9C-101B-9397-08002B2CF9AE}" pid="14" name="TYPE_N_DATE">
    <vt:lpwstr>38020190116</vt:lpwstr>
  </property>
  <property fmtid="{D5CDD505-2E9C-101B-9397-08002B2CF9AE}" pid="15" name="WORDNUMPAGES">
    <vt:lpwstr>11</vt:lpwstr>
  </property>
  <property fmtid="{D5CDD505-2E9C-101B-9397-08002B2CF9AE}" pid="16" name="TYPE_ABS_DATE">
    <vt:lpwstr>380020190116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13093721;17939812;5738608;5583030;18119161;20881083;18107527;21887974;20159091;20707362;21636003;22558940;22212088;6032057;17941073;5880417;13015510;21474481;6824952;10459128;12930657;7821838;6848505</vt:lpwstr>
  </property>
  <property fmtid="{D5CDD505-2E9C-101B-9397-08002B2CF9AE}" pid="36" name="LAWLISTTMP1">
    <vt:lpwstr>4216/006;010</vt:lpwstr>
  </property>
  <property fmtid="{D5CDD505-2E9C-101B-9397-08002B2CF9AE}" pid="37" name="LAWLISTTMP2">
    <vt:lpwstr>70301/040c.a;40jc;040c.b;40ja.3;040d.a</vt:lpwstr>
  </property>
</Properties>
</file>