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D60901" w:rsidRPr="00F842D4" w14:paraId="5CE27557" w14:textId="77777777" w:rsidTr="001711B9">
        <w:trPr>
          <w:trHeight w:hRule="exact" w:val="418"/>
          <w:jc w:val="center"/>
        </w:trPr>
        <w:tc>
          <w:tcPr>
            <w:tcW w:w="8721" w:type="dxa"/>
            <w:gridSpan w:val="2"/>
          </w:tcPr>
          <w:p w14:paraId="6F8F05E8" w14:textId="77777777" w:rsidR="00D60901" w:rsidRPr="00F842D4" w:rsidRDefault="00D60901" w:rsidP="00E71CB3">
            <w:pPr>
              <w:pStyle w:val="a3"/>
              <w:jc w:val="center"/>
              <w:rPr>
                <w:rFonts w:ascii="Tahoma" w:hAnsi="Tahoma" w:cs="Tahoma"/>
                <w:color w:val="000080"/>
                <w:rtl/>
              </w:rPr>
            </w:pPr>
            <w:bookmarkStart w:id="0" w:name="LastJudge"/>
            <w:r w:rsidRPr="00F842D4">
              <w:rPr>
                <w:rFonts w:ascii="Tahoma" w:hAnsi="Tahoma" w:cs="Tahoma"/>
                <w:b/>
                <w:bCs/>
                <w:color w:val="000080"/>
                <w:rtl/>
              </w:rPr>
              <w:t>בית משפט השלום בירושלים</w:t>
            </w:r>
          </w:p>
        </w:tc>
      </w:tr>
      <w:tr w:rsidR="00D60901" w:rsidRPr="00F842D4" w14:paraId="180AB3C8" w14:textId="77777777" w:rsidTr="001711B9">
        <w:trPr>
          <w:trHeight w:val="337"/>
          <w:jc w:val="center"/>
        </w:trPr>
        <w:tc>
          <w:tcPr>
            <w:tcW w:w="5064" w:type="dxa"/>
          </w:tcPr>
          <w:p w14:paraId="76BC5F59" w14:textId="77777777" w:rsidR="00D60901" w:rsidRPr="00F842D4" w:rsidRDefault="00D60901" w:rsidP="00E71CB3">
            <w:pPr>
              <w:rPr>
                <w:rFonts w:cs="FrankRuehl"/>
                <w:sz w:val="28"/>
                <w:szCs w:val="28"/>
                <w:rtl/>
              </w:rPr>
            </w:pPr>
            <w:r w:rsidRPr="00F842D4">
              <w:rPr>
                <w:rFonts w:cs="FrankRuehl"/>
                <w:sz w:val="28"/>
                <w:szCs w:val="28"/>
                <w:rtl/>
              </w:rPr>
              <w:t>ת"פ</w:t>
            </w:r>
            <w:r w:rsidRPr="00F842D4">
              <w:rPr>
                <w:rFonts w:cs="FrankRuehl" w:hint="cs"/>
                <w:sz w:val="28"/>
                <w:szCs w:val="28"/>
                <w:rtl/>
              </w:rPr>
              <w:t xml:space="preserve"> </w:t>
            </w:r>
            <w:r w:rsidRPr="00F842D4">
              <w:rPr>
                <w:rFonts w:cs="FrankRuehl"/>
                <w:sz w:val="28"/>
                <w:szCs w:val="28"/>
                <w:rtl/>
              </w:rPr>
              <w:t>46909-11-17</w:t>
            </w:r>
            <w:r w:rsidRPr="00F842D4">
              <w:rPr>
                <w:rFonts w:cs="FrankRuehl" w:hint="cs"/>
                <w:sz w:val="28"/>
                <w:szCs w:val="28"/>
                <w:rtl/>
              </w:rPr>
              <w:t xml:space="preserve"> </w:t>
            </w:r>
            <w:r w:rsidRPr="00F842D4">
              <w:rPr>
                <w:rFonts w:cs="FrankRuehl"/>
                <w:sz w:val="28"/>
                <w:szCs w:val="28"/>
                <w:rtl/>
              </w:rPr>
              <w:t>מדינת ישראל נ' צימרמן(אחר/נוסף)</w:t>
            </w:r>
          </w:p>
          <w:p w14:paraId="33A2C3E2" w14:textId="77777777" w:rsidR="00D60901" w:rsidRPr="00F842D4" w:rsidRDefault="00D60901" w:rsidP="00E71CB3">
            <w:pPr>
              <w:pStyle w:val="a3"/>
              <w:rPr>
                <w:rFonts w:cs="FrankRuehl"/>
                <w:sz w:val="28"/>
                <w:szCs w:val="28"/>
                <w:rtl/>
              </w:rPr>
            </w:pPr>
          </w:p>
        </w:tc>
        <w:tc>
          <w:tcPr>
            <w:tcW w:w="3657" w:type="dxa"/>
          </w:tcPr>
          <w:p w14:paraId="064173F8" w14:textId="77777777" w:rsidR="00D60901" w:rsidRPr="00F842D4" w:rsidRDefault="00D60901" w:rsidP="00E71CB3">
            <w:pPr>
              <w:pStyle w:val="a3"/>
              <w:jc w:val="right"/>
              <w:rPr>
                <w:rFonts w:cs="FrankRuehl"/>
                <w:sz w:val="28"/>
                <w:szCs w:val="28"/>
                <w:rtl/>
              </w:rPr>
            </w:pPr>
          </w:p>
        </w:tc>
      </w:tr>
    </w:tbl>
    <w:p w14:paraId="6D9FCC75" w14:textId="77777777" w:rsidR="00D60901" w:rsidRPr="00F842D4" w:rsidRDefault="00D60901" w:rsidP="00D60901">
      <w:pPr>
        <w:pStyle w:val="a3"/>
        <w:rPr>
          <w:rtl/>
        </w:rPr>
      </w:pPr>
      <w:r w:rsidRPr="00F842D4">
        <w:rPr>
          <w:rFonts w:hint="cs"/>
          <w:rtl/>
        </w:rPr>
        <w:t xml:space="preserve"> </w:t>
      </w:r>
    </w:p>
    <w:p w14:paraId="26738550" w14:textId="77777777" w:rsidR="00D60901" w:rsidRPr="00F842D4" w:rsidRDefault="00D60901" w:rsidP="00D609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60901" w:rsidRPr="00F842D4" w14:paraId="1BE219DC" w14:textId="77777777" w:rsidTr="00D60901">
        <w:trPr>
          <w:trHeight w:val="295"/>
          <w:jc w:val="center"/>
        </w:trPr>
        <w:tc>
          <w:tcPr>
            <w:tcW w:w="923" w:type="dxa"/>
            <w:tcBorders>
              <w:top w:val="nil"/>
              <w:left w:val="nil"/>
              <w:bottom w:val="nil"/>
              <w:right w:val="nil"/>
            </w:tcBorders>
            <w:shd w:val="clear" w:color="auto" w:fill="auto"/>
          </w:tcPr>
          <w:p w14:paraId="38CE1B9D" w14:textId="77777777" w:rsidR="00D60901" w:rsidRPr="00F842D4" w:rsidRDefault="00D60901" w:rsidP="00D60901">
            <w:pPr>
              <w:jc w:val="both"/>
              <w:rPr>
                <w:rFonts w:ascii="Arial" w:hAnsi="Arial" w:cs="FrankRuehl"/>
                <w:sz w:val="28"/>
                <w:szCs w:val="28"/>
              </w:rPr>
            </w:pPr>
            <w:r w:rsidRPr="00F842D4">
              <w:rPr>
                <w:rFonts w:ascii="Arial" w:hAnsi="Arial" w:cs="FrankRuehl" w:hint="cs"/>
                <w:sz w:val="28"/>
                <w:szCs w:val="28"/>
                <w:rtl/>
              </w:rPr>
              <w:t>ב</w:t>
            </w:r>
            <w:r w:rsidRPr="00F842D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062FCC" w14:textId="77777777" w:rsidR="00D60901" w:rsidRPr="00F842D4" w:rsidRDefault="00D60901" w:rsidP="00E71CB3">
            <w:pPr>
              <w:rPr>
                <w:rFonts w:ascii="Arial" w:hAnsi="Arial" w:cs="FrankRuehl"/>
                <w:b/>
                <w:bCs/>
                <w:sz w:val="28"/>
                <w:szCs w:val="28"/>
                <w:rtl/>
              </w:rPr>
            </w:pPr>
            <w:r w:rsidRPr="00F842D4">
              <w:rPr>
                <w:rFonts w:ascii="Arial" w:hAnsi="Arial" w:cs="FrankRuehl" w:hint="cs"/>
                <w:b/>
                <w:bCs/>
                <w:sz w:val="28"/>
                <w:szCs w:val="28"/>
                <w:rtl/>
              </w:rPr>
              <w:t>כבוד ה</w:t>
            </w:r>
            <w:r w:rsidRPr="00F842D4">
              <w:rPr>
                <w:rFonts w:ascii="Arial" w:hAnsi="Arial" w:cs="FrankRuehl"/>
                <w:b/>
                <w:bCs/>
                <w:sz w:val="28"/>
                <w:szCs w:val="28"/>
                <w:rtl/>
              </w:rPr>
              <w:t>שופט</w:t>
            </w:r>
            <w:r w:rsidRPr="00F842D4">
              <w:rPr>
                <w:rFonts w:ascii="Arial" w:hAnsi="Arial" w:cs="FrankRuehl" w:hint="cs"/>
                <w:b/>
                <w:bCs/>
                <w:sz w:val="28"/>
                <w:szCs w:val="28"/>
                <w:rtl/>
              </w:rPr>
              <w:t xml:space="preserve">  </w:t>
            </w:r>
            <w:r w:rsidRPr="00F842D4">
              <w:rPr>
                <w:rFonts w:ascii="Arial" w:hAnsi="Arial" w:cs="FrankRuehl"/>
                <w:b/>
                <w:bCs/>
                <w:sz w:val="28"/>
                <w:szCs w:val="28"/>
                <w:rtl/>
              </w:rPr>
              <w:t>דוד שאול גבאי ריכטר</w:t>
            </w:r>
          </w:p>
          <w:p w14:paraId="4664962D" w14:textId="77777777" w:rsidR="00D60901" w:rsidRPr="00F842D4" w:rsidRDefault="00D60901" w:rsidP="00D60901">
            <w:pPr>
              <w:jc w:val="both"/>
              <w:rPr>
                <w:rFonts w:ascii="Arial" w:hAnsi="Arial" w:cs="FrankRuehl"/>
                <w:sz w:val="28"/>
                <w:szCs w:val="28"/>
              </w:rPr>
            </w:pPr>
          </w:p>
        </w:tc>
      </w:tr>
      <w:tr w:rsidR="00D60901" w:rsidRPr="00F842D4" w14:paraId="7D9EF4F6" w14:textId="77777777" w:rsidTr="00D60901">
        <w:trPr>
          <w:trHeight w:val="355"/>
          <w:jc w:val="center"/>
        </w:trPr>
        <w:tc>
          <w:tcPr>
            <w:tcW w:w="923" w:type="dxa"/>
            <w:tcBorders>
              <w:top w:val="nil"/>
              <w:left w:val="nil"/>
              <w:bottom w:val="nil"/>
              <w:right w:val="nil"/>
            </w:tcBorders>
            <w:shd w:val="clear" w:color="auto" w:fill="auto"/>
          </w:tcPr>
          <w:p w14:paraId="4C06DAC6" w14:textId="77777777" w:rsidR="00D60901" w:rsidRPr="00F842D4" w:rsidRDefault="00D60901" w:rsidP="00D60901">
            <w:pPr>
              <w:jc w:val="both"/>
              <w:rPr>
                <w:rFonts w:ascii="Arial" w:hAnsi="Arial" w:cs="FrankRuehl"/>
                <w:sz w:val="28"/>
                <w:szCs w:val="28"/>
              </w:rPr>
            </w:pPr>
            <w:bookmarkStart w:id="1" w:name="FirstAppellant"/>
            <w:r w:rsidRPr="00F842D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03AD34" w14:textId="77777777" w:rsidR="00D60901" w:rsidRPr="00F842D4" w:rsidRDefault="00D60901" w:rsidP="00E71CB3">
            <w:pPr>
              <w:rPr>
                <w:rFonts w:cs="FrankRuehl"/>
                <w:b/>
                <w:bCs/>
              </w:rPr>
            </w:pPr>
            <w:r w:rsidRPr="00F842D4">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E18847A" w14:textId="77777777" w:rsidR="00D60901" w:rsidRPr="00F842D4" w:rsidRDefault="00D60901" w:rsidP="00D60901">
            <w:pPr>
              <w:jc w:val="both"/>
              <w:rPr>
                <w:rFonts w:ascii="Arial" w:hAnsi="Arial" w:cs="FrankRuehl"/>
                <w:sz w:val="28"/>
                <w:szCs w:val="28"/>
              </w:rPr>
            </w:pPr>
          </w:p>
        </w:tc>
      </w:tr>
      <w:bookmarkEnd w:id="1"/>
      <w:tr w:rsidR="00D60901" w:rsidRPr="00F842D4" w14:paraId="58B19EBF" w14:textId="77777777" w:rsidTr="00D60901">
        <w:trPr>
          <w:trHeight w:val="355"/>
          <w:jc w:val="center"/>
        </w:trPr>
        <w:tc>
          <w:tcPr>
            <w:tcW w:w="923" w:type="dxa"/>
            <w:tcBorders>
              <w:top w:val="nil"/>
              <w:left w:val="nil"/>
              <w:bottom w:val="nil"/>
              <w:right w:val="nil"/>
            </w:tcBorders>
            <w:shd w:val="clear" w:color="auto" w:fill="auto"/>
          </w:tcPr>
          <w:p w14:paraId="56288DDB" w14:textId="77777777" w:rsidR="00D60901" w:rsidRPr="00F842D4" w:rsidRDefault="00D60901" w:rsidP="00D6090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D6FA93" w14:textId="77777777" w:rsidR="00D60901" w:rsidRPr="00F842D4" w:rsidRDefault="00D60901" w:rsidP="00D60901">
            <w:pPr>
              <w:jc w:val="both"/>
              <w:rPr>
                <w:rFonts w:cs="FrankRuehl"/>
                <w:rtl/>
              </w:rPr>
            </w:pPr>
            <w:r w:rsidRPr="00F842D4">
              <w:rPr>
                <w:rFonts w:cs="FrankRuehl" w:hint="cs"/>
                <w:rtl/>
              </w:rPr>
              <w:t>ע"י תביעות ירושלים</w:t>
            </w:r>
          </w:p>
        </w:tc>
        <w:tc>
          <w:tcPr>
            <w:tcW w:w="3771" w:type="dxa"/>
            <w:tcBorders>
              <w:top w:val="nil"/>
              <w:left w:val="nil"/>
              <w:bottom w:val="nil"/>
              <w:right w:val="nil"/>
            </w:tcBorders>
            <w:shd w:val="clear" w:color="auto" w:fill="auto"/>
          </w:tcPr>
          <w:p w14:paraId="0E57C873" w14:textId="77777777" w:rsidR="00D60901" w:rsidRPr="00F842D4" w:rsidRDefault="00D60901" w:rsidP="00D60901">
            <w:pPr>
              <w:jc w:val="right"/>
              <w:rPr>
                <w:rFonts w:ascii="Arial" w:hAnsi="Arial" w:cs="FrankRuehl"/>
                <w:sz w:val="28"/>
                <w:szCs w:val="28"/>
                <w:rtl/>
              </w:rPr>
            </w:pPr>
            <w:r w:rsidRPr="00F842D4">
              <w:rPr>
                <w:rFonts w:ascii="Arial" w:hAnsi="Arial" w:cs="FrankRuehl" w:hint="cs"/>
                <w:sz w:val="28"/>
                <w:szCs w:val="28"/>
                <w:rtl/>
              </w:rPr>
              <w:t>ה</w:t>
            </w:r>
            <w:r w:rsidRPr="00F842D4">
              <w:rPr>
                <w:rFonts w:ascii="Arial" w:hAnsi="Arial" w:cs="FrankRuehl"/>
                <w:sz w:val="28"/>
                <w:szCs w:val="28"/>
                <w:rtl/>
              </w:rPr>
              <w:t>מאשימה</w:t>
            </w:r>
          </w:p>
        </w:tc>
      </w:tr>
      <w:tr w:rsidR="00D60901" w:rsidRPr="00F842D4" w14:paraId="7BF8DAD2" w14:textId="77777777" w:rsidTr="00D60901">
        <w:trPr>
          <w:trHeight w:val="355"/>
          <w:jc w:val="center"/>
        </w:trPr>
        <w:tc>
          <w:tcPr>
            <w:tcW w:w="923" w:type="dxa"/>
            <w:tcBorders>
              <w:top w:val="nil"/>
              <w:left w:val="nil"/>
              <w:bottom w:val="nil"/>
              <w:right w:val="nil"/>
            </w:tcBorders>
            <w:shd w:val="clear" w:color="auto" w:fill="auto"/>
          </w:tcPr>
          <w:p w14:paraId="3123DD5B" w14:textId="77777777" w:rsidR="00D60901" w:rsidRPr="00F842D4" w:rsidRDefault="00D60901" w:rsidP="00D6090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7EFA8FA" w14:textId="77777777" w:rsidR="00D60901" w:rsidRPr="00F842D4" w:rsidRDefault="00D60901" w:rsidP="00D60901">
            <w:pPr>
              <w:jc w:val="center"/>
              <w:rPr>
                <w:rFonts w:ascii="Arial" w:hAnsi="Arial" w:cs="FrankRuehl"/>
                <w:b/>
                <w:bCs/>
                <w:sz w:val="28"/>
                <w:szCs w:val="28"/>
                <w:rtl/>
              </w:rPr>
            </w:pPr>
          </w:p>
          <w:p w14:paraId="50324C25" w14:textId="77777777" w:rsidR="00D60901" w:rsidRPr="00F842D4" w:rsidRDefault="00D60901" w:rsidP="00D60901">
            <w:pPr>
              <w:jc w:val="center"/>
              <w:rPr>
                <w:rFonts w:ascii="Arial" w:hAnsi="Arial" w:cs="FrankRuehl"/>
                <w:b/>
                <w:bCs/>
                <w:sz w:val="28"/>
                <w:szCs w:val="28"/>
                <w:rtl/>
              </w:rPr>
            </w:pPr>
            <w:r w:rsidRPr="00F842D4">
              <w:rPr>
                <w:rFonts w:ascii="Arial" w:hAnsi="Arial" w:cs="FrankRuehl"/>
                <w:b/>
                <w:bCs/>
                <w:sz w:val="28"/>
                <w:szCs w:val="28"/>
                <w:rtl/>
              </w:rPr>
              <w:t>נגד</w:t>
            </w:r>
          </w:p>
          <w:p w14:paraId="34A012AA" w14:textId="77777777" w:rsidR="00D60901" w:rsidRPr="00F842D4" w:rsidRDefault="00D60901" w:rsidP="00D60901">
            <w:pPr>
              <w:jc w:val="both"/>
              <w:rPr>
                <w:rFonts w:ascii="Arial" w:hAnsi="Arial" w:cs="FrankRuehl"/>
                <w:sz w:val="28"/>
                <w:szCs w:val="28"/>
              </w:rPr>
            </w:pPr>
          </w:p>
        </w:tc>
      </w:tr>
      <w:tr w:rsidR="00D60901" w:rsidRPr="00F842D4" w14:paraId="485110D8" w14:textId="77777777" w:rsidTr="00D60901">
        <w:trPr>
          <w:trHeight w:val="355"/>
          <w:jc w:val="center"/>
        </w:trPr>
        <w:tc>
          <w:tcPr>
            <w:tcW w:w="923" w:type="dxa"/>
            <w:tcBorders>
              <w:top w:val="nil"/>
              <w:left w:val="nil"/>
              <w:bottom w:val="nil"/>
              <w:right w:val="nil"/>
            </w:tcBorders>
            <w:shd w:val="clear" w:color="auto" w:fill="auto"/>
          </w:tcPr>
          <w:p w14:paraId="14EFAD0B" w14:textId="77777777" w:rsidR="00D60901" w:rsidRPr="00F842D4" w:rsidRDefault="00D60901" w:rsidP="00E71CB3">
            <w:pPr>
              <w:rPr>
                <w:rFonts w:ascii="Arial" w:hAnsi="Arial" w:cs="FrankRuehl"/>
                <w:sz w:val="28"/>
                <w:szCs w:val="28"/>
                <w:rtl/>
              </w:rPr>
            </w:pPr>
          </w:p>
        </w:tc>
        <w:tc>
          <w:tcPr>
            <w:tcW w:w="4126" w:type="dxa"/>
            <w:tcBorders>
              <w:top w:val="nil"/>
              <w:left w:val="nil"/>
              <w:bottom w:val="nil"/>
              <w:right w:val="nil"/>
            </w:tcBorders>
            <w:shd w:val="clear" w:color="auto" w:fill="auto"/>
          </w:tcPr>
          <w:p w14:paraId="49CE311F" w14:textId="77777777" w:rsidR="00D60901" w:rsidRPr="00F842D4" w:rsidRDefault="00D60901" w:rsidP="00E71CB3">
            <w:pPr>
              <w:rPr>
                <w:rFonts w:cs="FrankRuehl"/>
                <w:b/>
                <w:bCs/>
                <w:rtl/>
              </w:rPr>
            </w:pPr>
            <w:r w:rsidRPr="00F842D4">
              <w:rPr>
                <w:rFonts w:ascii="Arial" w:hAnsi="Arial" w:cs="FrankRuehl"/>
                <w:b/>
                <w:bCs/>
                <w:sz w:val="28"/>
                <w:szCs w:val="28"/>
                <w:rtl/>
              </w:rPr>
              <w:t xml:space="preserve">יוסף צימרמן </w:t>
            </w:r>
            <w:r w:rsidRPr="00F842D4">
              <w:rPr>
                <w:rFonts w:ascii="Arial" w:hAnsi="Arial" w:cs="FrankRuehl" w:hint="cs"/>
                <w:b/>
                <w:bCs/>
                <w:sz w:val="28"/>
                <w:szCs w:val="28"/>
                <w:rtl/>
              </w:rPr>
              <w:t xml:space="preserve"> </w:t>
            </w:r>
            <w:r w:rsidRPr="00F842D4">
              <w:rPr>
                <w:rFonts w:cs="FrankRuehl" w:hint="cs"/>
                <w:b/>
                <w:bCs/>
                <w:rtl/>
              </w:rPr>
              <w:t xml:space="preserve">ת"ז </w:t>
            </w:r>
            <w:r w:rsidR="00F842D4">
              <w:rPr>
                <w:rFonts w:cs="FrankRuehl"/>
                <w:b/>
                <w:bCs/>
              </w:rPr>
              <w:t>xxxxxxxxx</w:t>
            </w:r>
          </w:p>
        </w:tc>
        <w:tc>
          <w:tcPr>
            <w:tcW w:w="3771" w:type="dxa"/>
            <w:tcBorders>
              <w:top w:val="nil"/>
              <w:left w:val="nil"/>
              <w:bottom w:val="nil"/>
              <w:right w:val="nil"/>
            </w:tcBorders>
            <w:shd w:val="clear" w:color="auto" w:fill="auto"/>
          </w:tcPr>
          <w:p w14:paraId="063F5FF6" w14:textId="77777777" w:rsidR="00D60901" w:rsidRPr="00F842D4" w:rsidRDefault="00D60901" w:rsidP="00D60901">
            <w:pPr>
              <w:jc w:val="right"/>
              <w:rPr>
                <w:rFonts w:ascii="Arial" w:hAnsi="Arial" w:cs="FrankRuehl"/>
                <w:sz w:val="28"/>
                <w:szCs w:val="28"/>
              </w:rPr>
            </w:pPr>
          </w:p>
        </w:tc>
      </w:tr>
      <w:tr w:rsidR="00D60901" w:rsidRPr="00F842D4" w14:paraId="675FC348" w14:textId="77777777" w:rsidTr="00D60901">
        <w:trPr>
          <w:trHeight w:val="355"/>
          <w:jc w:val="center"/>
        </w:trPr>
        <w:tc>
          <w:tcPr>
            <w:tcW w:w="923" w:type="dxa"/>
            <w:tcBorders>
              <w:top w:val="nil"/>
              <w:left w:val="nil"/>
              <w:bottom w:val="nil"/>
              <w:right w:val="nil"/>
            </w:tcBorders>
            <w:shd w:val="clear" w:color="auto" w:fill="auto"/>
          </w:tcPr>
          <w:p w14:paraId="69001C50" w14:textId="77777777" w:rsidR="00D60901" w:rsidRPr="00F842D4" w:rsidRDefault="00D60901" w:rsidP="00D60901">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444B0DD7" w14:textId="77777777" w:rsidR="00D60901" w:rsidRPr="00F842D4" w:rsidRDefault="00D60901" w:rsidP="00D60901">
            <w:pPr>
              <w:jc w:val="both"/>
              <w:rPr>
                <w:rFonts w:cs="FrankRuehl"/>
                <w:rtl/>
              </w:rPr>
            </w:pPr>
            <w:r w:rsidRPr="00F842D4">
              <w:rPr>
                <w:rFonts w:cs="FrankRuehl" w:hint="cs"/>
                <w:rtl/>
              </w:rPr>
              <w:t>ע"י ב"כ עו"ד חנן רובינשטיין</w:t>
            </w:r>
          </w:p>
        </w:tc>
        <w:tc>
          <w:tcPr>
            <w:tcW w:w="3771" w:type="dxa"/>
            <w:tcBorders>
              <w:top w:val="nil"/>
              <w:left w:val="nil"/>
              <w:bottom w:val="nil"/>
              <w:right w:val="nil"/>
            </w:tcBorders>
            <w:shd w:val="clear" w:color="auto" w:fill="auto"/>
          </w:tcPr>
          <w:p w14:paraId="0E5ED6B6" w14:textId="77777777" w:rsidR="00D60901" w:rsidRPr="00F842D4" w:rsidRDefault="00D60901" w:rsidP="00D60901">
            <w:pPr>
              <w:jc w:val="right"/>
              <w:rPr>
                <w:rFonts w:ascii="Arial" w:hAnsi="Arial" w:cs="FrankRuehl"/>
                <w:sz w:val="28"/>
                <w:szCs w:val="28"/>
              </w:rPr>
            </w:pPr>
            <w:r w:rsidRPr="00F842D4">
              <w:rPr>
                <w:rFonts w:ascii="Arial" w:hAnsi="Arial" w:cs="FrankRuehl" w:hint="cs"/>
                <w:sz w:val="28"/>
                <w:szCs w:val="28"/>
                <w:rtl/>
              </w:rPr>
              <w:t>ה</w:t>
            </w:r>
            <w:r w:rsidRPr="00F842D4">
              <w:rPr>
                <w:rFonts w:ascii="Arial" w:hAnsi="Arial" w:cs="FrankRuehl"/>
                <w:sz w:val="28"/>
                <w:szCs w:val="28"/>
                <w:rtl/>
              </w:rPr>
              <w:t>נאשם</w:t>
            </w:r>
          </w:p>
        </w:tc>
      </w:tr>
      <w:tr w:rsidR="00D60901" w14:paraId="5E2BB1D0" w14:textId="77777777" w:rsidTr="00D60901">
        <w:trPr>
          <w:trHeight w:val="355"/>
          <w:jc w:val="center"/>
        </w:trPr>
        <w:tc>
          <w:tcPr>
            <w:tcW w:w="8820" w:type="dxa"/>
            <w:gridSpan w:val="3"/>
            <w:tcBorders>
              <w:top w:val="nil"/>
              <w:left w:val="nil"/>
              <w:bottom w:val="nil"/>
              <w:right w:val="nil"/>
            </w:tcBorders>
            <w:shd w:val="clear" w:color="auto" w:fill="auto"/>
          </w:tcPr>
          <w:p w14:paraId="5FD37FB7" w14:textId="77777777" w:rsidR="0066387A" w:rsidRDefault="0066387A" w:rsidP="00F842D4">
            <w:pPr>
              <w:jc w:val="center"/>
              <w:rPr>
                <w:rFonts w:ascii="Arial" w:hAnsi="Arial" w:cs="FrankRuehl"/>
                <w:sz w:val="32"/>
                <w:szCs w:val="32"/>
                <w:rtl/>
              </w:rPr>
            </w:pPr>
            <w:bookmarkStart w:id="3" w:name="PsakDin" w:colFirst="0" w:colLast="0"/>
            <w:bookmarkStart w:id="4" w:name="LawTable"/>
            <w:bookmarkEnd w:id="0"/>
            <w:bookmarkEnd w:id="2"/>
            <w:bookmarkEnd w:id="4"/>
          </w:p>
          <w:p w14:paraId="4FD77229" w14:textId="77777777" w:rsidR="0066387A" w:rsidRPr="0066387A" w:rsidRDefault="0066387A" w:rsidP="0066387A">
            <w:pPr>
              <w:spacing w:after="120" w:line="240" w:lineRule="exact"/>
              <w:ind w:left="283" w:hanging="283"/>
              <w:jc w:val="both"/>
              <w:rPr>
                <w:rFonts w:ascii="FrankRuehl" w:hAnsi="FrankRuehl" w:cs="FrankRuehl"/>
                <w:rtl/>
              </w:rPr>
            </w:pPr>
          </w:p>
          <w:p w14:paraId="17437134" w14:textId="77777777" w:rsidR="0066387A" w:rsidRPr="0066387A" w:rsidRDefault="0066387A" w:rsidP="0066387A">
            <w:pPr>
              <w:spacing w:after="120" w:line="240" w:lineRule="exact"/>
              <w:ind w:left="283" w:hanging="283"/>
              <w:jc w:val="both"/>
              <w:rPr>
                <w:rFonts w:ascii="FrankRuehl" w:hAnsi="FrankRuehl" w:cs="FrankRuehl"/>
                <w:rtl/>
              </w:rPr>
            </w:pPr>
            <w:r w:rsidRPr="0066387A">
              <w:rPr>
                <w:rFonts w:ascii="FrankRuehl" w:hAnsi="FrankRuehl" w:cs="FrankRuehl"/>
                <w:rtl/>
              </w:rPr>
              <w:t xml:space="preserve">חקיקה שאוזכרה: </w:t>
            </w:r>
          </w:p>
          <w:p w14:paraId="115A975C" w14:textId="77777777" w:rsidR="0066387A" w:rsidRPr="0066387A" w:rsidRDefault="0066387A" w:rsidP="0066387A">
            <w:pPr>
              <w:spacing w:after="120" w:line="240" w:lineRule="exact"/>
              <w:ind w:left="283" w:hanging="283"/>
              <w:jc w:val="both"/>
              <w:rPr>
                <w:rFonts w:ascii="FrankRuehl" w:hAnsi="FrankRuehl" w:cs="FrankRuehl"/>
                <w:rtl/>
              </w:rPr>
            </w:pPr>
            <w:hyperlink r:id="rId7" w:history="1">
              <w:r w:rsidRPr="0066387A">
                <w:rPr>
                  <w:rFonts w:ascii="FrankRuehl" w:hAnsi="FrankRuehl" w:cs="FrankRuehl"/>
                  <w:color w:val="0000FF"/>
                  <w:u w:val="single"/>
                  <w:rtl/>
                </w:rPr>
                <w:t>פקודת הסמים המסוכנים [נוסח חדש], תשל"ג-1973</w:t>
              </w:r>
            </w:hyperlink>
            <w:r w:rsidRPr="0066387A">
              <w:rPr>
                <w:rFonts w:ascii="FrankRuehl" w:hAnsi="FrankRuehl" w:cs="FrankRuehl"/>
                <w:rtl/>
              </w:rPr>
              <w:t xml:space="preserve">: סע'  </w:t>
            </w:r>
            <w:hyperlink r:id="rId8" w:history="1">
              <w:r w:rsidRPr="0066387A">
                <w:rPr>
                  <w:rFonts w:ascii="FrankRuehl" w:hAnsi="FrankRuehl" w:cs="FrankRuehl"/>
                  <w:color w:val="0000FF"/>
                  <w:u w:val="single"/>
                  <w:rtl/>
                </w:rPr>
                <w:t>7.א.</w:t>
              </w:r>
            </w:hyperlink>
            <w:r w:rsidRPr="0066387A">
              <w:rPr>
                <w:rFonts w:ascii="FrankRuehl" w:hAnsi="FrankRuehl" w:cs="FrankRuehl"/>
                <w:rtl/>
              </w:rPr>
              <w:t xml:space="preserve">, </w:t>
            </w:r>
            <w:hyperlink r:id="rId9" w:history="1">
              <w:r w:rsidRPr="0066387A">
                <w:rPr>
                  <w:rFonts w:ascii="FrankRuehl" w:hAnsi="FrankRuehl" w:cs="FrankRuehl"/>
                  <w:color w:val="0000FF"/>
                  <w:u w:val="single"/>
                  <w:rtl/>
                </w:rPr>
                <w:t>7.ג</w:t>
              </w:r>
            </w:hyperlink>
            <w:r w:rsidRPr="0066387A">
              <w:rPr>
                <w:rFonts w:ascii="FrankRuehl" w:hAnsi="FrankRuehl" w:cs="FrankRuehl"/>
                <w:rtl/>
              </w:rPr>
              <w:t xml:space="preserve">, </w:t>
            </w:r>
            <w:hyperlink r:id="rId10" w:history="1">
              <w:r w:rsidRPr="0066387A">
                <w:rPr>
                  <w:rFonts w:ascii="FrankRuehl" w:hAnsi="FrankRuehl" w:cs="FrankRuehl"/>
                  <w:color w:val="0000FF"/>
                  <w:u w:val="single"/>
                  <w:rtl/>
                </w:rPr>
                <w:t>13א</w:t>
              </w:r>
            </w:hyperlink>
            <w:r w:rsidRPr="0066387A">
              <w:rPr>
                <w:rFonts w:ascii="FrankRuehl" w:hAnsi="FrankRuehl" w:cs="FrankRuehl"/>
                <w:rtl/>
              </w:rPr>
              <w:t xml:space="preserve">, </w:t>
            </w:r>
            <w:hyperlink r:id="rId11" w:history="1">
              <w:r w:rsidRPr="0066387A">
                <w:rPr>
                  <w:rFonts w:ascii="FrankRuehl" w:hAnsi="FrankRuehl" w:cs="FrankRuehl"/>
                  <w:color w:val="0000FF"/>
                  <w:u w:val="single"/>
                  <w:rtl/>
                </w:rPr>
                <w:t>19</w:t>
              </w:r>
            </w:hyperlink>
            <w:r w:rsidRPr="0066387A">
              <w:rPr>
                <w:rFonts w:ascii="FrankRuehl" w:hAnsi="FrankRuehl" w:cs="FrankRuehl"/>
                <w:rtl/>
              </w:rPr>
              <w:t xml:space="preserve">, </w:t>
            </w:r>
            <w:hyperlink r:id="rId12" w:history="1">
              <w:r w:rsidRPr="0066387A">
                <w:rPr>
                  <w:rFonts w:ascii="FrankRuehl" w:hAnsi="FrankRuehl" w:cs="FrankRuehl"/>
                  <w:color w:val="0000FF"/>
                  <w:u w:val="single"/>
                  <w:rtl/>
                </w:rPr>
                <w:t>36א</w:t>
              </w:r>
            </w:hyperlink>
            <w:r w:rsidRPr="0066387A">
              <w:rPr>
                <w:rFonts w:ascii="FrankRuehl" w:hAnsi="FrankRuehl" w:cs="FrankRuehl"/>
                <w:rtl/>
              </w:rPr>
              <w:t xml:space="preserve">, </w:t>
            </w:r>
            <w:hyperlink r:id="rId13" w:history="1">
              <w:r w:rsidRPr="0066387A">
                <w:rPr>
                  <w:rFonts w:ascii="FrankRuehl" w:hAnsi="FrankRuehl" w:cs="FrankRuehl"/>
                  <w:color w:val="0000FF"/>
                  <w:u w:val="single"/>
                  <w:rtl/>
                </w:rPr>
                <w:t>(ה)</w:t>
              </w:r>
            </w:hyperlink>
          </w:p>
          <w:p w14:paraId="5B6D5220" w14:textId="77777777" w:rsidR="0066387A" w:rsidRPr="0066387A" w:rsidRDefault="0066387A" w:rsidP="0066387A">
            <w:pPr>
              <w:spacing w:after="120" w:line="240" w:lineRule="exact"/>
              <w:ind w:left="283" w:hanging="283"/>
              <w:jc w:val="both"/>
              <w:rPr>
                <w:rFonts w:ascii="FrankRuehl" w:hAnsi="FrankRuehl" w:cs="FrankRuehl"/>
                <w:rtl/>
              </w:rPr>
            </w:pPr>
            <w:hyperlink r:id="rId14" w:history="1">
              <w:r w:rsidRPr="0066387A">
                <w:rPr>
                  <w:rFonts w:ascii="FrankRuehl" w:hAnsi="FrankRuehl" w:cs="FrankRuehl"/>
                  <w:color w:val="0000FF"/>
                  <w:u w:val="single"/>
                  <w:rtl/>
                </w:rPr>
                <w:t>חוק העונשין, תשל"ז-1977</w:t>
              </w:r>
            </w:hyperlink>
            <w:r w:rsidRPr="0066387A">
              <w:rPr>
                <w:rFonts w:ascii="FrankRuehl" w:hAnsi="FrankRuehl" w:cs="FrankRuehl"/>
                <w:rtl/>
              </w:rPr>
              <w:t xml:space="preserve">: סע'  </w:t>
            </w:r>
            <w:hyperlink r:id="rId15" w:history="1">
              <w:r w:rsidRPr="0066387A">
                <w:rPr>
                  <w:rFonts w:ascii="FrankRuehl" w:hAnsi="FrankRuehl" w:cs="FrankRuehl"/>
                  <w:color w:val="0000FF"/>
                  <w:u w:val="single"/>
                  <w:rtl/>
                </w:rPr>
                <w:t>40ט'</w:t>
              </w:r>
            </w:hyperlink>
            <w:r w:rsidRPr="0066387A">
              <w:rPr>
                <w:rFonts w:ascii="FrankRuehl" w:hAnsi="FrankRuehl" w:cs="FrankRuehl"/>
                <w:rtl/>
              </w:rPr>
              <w:t xml:space="preserve">, </w:t>
            </w:r>
            <w:hyperlink r:id="rId16" w:history="1">
              <w:r w:rsidRPr="0066387A">
                <w:rPr>
                  <w:rFonts w:ascii="FrankRuehl" w:hAnsi="FrankRuehl" w:cs="FrankRuehl"/>
                  <w:color w:val="0000FF"/>
                  <w:u w:val="single"/>
                  <w:rtl/>
                </w:rPr>
                <w:t>40יא</w:t>
              </w:r>
            </w:hyperlink>
          </w:p>
          <w:p w14:paraId="0BF48E30" w14:textId="77777777" w:rsidR="0066387A" w:rsidRPr="0066387A" w:rsidRDefault="0066387A" w:rsidP="0066387A">
            <w:pPr>
              <w:spacing w:after="120" w:line="240" w:lineRule="exact"/>
              <w:ind w:left="283" w:hanging="283"/>
              <w:jc w:val="both"/>
              <w:rPr>
                <w:rFonts w:ascii="FrankRuehl" w:hAnsi="FrankRuehl" w:cs="FrankRuehl"/>
                <w:rtl/>
              </w:rPr>
            </w:pPr>
          </w:p>
          <w:p w14:paraId="3FFF84E1" w14:textId="77777777" w:rsidR="0066387A" w:rsidRPr="0066387A" w:rsidRDefault="0066387A" w:rsidP="00F842D4">
            <w:pPr>
              <w:jc w:val="center"/>
              <w:rPr>
                <w:rFonts w:ascii="Arial" w:hAnsi="Arial" w:cs="FrankRuehl"/>
                <w:sz w:val="32"/>
                <w:szCs w:val="32"/>
                <w:rtl/>
              </w:rPr>
            </w:pPr>
            <w:bookmarkStart w:id="5" w:name="LawTable_End"/>
            <w:bookmarkEnd w:id="5"/>
          </w:p>
          <w:p w14:paraId="4899837B" w14:textId="77777777" w:rsidR="0066387A" w:rsidRPr="0066387A" w:rsidRDefault="0066387A" w:rsidP="00F842D4">
            <w:pPr>
              <w:jc w:val="center"/>
              <w:rPr>
                <w:rFonts w:ascii="Arial" w:hAnsi="Arial" w:cs="FrankRuehl"/>
                <w:sz w:val="32"/>
                <w:szCs w:val="32"/>
                <w:rtl/>
              </w:rPr>
            </w:pPr>
          </w:p>
          <w:p w14:paraId="4455D40F" w14:textId="77777777" w:rsidR="00F842D4" w:rsidRPr="00F842D4" w:rsidRDefault="00F842D4" w:rsidP="00F842D4">
            <w:pPr>
              <w:jc w:val="center"/>
              <w:rPr>
                <w:rFonts w:ascii="Arial" w:hAnsi="Arial" w:cs="FrankRuehl"/>
                <w:b/>
                <w:bCs/>
                <w:sz w:val="32"/>
                <w:szCs w:val="32"/>
                <w:u w:val="single"/>
                <w:rtl/>
              </w:rPr>
            </w:pPr>
            <w:r w:rsidRPr="00F842D4">
              <w:rPr>
                <w:rFonts w:ascii="Arial" w:hAnsi="Arial" w:cs="FrankRuehl"/>
                <w:b/>
                <w:bCs/>
                <w:sz w:val="32"/>
                <w:szCs w:val="32"/>
                <w:u w:val="single"/>
                <w:rtl/>
              </w:rPr>
              <w:t>גזר דין</w:t>
            </w:r>
          </w:p>
          <w:p w14:paraId="2BB51D24" w14:textId="77777777" w:rsidR="00D60901" w:rsidRPr="00F842D4" w:rsidRDefault="00D60901" w:rsidP="00F842D4">
            <w:pPr>
              <w:jc w:val="center"/>
              <w:rPr>
                <w:rFonts w:ascii="Arial" w:hAnsi="Arial" w:cs="FrankRuehl"/>
                <w:bCs/>
                <w:sz w:val="32"/>
                <w:szCs w:val="32"/>
                <w:u w:val="single"/>
                <w:rtl/>
              </w:rPr>
            </w:pPr>
          </w:p>
        </w:tc>
      </w:tr>
      <w:bookmarkEnd w:id="3"/>
    </w:tbl>
    <w:p w14:paraId="4D515A32" w14:textId="77777777" w:rsidR="00D60901" w:rsidRPr="00B05847" w:rsidRDefault="00D60901" w:rsidP="00D60901">
      <w:pPr>
        <w:rPr>
          <w:rFonts w:ascii="Arial" w:hAnsi="Arial"/>
          <w:rtl/>
        </w:rPr>
      </w:pPr>
    </w:p>
    <w:p w14:paraId="44FDFDA4" w14:textId="77777777" w:rsidR="00D60901" w:rsidRPr="00B05847" w:rsidRDefault="00D60901" w:rsidP="00D60901">
      <w:pPr>
        <w:rPr>
          <w:rFonts w:ascii="Arial" w:hAnsi="Arial"/>
          <w:rtl/>
        </w:rPr>
      </w:pPr>
    </w:p>
    <w:p w14:paraId="5EF84F5F" w14:textId="77777777" w:rsidR="00D60901" w:rsidRPr="00B05847" w:rsidRDefault="00D60901" w:rsidP="00D60901">
      <w:pPr>
        <w:rPr>
          <w:rtl/>
        </w:rPr>
      </w:pPr>
    </w:p>
    <w:p w14:paraId="7709E4B2" w14:textId="77777777" w:rsidR="00D60901" w:rsidRDefault="00D60901" w:rsidP="00D60901">
      <w:pPr>
        <w:rPr>
          <w:rFonts w:cs="FrankRuehl"/>
          <w:b/>
          <w:bCs/>
          <w:u w:val="single"/>
        </w:rPr>
      </w:pPr>
      <w:r>
        <w:rPr>
          <w:rFonts w:cs="FrankRuehl" w:hint="cs"/>
          <w:b/>
          <w:bCs/>
          <w:u w:val="single"/>
          <w:rtl/>
        </w:rPr>
        <w:t>כתב האישום</w:t>
      </w:r>
    </w:p>
    <w:p w14:paraId="5197842A" w14:textId="77777777" w:rsidR="00D60901" w:rsidRPr="00D60901" w:rsidRDefault="00D60901" w:rsidP="00D60901">
      <w:pPr>
        <w:spacing w:after="160" w:line="360" w:lineRule="auto"/>
        <w:jc w:val="both"/>
        <w:rPr>
          <w:rFonts w:ascii="Calibri" w:hAnsi="Calibri" w:cs="FrankRuehl"/>
          <w:rtl/>
        </w:rPr>
      </w:pPr>
    </w:p>
    <w:p w14:paraId="3CB610B5" w14:textId="77777777" w:rsidR="00D60901" w:rsidRPr="00D60901" w:rsidRDefault="00D60901" w:rsidP="00D60901">
      <w:pPr>
        <w:spacing w:after="160" w:line="360" w:lineRule="auto"/>
        <w:jc w:val="both"/>
        <w:rPr>
          <w:rFonts w:ascii="Calibri" w:hAnsi="Calibri" w:cs="FrankRuehl"/>
          <w:rtl/>
        </w:rPr>
      </w:pPr>
      <w:bookmarkStart w:id="6" w:name="ABSTRACT_START"/>
      <w:bookmarkEnd w:id="6"/>
      <w:r w:rsidRPr="00D60901">
        <w:rPr>
          <w:rFonts w:ascii="Calibri" w:hAnsi="Calibri" w:cs="FrankRuehl" w:hint="cs"/>
          <w:rtl/>
        </w:rPr>
        <w:t xml:space="preserve">הנאשם הורשע על פי הודאתו בעבירות ובעובדות המנויות בכתב האישום. באישום הראשון הודה הנאשם בביצוע עבירות של סחר בסמים, לפי </w:t>
      </w:r>
      <w:hyperlink r:id="rId17" w:history="1">
        <w:r w:rsidR="001711B9" w:rsidRPr="001711B9">
          <w:rPr>
            <w:rFonts w:ascii="Calibri" w:hAnsi="Calibri" w:cs="FrankRuehl" w:hint="eastAsia"/>
            <w:color w:val="0000FF"/>
            <w:u w:val="single"/>
            <w:rtl/>
          </w:rPr>
          <w:t>סעיף</w:t>
        </w:r>
        <w:r w:rsidR="001711B9" w:rsidRPr="001711B9">
          <w:rPr>
            <w:rFonts w:ascii="Calibri" w:hAnsi="Calibri" w:cs="FrankRuehl"/>
            <w:color w:val="0000FF"/>
            <w:u w:val="single"/>
            <w:rtl/>
          </w:rPr>
          <w:t xml:space="preserve"> 13+19</w:t>
        </w:r>
        <w:r w:rsidR="001711B9" w:rsidRPr="001711B9">
          <w:rPr>
            <w:rFonts w:ascii="Calibri" w:hAnsi="Calibri" w:cs="FrankRuehl" w:hint="eastAsia"/>
            <w:color w:val="0000FF"/>
            <w:u w:val="single"/>
            <w:rtl/>
          </w:rPr>
          <w:t>א</w:t>
        </w:r>
      </w:hyperlink>
      <w:r w:rsidRPr="00D60901">
        <w:rPr>
          <w:rFonts w:ascii="Calibri" w:hAnsi="Calibri" w:cs="FrankRuehl" w:hint="cs"/>
          <w:rtl/>
        </w:rPr>
        <w:t xml:space="preserve"> ל</w:t>
      </w:r>
      <w:hyperlink r:id="rId18" w:history="1">
        <w:r w:rsidR="00F842D4" w:rsidRPr="00F842D4">
          <w:rPr>
            <w:rFonts w:ascii="Calibri" w:hAnsi="Calibri" w:cs="FrankRuehl" w:hint="eastAsia"/>
            <w:color w:val="0000FF"/>
            <w:u w:val="single"/>
            <w:rtl/>
          </w:rPr>
          <w:t>פקודת</w:t>
        </w:r>
        <w:r w:rsidR="00F842D4" w:rsidRPr="00F842D4">
          <w:rPr>
            <w:rFonts w:ascii="Calibri" w:hAnsi="Calibri" w:cs="FrankRuehl"/>
            <w:color w:val="0000FF"/>
            <w:u w:val="single"/>
            <w:rtl/>
          </w:rPr>
          <w:t xml:space="preserve"> </w:t>
        </w:r>
        <w:r w:rsidR="00F842D4" w:rsidRPr="00F842D4">
          <w:rPr>
            <w:rFonts w:ascii="Calibri" w:hAnsi="Calibri" w:cs="FrankRuehl" w:hint="eastAsia"/>
            <w:color w:val="0000FF"/>
            <w:u w:val="single"/>
            <w:rtl/>
          </w:rPr>
          <w:t>הסמים</w:t>
        </w:r>
        <w:r w:rsidR="00F842D4" w:rsidRPr="00F842D4">
          <w:rPr>
            <w:rFonts w:ascii="Calibri" w:hAnsi="Calibri" w:cs="FrankRuehl"/>
            <w:color w:val="0000FF"/>
            <w:u w:val="single"/>
            <w:rtl/>
          </w:rPr>
          <w:t xml:space="preserve"> </w:t>
        </w:r>
        <w:r w:rsidR="00F842D4" w:rsidRPr="00F842D4">
          <w:rPr>
            <w:rFonts w:ascii="Calibri" w:hAnsi="Calibri" w:cs="FrankRuehl" w:hint="eastAsia"/>
            <w:color w:val="0000FF"/>
            <w:u w:val="single"/>
            <w:rtl/>
          </w:rPr>
          <w:t>המסוכנים</w:t>
        </w:r>
      </w:hyperlink>
      <w:r w:rsidRPr="00D60901">
        <w:rPr>
          <w:rFonts w:ascii="Calibri" w:hAnsi="Calibri" w:cs="FrankRuehl" w:hint="cs"/>
          <w:rtl/>
        </w:rPr>
        <w:t xml:space="preserve">. מדובר ב-7 הזדמנויות של סחר בסמים מסוג גראס שנמכרו לאנשים שונים במשקל שבין גרם ל-5 גרם תמורת מאות שקלים בודדות. באישום השני הודה הנאשם בביצוע עבירה של החזקת סמים שלא לצריכה עצמית לפי סעיף </w:t>
      </w:r>
      <w:hyperlink r:id="rId19" w:history="1">
        <w:r w:rsidR="001711B9" w:rsidRPr="001711B9">
          <w:rPr>
            <w:rFonts w:ascii="Calibri" w:hAnsi="Calibri" w:cs="FrankRuehl"/>
            <w:color w:val="0000FF"/>
            <w:u w:val="single"/>
            <w:rtl/>
          </w:rPr>
          <w:t>7(</w:t>
        </w:r>
        <w:r w:rsidR="001711B9" w:rsidRPr="001711B9">
          <w:rPr>
            <w:rFonts w:ascii="Calibri" w:hAnsi="Calibri" w:cs="FrankRuehl" w:hint="eastAsia"/>
            <w:color w:val="0000FF"/>
            <w:u w:val="single"/>
            <w:rtl/>
          </w:rPr>
          <w:t>א</w:t>
        </w:r>
        <w:r w:rsidR="001711B9" w:rsidRPr="001711B9">
          <w:rPr>
            <w:rFonts w:ascii="Calibri" w:hAnsi="Calibri" w:cs="FrankRuehl"/>
            <w:color w:val="0000FF"/>
            <w:u w:val="single"/>
            <w:rtl/>
          </w:rPr>
          <w:t>) + (</w:t>
        </w:r>
        <w:r w:rsidR="001711B9" w:rsidRPr="001711B9">
          <w:rPr>
            <w:rFonts w:ascii="Calibri" w:hAnsi="Calibri" w:cs="FrankRuehl" w:hint="eastAsia"/>
            <w:color w:val="0000FF"/>
            <w:u w:val="single"/>
            <w:rtl/>
          </w:rPr>
          <w:t>ג</w:t>
        </w:r>
        <w:r w:rsidR="001711B9" w:rsidRPr="001711B9">
          <w:rPr>
            <w:rFonts w:ascii="Calibri" w:hAnsi="Calibri" w:cs="FrankRuehl"/>
            <w:color w:val="0000FF"/>
            <w:u w:val="single"/>
            <w:rtl/>
          </w:rPr>
          <w:t>)</w:t>
        </w:r>
      </w:hyperlink>
      <w:r w:rsidRPr="00D60901">
        <w:rPr>
          <w:rFonts w:ascii="Calibri" w:hAnsi="Calibri" w:cs="FrankRuehl" w:hint="cs"/>
          <w:rtl/>
        </w:rPr>
        <w:t xml:space="preserve"> רישא לפקודת הסמים, בכך שהחזיק במגירה שבחדר ביתו כ-8 גרם סם מסוג קנביס וחשיש וכן משקל דיגיטלי. הסם היה מחולק לשקיות שונות.</w:t>
      </w:r>
    </w:p>
    <w:p w14:paraId="2FABB43D" w14:textId="77777777" w:rsidR="00D60901" w:rsidRPr="00D60901" w:rsidRDefault="00D60901" w:rsidP="00D60901">
      <w:pPr>
        <w:spacing w:after="160" w:line="360" w:lineRule="auto"/>
        <w:jc w:val="both"/>
        <w:rPr>
          <w:rFonts w:ascii="Calibri" w:hAnsi="Calibri" w:cs="FrankRuehl"/>
          <w:rtl/>
        </w:rPr>
      </w:pPr>
      <w:bookmarkStart w:id="7" w:name="ABSTRACT_END"/>
      <w:bookmarkEnd w:id="7"/>
    </w:p>
    <w:p w14:paraId="692E62BF"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 xml:space="preserve">בין הצדדים לא היה הסדר לעונש. הנאשם נשלח לתסקיר ולחוות דעת של הממונה על עבודות השירות. </w:t>
      </w:r>
    </w:p>
    <w:p w14:paraId="338F2A61" w14:textId="77777777" w:rsidR="00D60901" w:rsidRPr="00D60901" w:rsidRDefault="00D60901" w:rsidP="00D60901">
      <w:pPr>
        <w:spacing w:after="160" w:line="360" w:lineRule="auto"/>
        <w:jc w:val="both"/>
        <w:rPr>
          <w:rFonts w:ascii="Calibri" w:hAnsi="Calibri" w:cs="FrankRuehl"/>
          <w:rtl/>
        </w:rPr>
      </w:pPr>
    </w:p>
    <w:p w14:paraId="1659A1C9" w14:textId="77777777" w:rsidR="00D60901" w:rsidRPr="00D60901" w:rsidRDefault="00D60901" w:rsidP="00D60901">
      <w:pPr>
        <w:spacing w:after="160" w:line="360" w:lineRule="auto"/>
        <w:jc w:val="both"/>
        <w:rPr>
          <w:rFonts w:ascii="Calibri" w:hAnsi="Calibri" w:cs="FrankRuehl"/>
          <w:b/>
          <w:bCs/>
          <w:u w:val="single"/>
          <w:rtl/>
        </w:rPr>
      </w:pPr>
      <w:r w:rsidRPr="00D60901">
        <w:rPr>
          <w:rFonts w:ascii="Calibri" w:hAnsi="Calibri" w:cs="FrankRuehl" w:hint="cs"/>
          <w:b/>
          <w:bCs/>
          <w:u w:val="single"/>
          <w:rtl/>
        </w:rPr>
        <w:t>תסקיר</w:t>
      </w:r>
    </w:p>
    <w:p w14:paraId="07A047A2"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 xml:space="preserve">מהתסקיר עולה כי מדובר באדם כבן 21 רווק ללא עבר פלילי. הוא נתון בתנאים של מעצר בית מלא למעט יציאות טיפוליות מאז שוחרר על-ידי ביום 26.11.2017. הנאשם סיים 11 שנות לימוד, כשהחל מכתה י' שהה בפנימיה צבאית אך עזב אותה בשל הקושי שעלה בריחוקו מהבית. הוא סבל מקשיי לימוד והתנהגות שבאו לידי ביטוי גם בשירותו הצבאי, אותו סיים טרם הזמן. עולה כי שירת בצבא כנהג והיה מעורב בתאונה, שהותירה בו חותמה. הנאשם הוא בן יחיד לאמו וגדל עמה ועם הוריה. הנאשם נטל אחריות למעשיו ותיאר כי החל לצרוך סמים מסוג קנאביס בשנות העשרה המאוחרות לאחר משבר אישי שחווה. לאחר שחררו התרועע עם חברה שולית והדבר לא תרם לחייו תרומה חיובית. שירות המבחן מציין, כי למרות טשטוש מסוים של המשמעות הפלילית של מעשיו, הנאשם הבין, בשלב מאוחר יותר של הטיפול, את הפסול שבמעשיו ובהשלכותיהם עליו ועל סביבתו. הנאשם מסר בדיקות שתן לאורך תקופת שחרורו בתנאים, וכולן נמצאו נקיות. בעקבות החווית שעבר הנאשם בעת שירותו הצבאי, הוא הסכים להיות מופנה לפסיכיאטר כפי שהומלץ ע"י שירות המבחן, והוא אובחן כסובל מחרדה. שירות המבחן סבר, כי בתמונה הכוללת, סיכויי השיקום של הנאשם משמעותיים, שכן הוא נתמך ע"י משפחה טובה ונורמטיבית המסייעת לו בקבלת החלטות נכונות, הוא נעדר דפוסים עברייניים, הוא מגלה כוחות תפקוד נורמטיבי טובים וכך היה לאורך חייו, השימוש בסמים נבע ממשבר אליו נקלע ושעמו בחר להתמודד בדרך שגויה של שימוש בסמים והתחברות לחברה לא חיובית עבורו על רקע אישיותו שטרם התגבשה לאישיות בוגרת. שירות המבחן סבור כי הנאשם עבר כברת דרך משמעותית בטיפול, בצלה של חוויית ההליך הפלילי המרתיעה. לכן המליץ שירות המבחן על הטלת מאסר בעבודות שירות תוך הטלת צו מבחן שיבטיח המשך טיפול ומעקב ע"י שירות המבחן. </w:t>
      </w:r>
    </w:p>
    <w:p w14:paraId="2AE8BA64" w14:textId="77777777" w:rsidR="00D60901" w:rsidRPr="00D60901" w:rsidRDefault="00D60901" w:rsidP="00D60901">
      <w:pPr>
        <w:spacing w:after="160" w:line="360" w:lineRule="auto"/>
        <w:jc w:val="both"/>
        <w:rPr>
          <w:rFonts w:ascii="Calibri" w:hAnsi="Calibri" w:cs="FrankRuehl"/>
          <w:rtl/>
        </w:rPr>
      </w:pPr>
    </w:p>
    <w:p w14:paraId="3D434C12" w14:textId="77777777" w:rsidR="00D60901" w:rsidRPr="00D60901" w:rsidRDefault="00D60901" w:rsidP="00D60901">
      <w:pPr>
        <w:spacing w:after="160" w:line="360" w:lineRule="auto"/>
        <w:jc w:val="both"/>
        <w:rPr>
          <w:rFonts w:ascii="Calibri" w:hAnsi="Calibri" w:cs="FrankRuehl"/>
          <w:b/>
          <w:bCs/>
          <w:u w:val="single"/>
          <w:rtl/>
        </w:rPr>
      </w:pPr>
      <w:r w:rsidRPr="00D60901">
        <w:rPr>
          <w:rFonts w:ascii="Calibri" w:hAnsi="Calibri" w:cs="FrankRuehl" w:hint="cs"/>
          <w:b/>
          <w:bCs/>
          <w:u w:val="single"/>
          <w:rtl/>
        </w:rPr>
        <w:t>חוות דעת הממונה על עבודות שירות</w:t>
      </w:r>
    </w:p>
    <w:p w14:paraId="59CA1BCA"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 xml:space="preserve">הנאשם נמצא כשיר לריצוי מאסר בדרך של עבודות שירות. הממונה המליץ על השמת הנאשם ב"ציימס </w:t>
      </w:r>
      <w:r w:rsidRPr="00D60901">
        <w:rPr>
          <w:rFonts w:ascii="Calibri" w:hAnsi="Calibri" w:cs="FrankRuehl"/>
          <w:rtl/>
        </w:rPr>
        <w:t>–</w:t>
      </w:r>
      <w:r w:rsidRPr="00D60901">
        <w:rPr>
          <w:rFonts w:ascii="Calibri" w:hAnsi="Calibri" w:cs="FrankRuehl" w:hint="cs"/>
          <w:rtl/>
        </w:rPr>
        <w:t xml:space="preserve"> מע"ש" בראשון לציון, החל מיום 26.4.2018.</w:t>
      </w:r>
    </w:p>
    <w:p w14:paraId="3998F8A3" w14:textId="77777777" w:rsidR="00D60901" w:rsidRPr="00D60901" w:rsidRDefault="00D60901" w:rsidP="00D60901">
      <w:pPr>
        <w:spacing w:after="160" w:line="360" w:lineRule="auto"/>
        <w:jc w:val="both"/>
        <w:rPr>
          <w:rFonts w:ascii="Calibri" w:hAnsi="Calibri" w:cs="FrankRuehl"/>
          <w:rtl/>
        </w:rPr>
      </w:pPr>
    </w:p>
    <w:p w14:paraId="3C876067" w14:textId="77777777" w:rsidR="00D60901" w:rsidRPr="00D60901" w:rsidRDefault="00D60901" w:rsidP="00D60901">
      <w:pPr>
        <w:spacing w:after="160" w:line="360" w:lineRule="auto"/>
        <w:jc w:val="both"/>
        <w:rPr>
          <w:rFonts w:ascii="Calibri" w:hAnsi="Calibri" w:cs="FrankRuehl"/>
          <w:b/>
          <w:bCs/>
          <w:u w:val="single"/>
          <w:rtl/>
        </w:rPr>
      </w:pPr>
      <w:r w:rsidRPr="00D60901">
        <w:rPr>
          <w:rFonts w:ascii="Calibri" w:hAnsi="Calibri" w:cs="FrankRuehl" w:hint="cs"/>
          <w:b/>
          <w:bCs/>
          <w:u w:val="single"/>
          <w:rtl/>
        </w:rPr>
        <w:t>טיעונים לעונש</w:t>
      </w:r>
    </w:p>
    <w:p w14:paraId="308A2B6E"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 xml:space="preserve">הצדדים לא הגיעו להסכמה עונשית. </w:t>
      </w:r>
    </w:p>
    <w:p w14:paraId="3FB0F6E6"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 xml:space="preserve">מחד, המאשימה טוענת כי יש להטיל על המשיב עונש מאסר משמעותי של 18 חודשים, לנוכח מספר עבירות הסחר והסם המחולק שנתפס אצלו. לטענת ב"כ המאשימה יש לבכר את האינטרס הציבורי שבהוקעת השימוש והסחר בסמים והרתעת הציבור. </w:t>
      </w:r>
    </w:p>
    <w:p w14:paraId="02FCAA87"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lastRenderedPageBreak/>
        <w:t>מאידך, הסניגור טוען הדגיש את רמת הפסיקה הנוהגת והיפנה לפסיקה, בין היתר של בית משפט זה. לטענתו מתחם הענישה צריך לכלול לכל היותר חודשי מאסר בודדים. הסניגור הדגיש את התהליך הטיפולי שעבר הנאשם, את השמירה על התנאים המגבילים בהם מצוי, את גילו הצעיר והיעדר עברו הפלילי ואת נסיבותיו האישיות כפי שפורטו בתסקיר. לכן הסניגור ביקש לבכר את האינטרס השיקומי על פני אינטרסים אחרים בנסיבות מקרה זה. הסניגור עתר להטיל עונש של מאסר בעבודות שירות כהמלצת שירות המבחן.</w:t>
      </w:r>
    </w:p>
    <w:p w14:paraId="3226AFC5" w14:textId="77777777" w:rsidR="00D60901" w:rsidRPr="00D60901" w:rsidRDefault="00D60901" w:rsidP="00D60901">
      <w:pPr>
        <w:spacing w:after="160" w:line="360" w:lineRule="auto"/>
        <w:jc w:val="both"/>
        <w:rPr>
          <w:rFonts w:ascii="Calibri" w:hAnsi="Calibri" w:cs="FrankRuehl"/>
          <w:b/>
          <w:bCs/>
          <w:u w:val="single"/>
          <w:rtl/>
        </w:rPr>
      </w:pPr>
    </w:p>
    <w:p w14:paraId="1131F149" w14:textId="77777777" w:rsidR="00D60901" w:rsidRPr="00D60901" w:rsidRDefault="00D60901" w:rsidP="00D60901">
      <w:pPr>
        <w:spacing w:after="160" w:line="360" w:lineRule="auto"/>
        <w:jc w:val="both"/>
        <w:rPr>
          <w:rFonts w:ascii="Calibri" w:hAnsi="Calibri" w:cs="FrankRuehl"/>
          <w:b/>
          <w:bCs/>
          <w:u w:val="single"/>
          <w:rtl/>
        </w:rPr>
      </w:pPr>
      <w:r w:rsidRPr="00D60901">
        <w:rPr>
          <w:rFonts w:ascii="Calibri" w:hAnsi="Calibri" w:cs="FrankRuehl" w:hint="cs"/>
          <w:b/>
          <w:bCs/>
          <w:u w:val="single"/>
          <w:rtl/>
        </w:rPr>
        <w:t xml:space="preserve">קביעת מתחם הענישה </w:t>
      </w:r>
      <w:r w:rsidRPr="00D60901">
        <w:rPr>
          <w:rFonts w:ascii="Calibri" w:hAnsi="Calibri" w:cs="FrankRuehl"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4024A65" w14:textId="77777777" w:rsidR="00D60901" w:rsidRPr="00D60901" w:rsidRDefault="00D60901" w:rsidP="00D60901">
      <w:pPr>
        <w:spacing w:after="160" w:line="360" w:lineRule="auto"/>
        <w:jc w:val="both"/>
        <w:rPr>
          <w:rFonts w:ascii="Calibri" w:hAnsi="Calibri" w:cs="FrankRuehl"/>
          <w:b/>
          <w:bCs/>
          <w:u w:val="single"/>
          <w:rtl/>
        </w:rPr>
      </w:pPr>
    </w:p>
    <w:p w14:paraId="26ECEC78"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b/>
          <w:bCs/>
          <w:u w:val="single"/>
          <w:rtl/>
        </w:rPr>
        <w:t xml:space="preserve">אשר לערך המוגן </w:t>
      </w:r>
      <w:r w:rsidRPr="00D60901">
        <w:rPr>
          <w:rFonts w:ascii="Calibri" w:hAnsi="Calibri" w:cs="FrankRuehl" w:hint="cs"/>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p>
    <w:p w14:paraId="6A388105" w14:textId="77777777" w:rsidR="00D60901" w:rsidRPr="00D60901" w:rsidRDefault="00D60901" w:rsidP="00D60901">
      <w:pPr>
        <w:spacing w:after="160" w:line="360" w:lineRule="auto"/>
        <w:jc w:val="both"/>
        <w:rPr>
          <w:rFonts w:ascii="Calibri" w:hAnsi="Calibri" w:cs="FrankRuehl"/>
          <w:b/>
          <w:bCs/>
          <w:u w:val="single"/>
          <w:rtl/>
        </w:rPr>
      </w:pPr>
    </w:p>
    <w:p w14:paraId="14BA9D52"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b/>
          <w:bCs/>
          <w:u w:val="single"/>
          <w:rtl/>
        </w:rPr>
        <w:t xml:space="preserve">נסיבות הקשורות בביצוע העבירה, לפי </w:t>
      </w:r>
      <w:hyperlink r:id="rId20" w:history="1">
        <w:r w:rsidR="001711B9" w:rsidRPr="001711B9">
          <w:rPr>
            <w:rFonts w:ascii="Calibri" w:hAnsi="Calibri" w:cs="FrankRuehl" w:hint="eastAsia"/>
            <w:b/>
            <w:bCs/>
            <w:color w:val="0000FF"/>
            <w:u w:val="single"/>
            <w:rtl/>
          </w:rPr>
          <w:t>סעיף</w:t>
        </w:r>
        <w:r w:rsidR="001711B9" w:rsidRPr="001711B9">
          <w:rPr>
            <w:rFonts w:ascii="Calibri" w:hAnsi="Calibri" w:cs="FrankRuehl"/>
            <w:b/>
            <w:bCs/>
            <w:color w:val="0000FF"/>
            <w:u w:val="single"/>
            <w:rtl/>
          </w:rPr>
          <w:t xml:space="preserve"> 40</w:t>
        </w:r>
        <w:r w:rsidR="001711B9" w:rsidRPr="001711B9">
          <w:rPr>
            <w:rFonts w:ascii="Calibri" w:hAnsi="Calibri" w:cs="FrankRuehl" w:hint="eastAsia"/>
            <w:b/>
            <w:bCs/>
            <w:color w:val="0000FF"/>
            <w:u w:val="single"/>
            <w:rtl/>
          </w:rPr>
          <w:t>ט</w:t>
        </w:r>
        <w:r w:rsidR="001711B9" w:rsidRPr="001711B9">
          <w:rPr>
            <w:rFonts w:ascii="Calibri" w:hAnsi="Calibri" w:cs="FrankRuehl"/>
            <w:b/>
            <w:bCs/>
            <w:color w:val="0000FF"/>
            <w:u w:val="single"/>
            <w:rtl/>
          </w:rPr>
          <w:t>'</w:t>
        </w:r>
      </w:hyperlink>
      <w:r w:rsidRPr="00D60901">
        <w:rPr>
          <w:rFonts w:ascii="Calibri" w:hAnsi="Calibri" w:cs="FrankRuehl" w:hint="cs"/>
          <w:b/>
          <w:bCs/>
          <w:u w:val="single"/>
          <w:rtl/>
        </w:rPr>
        <w:t xml:space="preserve"> ל</w:t>
      </w:r>
      <w:hyperlink r:id="rId21" w:history="1">
        <w:r w:rsidR="00F842D4" w:rsidRPr="00F842D4">
          <w:rPr>
            <w:rFonts w:ascii="Calibri" w:hAnsi="Calibri" w:cs="FrankRuehl" w:hint="eastAsia"/>
            <w:b/>
            <w:bCs/>
            <w:color w:val="0000FF"/>
            <w:u w:val="single"/>
            <w:rtl/>
          </w:rPr>
          <w:t>חוק</w:t>
        </w:r>
        <w:r w:rsidR="00F842D4" w:rsidRPr="00F842D4">
          <w:rPr>
            <w:rFonts w:ascii="Calibri" w:hAnsi="Calibri" w:cs="FrankRuehl"/>
            <w:b/>
            <w:bCs/>
            <w:color w:val="0000FF"/>
            <w:u w:val="single"/>
            <w:rtl/>
          </w:rPr>
          <w:t xml:space="preserve"> </w:t>
        </w:r>
        <w:r w:rsidR="00F842D4" w:rsidRPr="00F842D4">
          <w:rPr>
            <w:rFonts w:ascii="Calibri" w:hAnsi="Calibri" w:cs="FrankRuehl" w:hint="eastAsia"/>
            <w:b/>
            <w:bCs/>
            <w:color w:val="0000FF"/>
            <w:u w:val="single"/>
            <w:rtl/>
          </w:rPr>
          <w:t>העונשין</w:t>
        </w:r>
      </w:hyperlink>
      <w:r w:rsidRPr="00D60901">
        <w:rPr>
          <w:rFonts w:ascii="Calibri" w:hAnsi="Calibri" w:cs="FrankRuehl" w:hint="cs"/>
          <w:b/>
          <w:bCs/>
          <w:rtl/>
        </w:rPr>
        <w:t xml:space="preserve"> – </w:t>
      </w:r>
      <w:r w:rsidRPr="00D60901">
        <w:rPr>
          <w:rFonts w:ascii="Calibri" w:hAnsi="Calibri" w:cs="FrankRuehl" w:hint="cs"/>
          <w:rtl/>
        </w:rPr>
        <w:t xml:space="preserve">בין הנסיבות הקשורות בביצוע העבירה יש לשקול את אלה, לעניין קביעת המתחם: שני האישומים מעידים על תכנון </w:t>
      </w:r>
      <w:r w:rsidRPr="00D60901">
        <w:rPr>
          <w:rFonts w:ascii="Calibri" w:hAnsi="Calibri" w:cs="FrankRuehl"/>
          <w:rtl/>
        </w:rPr>
        <w:t>–</w:t>
      </w:r>
      <w:r w:rsidRPr="00D60901">
        <w:rPr>
          <w:rFonts w:ascii="Calibri" w:hAnsi="Calibri" w:cs="FrankRuehl" w:hint="cs"/>
          <w:rtl/>
        </w:rPr>
        <w:t xml:space="preserve"> הן ברמת הסחר והן ברמת פיזור הסמים שנמצאו; הנאשם אחראי בלעדית למעשיו; לנוכח סוג הסם, הכמויות הקטנות והסכומים הנמוכים, לא ניתן לומר כי הסחר בוצע למען בצע כסף; הנזק מביצוע עבירות סמים ובוודאי שמעצם הפצתם ידוע; מתסקיר שירות המבחן עולה כי הנאשם היה נתון במשבר ופנה לשימוש בסמים. כמו כן נטען כי רק כעת הנאשם מבין את הפסול שבמעשיו כך שייתכן שלא ידע לאשורה את חומרת מעשיו בעת ביצועם</w:t>
      </w:r>
      <w:r w:rsidRPr="00D60901">
        <w:rPr>
          <w:rFonts w:ascii="Calibri" w:hAnsi="Calibri" w:cs="FrankRuehl"/>
          <w:rtl/>
        </w:rPr>
        <w:t>–</w:t>
      </w:r>
      <w:r w:rsidRPr="00D60901">
        <w:rPr>
          <w:rFonts w:ascii="Calibri" w:hAnsi="Calibri" w:cs="FrankRuehl" w:hint="cs"/>
          <w:rtl/>
        </w:rPr>
        <w:t xml:space="preserve"> הדבר מתיישב עם מאפייני אישיותו הבלתי מגובשים של הנאשם בעת המעשים בהיותו צעיר כבן 21.</w:t>
      </w:r>
    </w:p>
    <w:p w14:paraId="563219F8" w14:textId="77777777" w:rsidR="00D60901" w:rsidRPr="00D60901" w:rsidRDefault="00D60901" w:rsidP="00D60901">
      <w:pPr>
        <w:spacing w:after="160" w:line="360" w:lineRule="auto"/>
        <w:jc w:val="both"/>
        <w:rPr>
          <w:rFonts w:ascii="Calibri" w:hAnsi="Calibri" w:cs="FrankRuehl"/>
          <w:b/>
          <w:bCs/>
          <w:u w:val="single"/>
          <w:rtl/>
        </w:rPr>
      </w:pPr>
    </w:p>
    <w:p w14:paraId="5B1B2E5C" w14:textId="77777777" w:rsidR="00D60901" w:rsidRPr="00D60901" w:rsidRDefault="00D60901" w:rsidP="00D60901">
      <w:pPr>
        <w:pStyle w:val="a9"/>
        <w:spacing w:line="360" w:lineRule="auto"/>
        <w:jc w:val="both"/>
        <w:rPr>
          <w:rFonts w:ascii="Calibri" w:hAnsi="Calibri" w:cs="FrankRuehl"/>
          <w:sz w:val="24"/>
          <w:szCs w:val="24"/>
          <w:rtl/>
        </w:rPr>
      </w:pPr>
      <w:r w:rsidRPr="00D60901">
        <w:rPr>
          <w:rFonts w:ascii="Calibri" w:hAnsi="Calibri" w:cs="FrankRuehl" w:hint="cs"/>
          <w:b/>
          <w:bCs/>
          <w:sz w:val="24"/>
          <w:szCs w:val="24"/>
          <w:u w:val="single"/>
          <w:rtl/>
        </w:rPr>
        <w:t>מדיניות הענישה הנוהגת</w:t>
      </w:r>
      <w:r w:rsidRPr="00D60901">
        <w:rPr>
          <w:rFonts w:ascii="Calibri" w:hAnsi="Calibri" w:cs="FrankRuehl" w:hint="cs"/>
          <w:sz w:val="24"/>
          <w:szCs w:val="24"/>
          <w:rtl/>
        </w:rPr>
        <w:t xml:space="preserve"> – בנסיבות הללו של ביצוע העבירות בהן הורשע הנאשם ניתן להצביע על פסיקה מגוונת. </w:t>
      </w:r>
    </w:p>
    <w:p w14:paraId="3CCE7582" w14:textId="77777777" w:rsidR="00D60901" w:rsidRPr="00D60901" w:rsidRDefault="00D60901" w:rsidP="00D60901">
      <w:pPr>
        <w:pStyle w:val="a9"/>
        <w:spacing w:line="360" w:lineRule="auto"/>
        <w:jc w:val="both"/>
        <w:rPr>
          <w:rFonts w:ascii="Calibri" w:hAnsi="Calibri" w:cs="FrankRuehl"/>
          <w:sz w:val="24"/>
          <w:szCs w:val="24"/>
          <w:rtl/>
        </w:rPr>
      </w:pPr>
      <w:r w:rsidRPr="00D60901">
        <w:rPr>
          <w:rFonts w:ascii="Calibri" w:hAnsi="Calibri" w:cs="FrankRuehl" w:hint="cs"/>
          <w:sz w:val="24"/>
          <w:szCs w:val="24"/>
          <w:rtl/>
        </w:rPr>
        <w:t>התובע היפנה ל</w:t>
      </w:r>
      <w:hyperlink r:id="rId22" w:history="1">
        <w:r w:rsidR="00F842D4" w:rsidRPr="00F842D4">
          <w:rPr>
            <w:rFonts w:ascii="Calibri" w:hAnsi="Calibri" w:cs="FrankRuehl" w:hint="eastAsia"/>
            <w:color w:val="0000FF"/>
            <w:sz w:val="24"/>
            <w:szCs w:val="24"/>
            <w:u w:val="single"/>
            <w:rtl/>
          </w:rPr>
          <w:t>רע</w:t>
        </w:r>
        <w:r w:rsidR="00F842D4" w:rsidRPr="00F842D4">
          <w:rPr>
            <w:rFonts w:ascii="Calibri" w:hAnsi="Calibri" w:cs="FrankRuehl"/>
            <w:color w:val="0000FF"/>
            <w:sz w:val="24"/>
            <w:szCs w:val="24"/>
            <w:u w:val="single"/>
            <w:rtl/>
          </w:rPr>
          <w:t>"</w:t>
        </w:r>
        <w:r w:rsidR="00F842D4" w:rsidRPr="00F842D4">
          <w:rPr>
            <w:rFonts w:ascii="Calibri" w:hAnsi="Calibri" w:cs="FrankRuehl" w:hint="eastAsia"/>
            <w:color w:val="0000FF"/>
            <w:sz w:val="24"/>
            <w:szCs w:val="24"/>
            <w:u w:val="single"/>
            <w:rtl/>
          </w:rPr>
          <w:t>פ</w:t>
        </w:r>
        <w:r w:rsidR="00F842D4" w:rsidRPr="00F842D4">
          <w:rPr>
            <w:rFonts w:ascii="Calibri" w:hAnsi="Calibri" w:cs="FrankRuehl"/>
            <w:color w:val="0000FF"/>
            <w:sz w:val="24"/>
            <w:szCs w:val="24"/>
            <w:u w:val="single"/>
            <w:rtl/>
          </w:rPr>
          <w:t xml:space="preserve"> 5712/16</w:t>
        </w:r>
      </w:hyperlink>
      <w:r w:rsidRPr="00D60901">
        <w:rPr>
          <w:rFonts w:ascii="Calibri" w:hAnsi="Calibri" w:cs="FrankRuehl" w:hint="cs"/>
          <w:sz w:val="24"/>
          <w:szCs w:val="24"/>
          <w:rtl/>
        </w:rPr>
        <w:t xml:space="preserve"> </w:t>
      </w:r>
      <w:r w:rsidRPr="00D60901">
        <w:rPr>
          <w:rFonts w:ascii="Calibri" w:hAnsi="Calibri" w:cs="FrankRuehl" w:hint="cs"/>
          <w:b/>
          <w:bCs/>
          <w:sz w:val="24"/>
          <w:szCs w:val="24"/>
          <w:u w:val="single"/>
          <w:rtl/>
        </w:rPr>
        <w:t>אייזנבך</w:t>
      </w:r>
      <w:r w:rsidRPr="00D60901">
        <w:rPr>
          <w:rFonts w:ascii="Calibri" w:hAnsi="Calibri" w:cs="FrankRuehl" w:hint="cs"/>
          <w:sz w:val="24"/>
          <w:szCs w:val="24"/>
          <w:rtl/>
        </w:rPr>
        <w:t xml:space="preserve"> נ' </w:t>
      </w:r>
      <w:r w:rsidRPr="00D60901">
        <w:rPr>
          <w:rFonts w:ascii="Calibri" w:hAnsi="Calibri" w:cs="FrankRuehl" w:hint="cs"/>
          <w:b/>
          <w:bCs/>
          <w:sz w:val="24"/>
          <w:szCs w:val="24"/>
          <w:u w:val="single"/>
          <w:rtl/>
        </w:rPr>
        <w:t>מ"</w:t>
      </w:r>
      <w:r w:rsidRPr="00D60901">
        <w:rPr>
          <w:rFonts w:ascii="Calibri" w:hAnsi="Calibri" w:cs="FrankRuehl" w:hint="cs"/>
          <w:sz w:val="24"/>
          <w:szCs w:val="24"/>
          <w:rtl/>
        </w:rPr>
        <w:t>י (מיום 17.8.2016) שם אושר מתחם ענישה בין 8 ל-24 חודשי מאסר ונגזרו 8 חודשי מאסר בנסיבות של שלושה מקרי סחר. שם דובר בתמורה משמעותית יותר. הופניתי גם ל</w:t>
      </w:r>
      <w:hyperlink r:id="rId23" w:history="1">
        <w:r w:rsidR="00F842D4" w:rsidRPr="00F842D4">
          <w:rPr>
            <w:rFonts w:ascii="Calibri" w:hAnsi="Calibri" w:cs="FrankRuehl" w:hint="eastAsia"/>
            <w:color w:val="0000FF"/>
            <w:sz w:val="24"/>
            <w:szCs w:val="24"/>
            <w:u w:val="single"/>
            <w:rtl/>
          </w:rPr>
          <w:t>רע</w:t>
        </w:r>
        <w:r w:rsidR="00F842D4" w:rsidRPr="00F842D4">
          <w:rPr>
            <w:rFonts w:ascii="Calibri" w:hAnsi="Calibri" w:cs="FrankRuehl"/>
            <w:color w:val="0000FF"/>
            <w:sz w:val="24"/>
            <w:szCs w:val="24"/>
            <w:u w:val="single"/>
            <w:rtl/>
          </w:rPr>
          <w:t>"</w:t>
        </w:r>
        <w:r w:rsidR="00F842D4" w:rsidRPr="00F842D4">
          <w:rPr>
            <w:rFonts w:ascii="Calibri" w:hAnsi="Calibri" w:cs="FrankRuehl" w:hint="eastAsia"/>
            <w:color w:val="0000FF"/>
            <w:sz w:val="24"/>
            <w:szCs w:val="24"/>
            <w:u w:val="single"/>
            <w:rtl/>
          </w:rPr>
          <w:t>פ</w:t>
        </w:r>
        <w:r w:rsidR="00F842D4" w:rsidRPr="00F842D4">
          <w:rPr>
            <w:rFonts w:ascii="Calibri" w:hAnsi="Calibri" w:cs="FrankRuehl"/>
            <w:color w:val="0000FF"/>
            <w:sz w:val="24"/>
            <w:szCs w:val="24"/>
            <w:u w:val="single"/>
            <w:rtl/>
          </w:rPr>
          <w:t xml:space="preserve"> 5698/17</w:t>
        </w:r>
      </w:hyperlink>
      <w:r w:rsidRPr="00D60901">
        <w:rPr>
          <w:rFonts w:ascii="Calibri" w:hAnsi="Calibri" w:cs="FrankRuehl" w:hint="cs"/>
          <w:sz w:val="24"/>
          <w:szCs w:val="24"/>
          <w:rtl/>
        </w:rPr>
        <w:t xml:space="preserve"> </w:t>
      </w:r>
      <w:r w:rsidRPr="00D60901">
        <w:rPr>
          <w:rFonts w:ascii="Calibri" w:hAnsi="Calibri" w:cs="FrankRuehl" w:hint="cs"/>
          <w:b/>
          <w:bCs/>
          <w:sz w:val="24"/>
          <w:szCs w:val="24"/>
          <w:u w:val="single"/>
          <w:rtl/>
        </w:rPr>
        <w:t>ליפצר</w:t>
      </w:r>
      <w:r w:rsidRPr="00D60901">
        <w:rPr>
          <w:rFonts w:ascii="Calibri" w:hAnsi="Calibri" w:cs="FrankRuehl" w:hint="cs"/>
          <w:sz w:val="24"/>
          <w:szCs w:val="24"/>
          <w:rtl/>
        </w:rPr>
        <w:t xml:space="preserve"> נ' </w:t>
      </w:r>
      <w:r w:rsidRPr="00D60901">
        <w:rPr>
          <w:rFonts w:ascii="Calibri" w:hAnsi="Calibri" w:cs="FrankRuehl" w:hint="cs"/>
          <w:b/>
          <w:bCs/>
          <w:sz w:val="24"/>
          <w:szCs w:val="24"/>
          <w:u w:val="single"/>
          <w:rtl/>
        </w:rPr>
        <w:t>מ"י</w:t>
      </w:r>
      <w:r w:rsidRPr="00D60901">
        <w:rPr>
          <w:rFonts w:ascii="Calibri" w:hAnsi="Calibri" w:cs="FrankRuehl" w:hint="cs"/>
          <w:sz w:val="24"/>
          <w:szCs w:val="24"/>
          <w:rtl/>
        </w:rPr>
        <w:t xml:space="preserve"> (מיום4.9.2017) אולם שם לטעמי אין פירוט של כמות הסמים והתמורה וקשה ללמוד ממקרה זה.</w:t>
      </w:r>
    </w:p>
    <w:p w14:paraId="577EE041" w14:textId="77777777" w:rsidR="00D60901" w:rsidRPr="00D60901" w:rsidRDefault="00D60901" w:rsidP="00D60901">
      <w:pPr>
        <w:pStyle w:val="a9"/>
        <w:spacing w:line="360" w:lineRule="auto"/>
        <w:jc w:val="both"/>
        <w:rPr>
          <w:rFonts w:ascii="Calibri" w:hAnsi="Calibri" w:cs="FrankRuehl"/>
          <w:sz w:val="24"/>
          <w:szCs w:val="24"/>
          <w:rtl/>
        </w:rPr>
      </w:pPr>
    </w:p>
    <w:p w14:paraId="396E0A43" w14:textId="77777777" w:rsidR="00D60901" w:rsidRPr="00D60901" w:rsidRDefault="00D60901" w:rsidP="00D60901">
      <w:pPr>
        <w:pStyle w:val="a9"/>
        <w:spacing w:line="360" w:lineRule="auto"/>
        <w:jc w:val="both"/>
        <w:rPr>
          <w:rFonts w:ascii="Calibri" w:hAnsi="Calibri" w:cs="FrankRuehl"/>
          <w:sz w:val="24"/>
          <w:szCs w:val="24"/>
          <w:rtl/>
        </w:rPr>
      </w:pPr>
      <w:r w:rsidRPr="00D60901">
        <w:rPr>
          <w:rFonts w:ascii="Calibri" w:hAnsi="Calibri" w:cs="FrankRuehl" w:hint="cs"/>
          <w:sz w:val="24"/>
          <w:szCs w:val="24"/>
          <w:rtl/>
        </w:rPr>
        <w:t>יחד עם זאת, ב</w:t>
      </w:r>
      <w:hyperlink r:id="rId24" w:history="1">
        <w:r w:rsidR="00F842D4" w:rsidRPr="00F842D4">
          <w:rPr>
            <w:rFonts w:ascii="Calibri" w:hAnsi="Calibri" w:cs="FrankRuehl" w:hint="eastAsia"/>
            <w:color w:val="0000FF"/>
            <w:sz w:val="24"/>
            <w:szCs w:val="24"/>
            <w:u w:val="single"/>
            <w:rtl/>
          </w:rPr>
          <w:t>רע</w:t>
        </w:r>
        <w:r w:rsidR="00F842D4" w:rsidRPr="00F842D4">
          <w:rPr>
            <w:rFonts w:ascii="Calibri" w:hAnsi="Calibri" w:cs="FrankRuehl"/>
            <w:color w:val="0000FF"/>
            <w:sz w:val="24"/>
            <w:szCs w:val="24"/>
            <w:u w:val="single"/>
            <w:rtl/>
          </w:rPr>
          <w:t>"</w:t>
        </w:r>
        <w:r w:rsidR="00F842D4" w:rsidRPr="00F842D4">
          <w:rPr>
            <w:rFonts w:ascii="Calibri" w:hAnsi="Calibri" w:cs="FrankRuehl" w:hint="eastAsia"/>
            <w:color w:val="0000FF"/>
            <w:sz w:val="24"/>
            <w:szCs w:val="24"/>
            <w:u w:val="single"/>
            <w:rtl/>
          </w:rPr>
          <w:t>פ</w:t>
        </w:r>
        <w:r w:rsidR="00F842D4" w:rsidRPr="00F842D4">
          <w:rPr>
            <w:rFonts w:ascii="Calibri" w:hAnsi="Calibri" w:cs="FrankRuehl"/>
            <w:color w:val="0000FF"/>
            <w:sz w:val="24"/>
            <w:szCs w:val="24"/>
            <w:u w:val="single"/>
            <w:rtl/>
          </w:rPr>
          <w:t xml:space="preserve"> 6869/17</w:t>
        </w:r>
      </w:hyperlink>
      <w:r w:rsidRPr="00D60901">
        <w:rPr>
          <w:rFonts w:ascii="Calibri" w:hAnsi="Calibri" w:cs="FrankRuehl"/>
          <w:sz w:val="24"/>
          <w:szCs w:val="24"/>
          <w:rtl/>
        </w:rPr>
        <w:t xml:space="preserve"> </w:t>
      </w:r>
      <w:r w:rsidRPr="00D60901">
        <w:rPr>
          <w:rFonts w:ascii="Calibri" w:hAnsi="Calibri" w:cs="FrankRuehl" w:hint="eastAsia"/>
          <w:b/>
          <w:bCs/>
          <w:sz w:val="24"/>
          <w:szCs w:val="24"/>
          <w:u w:val="single"/>
          <w:rtl/>
        </w:rPr>
        <w:t>פילברג</w:t>
      </w:r>
      <w:r w:rsidRPr="00D60901">
        <w:rPr>
          <w:rFonts w:ascii="Calibri" w:hAnsi="Calibri" w:cs="FrankRuehl"/>
          <w:sz w:val="24"/>
          <w:szCs w:val="24"/>
          <w:rtl/>
        </w:rPr>
        <w:t xml:space="preserve"> </w:t>
      </w:r>
      <w:r w:rsidRPr="00D60901">
        <w:rPr>
          <w:rFonts w:ascii="Calibri" w:hAnsi="Calibri" w:cs="FrankRuehl" w:hint="eastAsia"/>
          <w:sz w:val="24"/>
          <w:szCs w:val="24"/>
          <w:rtl/>
        </w:rPr>
        <w:t>נ</w:t>
      </w:r>
      <w:r w:rsidRPr="00D60901">
        <w:rPr>
          <w:rFonts w:ascii="Calibri" w:hAnsi="Calibri" w:cs="FrankRuehl"/>
          <w:sz w:val="24"/>
          <w:szCs w:val="24"/>
          <w:rtl/>
        </w:rPr>
        <w:t xml:space="preserve">' </w:t>
      </w:r>
      <w:r w:rsidRPr="00D60901">
        <w:rPr>
          <w:rFonts w:ascii="Calibri" w:hAnsi="Calibri" w:cs="FrankRuehl" w:hint="eastAsia"/>
          <w:b/>
          <w:bCs/>
          <w:sz w:val="24"/>
          <w:szCs w:val="24"/>
          <w:u w:val="single"/>
          <w:rtl/>
        </w:rPr>
        <w:t>מ</w:t>
      </w:r>
      <w:r w:rsidRPr="00D60901">
        <w:rPr>
          <w:rFonts w:ascii="Calibri" w:hAnsi="Calibri" w:cs="FrankRuehl"/>
          <w:b/>
          <w:bCs/>
          <w:sz w:val="24"/>
          <w:szCs w:val="24"/>
          <w:u w:val="single"/>
          <w:rtl/>
        </w:rPr>
        <w:t>"</w:t>
      </w:r>
      <w:r w:rsidRPr="00D60901">
        <w:rPr>
          <w:rFonts w:ascii="Calibri" w:hAnsi="Calibri" w:cs="FrankRuehl" w:hint="eastAsia"/>
          <w:b/>
          <w:bCs/>
          <w:sz w:val="24"/>
          <w:szCs w:val="24"/>
          <w:u w:val="single"/>
          <w:rtl/>
        </w:rPr>
        <w:t>י</w:t>
      </w:r>
      <w:r w:rsidRPr="00D60901">
        <w:rPr>
          <w:rFonts w:ascii="Calibri" w:hAnsi="Calibri" w:cs="FrankRuehl"/>
          <w:sz w:val="24"/>
          <w:szCs w:val="24"/>
          <w:rtl/>
        </w:rPr>
        <w:t xml:space="preserve"> (</w:t>
      </w:r>
      <w:r w:rsidRPr="00D60901">
        <w:rPr>
          <w:rFonts w:ascii="Calibri" w:hAnsi="Calibri" w:cs="FrankRuehl" w:hint="eastAsia"/>
          <w:sz w:val="24"/>
          <w:szCs w:val="24"/>
          <w:rtl/>
        </w:rPr>
        <w:t>מיום</w:t>
      </w:r>
      <w:r w:rsidRPr="00D60901">
        <w:rPr>
          <w:rFonts w:ascii="Calibri" w:hAnsi="Calibri" w:cs="FrankRuehl"/>
          <w:sz w:val="24"/>
          <w:szCs w:val="24"/>
          <w:rtl/>
        </w:rPr>
        <w:t xml:space="preserve"> 11.9.2017)</w:t>
      </w:r>
      <w:r w:rsidRPr="00D60901">
        <w:rPr>
          <w:rFonts w:ascii="Calibri" w:hAnsi="Calibri" w:cs="FrankRuehl" w:hint="cs"/>
          <w:sz w:val="24"/>
          <w:szCs w:val="24"/>
          <w:rtl/>
        </w:rPr>
        <w:t xml:space="preserve"> נקבע כך</w:t>
      </w:r>
      <w:r w:rsidRPr="00D60901">
        <w:rPr>
          <w:rFonts w:ascii="Calibri" w:hAnsi="Calibri" w:cs="FrankRuehl"/>
          <w:sz w:val="24"/>
          <w:szCs w:val="24"/>
          <w:rtl/>
        </w:rPr>
        <w:t>: "</w:t>
      </w:r>
      <w:r w:rsidRPr="00D60901">
        <w:rPr>
          <w:rFonts w:ascii="Calibri" w:hAnsi="Calibri" w:cs="FrankRuehl" w:hint="eastAsia"/>
          <w:sz w:val="24"/>
          <w:szCs w:val="24"/>
          <w:rtl/>
        </w:rPr>
        <w:t>עבירות</w:t>
      </w:r>
      <w:r w:rsidRPr="00D60901">
        <w:rPr>
          <w:rFonts w:ascii="Calibri" w:hAnsi="Calibri" w:cs="FrankRuehl"/>
          <w:sz w:val="24"/>
          <w:szCs w:val="24"/>
          <w:rtl/>
        </w:rPr>
        <w:t xml:space="preserve"> </w:t>
      </w:r>
      <w:r w:rsidRPr="00D60901">
        <w:rPr>
          <w:rFonts w:ascii="Calibri" w:hAnsi="Calibri" w:cs="FrankRuehl" w:hint="eastAsia"/>
          <w:sz w:val="24"/>
          <w:szCs w:val="24"/>
          <w:rtl/>
        </w:rPr>
        <w:t>הסמים</w:t>
      </w:r>
      <w:r w:rsidRPr="00D60901">
        <w:rPr>
          <w:rFonts w:ascii="Calibri" w:hAnsi="Calibri" w:cs="FrankRuehl"/>
          <w:sz w:val="24"/>
          <w:szCs w:val="24"/>
          <w:rtl/>
        </w:rPr>
        <w:t xml:space="preserve"> </w:t>
      </w:r>
      <w:r w:rsidRPr="00D60901">
        <w:rPr>
          <w:rFonts w:ascii="Calibri" w:hAnsi="Calibri" w:cs="FrankRuehl" w:hint="eastAsia"/>
          <w:sz w:val="24"/>
          <w:szCs w:val="24"/>
          <w:rtl/>
        </w:rPr>
        <w:t>הפכו</w:t>
      </w:r>
      <w:r w:rsidRPr="00D60901">
        <w:rPr>
          <w:rFonts w:ascii="Calibri" w:hAnsi="Calibri" w:cs="FrankRuehl"/>
          <w:sz w:val="24"/>
          <w:szCs w:val="24"/>
          <w:rtl/>
        </w:rPr>
        <w:t xml:space="preserve"> </w:t>
      </w:r>
      <w:r w:rsidRPr="00D60901">
        <w:rPr>
          <w:rFonts w:ascii="Calibri" w:hAnsi="Calibri" w:cs="FrankRuehl" w:hint="eastAsia"/>
          <w:sz w:val="24"/>
          <w:szCs w:val="24"/>
          <w:rtl/>
        </w:rPr>
        <w:t>זה</w:t>
      </w:r>
      <w:r w:rsidRPr="00D60901">
        <w:rPr>
          <w:rFonts w:ascii="Calibri" w:hAnsi="Calibri" w:cs="FrankRuehl"/>
          <w:sz w:val="24"/>
          <w:szCs w:val="24"/>
          <w:rtl/>
        </w:rPr>
        <w:t xml:space="preserve"> </w:t>
      </w:r>
      <w:r w:rsidRPr="00D60901">
        <w:rPr>
          <w:rFonts w:ascii="Calibri" w:hAnsi="Calibri" w:cs="FrankRuehl" w:hint="eastAsia"/>
          <w:sz w:val="24"/>
          <w:szCs w:val="24"/>
          <w:rtl/>
        </w:rPr>
        <w:t>מכבר</w:t>
      </w:r>
      <w:r w:rsidRPr="00D60901">
        <w:rPr>
          <w:rFonts w:ascii="Calibri" w:hAnsi="Calibri" w:cs="FrankRuehl"/>
          <w:sz w:val="24"/>
          <w:szCs w:val="24"/>
          <w:rtl/>
        </w:rPr>
        <w:t xml:space="preserve"> </w:t>
      </w:r>
      <w:r w:rsidRPr="00D60901">
        <w:rPr>
          <w:rFonts w:ascii="Calibri" w:hAnsi="Calibri" w:cs="FrankRuehl" w:hint="eastAsia"/>
          <w:sz w:val="24"/>
          <w:szCs w:val="24"/>
          <w:rtl/>
        </w:rPr>
        <w:t>לנגע</w:t>
      </w:r>
      <w:r w:rsidRPr="00D60901">
        <w:rPr>
          <w:rFonts w:ascii="Calibri" w:hAnsi="Calibri" w:cs="FrankRuehl"/>
          <w:sz w:val="24"/>
          <w:szCs w:val="24"/>
          <w:rtl/>
        </w:rPr>
        <w:t xml:space="preserve"> </w:t>
      </w:r>
      <w:r w:rsidRPr="00D60901">
        <w:rPr>
          <w:rFonts w:ascii="Calibri" w:hAnsi="Calibri" w:cs="FrankRuehl" w:hint="eastAsia"/>
          <w:sz w:val="24"/>
          <w:szCs w:val="24"/>
          <w:rtl/>
        </w:rPr>
        <w:t>הפוגע</w:t>
      </w:r>
      <w:r w:rsidRPr="00D60901">
        <w:rPr>
          <w:rFonts w:ascii="Calibri" w:hAnsi="Calibri" w:cs="FrankRuehl"/>
          <w:sz w:val="24"/>
          <w:szCs w:val="24"/>
          <w:rtl/>
        </w:rPr>
        <w:t xml:space="preserve"> </w:t>
      </w:r>
      <w:r w:rsidRPr="00D60901">
        <w:rPr>
          <w:rFonts w:ascii="Calibri" w:hAnsi="Calibri" w:cs="FrankRuehl" w:hint="eastAsia"/>
          <w:sz w:val="24"/>
          <w:szCs w:val="24"/>
          <w:rtl/>
        </w:rPr>
        <w:t>בציבור</w:t>
      </w:r>
      <w:r w:rsidRPr="00D60901">
        <w:rPr>
          <w:rFonts w:ascii="Calibri" w:hAnsi="Calibri" w:cs="FrankRuehl"/>
          <w:sz w:val="24"/>
          <w:szCs w:val="24"/>
          <w:rtl/>
        </w:rPr>
        <w:t xml:space="preserve"> </w:t>
      </w:r>
      <w:r w:rsidRPr="00D60901">
        <w:rPr>
          <w:rFonts w:ascii="Calibri" w:hAnsi="Calibri" w:cs="FrankRuehl" w:hint="eastAsia"/>
          <w:sz w:val="24"/>
          <w:szCs w:val="24"/>
          <w:rtl/>
        </w:rPr>
        <w:t>המשתמשים</w:t>
      </w:r>
      <w:r w:rsidRPr="00D60901">
        <w:rPr>
          <w:rFonts w:ascii="Calibri" w:hAnsi="Calibri" w:cs="FrankRuehl"/>
          <w:sz w:val="24"/>
          <w:szCs w:val="24"/>
          <w:rtl/>
        </w:rPr>
        <w:t xml:space="preserve"> </w:t>
      </w:r>
      <w:r w:rsidRPr="00D60901">
        <w:rPr>
          <w:rFonts w:ascii="Calibri" w:hAnsi="Calibri" w:cs="FrankRuehl" w:hint="eastAsia"/>
          <w:sz w:val="24"/>
          <w:szCs w:val="24"/>
          <w:rtl/>
        </w:rPr>
        <w:t>ובחברה</w:t>
      </w:r>
      <w:r w:rsidRPr="00D60901">
        <w:rPr>
          <w:rFonts w:ascii="Calibri" w:hAnsi="Calibri" w:cs="FrankRuehl"/>
          <w:sz w:val="24"/>
          <w:szCs w:val="24"/>
          <w:rtl/>
        </w:rPr>
        <w:t xml:space="preserve"> </w:t>
      </w:r>
      <w:r w:rsidRPr="00D60901">
        <w:rPr>
          <w:rFonts w:ascii="Calibri" w:hAnsi="Calibri" w:cs="FrankRuehl" w:hint="eastAsia"/>
          <w:sz w:val="24"/>
          <w:szCs w:val="24"/>
          <w:rtl/>
        </w:rPr>
        <w:t>בכללותה</w:t>
      </w:r>
      <w:r w:rsidRPr="00D60901">
        <w:rPr>
          <w:rFonts w:ascii="Calibri" w:hAnsi="Calibri" w:cs="FrankRuehl"/>
          <w:sz w:val="24"/>
          <w:szCs w:val="24"/>
          <w:rtl/>
        </w:rPr>
        <w:t xml:space="preserve">, </w:t>
      </w:r>
      <w:r w:rsidRPr="00D60901">
        <w:rPr>
          <w:rFonts w:ascii="Calibri" w:hAnsi="Calibri" w:cs="FrankRuehl" w:hint="eastAsia"/>
          <w:sz w:val="24"/>
          <w:szCs w:val="24"/>
          <w:rtl/>
        </w:rPr>
        <w:t>ויש</w:t>
      </w:r>
      <w:r w:rsidRPr="00D60901">
        <w:rPr>
          <w:rFonts w:ascii="Calibri" w:hAnsi="Calibri" w:cs="FrankRuehl"/>
          <w:sz w:val="24"/>
          <w:szCs w:val="24"/>
          <w:rtl/>
        </w:rPr>
        <w:t xml:space="preserve"> </w:t>
      </w:r>
      <w:r w:rsidRPr="00D60901">
        <w:rPr>
          <w:rFonts w:ascii="Calibri" w:hAnsi="Calibri" w:cs="FrankRuehl" w:hint="eastAsia"/>
          <w:sz w:val="24"/>
          <w:szCs w:val="24"/>
          <w:rtl/>
        </w:rPr>
        <w:t>לעשות</w:t>
      </w:r>
      <w:r w:rsidRPr="00D60901">
        <w:rPr>
          <w:rFonts w:ascii="Calibri" w:hAnsi="Calibri" w:cs="FrankRuehl"/>
          <w:sz w:val="24"/>
          <w:szCs w:val="24"/>
          <w:rtl/>
        </w:rPr>
        <w:t xml:space="preserve"> </w:t>
      </w:r>
      <w:r w:rsidRPr="00D60901">
        <w:rPr>
          <w:rFonts w:ascii="Calibri" w:hAnsi="Calibri" w:cs="FrankRuehl" w:hint="eastAsia"/>
          <w:sz w:val="24"/>
          <w:szCs w:val="24"/>
          <w:rtl/>
        </w:rPr>
        <w:t>הכל</w:t>
      </w:r>
      <w:r w:rsidRPr="00D60901">
        <w:rPr>
          <w:rFonts w:ascii="Calibri" w:hAnsi="Calibri" w:cs="FrankRuehl"/>
          <w:sz w:val="24"/>
          <w:szCs w:val="24"/>
          <w:rtl/>
        </w:rPr>
        <w:t xml:space="preserve"> </w:t>
      </w:r>
      <w:r w:rsidRPr="00D60901">
        <w:rPr>
          <w:rFonts w:ascii="Calibri" w:hAnsi="Calibri" w:cs="FrankRuehl" w:hint="eastAsia"/>
          <w:sz w:val="24"/>
          <w:szCs w:val="24"/>
          <w:rtl/>
        </w:rPr>
        <w:t>על</w:t>
      </w:r>
      <w:r w:rsidRPr="00D60901">
        <w:rPr>
          <w:rFonts w:ascii="Calibri" w:hAnsi="Calibri" w:cs="FrankRuehl"/>
          <w:sz w:val="24"/>
          <w:szCs w:val="24"/>
          <w:rtl/>
        </w:rPr>
        <w:t xml:space="preserve"> </w:t>
      </w:r>
      <w:r w:rsidRPr="00D60901">
        <w:rPr>
          <w:rFonts w:ascii="Calibri" w:hAnsi="Calibri" w:cs="FrankRuehl" w:hint="eastAsia"/>
          <w:sz w:val="24"/>
          <w:szCs w:val="24"/>
          <w:rtl/>
        </w:rPr>
        <w:t>מנת</w:t>
      </w:r>
      <w:r w:rsidRPr="00D60901">
        <w:rPr>
          <w:rFonts w:ascii="Calibri" w:hAnsi="Calibri" w:cs="FrankRuehl"/>
          <w:sz w:val="24"/>
          <w:szCs w:val="24"/>
          <w:rtl/>
        </w:rPr>
        <w:t xml:space="preserve"> </w:t>
      </w:r>
      <w:r w:rsidRPr="00D60901">
        <w:rPr>
          <w:rFonts w:ascii="Calibri" w:hAnsi="Calibri" w:cs="FrankRuehl" w:hint="eastAsia"/>
          <w:sz w:val="24"/>
          <w:szCs w:val="24"/>
          <w:rtl/>
        </w:rPr>
        <w:t>למגרן</w:t>
      </w:r>
      <w:r w:rsidRPr="00D60901">
        <w:rPr>
          <w:rFonts w:ascii="Calibri" w:hAnsi="Calibri" w:cs="FrankRuehl"/>
          <w:sz w:val="24"/>
          <w:szCs w:val="24"/>
          <w:rtl/>
        </w:rPr>
        <w:t xml:space="preserve"> </w:t>
      </w:r>
      <w:r w:rsidRPr="00D60901">
        <w:rPr>
          <w:rFonts w:ascii="Calibri" w:hAnsi="Calibri" w:cs="FrankRuehl" w:hint="eastAsia"/>
          <w:sz w:val="24"/>
          <w:szCs w:val="24"/>
          <w:rtl/>
        </w:rPr>
        <w:t>ולעקרן</w:t>
      </w:r>
      <w:r w:rsidRPr="00D60901">
        <w:rPr>
          <w:rFonts w:ascii="Calibri" w:hAnsi="Calibri" w:cs="FrankRuehl"/>
          <w:sz w:val="24"/>
          <w:szCs w:val="24"/>
          <w:rtl/>
        </w:rPr>
        <w:t xml:space="preserve"> </w:t>
      </w:r>
      <w:r w:rsidRPr="00D60901">
        <w:rPr>
          <w:rFonts w:ascii="Calibri" w:hAnsi="Calibri" w:cs="FrankRuehl" w:hint="eastAsia"/>
          <w:sz w:val="24"/>
          <w:szCs w:val="24"/>
          <w:rtl/>
        </w:rPr>
        <w:t>מן</w:t>
      </w:r>
      <w:r w:rsidRPr="00D60901">
        <w:rPr>
          <w:rFonts w:ascii="Calibri" w:hAnsi="Calibri" w:cs="FrankRuehl"/>
          <w:sz w:val="24"/>
          <w:szCs w:val="24"/>
          <w:rtl/>
        </w:rPr>
        <w:t xml:space="preserve"> </w:t>
      </w:r>
      <w:r w:rsidRPr="00D60901">
        <w:rPr>
          <w:rFonts w:ascii="Calibri" w:hAnsi="Calibri" w:cs="FrankRuehl" w:hint="eastAsia"/>
          <w:sz w:val="24"/>
          <w:szCs w:val="24"/>
          <w:rtl/>
        </w:rPr>
        <w:t>השורש</w:t>
      </w:r>
      <w:r w:rsidRPr="00D60901">
        <w:rPr>
          <w:rFonts w:ascii="Calibri" w:hAnsi="Calibri" w:cs="FrankRuehl"/>
          <w:sz w:val="24"/>
          <w:szCs w:val="24"/>
          <w:rtl/>
        </w:rPr>
        <w:t xml:space="preserve">, </w:t>
      </w:r>
      <w:r w:rsidRPr="00D60901">
        <w:rPr>
          <w:rFonts w:ascii="Calibri" w:hAnsi="Calibri" w:cs="FrankRuehl" w:hint="eastAsia"/>
          <w:sz w:val="24"/>
          <w:szCs w:val="24"/>
          <w:rtl/>
        </w:rPr>
        <w:t>גם</w:t>
      </w:r>
      <w:r w:rsidRPr="00D60901">
        <w:rPr>
          <w:rFonts w:ascii="Calibri" w:hAnsi="Calibri" w:cs="FrankRuehl"/>
          <w:sz w:val="24"/>
          <w:szCs w:val="24"/>
          <w:rtl/>
        </w:rPr>
        <w:t xml:space="preserve"> </w:t>
      </w:r>
      <w:r w:rsidRPr="00D60901">
        <w:rPr>
          <w:rFonts w:ascii="Calibri" w:hAnsi="Calibri" w:cs="FrankRuehl" w:hint="eastAsia"/>
          <w:sz w:val="24"/>
          <w:szCs w:val="24"/>
          <w:rtl/>
        </w:rPr>
        <w:t>בדרך</w:t>
      </w:r>
      <w:r w:rsidRPr="00D60901">
        <w:rPr>
          <w:rFonts w:ascii="Calibri" w:hAnsi="Calibri" w:cs="FrankRuehl"/>
          <w:sz w:val="24"/>
          <w:szCs w:val="24"/>
          <w:rtl/>
        </w:rPr>
        <w:t xml:space="preserve"> </w:t>
      </w:r>
      <w:r w:rsidRPr="00D60901">
        <w:rPr>
          <w:rFonts w:ascii="Calibri" w:hAnsi="Calibri" w:cs="FrankRuehl" w:hint="eastAsia"/>
          <w:sz w:val="24"/>
          <w:szCs w:val="24"/>
          <w:rtl/>
        </w:rPr>
        <w:t>של</w:t>
      </w:r>
      <w:r w:rsidRPr="00D60901">
        <w:rPr>
          <w:rFonts w:ascii="Calibri" w:hAnsi="Calibri" w:cs="FrankRuehl"/>
          <w:sz w:val="24"/>
          <w:szCs w:val="24"/>
          <w:rtl/>
        </w:rPr>
        <w:t xml:space="preserve"> </w:t>
      </w:r>
      <w:r w:rsidRPr="00D60901">
        <w:rPr>
          <w:rFonts w:ascii="Calibri" w:hAnsi="Calibri" w:cs="FrankRuehl" w:hint="eastAsia"/>
          <w:sz w:val="24"/>
          <w:szCs w:val="24"/>
          <w:rtl/>
        </w:rPr>
        <w:t>ענישה</w:t>
      </w:r>
      <w:r w:rsidRPr="00D60901">
        <w:rPr>
          <w:rFonts w:ascii="Calibri" w:hAnsi="Calibri" w:cs="FrankRuehl"/>
          <w:sz w:val="24"/>
          <w:szCs w:val="24"/>
          <w:rtl/>
        </w:rPr>
        <w:t xml:space="preserve"> </w:t>
      </w:r>
      <w:r w:rsidRPr="00D60901">
        <w:rPr>
          <w:rFonts w:ascii="Calibri" w:hAnsi="Calibri" w:cs="FrankRuehl" w:hint="eastAsia"/>
          <w:sz w:val="24"/>
          <w:szCs w:val="24"/>
          <w:rtl/>
        </w:rPr>
        <w:t>קשה</w:t>
      </w:r>
      <w:r w:rsidRPr="00D60901">
        <w:rPr>
          <w:rFonts w:ascii="Calibri" w:hAnsi="Calibri" w:cs="FrankRuehl"/>
          <w:sz w:val="24"/>
          <w:szCs w:val="24"/>
          <w:rtl/>
        </w:rPr>
        <w:t xml:space="preserve"> </w:t>
      </w:r>
      <w:r w:rsidRPr="00D60901">
        <w:rPr>
          <w:rFonts w:ascii="Calibri" w:hAnsi="Calibri" w:cs="FrankRuehl" w:hint="eastAsia"/>
          <w:sz w:val="24"/>
          <w:szCs w:val="24"/>
          <w:rtl/>
        </w:rPr>
        <w:t>ומחמירה</w:t>
      </w:r>
      <w:r w:rsidRPr="00D60901">
        <w:rPr>
          <w:rFonts w:ascii="Calibri" w:hAnsi="Calibri" w:cs="FrankRuehl"/>
          <w:sz w:val="24"/>
          <w:szCs w:val="24"/>
          <w:rtl/>
        </w:rPr>
        <w:t>" (</w:t>
      </w:r>
      <w:r w:rsidRPr="00D60901">
        <w:rPr>
          <w:rFonts w:ascii="Calibri" w:hAnsi="Calibri" w:cs="FrankRuehl" w:hint="eastAsia"/>
          <w:sz w:val="24"/>
          <w:szCs w:val="24"/>
          <w:rtl/>
        </w:rPr>
        <w:t>ס</w:t>
      </w:r>
      <w:r w:rsidRPr="00D60901">
        <w:rPr>
          <w:rFonts w:ascii="Calibri" w:hAnsi="Calibri" w:cs="FrankRuehl"/>
          <w:sz w:val="24"/>
          <w:szCs w:val="24"/>
          <w:rtl/>
        </w:rPr>
        <w:t xml:space="preserve">' 8 </w:t>
      </w:r>
      <w:r w:rsidRPr="00D60901">
        <w:rPr>
          <w:rFonts w:ascii="Calibri" w:hAnsi="Calibri" w:cs="FrankRuehl" w:hint="eastAsia"/>
          <w:sz w:val="24"/>
          <w:szCs w:val="24"/>
          <w:rtl/>
        </w:rPr>
        <w:t>להחלטה</w:t>
      </w:r>
      <w:r w:rsidRPr="00D60901">
        <w:rPr>
          <w:rFonts w:ascii="Calibri" w:hAnsi="Calibri" w:cs="FrankRuehl"/>
          <w:sz w:val="24"/>
          <w:szCs w:val="24"/>
          <w:rtl/>
        </w:rPr>
        <w:t>).</w:t>
      </w:r>
      <w:r w:rsidRPr="00D60901">
        <w:rPr>
          <w:rFonts w:ascii="Calibri" w:hAnsi="Calibri" w:cs="FrankRuehl" w:hint="cs"/>
          <w:sz w:val="24"/>
          <w:szCs w:val="24"/>
          <w:rtl/>
        </w:rPr>
        <w:t xml:space="preserve"> ב</w:t>
      </w:r>
      <w:hyperlink r:id="rId25" w:history="1">
        <w:r w:rsidR="00F842D4" w:rsidRPr="00F842D4">
          <w:rPr>
            <w:rFonts w:ascii="Calibri" w:hAnsi="Calibri" w:cs="FrankRuehl" w:hint="eastAsia"/>
            <w:color w:val="0000FF"/>
            <w:sz w:val="24"/>
            <w:szCs w:val="24"/>
            <w:u w:val="single"/>
            <w:rtl/>
          </w:rPr>
          <w:t>עפ</w:t>
        </w:r>
        <w:r w:rsidR="00F842D4" w:rsidRPr="00F842D4">
          <w:rPr>
            <w:rFonts w:ascii="Calibri" w:hAnsi="Calibri" w:cs="FrankRuehl"/>
            <w:color w:val="0000FF"/>
            <w:sz w:val="24"/>
            <w:szCs w:val="24"/>
            <w:u w:val="single"/>
            <w:rtl/>
          </w:rPr>
          <w:t>"</w:t>
        </w:r>
        <w:r w:rsidR="00F842D4" w:rsidRPr="00F842D4">
          <w:rPr>
            <w:rFonts w:ascii="Calibri" w:hAnsi="Calibri" w:cs="FrankRuehl" w:hint="eastAsia"/>
            <w:color w:val="0000FF"/>
            <w:sz w:val="24"/>
            <w:szCs w:val="24"/>
            <w:u w:val="single"/>
            <w:rtl/>
          </w:rPr>
          <w:t>ג</w:t>
        </w:r>
        <w:r w:rsidR="00F842D4" w:rsidRPr="00F842D4">
          <w:rPr>
            <w:rFonts w:ascii="Calibri" w:hAnsi="Calibri" w:cs="FrankRuehl"/>
            <w:color w:val="0000FF"/>
            <w:sz w:val="24"/>
            <w:szCs w:val="24"/>
            <w:u w:val="single"/>
            <w:rtl/>
          </w:rPr>
          <w:t xml:space="preserve"> (</w:t>
        </w:r>
        <w:r w:rsidR="00F842D4" w:rsidRPr="00F842D4">
          <w:rPr>
            <w:rFonts w:ascii="Calibri" w:hAnsi="Calibri" w:cs="FrankRuehl" w:hint="eastAsia"/>
            <w:color w:val="0000FF"/>
            <w:sz w:val="24"/>
            <w:szCs w:val="24"/>
            <w:u w:val="single"/>
            <w:rtl/>
          </w:rPr>
          <w:t>חיפה</w:t>
        </w:r>
        <w:r w:rsidR="00F842D4" w:rsidRPr="00F842D4">
          <w:rPr>
            <w:rFonts w:ascii="Calibri" w:hAnsi="Calibri" w:cs="FrankRuehl"/>
            <w:color w:val="0000FF"/>
            <w:sz w:val="24"/>
            <w:szCs w:val="24"/>
            <w:u w:val="single"/>
            <w:rtl/>
          </w:rPr>
          <w:t>) 53142-12-16</w:t>
        </w:r>
      </w:hyperlink>
      <w:r w:rsidRPr="00D60901">
        <w:rPr>
          <w:rFonts w:ascii="Calibri" w:hAnsi="Calibri" w:cs="FrankRuehl" w:hint="cs"/>
          <w:sz w:val="24"/>
          <w:szCs w:val="24"/>
          <w:rtl/>
        </w:rPr>
        <w:t xml:space="preserve"> </w:t>
      </w:r>
      <w:r w:rsidRPr="00D60901">
        <w:rPr>
          <w:rFonts w:ascii="Calibri" w:hAnsi="Calibri" w:cs="FrankRuehl" w:hint="cs"/>
          <w:sz w:val="24"/>
          <w:szCs w:val="24"/>
          <w:u w:val="single"/>
          <w:rtl/>
        </w:rPr>
        <w:t>רחימוב</w:t>
      </w:r>
      <w:r w:rsidRPr="00D60901">
        <w:rPr>
          <w:rFonts w:ascii="Calibri" w:hAnsi="Calibri" w:cs="FrankRuehl" w:hint="cs"/>
          <w:sz w:val="24"/>
          <w:szCs w:val="24"/>
          <w:rtl/>
        </w:rPr>
        <w:t xml:space="preserve"> נ' </w:t>
      </w:r>
      <w:r w:rsidRPr="00D60901">
        <w:rPr>
          <w:rFonts w:ascii="Calibri" w:hAnsi="Calibri" w:cs="FrankRuehl" w:hint="cs"/>
          <w:b/>
          <w:bCs/>
          <w:sz w:val="24"/>
          <w:szCs w:val="24"/>
          <w:u w:val="single"/>
          <w:rtl/>
        </w:rPr>
        <w:t>מ"י</w:t>
      </w:r>
      <w:r w:rsidRPr="00D60901">
        <w:rPr>
          <w:rFonts w:ascii="Calibri" w:hAnsi="Calibri" w:cs="FrankRuehl" w:hint="cs"/>
          <w:sz w:val="24"/>
          <w:szCs w:val="24"/>
          <w:rtl/>
        </w:rPr>
        <w:t xml:space="preserve"> (מיום 17.5.2017) נגזרו  6 חודשי עבודות שירות על מי שהורשע בסחר ב-15 גרם קוקאין והחזקת חשיש לצריכה עצמית, לנוכח הליך שיקומי מוצלח. שם נקבע מתחם שבין 13 ל-30 חודשי מאסר. ב</w:t>
      </w:r>
      <w:hyperlink r:id="rId26" w:history="1">
        <w:r w:rsidR="00F842D4" w:rsidRPr="00F842D4">
          <w:rPr>
            <w:rFonts w:ascii="Calibri" w:hAnsi="Calibri" w:cs="FrankRuehl" w:hint="eastAsia"/>
            <w:color w:val="0000FF"/>
            <w:sz w:val="24"/>
            <w:szCs w:val="24"/>
            <w:u w:val="single"/>
            <w:rtl/>
          </w:rPr>
          <w:t>ע</w:t>
        </w:r>
        <w:r w:rsidR="00F842D4" w:rsidRPr="00F842D4">
          <w:rPr>
            <w:rFonts w:ascii="Calibri" w:hAnsi="Calibri" w:cs="FrankRuehl"/>
            <w:color w:val="0000FF"/>
            <w:sz w:val="24"/>
            <w:szCs w:val="24"/>
            <w:u w:val="single"/>
            <w:rtl/>
          </w:rPr>
          <w:t>"</w:t>
        </w:r>
        <w:r w:rsidR="00F842D4" w:rsidRPr="00F842D4">
          <w:rPr>
            <w:rFonts w:ascii="Calibri" w:hAnsi="Calibri" w:cs="FrankRuehl" w:hint="eastAsia"/>
            <w:color w:val="0000FF"/>
            <w:sz w:val="24"/>
            <w:szCs w:val="24"/>
            <w:u w:val="single"/>
            <w:rtl/>
          </w:rPr>
          <w:t>פ</w:t>
        </w:r>
        <w:r w:rsidR="00F842D4" w:rsidRPr="00F842D4">
          <w:rPr>
            <w:rFonts w:ascii="Calibri" w:hAnsi="Calibri" w:cs="FrankRuehl"/>
            <w:color w:val="0000FF"/>
            <w:sz w:val="24"/>
            <w:szCs w:val="24"/>
            <w:u w:val="single"/>
            <w:rtl/>
          </w:rPr>
          <w:t xml:space="preserve"> 6161/16</w:t>
        </w:r>
      </w:hyperlink>
      <w:r w:rsidRPr="00D60901">
        <w:rPr>
          <w:rFonts w:ascii="Calibri" w:hAnsi="Calibri" w:cs="FrankRuehl" w:hint="cs"/>
          <w:sz w:val="24"/>
          <w:szCs w:val="24"/>
          <w:rtl/>
        </w:rPr>
        <w:t xml:space="preserve"> </w:t>
      </w:r>
      <w:r w:rsidRPr="00D60901">
        <w:rPr>
          <w:rFonts w:ascii="Calibri" w:hAnsi="Calibri" w:cs="FrankRuehl" w:hint="cs"/>
          <w:b/>
          <w:bCs/>
          <w:sz w:val="24"/>
          <w:szCs w:val="24"/>
          <w:u w:val="single"/>
          <w:rtl/>
        </w:rPr>
        <w:t>יזרעאלוב</w:t>
      </w:r>
      <w:r w:rsidRPr="00D60901">
        <w:rPr>
          <w:rFonts w:ascii="Calibri" w:hAnsi="Calibri" w:cs="FrankRuehl" w:hint="cs"/>
          <w:sz w:val="24"/>
          <w:szCs w:val="24"/>
          <w:rtl/>
        </w:rPr>
        <w:t xml:space="preserve">  נ' </w:t>
      </w:r>
      <w:r w:rsidRPr="00D60901">
        <w:rPr>
          <w:rFonts w:ascii="Calibri" w:hAnsi="Calibri" w:cs="FrankRuehl" w:hint="cs"/>
          <w:b/>
          <w:bCs/>
          <w:sz w:val="24"/>
          <w:szCs w:val="24"/>
          <w:u w:val="single"/>
          <w:rtl/>
        </w:rPr>
        <w:t>מ"י</w:t>
      </w:r>
      <w:r w:rsidRPr="00D60901">
        <w:rPr>
          <w:rFonts w:ascii="Calibri" w:hAnsi="Calibri" w:cs="FrankRuehl" w:hint="cs"/>
          <w:sz w:val="24"/>
          <w:szCs w:val="24"/>
          <w:rtl/>
        </w:rPr>
        <w:t xml:space="preserve"> (מיום 20.2.2017) נקבע מתחם ענישה שבין 8 ל-20 חודשי מאסר בנסיבות של סחר בנייס גאי במספר מקרים. שם בשל היעדר עבר פלילי ותהליך שיקום, נגזר מאסר של 6 חודשים בעבודות שירות. עינינו הרואות, כי מדובר במקרים חמורים מהמקרה שלפניניו. </w:t>
      </w:r>
    </w:p>
    <w:p w14:paraId="4D8C6E5A" w14:textId="77777777" w:rsidR="00D60901" w:rsidRPr="00D60901" w:rsidRDefault="00D60901" w:rsidP="00D60901">
      <w:pPr>
        <w:spacing w:after="160" w:line="360" w:lineRule="auto"/>
        <w:jc w:val="both"/>
        <w:rPr>
          <w:rFonts w:ascii="Calibri" w:hAnsi="Calibri" w:cs="FrankRuehl"/>
          <w:b/>
          <w:bCs/>
          <w:u w:val="single"/>
          <w:rtl/>
        </w:rPr>
      </w:pPr>
    </w:p>
    <w:p w14:paraId="1F724D83" w14:textId="77777777" w:rsidR="00D60901" w:rsidRPr="00D60901" w:rsidRDefault="00D60901" w:rsidP="00D60901">
      <w:pPr>
        <w:spacing w:after="160" w:line="360" w:lineRule="auto"/>
        <w:jc w:val="both"/>
        <w:rPr>
          <w:rFonts w:ascii="Calibri" w:hAnsi="Calibri" w:cs="FrankRuehl"/>
          <w:b/>
          <w:bCs/>
          <w:rtl/>
        </w:rPr>
      </w:pPr>
      <w:r w:rsidRPr="00D60901">
        <w:rPr>
          <w:rFonts w:ascii="Calibri" w:hAnsi="Calibri" w:cs="FrankRuehl" w:hint="cs"/>
          <w:b/>
          <w:bCs/>
          <w:u w:val="single"/>
          <w:rtl/>
        </w:rPr>
        <w:t>מתחם הענישה</w:t>
      </w:r>
      <w:r w:rsidRPr="00D60901">
        <w:rPr>
          <w:rFonts w:ascii="Calibri" w:hAnsi="Calibri" w:cs="FrankRuehl" w:hint="cs"/>
          <w:rtl/>
        </w:rPr>
        <w:t xml:space="preserve"> – יש מקום לקבוע כי כל אישום הוא אירוע נפרד בשל ההבדלים ביניהם. לנוכח כל האמור קובע מתחם שבין חודש ל-10 חודשי מאסר בגין האישום הראשון </w:t>
      </w:r>
      <w:r w:rsidRPr="00D60901">
        <w:rPr>
          <w:rFonts w:ascii="Calibri" w:hAnsi="Calibri" w:cs="FrankRuehl"/>
          <w:rtl/>
        </w:rPr>
        <w:t>–</w:t>
      </w:r>
      <w:r w:rsidRPr="00D60901">
        <w:rPr>
          <w:rFonts w:ascii="Calibri" w:hAnsi="Calibri" w:cs="FrankRuehl" w:hint="cs"/>
          <w:rtl/>
        </w:rPr>
        <w:t xml:space="preserve"> האישום הראשון מתאפיין במכירות דומות לאותם אנשים על פני תקופה מוגדרת ולכן יש לראות בכך אירוע אחד על-פי המבחנים שנקבעו ב</w:t>
      </w:r>
      <w:hyperlink r:id="rId27" w:history="1">
        <w:r w:rsidR="00F842D4" w:rsidRPr="00F842D4">
          <w:rPr>
            <w:rFonts w:ascii="Calibri" w:hAnsi="Calibri" w:cs="FrankRuehl" w:hint="eastAsia"/>
            <w:color w:val="0000FF"/>
            <w:u w:val="single"/>
            <w:rtl/>
          </w:rPr>
          <w:t>ע</w:t>
        </w:r>
        <w:r w:rsidR="00F842D4" w:rsidRPr="00F842D4">
          <w:rPr>
            <w:rFonts w:ascii="Calibri" w:hAnsi="Calibri" w:cs="FrankRuehl"/>
            <w:color w:val="0000FF"/>
            <w:u w:val="single"/>
            <w:rtl/>
          </w:rPr>
          <w:t>"</w:t>
        </w:r>
        <w:r w:rsidR="00F842D4" w:rsidRPr="00F842D4">
          <w:rPr>
            <w:rFonts w:ascii="Calibri" w:hAnsi="Calibri" w:cs="FrankRuehl" w:hint="eastAsia"/>
            <w:color w:val="0000FF"/>
            <w:u w:val="single"/>
            <w:rtl/>
          </w:rPr>
          <w:t>פ</w:t>
        </w:r>
        <w:r w:rsidR="00F842D4" w:rsidRPr="00F842D4">
          <w:rPr>
            <w:rFonts w:ascii="Calibri" w:hAnsi="Calibri" w:cs="FrankRuehl"/>
            <w:color w:val="0000FF"/>
            <w:u w:val="single"/>
            <w:rtl/>
          </w:rPr>
          <w:t xml:space="preserve"> 4910/13</w:t>
        </w:r>
      </w:hyperlink>
      <w:r w:rsidRPr="00D60901">
        <w:rPr>
          <w:rFonts w:ascii="Calibri" w:hAnsi="Calibri" w:cs="FrankRuehl" w:hint="cs"/>
          <w:rtl/>
        </w:rPr>
        <w:t xml:space="preserve"> </w:t>
      </w:r>
      <w:r w:rsidRPr="00D60901">
        <w:rPr>
          <w:rFonts w:ascii="Calibri" w:hAnsi="Calibri" w:cs="FrankRuehl" w:hint="cs"/>
          <w:b/>
          <w:bCs/>
          <w:u w:val="single"/>
          <w:rtl/>
        </w:rPr>
        <w:t>בני ג'אבר</w:t>
      </w:r>
      <w:r w:rsidRPr="00D60901">
        <w:rPr>
          <w:rFonts w:ascii="Calibri" w:hAnsi="Calibri" w:cs="FrankRuehl" w:hint="cs"/>
          <w:rtl/>
        </w:rPr>
        <w:t xml:space="preserve"> נ' </w:t>
      </w:r>
      <w:r w:rsidRPr="00D60901">
        <w:rPr>
          <w:rFonts w:ascii="Calibri" w:hAnsi="Calibri" w:cs="FrankRuehl" w:hint="cs"/>
          <w:b/>
          <w:bCs/>
          <w:u w:val="single"/>
          <w:rtl/>
        </w:rPr>
        <w:t xml:space="preserve">מ"י </w:t>
      </w:r>
      <w:r w:rsidRPr="00D60901">
        <w:rPr>
          <w:rFonts w:ascii="Calibri" w:hAnsi="Calibri" w:cs="FrankRuehl" w:hint="cs"/>
          <w:rtl/>
        </w:rPr>
        <w:t xml:space="preserve">(מיום 29.10.2014), ויכול שהמתחם יכלול ענישה בעבודות שירות. קובע מתחם שבין מאסר על תנאי ל-6 חודשי מאסר בגין האישום השני. </w:t>
      </w:r>
    </w:p>
    <w:p w14:paraId="7F1453C2" w14:textId="77777777" w:rsidR="00D60901" w:rsidRPr="00D60901" w:rsidRDefault="00D60901" w:rsidP="00D60901">
      <w:pPr>
        <w:spacing w:after="160" w:line="360" w:lineRule="auto"/>
        <w:jc w:val="both"/>
        <w:rPr>
          <w:rFonts w:ascii="Calibri" w:hAnsi="Calibri" w:cs="FrankRuehl"/>
          <w:b/>
          <w:bCs/>
          <w:rtl/>
        </w:rPr>
      </w:pPr>
    </w:p>
    <w:p w14:paraId="49DE2A05"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b/>
          <w:bCs/>
          <w:u w:val="single"/>
          <w:rtl/>
        </w:rPr>
        <w:t xml:space="preserve">נסיבות שאינן קשורות בביצוע העבירה לפי </w:t>
      </w:r>
      <w:hyperlink r:id="rId28" w:history="1">
        <w:r w:rsidR="001711B9" w:rsidRPr="001711B9">
          <w:rPr>
            <w:rFonts w:ascii="Calibri" w:hAnsi="Calibri" w:cs="FrankRuehl" w:hint="eastAsia"/>
            <w:b/>
            <w:bCs/>
            <w:color w:val="0000FF"/>
            <w:u w:val="single"/>
            <w:rtl/>
          </w:rPr>
          <w:t>סעיף</w:t>
        </w:r>
        <w:r w:rsidR="001711B9" w:rsidRPr="001711B9">
          <w:rPr>
            <w:rFonts w:ascii="Calibri" w:hAnsi="Calibri" w:cs="FrankRuehl"/>
            <w:b/>
            <w:bCs/>
            <w:color w:val="0000FF"/>
            <w:u w:val="single"/>
            <w:rtl/>
          </w:rPr>
          <w:t xml:space="preserve"> 40</w:t>
        </w:r>
        <w:r w:rsidR="001711B9" w:rsidRPr="001711B9">
          <w:rPr>
            <w:rFonts w:ascii="Calibri" w:hAnsi="Calibri" w:cs="FrankRuehl" w:hint="eastAsia"/>
            <w:b/>
            <w:bCs/>
            <w:color w:val="0000FF"/>
            <w:u w:val="single"/>
            <w:rtl/>
          </w:rPr>
          <w:t>י</w:t>
        </w:r>
        <w:r w:rsidR="001711B9" w:rsidRPr="001711B9">
          <w:rPr>
            <w:rFonts w:ascii="Calibri" w:hAnsi="Calibri" w:cs="FrankRuehl"/>
            <w:b/>
            <w:bCs/>
            <w:color w:val="0000FF"/>
            <w:u w:val="single"/>
            <w:rtl/>
          </w:rPr>
          <w:t>"</w:t>
        </w:r>
        <w:r w:rsidR="001711B9" w:rsidRPr="001711B9">
          <w:rPr>
            <w:rFonts w:ascii="Calibri" w:hAnsi="Calibri" w:cs="FrankRuehl" w:hint="eastAsia"/>
            <w:b/>
            <w:bCs/>
            <w:color w:val="0000FF"/>
            <w:u w:val="single"/>
            <w:rtl/>
          </w:rPr>
          <w:t>א</w:t>
        </w:r>
      </w:hyperlink>
      <w:r w:rsidRPr="00D60901">
        <w:rPr>
          <w:rFonts w:ascii="Calibri" w:hAnsi="Calibri" w:cs="FrankRuehl" w:hint="cs"/>
          <w:b/>
          <w:bCs/>
          <w:u w:val="single"/>
          <w:rtl/>
        </w:rPr>
        <w:t xml:space="preserve"> ל</w:t>
      </w:r>
      <w:hyperlink r:id="rId29" w:history="1">
        <w:r w:rsidR="00F842D4" w:rsidRPr="00F842D4">
          <w:rPr>
            <w:rFonts w:ascii="Calibri" w:hAnsi="Calibri" w:cs="FrankRuehl" w:hint="eastAsia"/>
            <w:b/>
            <w:bCs/>
            <w:color w:val="0000FF"/>
            <w:u w:val="single"/>
            <w:rtl/>
          </w:rPr>
          <w:t>חוק</w:t>
        </w:r>
        <w:r w:rsidR="00F842D4" w:rsidRPr="00F842D4">
          <w:rPr>
            <w:rFonts w:ascii="Calibri" w:hAnsi="Calibri" w:cs="FrankRuehl"/>
            <w:b/>
            <w:bCs/>
            <w:color w:val="0000FF"/>
            <w:u w:val="single"/>
            <w:rtl/>
          </w:rPr>
          <w:t xml:space="preserve"> </w:t>
        </w:r>
        <w:r w:rsidR="00F842D4" w:rsidRPr="00F842D4">
          <w:rPr>
            <w:rFonts w:ascii="Calibri" w:hAnsi="Calibri" w:cs="FrankRuehl" w:hint="eastAsia"/>
            <w:b/>
            <w:bCs/>
            <w:color w:val="0000FF"/>
            <w:u w:val="single"/>
            <w:rtl/>
          </w:rPr>
          <w:t>העונשין</w:t>
        </w:r>
      </w:hyperlink>
      <w:r w:rsidRPr="00D60901">
        <w:rPr>
          <w:rFonts w:ascii="Calibri" w:hAnsi="Calibri" w:cs="FrankRuehl" w:hint="cs"/>
          <w:b/>
          <w:bCs/>
          <w:rtl/>
        </w:rPr>
        <w:t xml:space="preserve"> – </w:t>
      </w:r>
      <w:r w:rsidRPr="00D60901">
        <w:rPr>
          <w:rFonts w:ascii="Calibri" w:hAnsi="Calibri" w:cs="FrankRuehl" w:hint="cs"/>
          <w:rtl/>
        </w:rPr>
        <w:t xml:space="preserve">ניתן  לתת משקל לנסיבות הבאות שאינן קשורות בביצוע העבירה, במסגרת גזירת העונש בתוך המתחם: עונש מאסר יפגע בנאשם שנמצא בתחילת חייו, כשאין לו עבר פלילי ומעולם לא נשא עונש מאסר; הנאשם בן למשפחה חד-הורית מלוכדת (אמו סבו וסבתו) ועונש של מאסר יפגע גם במשפחה; הנאשם שהה במעצר בית מלא ללא הקלות תקופה ארוכה ואף היה עצור כשבועיים ממעצר ממש, חוויות קשות עבורו. למרות כל זאת לא הפר את התנאים ושמר עליהם בקפידה; הנאשם נטל אחריות למעשיו והוא עושה מאמצים רבים להשתקם, והוכיח זאת במתן בדיקות שתן נקיות ובשיתוף פעולה מלא עם כל הגורמים הטיפוליים אליהם הופנה; לנאשם אין עבר פלילי. </w:t>
      </w:r>
    </w:p>
    <w:p w14:paraId="6AFED50F" w14:textId="77777777" w:rsidR="00D60901" w:rsidRPr="00D60901" w:rsidRDefault="00D60901" w:rsidP="00D60901">
      <w:pPr>
        <w:spacing w:after="160" w:line="360" w:lineRule="auto"/>
        <w:jc w:val="both"/>
        <w:rPr>
          <w:rFonts w:ascii="Calibri" w:hAnsi="Calibri" w:cs="FrankRuehl"/>
          <w:b/>
          <w:bCs/>
          <w:u w:val="single"/>
          <w:rtl/>
        </w:rPr>
      </w:pPr>
    </w:p>
    <w:p w14:paraId="4D409915"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b/>
          <w:bCs/>
          <w:u w:val="single"/>
          <w:rtl/>
        </w:rPr>
        <w:t>המיקום במתחם</w:t>
      </w:r>
      <w:r w:rsidRPr="00D60901">
        <w:rPr>
          <w:rFonts w:ascii="Calibri" w:hAnsi="Calibri" w:cs="FrankRuehl" w:hint="cs"/>
          <w:rtl/>
        </w:rPr>
        <w:t xml:space="preserve"> -  יש למקם את הנאשם בחלק המרכזי של המתחמים שקבעתי. </w:t>
      </w:r>
    </w:p>
    <w:p w14:paraId="423DA58D" w14:textId="77777777" w:rsidR="00D60901" w:rsidRPr="00D60901" w:rsidRDefault="00D60901" w:rsidP="00D60901">
      <w:pPr>
        <w:spacing w:after="160" w:line="360" w:lineRule="auto"/>
        <w:jc w:val="both"/>
        <w:rPr>
          <w:rFonts w:ascii="Calibri" w:hAnsi="Calibri" w:cs="FrankRuehl"/>
          <w:b/>
          <w:bCs/>
          <w:u w:val="single"/>
          <w:rtl/>
        </w:rPr>
      </w:pPr>
    </w:p>
    <w:p w14:paraId="5204F3C7" w14:textId="77777777" w:rsidR="00D60901" w:rsidRPr="00D60901" w:rsidRDefault="00D60901" w:rsidP="00D60901">
      <w:pPr>
        <w:spacing w:after="160" w:line="360" w:lineRule="auto"/>
        <w:jc w:val="both"/>
        <w:rPr>
          <w:rFonts w:ascii="Calibri" w:hAnsi="Calibri" w:cs="FrankRuehl"/>
          <w:rtl/>
        </w:rPr>
      </w:pPr>
      <w:r w:rsidRPr="00D60901">
        <w:rPr>
          <w:rFonts w:ascii="Calibri" w:hAnsi="Calibri" w:cs="FrankRuehl" w:hint="cs"/>
          <w:rtl/>
        </w:rPr>
        <w:t>לפיכך, אני מחליט לגזור על הנאשם את העונשים הבאים:</w:t>
      </w:r>
    </w:p>
    <w:p w14:paraId="2309062A"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 xml:space="preserve">5 חודשי מאסר, אשר ירוצו בעבודות שירות, החל מיום  10.6.2018  בשעה 08:00 ב"ציימס </w:t>
      </w:r>
      <w:r w:rsidRPr="00D60901">
        <w:rPr>
          <w:rFonts w:ascii="Calibri" w:hAnsi="Calibri" w:cs="FrankRuehl"/>
          <w:rtl/>
        </w:rPr>
        <w:t>–</w:t>
      </w:r>
      <w:r w:rsidRPr="00D60901">
        <w:rPr>
          <w:rFonts w:ascii="Calibri" w:hAnsi="Calibri" w:cs="FrankRuehl" w:hint="cs"/>
          <w:rtl/>
        </w:rPr>
        <w:t xml:space="preserve"> מע"ש" בראשון לציון, וזאת על פי חוות דעת הממונה על עבודות השירות. מובהר בזה כי הפרת הוראות הממונה ואי עמידה בכללים הנוגעים לריצוי עבודות השירות עלולים להביא להפקעת העבודות ולהמרת העונש בעונש מאסר של ממש. </w:t>
      </w:r>
      <w:r w:rsidRPr="00D60901">
        <w:rPr>
          <w:rFonts w:ascii="Calibri" w:hAnsi="Calibri" w:cs="FrankRuehl" w:hint="cs"/>
          <w:b/>
          <w:bCs/>
          <w:rtl/>
        </w:rPr>
        <w:t>אינני מנכה את ימי מעצרו מתקופת ריצוי עבודות השירות.</w:t>
      </w:r>
    </w:p>
    <w:p w14:paraId="2C3E502D"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 xml:space="preserve">6 חודשי מאסר, שלא ירוצו אלא אם יעבור הנאשם כל עבירה לפי פקודת הסמים במשך 3 שנים מהיום למעט עבירה של שימוש עצמי ו/או החזקת כלים לשימוש עצמי, בגינן קובע 3 חודשי מאסר שלא ירוצו אלא אם יעבור הנאשם עבירות אלו בתוך 3 שנים מהיום. </w:t>
      </w:r>
    </w:p>
    <w:p w14:paraId="6D969CCC"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 xml:space="preserve">קנס בסך 3,000 ₪, אשר יקוזז מההפקדה בתיק </w:t>
      </w:r>
      <w:hyperlink r:id="rId30" w:history="1">
        <w:r w:rsidR="00F842D4" w:rsidRPr="00F842D4">
          <w:rPr>
            <w:rFonts w:ascii="Calibri" w:hAnsi="Calibri" w:cs="FrankRuehl" w:hint="eastAsia"/>
            <w:color w:val="0000FF"/>
            <w:u w:val="single"/>
            <w:rtl/>
          </w:rPr>
          <w:t>מ</w:t>
        </w:r>
        <w:r w:rsidR="00F842D4" w:rsidRPr="00F842D4">
          <w:rPr>
            <w:rFonts w:ascii="Calibri" w:hAnsi="Calibri" w:cs="FrankRuehl"/>
            <w:color w:val="0000FF"/>
            <w:u w:val="single"/>
            <w:rtl/>
          </w:rPr>
          <w:t>"</w:t>
        </w:r>
        <w:r w:rsidR="00F842D4" w:rsidRPr="00F842D4">
          <w:rPr>
            <w:rFonts w:ascii="Calibri" w:hAnsi="Calibri" w:cs="FrankRuehl" w:hint="eastAsia"/>
            <w:color w:val="0000FF"/>
            <w:u w:val="single"/>
            <w:rtl/>
          </w:rPr>
          <w:t>ת</w:t>
        </w:r>
        <w:r w:rsidR="00F842D4" w:rsidRPr="00F842D4">
          <w:rPr>
            <w:rFonts w:ascii="Calibri" w:hAnsi="Calibri" w:cs="FrankRuehl"/>
            <w:color w:val="0000FF"/>
            <w:u w:val="single"/>
            <w:rtl/>
          </w:rPr>
          <w:t xml:space="preserve"> 46925-11-17</w:t>
        </w:r>
      </w:hyperlink>
      <w:r w:rsidRPr="00D60901">
        <w:rPr>
          <w:rFonts w:ascii="Calibri" w:hAnsi="Calibri" w:cs="FrankRuehl" w:hint="cs"/>
          <w:rtl/>
        </w:rPr>
        <w:t>. ככל שלא נותרה יתרה לקיזוז ישולם החל הקנס עד ליום 1.5.2019. ככל שתיוותר יתרה, היא תושב לנאשם. הוראה זו גוברת על כל עיקול ככל שקיים. הקנס יקוזז רק לאחר הודעה על סיום ריצוי עבודות השירות.</w:t>
      </w:r>
    </w:p>
    <w:p w14:paraId="460A1EC4"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צו מבחן לתקופה של 18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 במסגרת תקופה זו הנאשם ימסור בדיקות שתן כנדרש ויטופל בהתאם לדרישת שירות המבחן.</w:t>
      </w:r>
    </w:p>
    <w:p w14:paraId="0D4B2B55"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התחייבות בסך 10,000 ₪ שלא לעבור כל עבירה לפי פקודת הסמים לרבות שימוש עצמי, במשך שנתיים מהיום או חודש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 הנאשם יחתום כעת על ההתחייבות במזכירות.</w:t>
      </w:r>
    </w:p>
    <w:p w14:paraId="17CA2576" w14:textId="77777777" w:rsidR="00D60901" w:rsidRPr="00D60901" w:rsidRDefault="00D60901" w:rsidP="00D60901">
      <w:pPr>
        <w:numPr>
          <w:ilvl w:val="0"/>
          <w:numId w:val="1"/>
        </w:numPr>
        <w:spacing w:after="160" w:line="360" w:lineRule="auto"/>
        <w:contextualSpacing/>
        <w:jc w:val="both"/>
        <w:rPr>
          <w:rFonts w:ascii="Calibri" w:hAnsi="Calibri" w:cs="FrankRuehl"/>
        </w:rPr>
      </w:pPr>
      <w:r w:rsidRPr="00D60901">
        <w:rPr>
          <w:rFonts w:ascii="Calibri" w:hAnsi="Calibri" w:cs="FrankRuehl" w:hint="cs"/>
          <w:rtl/>
        </w:rPr>
        <w:t xml:space="preserve">לא מצאתי מקום להיעתר לבקשה לפסילת רישיון או לבקשה להכריז על הנאשם כ"סוחר סמים" שעה שהדבר לא נתבקש בכתב האישום וכאשר לא נתבקשתי לעשות זאת בשעת הכרעת הדין (ראו </w:t>
      </w:r>
      <w:hyperlink r:id="rId31" w:history="1">
        <w:r w:rsidR="001711B9" w:rsidRPr="001711B9">
          <w:rPr>
            <w:rFonts w:ascii="Calibri" w:hAnsi="Calibri" w:cs="FrankRuehl" w:hint="eastAsia"/>
            <w:color w:val="0000FF"/>
            <w:u w:val="single"/>
            <w:rtl/>
          </w:rPr>
          <w:t>סעיף</w:t>
        </w:r>
        <w:r w:rsidR="001711B9" w:rsidRPr="001711B9">
          <w:rPr>
            <w:rFonts w:ascii="Calibri" w:hAnsi="Calibri" w:cs="FrankRuehl"/>
            <w:color w:val="0000FF"/>
            <w:u w:val="single"/>
            <w:rtl/>
          </w:rPr>
          <w:t xml:space="preserve"> 36</w:t>
        </w:r>
        <w:r w:rsidR="001711B9" w:rsidRPr="001711B9">
          <w:rPr>
            <w:rFonts w:ascii="Calibri" w:hAnsi="Calibri" w:cs="FrankRuehl" w:hint="eastAsia"/>
            <w:color w:val="0000FF"/>
            <w:u w:val="single"/>
            <w:rtl/>
          </w:rPr>
          <w:t>א</w:t>
        </w:r>
      </w:hyperlink>
      <w:r w:rsidRPr="00D60901">
        <w:rPr>
          <w:rFonts w:ascii="Calibri" w:hAnsi="Calibri" w:cs="FrankRuehl" w:hint="cs"/>
          <w:rtl/>
        </w:rPr>
        <w:t xml:space="preserve"> לפקודת הסמים והוראות סעיף משנה </w:t>
      </w:r>
      <w:hyperlink r:id="rId32" w:history="1">
        <w:r w:rsidR="001711B9" w:rsidRPr="001711B9">
          <w:rPr>
            <w:rFonts w:ascii="Calibri" w:hAnsi="Calibri" w:cs="FrankRuehl"/>
            <w:color w:val="0000FF"/>
            <w:u w:val="single"/>
            <w:rtl/>
          </w:rPr>
          <w:t>(</w:t>
        </w:r>
        <w:r w:rsidR="001711B9" w:rsidRPr="001711B9">
          <w:rPr>
            <w:rFonts w:ascii="Calibri" w:hAnsi="Calibri" w:cs="FrankRuehl" w:hint="eastAsia"/>
            <w:color w:val="0000FF"/>
            <w:u w:val="single"/>
            <w:rtl/>
          </w:rPr>
          <w:t>ה</w:t>
        </w:r>
        <w:r w:rsidR="001711B9" w:rsidRPr="001711B9">
          <w:rPr>
            <w:rFonts w:ascii="Calibri" w:hAnsi="Calibri" w:cs="FrankRuehl"/>
            <w:color w:val="0000FF"/>
            <w:u w:val="single"/>
            <w:rtl/>
          </w:rPr>
          <w:t>)</w:t>
        </w:r>
      </w:hyperlink>
      <w:r w:rsidRPr="00D60901">
        <w:rPr>
          <w:rFonts w:ascii="Calibri" w:hAnsi="Calibri" w:cs="FrankRuehl" w:hint="cs"/>
          <w:rtl/>
        </w:rPr>
        <w:t>).</w:t>
      </w:r>
    </w:p>
    <w:p w14:paraId="410BE194" w14:textId="77777777" w:rsidR="00D60901" w:rsidRDefault="00D60901" w:rsidP="00D60901">
      <w:pPr>
        <w:rPr>
          <w:rFonts w:cs="FrankRuehl"/>
          <w:rtl/>
        </w:rPr>
      </w:pPr>
    </w:p>
    <w:p w14:paraId="7FD9D011" w14:textId="77777777" w:rsidR="00D60901" w:rsidRDefault="00D60901" w:rsidP="00D60901">
      <w:pPr>
        <w:rPr>
          <w:rFonts w:cs="FrankRuehl"/>
          <w:rtl/>
        </w:rPr>
      </w:pPr>
      <w:r>
        <w:rPr>
          <w:rFonts w:cs="FrankRuehl" w:hint="cs"/>
          <w:rtl/>
        </w:rPr>
        <w:t>הסמים יושמדו וכך גם המשקל.</w:t>
      </w:r>
    </w:p>
    <w:p w14:paraId="62100C31" w14:textId="77777777" w:rsidR="00D60901" w:rsidRDefault="00D60901" w:rsidP="00D60901">
      <w:pPr>
        <w:rPr>
          <w:rFonts w:cs="FrankRuehl"/>
          <w:rtl/>
        </w:rPr>
      </w:pPr>
    </w:p>
    <w:p w14:paraId="1CB0A2EC" w14:textId="77777777" w:rsidR="00D60901" w:rsidRDefault="00D60901" w:rsidP="00D60901">
      <w:pPr>
        <w:rPr>
          <w:rFonts w:cs="FrankRuehl"/>
          <w:rtl/>
        </w:rPr>
      </w:pPr>
      <w:r>
        <w:rPr>
          <w:rFonts w:cs="FrankRuehl" w:hint="cs"/>
          <w:rtl/>
        </w:rPr>
        <w:t>יתר הרכוש שנתפס יוחזר לנאשם.</w:t>
      </w:r>
    </w:p>
    <w:p w14:paraId="3F66F986" w14:textId="77777777" w:rsidR="00D60901" w:rsidRDefault="00D60901" w:rsidP="00D60901">
      <w:pPr>
        <w:rPr>
          <w:rFonts w:cs="FrankRuehl"/>
          <w:rtl/>
        </w:rPr>
      </w:pPr>
    </w:p>
    <w:p w14:paraId="6C7F4F96" w14:textId="77777777" w:rsidR="00D60901" w:rsidRDefault="00D60901" w:rsidP="00D60901">
      <w:pPr>
        <w:rPr>
          <w:rFonts w:cs="FrankRuehl"/>
          <w:rtl/>
        </w:rPr>
      </w:pPr>
    </w:p>
    <w:p w14:paraId="6B1D1963" w14:textId="77777777" w:rsidR="00D60901" w:rsidRDefault="00D60901" w:rsidP="00D60901">
      <w:pPr>
        <w:rPr>
          <w:rFonts w:cs="FrankRuehl"/>
          <w:rtl/>
        </w:rPr>
      </w:pPr>
    </w:p>
    <w:p w14:paraId="5663DA62" w14:textId="77777777" w:rsidR="00D60901" w:rsidRDefault="00D60901" w:rsidP="00D60901">
      <w:pPr>
        <w:rPr>
          <w:rFonts w:cs="FrankRuehl"/>
          <w:rtl/>
        </w:rPr>
      </w:pPr>
      <w:r>
        <w:rPr>
          <w:rFonts w:cs="FrankRuehl" w:hint="cs"/>
          <w:rtl/>
        </w:rPr>
        <w:t xml:space="preserve">אשר לתנאי המעצר </w:t>
      </w:r>
      <w:r>
        <w:rPr>
          <w:rFonts w:cs="FrankRuehl"/>
          <w:rtl/>
        </w:rPr>
        <w:t>–</w:t>
      </w:r>
      <w:r>
        <w:rPr>
          <w:rFonts w:cs="FrankRuehl" w:hint="cs"/>
          <w:rtl/>
        </w:rPr>
        <w:t xml:space="preserve"> עם מתן גזר הדין, הם פגו.</w:t>
      </w:r>
    </w:p>
    <w:p w14:paraId="4FBDBF56" w14:textId="77777777" w:rsidR="00D60901" w:rsidRDefault="00D60901" w:rsidP="00D60901">
      <w:pPr>
        <w:rPr>
          <w:rFonts w:cs="FrankRuehl"/>
          <w:rtl/>
        </w:rPr>
      </w:pPr>
    </w:p>
    <w:p w14:paraId="3D622900" w14:textId="77777777" w:rsidR="00D60901" w:rsidRDefault="00D60901" w:rsidP="00D60901">
      <w:pPr>
        <w:rPr>
          <w:rFonts w:cs="FrankRuehl"/>
          <w:rtl/>
        </w:rPr>
      </w:pPr>
      <w:r>
        <w:rPr>
          <w:rFonts w:cs="FrankRuehl" w:hint="cs"/>
          <w:rtl/>
        </w:rPr>
        <w:t>מובהר בזה, כי צו המבחן נכנס לתוקף מיד ולכן הנאשם יעמוד תחת פיקוח המבחן וימשיך בטיפולים ובמסירת בדיקות שתן.</w:t>
      </w:r>
    </w:p>
    <w:p w14:paraId="79CBA7E8" w14:textId="77777777" w:rsidR="00D60901" w:rsidRDefault="00D60901" w:rsidP="00D60901">
      <w:pPr>
        <w:rPr>
          <w:rFonts w:cs="FrankRuehl"/>
          <w:rtl/>
        </w:rPr>
      </w:pPr>
    </w:p>
    <w:p w14:paraId="14F5775B" w14:textId="77777777" w:rsidR="00D60901" w:rsidRDefault="00D60901" w:rsidP="00D60901">
      <w:pPr>
        <w:rPr>
          <w:rFonts w:cs="FrankRuehl"/>
          <w:rtl/>
        </w:rPr>
      </w:pPr>
    </w:p>
    <w:p w14:paraId="27F08C24" w14:textId="77777777" w:rsidR="00D60901" w:rsidRDefault="00D60901" w:rsidP="00D60901">
      <w:pPr>
        <w:rPr>
          <w:rFonts w:cs="FrankRuehl"/>
          <w:rtl/>
        </w:rPr>
      </w:pPr>
      <w:r>
        <w:rPr>
          <w:rFonts w:cs="FrankRuehl" w:hint="cs"/>
          <w:rtl/>
        </w:rPr>
        <w:t>יש לשלוח לממונה וכן לשירות המבחן.</w:t>
      </w:r>
    </w:p>
    <w:p w14:paraId="523D0FC1" w14:textId="77777777" w:rsidR="00D60901" w:rsidRDefault="00D60901" w:rsidP="00D60901">
      <w:pPr>
        <w:rPr>
          <w:rFonts w:cs="FrankRuehl"/>
          <w:rtl/>
        </w:rPr>
      </w:pPr>
    </w:p>
    <w:p w14:paraId="0B922E51" w14:textId="77777777" w:rsidR="00D60901" w:rsidRDefault="00D60901" w:rsidP="00D60901">
      <w:pPr>
        <w:rPr>
          <w:rFonts w:cs="FrankRuehl"/>
          <w:rtl/>
        </w:rPr>
      </w:pPr>
    </w:p>
    <w:p w14:paraId="02078CAE" w14:textId="77777777" w:rsidR="00D60901" w:rsidRPr="0043093F" w:rsidRDefault="00D60901" w:rsidP="00D60901">
      <w:pPr>
        <w:rPr>
          <w:rFonts w:cs="FrankRuehl"/>
        </w:rPr>
      </w:pPr>
      <w:r w:rsidRPr="0043093F">
        <w:rPr>
          <w:rFonts w:cs="FrankRuehl" w:hint="cs"/>
          <w:rtl/>
        </w:rPr>
        <w:t xml:space="preserve">זכות ערעור לבית המשפט המחוזי בתוך 45 יום מהיום. </w:t>
      </w:r>
    </w:p>
    <w:p w14:paraId="76ACABFA" w14:textId="77777777" w:rsidR="00D60901" w:rsidRPr="00B05847" w:rsidRDefault="00D60901" w:rsidP="00D60901">
      <w:pPr>
        <w:rPr>
          <w:rtl/>
        </w:rPr>
      </w:pPr>
    </w:p>
    <w:p w14:paraId="594E7B93" w14:textId="77777777" w:rsidR="00D60901" w:rsidRPr="00B05847" w:rsidRDefault="00D60901" w:rsidP="00D60901">
      <w:pPr>
        <w:rPr>
          <w:rtl/>
        </w:rPr>
      </w:pPr>
    </w:p>
    <w:p w14:paraId="32E79A95" w14:textId="77777777" w:rsidR="00D60901" w:rsidRPr="00B05847" w:rsidRDefault="00D60901" w:rsidP="00D60901">
      <w:pPr>
        <w:rPr>
          <w:rtl/>
        </w:rPr>
      </w:pPr>
    </w:p>
    <w:p w14:paraId="7A221A58" w14:textId="77777777" w:rsidR="00D60901" w:rsidRPr="00F842D4" w:rsidRDefault="00F842D4" w:rsidP="00D60901">
      <w:pPr>
        <w:rPr>
          <w:color w:val="FFFFFF"/>
          <w:sz w:val="2"/>
          <w:szCs w:val="2"/>
          <w:rtl/>
        </w:rPr>
      </w:pPr>
      <w:r w:rsidRPr="00F842D4">
        <w:rPr>
          <w:color w:val="FFFFFF"/>
          <w:sz w:val="2"/>
          <w:szCs w:val="2"/>
          <w:rtl/>
        </w:rPr>
        <w:t>5129371</w:t>
      </w:r>
    </w:p>
    <w:p w14:paraId="0959A878" w14:textId="77777777" w:rsidR="00D60901" w:rsidRDefault="00F842D4" w:rsidP="00D60901">
      <w:pPr>
        <w:rPr>
          <w:rFonts w:cs="FrankRuehl"/>
          <w:sz w:val="28"/>
          <w:szCs w:val="28"/>
          <w:rtl/>
        </w:rPr>
      </w:pPr>
      <w:r w:rsidRPr="00F842D4">
        <w:rPr>
          <w:rFonts w:ascii="Arial" w:hAnsi="Arial"/>
          <w:color w:val="FFFFFF"/>
          <w:sz w:val="2"/>
          <w:szCs w:val="2"/>
          <w:rtl/>
        </w:rPr>
        <w:t>54678313</w:t>
      </w:r>
      <w:r>
        <w:rPr>
          <w:rFonts w:ascii="Arial" w:hAnsi="Arial"/>
          <w:rtl/>
        </w:rPr>
        <w:t xml:space="preserve">ניתן היום,  ט' אייר תשע"ח, 24 אפריל 2018, במעמד הצדדים. </w:t>
      </w:r>
    </w:p>
    <w:p w14:paraId="4FA0B8DE" w14:textId="77777777" w:rsidR="00D60901" w:rsidRDefault="00D60901" w:rsidP="00D6090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3E0FC1B" w14:textId="77777777" w:rsidR="00D60901" w:rsidRDefault="00D60901" w:rsidP="00D60901">
      <w:pPr>
        <w:jc w:val="center"/>
        <w:rPr>
          <w:rFonts w:ascii="Arial" w:hAnsi="Arial" w:cs="FrankRuehl"/>
          <w:sz w:val="28"/>
          <w:szCs w:val="28"/>
          <w:rtl/>
        </w:rPr>
      </w:pPr>
    </w:p>
    <w:p w14:paraId="49348162" w14:textId="77777777" w:rsidR="00F842D4" w:rsidRDefault="00F842D4" w:rsidP="00F842D4">
      <w:pPr>
        <w:rPr>
          <w:rtl/>
        </w:rPr>
      </w:pPr>
    </w:p>
    <w:p w14:paraId="7E5463D1" w14:textId="77777777" w:rsidR="00F842D4" w:rsidRDefault="00F842D4" w:rsidP="00F842D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6863341" w14:textId="77777777" w:rsidR="001711B9" w:rsidRPr="001711B9" w:rsidRDefault="001711B9" w:rsidP="001711B9">
      <w:pPr>
        <w:keepNext/>
        <w:rPr>
          <w:rFonts w:ascii="David" w:hAnsi="David"/>
          <w:color w:val="000000"/>
          <w:sz w:val="22"/>
          <w:szCs w:val="22"/>
          <w:rtl/>
        </w:rPr>
      </w:pPr>
    </w:p>
    <w:p w14:paraId="6568EE7F" w14:textId="77777777" w:rsidR="001711B9" w:rsidRPr="001711B9" w:rsidRDefault="001711B9" w:rsidP="001711B9">
      <w:pPr>
        <w:keepNext/>
        <w:rPr>
          <w:rFonts w:ascii="David" w:hAnsi="David"/>
          <w:color w:val="000000"/>
          <w:sz w:val="22"/>
          <w:szCs w:val="22"/>
          <w:rtl/>
        </w:rPr>
      </w:pPr>
      <w:r w:rsidRPr="001711B9">
        <w:rPr>
          <w:rFonts w:ascii="David" w:hAnsi="David"/>
          <w:color w:val="000000"/>
          <w:sz w:val="22"/>
          <w:szCs w:val="22"/>
          <w:rtl/>
        </w:rPr>
        <w:t>דוד שאול גבאי ריכטר 54678313-/</w:t>
      </w:r>
    </w:p>
    <w:p w14:paraId="05926C96" w14:textId="77777777" w:rsidR="00F842D4" w:rsidRPr="00F842D4" w:rsidRDefault="001711B9" w:rsidP="001711B9">
      <w:pPr>
        <w:rPr>
          <w:color w:val="0000FF"/>
          <w:u w:val="single"/>
        </w:rPr>
      </w:pPr>
      <w:r w:rsidRPr="001711B9">
        <w:rPr>
          <w:color w:val="000000"/>
          <w:u w:val="single"/>
          <w:rtl/>
        </w:rPr>
        <w:t>נוסח מסמך זה כפוף לשינויי ניסוח ועריכה</w:t>
      </w:r>
    </w:p>
    <w:sectPr w:rsidR="00F842D4" w:rsidRPr="00F842D4" w:rsidSect="001711B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52A23" w14:textId="77777777" w:rsidR="009B1E0C" w:rsidRDefault="009B1E0C" w:rsidP="006E565D">
      <w:r>
        <w:separator/>
      </w:r>
    </w:p>
  </w:endnote>
  <w:endnote w:type="continuationSeparator" w:id="0">
    <w:p w14:paraId="7103E30D" w14:textId="77777777" w:rsidR="009B1E0C" w:rsidRDefault="009B1E0C" w:rsidP="006E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BFA93" w14:textId="77777777" w:rsidR="001711B9" w:rsidRDefault="001711B9" w:rsidP="001711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589FD6" w14:textId="77777777" w:rsidR="00E71CB3" w:rsidRPr="001711B9" w:rsidRDefault="001711B9" w:rsidP="001711B9">
    <w:pPr>
      <w:pStyle w:val="a5"/>
      <w:pBdr>
        <w:top w:val="single" w:sz="4" w:space="1" w:color="auto"/>
        <w:between w:val="single" w:sz="4" w:space="0" w:color="auto"/>
      </w:pBdr>
      <w:spacing w:after="60"/>
      <w:jc w:val="center"/>
      <w:rPr>
        <w:rFonts w:ascii="FrankRuehl" w:hAnsi="FrankRuehl" w:cs="FrankRuehl"/>
        <w:color w:val="000000"/>
      </w:rPr>
    </w:pPr>
    <w:r w:rsidRPr="001711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ECE0" w14:textId="77777777" w:rsidR="001711B9" w:rsidRDefault="001711B9" w:rsidP="001711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2FC8">
      <w:rPr>
        <w:rFonts w:ascii="FrankRuehl" w:hAnsi="FrankRuehl" w:cs="FrankRuehl"/>
        <w:noProof/>
        <w:rtl/>
      </w:rPr>
      <w:t>1</w:t>
    </w:r>
    <w:r>
      <w:rPr>
        <w:rFonts w:ascii="FrankRuehl" w:hAnsi="FrankRuehl" w:cs="FrankRuehl"/>
        <w:rtl/>
      </w:rPr>
      <w:fldChar w:fldCharType="end"/>
    </w:r>
  </w:p>
  <w:p w14:paraId="70D6074B" w14:textId="77777777" w:rsidR="00E71CB3" w:rsidRPr="001711B9" w:rsidRDefault="001711B9" w:rsidP="001711B9">
    <w:pPr>
      <w:pStyle w:val="a5"/>
      <w:pBdr>
        <w:top w:val="single" w:sz="4" w:space="1" w:color="auto"/>
        <w:between w:val="single" w:sz="4" w:space="0" w:color="auto"/>
      </w:pBdr>
      <w:spacing w:after="60"/>
      <w:jc w:val="center"/>
      <w:rPr>
        <w:rFonts w:ascii="FrankRuehl" w:hAnsi="FrankRuehl" w:cs="FrankRuehl"/>
        <w:color w:val="000000"/>
      </w:rPr>
    </w:pPr>
    <w:r w:rsidRPr="001711B9">
      <w:rPr>
        <w:rFonts w:ascii="FrankRuehl" w:hAnsi="FrankRuehl" w:cs="FrankRuehl"/>
        <w:color w:val="000000"/>
      </w:rPr>
      <w:pict w14:anchorId="45CBD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8F219" w14:textId="77777777" w:rsidR="009B1E0C" w:rsidRDefault="009B1E0C" w:rsidP="006E565D">
      <w:r>
        <w:separator/>
      </w:r>
    </w:p>
  </w:footnote>
  <w:footnote w:type="continuationSeparator" w:id="0">
    <w:p w14:paraId="193B1247" w14:textId="77777777" w:rsidR="009B1E0C" w:rsidRDefault="009B1E0C" w:rsidP="006E5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4B24" w14:textId="77777777" w:rsidR="00F842D4" w:rsidRPr="001711B9" w:rsidRDefault="001711B9" w:rsidP="001711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46909-11-17</w:t>
    </w:r>
    <w:r>
      <w:rPr>
        <w:rFonts w:ascii="David" w:hAnsi="David"/>
        <w:color w:val="000000"/>
        <w:sz w:val="22"/>
        <w:szCs w:val="22"/>
        <w:rtl/>
      </w:rPr>
      <w:tab/>
      <w:t xml:space="preserve"> מדינת ישראל נ' יוסף צימרמן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06592" w14:textId="77777777" w:rsidR="00F842D4" w:rsidRPr="001711B9" w:rsidRDefault="001711B9" w:rsidP="001711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46909-11-17</w:t>
    </w:r>
    <w:r>
      <w:rPr>
        <w:rFonts w:ascii="David" w:hAnsi="David"/>
        <w:color w:val="000000"/>
        <w:sz w:val="22"/>
        <w:szCs w:val="22"/>
        <w:rtl/>
      </w:rPr>
      <w:tab/>
      <w:t xml:space="preserve"> מדינת ישראל נ' יוסף צימרמן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8348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0901"/>
    <w:rsid w:val="001711B9"/>
    <w:rsid w:val="002D7B2F"/>
    <w:rsid w:val="004E79BF"/>
    <w:rsid w:val="0066387A"/>
    <w:rsid w:val="00672FC8"/>
    <w:rsid w:val="006E565D"/>
    <w:rsid w:val="00960A79"/>
    <w:rsid w:val="009B1E0C"/>
    <w:rsid w:val="00A63285"/>
    <w:rsid w:val="00BA16A0"/>
    <w:rsid w:val="00D60850"/>
    <w:rsid w:val="00D60901"/>
    <w:rsid w:val="00E71CB3"/>
    <w:rsid w:val="00F84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471CF3B"/>
  <w15:chartTrackingRefBased/>
  <w15:docId w15:val="{C0F22C5C-3400-4F22-9F09-FEC3785B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9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0901"/>
    <w:pPr>
      <w:tabs>
        <w:tab w:val="center" w:pos="4153"/>
        <w:tab w:val="right" w:pos="8306"/>
      </w:tabs>
    </w:pPr>
  </w:style>
  <w:style w:type="character" w:customStyle="1" w:styleId="a4">
    <w:name w:val="כותרת עליונה תו"/>
    <w:link w:val="a3"/>
    <w:rsid w:val="00D60901"/>
    <w:rPr>
      <w:rFonts w:ascii="Times New Roman" w:eastAsia="Times New Roman" w:hAnsi="Times New Roman" w:cs="David"/>
      <w:sz w:val="24"/>
      <w:szCs w:val="24"/>
    </w:rPr>
  </w:style>
  <w:style w:type="paragraph" w:styleId="a5">
    <w:name w:val="footer"/>
    <w:basedOn w:val="a"/>
    <w:link w:val="a6"/>
    <w:rsid w:val="00D60901"/>
    <w:pPr>
      <w:tabs>
        <w:tab w:val="center" w:pos="4153"/>
        <w:tab w:val="right" w:pos="8306"/>
      </w:tabs>
    </w:pPr>
  </w:style>
  <w:style w:type="character" w:customStyle="1" w:styleId="a6">
    <w:name w:val="כותרת תחתונה תו"/>
    <w:link w:val="a5"/>
    <w:rsid w:val="00D60901"/>
    <w:rPr>
      <w:rFonts w:ascii="Times New Roman" w:eastAsia="Times New Roman" w:hAnsi="Times New Roman" w:cs="David"/>
      <w:sz w:val="24"/>
      <w:szCs w:val="24"/>
    </w:rPr>
  </w:style>
  <w:style w:type="table" w:styleId="a7">
    <w:name w:val="Table Grid"/>
    <w:basedOn w:val="a1"/>
    <w:rsid w:val="00D609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0901"/>
  </w:style>
  <w:style w:type="paragraph" w:styleId="a9">
    <w:name w:val="footnote text"/>
    <w:basedOn w:val="a"/>
    <w:link w:val="aa"/>
    <w:rsid w:val="00D60901"/>
    <w:rPr>
      <w:sz w:val="20"/>
      <w:szCs w:val="20"/>
    </w:rPr>
  </w:style>
  <w:style w:type="character" w:customStyle="1" w:styleId="aa">
    <w:name w:val="טקסט הערת שוליים תו"/>
    <w:link w:val="a9"/>
    <w:rsid w:val="00D60901"/>
    <w:rPr>
      <w:rFonts w:ascii="Times New Roman" w:eastAsia="Times New Roman" w:hAnsi="Times New Roman" w:cs="David"/>
      <w:sz w:val="20"/>
      <w:szCs w:val="20"/>
    </w:rPr>
  </w:style>
  <w:style w:type="character" w:styleId="Hyperlink">
    <w:name w:val="Hyperlink"/>
    <w:rsid w:val="00F842D4"/>
    <w:rPr>
      <w:color w:val="0563C1"/>
      <w:u w:val="single"/>
    </w:rPr>
  </w:style>
  <w:style w:type="character" w:styleId="ab">
    <w:name w:val="Unresolved Mention"/>
    <w:rsid w:val="00F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e"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1477656"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36a" TargetMode="External"/><Relationship Id="rId17" Type="http://schemas.openxmlformats.org/officeDocument/2006/relationships/hyperlink" Target="http://www.nevo.co.il/law/4216/13a;19" TargetMode="External"/><Relationship Id="rId25" Type="http://schemas.openxmlformats.org/officeDocument/2006/relationships/hyperlink" Target="http://www.nevo.co.il/case/2182707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22961877" TargetMode="External"/><Relationship Id="rId32" Type="http://schemas.openxmlformats.org/officeDocument/2006/relationships/hyperlink" Target="http://www.nevo.co.il/law/4216/36a.e"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case/22830934" TargetMode="External"/><Relationship Id="rId28" Type="http://schemas.openxmlformats.org/officeDocument/2006/relationships/hyperlink" Target="http://www.nevo.co.il/law/70301/40ja" TargetMode="External"/><Relationship Id="rId36" Type="http://schemas.openxmlformats.org/officeDocument/2006/relationships/footer" Target="footer1.xml"/><Relationship Id="rId10" Type="http://schemas.openxmlformats.org/officeDocument/2006/relationships/hyperlink" Target="http://www.nevo.co.il/law/4216/13a"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4216/36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7472"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3277768"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1693</Words>
  <Characters>8469</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10142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4784210</vt:i4>
      </vt:variant>
      <vt:variant>
        <vt:i4>75</vt:i4>
      </vt:variant>
      <vt:variant>
        <vt:i4>0</vt:i4>
      </vt:variant>
      <vt:variant>
        <vt:i4>5</vt:i4>
      </vt:variant>
      <vt:variant>
        <vt:lpwstr>http://www.nevo.co.il/law/4216/36a.e</vt:lpwstr>
      </vt:variant>
      <vt:variant>
        <vt:lpwstr/>
      </vt:variant>
      <vt:variant>
        <vt:i4>2883708</vt:i4>
      </vt:variant>
      <vt:variant>
        <vt:i4>72</vt:i4>
      </vt:variant>
      <vt:variant>
        <vt:i4>0</vt:i4>
      </vt:variant>
      <vt:variant>
        <vt:i4>5</vt:i4>
      </vt:variant>
      <vt:variant>
        <vt:lpwstr>http://www.nevo.co.il/law/4216/36a</vt:lpwstr>
      </vt:variant>
      <vt:variant>
        <vt:lpwstr/>
      </vt:variant>
      <vt:variant>
        <vt:i4>3211383</vt:i4>
      </vt:variant>
      <vt:variant>
        <vt:i4>69</vt:i4>
      </vt:variant>
      <vt:variant>
        <vt:i4>0</vt:i4>
      </vt:variant>
      <vt:variant>
        <vt:i4>5</vt:i4>
      </vt:variant>
      <vt:variant>
        <vt:lpwstr>http://www.nevo.co.il/case/23277768</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3407988</vt:i4>
      </vt:variant>
      <vt:variant>
        <vt:i4>57</vt:i4>
      </vt:variant>
      <vt:variant>
        <vt:i4>0</vt:i4>
      </vt:variant>
      <vt:variant>
        <vt:i4>5</vt:i4>
      </vt:variant>
      <vt:variant>
        <vt:lpwstr>http://www.nevo.co.il/case/21477656</vt:lpwstr>
      </vt:variant>
      <vt:variant>
        <vt:lpwstr/>
      </vt:variant>
      <vt:variant>
        <vt:i4>3801207</vt:i4>
      </vt:variant>
      <vt:variant>
        <vt:i4>54</vt:i4>
      </vt:variant>
      <vt:variant>
        <vt:i4>0</vt:i4>
      </vt:variant>
      <vt:variant>
        <vt:i4>5</vt:i4>
      </vt:variant>
      <vt:variant>
        <vt:lpwstr>http://www.nevo.co.il/case/21827077</vt:lpwstr>
      </vt:variant>
      <vt:variant>
        <vt:lpwstr/>
      </vt:variant>
      <vt:variant>
        <vt:i4>3997816</vt:i4>
      </vt:variant>
      <vt:variant>
        <vt:i4>51</vt:i4>
      </vt:variant>
      <vt:variant>
        <vt:i4>0</vt:i4>
      </vt:variant>
      <vt:variant>
        <vt:i4>5</vt:i4>
      </vt:variant>
      <vt:variant>
        <vt:lpwstr>http://www.nevo.co.il/case/22961877</vt:lpwstr>
      </vt:variant>
      <vt:variant>
        <vt:lpwstr/>
      </vt:variant>
      <vt:variant>
        <vt:i4>3735676</vt:i4>
      </vt:variant>
      <vt:variant>
        <vt:i4>48</vt:i4>
      </vt:variant>
      <vt:variant>
        <vt:i4>0</vt:i4>
      </vt:variant>
      <vt:variant>
        <vt:i4>5</vt:i4>
      </vt:variant>
      <vt:variant>
        <vt:lpwstr>http://www.nevo.co.il/case/22830934</vt:lpwstr>
      </vt:variant>
      <vt:variant>
        <vt:lpwstr/>
      </vt:variant>
      <vt:variant>
        <vt:i4>3539062</vt:i4>
      </vt:variant>
      <vt:variant>
        <vt:i4>45</vt:i4>
      </vt:variant>
      <vt:variant>
        <vt:i4>0</vt:i4>
      </vt:variant>
      <vt:variant>
        <vt:i4>5</vt:i4>
      </vt:variant>
      <vt:variant>
        <vt:lpwstr>http://www.nevo.co.il/case/21477472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2031682</vt:i4>
      </vt:variant>
      <vt:variant>
        <vt:i4>30</vt:i4>
      </vt:variant>
      <vt:variant>
        <vt:i4>0</vt:i4>
      </vt:variant>
      <vt:variant>
        <vt:i4>5</vt:i4>
      </vt:variant>
      <vt:variant>
        <vt:lpwstr>http://www.nevo.co.il/law/4216/13a;19</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4784210</vt:i4>
      </vt:variant>
      <vt:variant>
        <vt:i4>18</vt:i4>
      </vt:variant>
      <vt:variant>
        <vt:i4>0</vt:i4>
      </vt:variant>
      <vt:variant>
        <vt:i4>5</vt:i4>
      </vt:variant>
      <vt:variant>
        <vt:lpwstr>http://www.nevo.co.il/law/4216/36a.e</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46909</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צימרמן</vt:lpwstr>
  </property>
  <property fmtid="{D5CDD505-2E9C-101B-9397-08002B2CF9AE}" pid="10" name="LAWYER">
    <vt:lpwstr>חנן רובינשטיין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20180424</vt:lpwstr>
  </property>
  <property fmtid="{D5CDD505-2E9C-101B-9397-08002B2CF9AE}" pid="14" name="TYPE_N_DATE">
    <vt:lpwstr>38020180424</vt:lpwstr>
  </property>
  <property fmtid="{D5CDD505-2E9C-101B-9397-08002B2CF9AE}" pid="15" name="WORDNUMPAGES">
    <vt:lpwstr>5</vt:lpwstr>
  </property>
  <property fmtid="{D5CDD505-2E9C-101B-9397-08002B2CF9AE}" pid="16" name="TYPE_ABS_DATE">
    <vt:lpwstr>380020180424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21477472;22830934;22961877;21827077;21477656;13093721;23277768</vt:lpwstr>
  </property>
  <property fmtid="{D5CDD505-2E9C-101B-9397-08002B2CF9AE}" pid="36" name="LAWLISTTMP1">
    <vt:lpwstr>4216/013a;019;007.a;007.c;036a;036a.e</vt:lpwstr>
  </property>
  <property fmtid="{D5CDD505-2E9C-101B-9397-08002B2CF9AE}" pid="37" name="LAWLISTTMP2">
    <vt:lpwstr>70301/040i;40ja</vt:lpwstr>
  </property>
</Properties>
</file>