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FC67B1" w:rsidRPr="006775F9" w14:paraId="5E6CCAA9" w14:textId="77777777" w:rsidTr="00CF5EC3">
        <w:trPr>
          <w:trHeight w:hRule="exact" w:val="418"/>
          <w:jc w:val="center"/>
        </w:trPr>
        <w:tc>
          <w:tcPr>
            <w:tcW w:w="8523" w:type="dxa"/>
            <w:gridSpan w:val="2"/>
          </w:tcPr>
          <w:p w14:paraId="3A4AB0C8" w14:textId="77777777" w:rsidR="00FC67B1" w:rsidRPr="006775F9" w:rsidRDefault="00FC67B1" w:rsidP="00D45BC2">
            <w:pPr>
              <w:pStyle w:val="a3"/>
              <w:jc w:val="center"/>
              <w:rPr>
                <w:rFonts w:ascii="Tahoma" w:hAnsi="Tahoma"/>
                <w:color w:val="000080"/>
                <w:sz w:val="32"/>
                <w:szCs w:val="32"/>
                <w:rtl/>
              </w:rPr>
            </w:pPr>
            <w:bookmarkStart w:id="0" w:name="LastJudge"/>
            <w:r w:rsidRPr="006775F9">
              <w:rPr>
                <w:rFonts w:ascii="Tahoma" w:hAnsi="Tahoma"/>
                <w:b/>
                <w:bCs/>
                <w:color w:val="000080"/>
                <w:sz w:val="32"/>
                <w:szCs w:val="32"/>
                <w:rtl/>
              </w:rPr>
              <w:t>בית משפט השלום בתל אביב - יפו</w:t>
            </w:r>
          </w:p>
        </w:tc>
      </w:tr>
      <w:tr w:rsidR="00FC67B1" w:rsidRPr="006775F9" w14:paraId="506B662E" w14:textId="77777777" w:rsidTr="00CF5EC3">
        <w:trPr>
          <w:trHeight w:val="337"/>
          <w:jc w:val="center"/>
        </w:trPr>
        <w:tc>
          <w:tcPr>
            <w:tcW w:w="4945" w:type="dxa"/>
          </w:tcPr>
          <w:p w14:paraId="0EA7A5B7" w14:textId="77777777" w:rsidR="00FC67B1" w:rsidRPr="006775F9" w:rsidRDefault="00FC67B1" w:rsidP="00D45BC2">
            <w:pPr>
              <w:rPr>
                <w:sz w:val="26"/>
                <w:szCs w:val="26"/>
                <w:rtl/>
              </w:rPr>
            </w:pPr>
            <w:r w:rsidRPr="006775F9">
              <w:rPr>
                <w:sz w:val="26"/>
                <w:szCs w:val="26"/>
                <w:rtl/>
              </w:rPr>
              <w:t>ת"פ</w:t>
            </w:r>
            <w:r w:rsidRPr="006775F9">
              <w:rPr>
                <w:rFonts w:hint="cs"/>
                <w:sz w:val="26"/>
                <w:szCs w:val="26"/>
                <w:rtl/>
              </w:rPr>
              <w:t xml:space="preserve"> </w:t>
            </w:r>
            <w:r w:rsidRPr="006775F9">
              <w:rPr>
                <w:sz w:val="26"/>
                <w:szCs w:val="26"/>
                <w:rtl/>
              </w:rPr>
              <w:t>59939-11-17</w:t>
            </w:r>
            <w:r w:rsidRPr="006775F9">
              <w:rPr>
                <w:rFonts w:hint="cs"/>
                <w:sz w:val="26"/>
                <w:szCs w:val="26"/>
                <w:rtl/>
              </w:rPr>
              <w:t xml:space="preserve"> </w:t>
            </w:r>
            <w:r w:rsidRPr="006775F9">
              <w:rPr>
                <w:sz w:val="26"/>
                <w:szCs w:val="26"/>
                <w:rtl/>
              </w:rPr>
              <w:t>מדינת ישראל נ' גרבלי</w:t>
            </w:r>
          </w:p>
        </w:tc>
        <w:tc>
          <w:tcPr>
            <w:tcW w:w="3578" w:type="dxa"/>
          </w:tcPr>
          <w:p w14:paraId="508D1BAC" w14:textId="77777777" w:rsidR="00FC67B1" w:rsidRPr="006775F9" w:rsidRDefault="00FC67B1" w:rsidP="00D45BC2">
            <w:pPr>
              <w:pStyle w:val="a3"/>
              <w:jc w:val="right"/>
              <w:rPr>
                <w:rFonts w:cs="FrankRuehl"/>
                <w:sz w:val="28"/>
                <w:szCs w:val="28"/>
                <w:rtl/>
              </w:rPr>
            </w:pPr>
          </w:p>
        </w:tc>
      </w:tr>
    </w:tbl>
    <w:p w14:paraId="433BE49A" w14:textId="77777777" w:rsidR="00FC67B1" w:rsidRPr="006775F9" w:rsidRDefault="00FC67B1" w:rsidP="00FC67B1">
      <w:pPr>
        <w:pStyle w:val="a3"/>
        <w:rPr>
          <w:rtl/>
        </w:rPr>
      </w:pPr>
      <w:r w:rsidRPr="006775F9">
        <w:rPr>
          <w:rFonts w:hint="cs"/>
          <w:rtl/>
        </w:rPr>
        <w:t xml:space="preserve"> </w:t>
      </w:r>
    </w:p>
    <w:p w14:paraId="6BBDC561" w14:textId="77777777" w:rsidR="00FC67B1" w:rsidRPr="006775F9" w:rsidRDefault="00FC67B1" w:rsidP="00FC67B1">
      <w:pPr>
        <w:rPr>
          <w:rtl/>
        </w:rPr>
      </w:pPr>
    </w:p>
    <w:p w14:paraId="6A4A077B" w14:textId="77777777" w:rsidR="00FC67B1" w:rsidRPr="006775F9" w:rsidRDefault="00FC67B1" w:rsidP="00FC67B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FC67B1" w:rsidRPr="006775F9" w14:paraId="7346D5FF" w14:textId="77777777" w:rsidTr="00FC67B1">
        <w:trPr>
          <w:trHeight w:val="295"/>
          <w:jc w:val="center"/>
        </w:trPr>
        <w:tc>
          <w:tcPr>
            <w:tcW w:w="8820" w:type="dxa"/>
            <w:gridSpan w:val="3"/>
            <w:tcBorders>
              <w:top w:val="nil"/>
              <w:left w:val="nil"/>
              <w:bottom w:val="nil"/>
              <w:right w:val="nil"/>
            </w:tcBorders>
            <w:shd w:val="clear" w:color="auto" w:fill="auto"/>
          </w:tcPr>
          <w:p w14:paraId="350DF398" w14:textId="77777777" w:rsidR="00FC67B1" w:rsidRPr="006775F9" w:rsidRDefault="00FC67B1" w:rsidP="00FC67B1">
            <w:pPr>
              <w:jc w:val="both"/>
              <w:rPr>
                <w:rFonts w:ascii="Arial" w:hAnsi="Arial"/>
                <w:b/>
                <w:bCs/>
                <w:sz w:val="26"/>
                <w:szCs w:val="26"/>
              </w:rPr>
            </w:pPr>
            <w:r w:rsidRPr="006775F9">
              <w:rPr>
                <w:rFonts w:ascii="Arial" w:hAnsi="Arial" w:hint="cs"/>
                <w:b/>
                <w:bCs/>
                <w:sz w:val="26"/>
                <w:szCs w:val="26"/>
                <w:rtl/>
              </w:rPr>
              <w:t>ל</w:t>
            </w:r>
            <w:r w:rsidRPr="006775F9">
              <w:rPr>
                <w:rFonts w:ascii="Arial" w:hAnsi="Arial"/>
                <w:b/>
                <w:bCs/>
                <w:sz w:val="26"/>
                <w:szCs w:val="26"/>
                <w:rtl/>
              </w:rPr>
              <w:t xml:space="preserve">פני </w:t>
            </w:r>
            <w:r w:rsidRPr="006775F9">
              <w:rPr>
                <w:rFonts w:ascii="Arial" w:hAnsi="Arial" w:hint="cs"/>
                <w:b/>
                <w:bCs/>
                <w:sz w:val="26"/>
                <w:szCs w:val="26"/>
                <w:rtl/>
              </w:rPr>
              <w:t>כבוד ה</w:t>
            </w:r>
            <w:r w:rsidRPr="006775F9">
              <w:rPr>
                <w:rFonts w:ascii="Arial" w:hAnsi="Arial"/>
                <w:b/>
                <w:bCs/>
                <w:sz w:val="26"/>
                <w:szCs w:val="26"/>
                <w:rtl/>
              </w:rPr>
              <w:t>שופטת</w:t>
            </w:r>
            <w:r w:rsidRPr="006775F9">
              <w:rPr>
                <w:rFonts w:ascii="Arial" w:hAnsi="Arial" w:hint="cs"/>
                <w:b/>
                <w:bCs/>
                <w:sz w:val="26"/>
                <w:szCs w:val="26"/>
                <w:rtl/>
              </w:rPr>
              <w:t xml:space="preserve">  </w:t>
            </w:r>
            <w:r w:rsidRPr="006775F9">
              <w:rPr>
                <w:rFonts w:ascii="Arial" w:hAnsi="Arial"/>
                <w:b/>
                <w:bCs/>
                <w:sz w:val="26"/>
                <w:szCs w:val="26"/>
                <w:rtl/>
              </w:rPr>
              <w:t>דנה אמיר</w:t>
            </w:r>
          </w:p>
        </w:tc>
      </w:tr>
      <w:tr w:rsidR="00FC67B1" w:rsidRPr="006775F9" w14:paraId="7AEB8C87" w14:textId="77777777" w:rsidTr="00FC67B1">
        <w:trPr>
          <w:trHeight w:val="355"/>
          <w:jc w:val="center"/>
        </w:trPr>
        <w:tc>
          <w:tcPr>
            <w:tcW w:w="885" w:type="dxa"/>
            <w:tcBorders>
              <w:top w:val="nil"/>
              <w:left w:val="nil"/>
              <w:bottom w:val="nil"/>
              <w:right w:val="nil"/>
            </w:tcBorders>
            <w:shd w:val="clear" w:color="auto" w:fill="auto"/>
          </w:tcPr>
          <w:p w14:paraId="7F8C9849" w14:textId="77777777" w:rsidR="00FC67B1" w:rsidRPr="006775F9" w:rsidRDefault="00FC67B1" w:rsidP="00FC67B1">
            <w:pPr>
              <w:jc w:val="both"/>
              <w:rPr>
                <w:rFonts w:ascii="Arial" w:hAnsi="Arial"/>
                <w:b/>
                <w:bCs/>
                <w:sz w:val="26"/>
                <w:szCs w:val="26"/>
              </w:rPr>
            </w:pPr>
            <w:bookmarkStart w:id="1" w:name="FirstAppellant"/>
            <w:r w:rsidRPr="006775F9">
              <w:rPr>
                <w:rFonts w:ascii="Arial" w:hAnsi="Arial" w:hint="cs"/>
                <w:sz w:val="26"/>
                <w:szCs w:val="26"/>
                <w:rtl/>
              </w:rPr>
              <w:t>ה</w:t>
            </w:r>
            <w:r w:rsidRPr="006775F9">
              <w:rPr>
                <w:rFonts w:ascii="Arial" w:hAnsi="Arial"/>
                <w:sz w:val="26"/>
                <w:szCs w:val="26"/>
                <w:rtl/>
              </w:rPr>
              <w:t>מאשימה</w:t>
            </w:r>
          </w:p>
        </w:tc>
        <w:tc>
          <w:tcPr>
            <w:tcW w:w="4384" w:type="dxa"/>
            <w:tcBorders>
              <w:top w:val="nil"/>
              <w:left w:val="nil"/>
              <w:bottom w:val="nil"/>
              <w:right w:val="nil"/>
            </w:tcBorders>
            <w:shd w:val="clear" w:color="auto" w:fill="auto"/>
          </w:tcPr>
          <w:p w14:paraId="4FBB2413" w14:textId="77777777" w:rsidR="00FC67B1" w:rsidRPr="006775F9" w:rsidRDefault="00FC67B1" w:rsidP="00D45BC2">
            <w:pPr>
              <w:rPr>
                <w:sz w:val="26"/>
                <w:szCs w:val="26"/>
                <w:rtl/>
              </w:rPr>
            </w:pPr>
            <w:r w:rsidRPr="006775F9">
              <w:rPr>
                <w:rFonts w:ascii="Arial" w:hAnsi="Arial"/>
                <w:sz w:val="26"/>
                <w:szCs w:val="26"/>
                <w:rtl/>
              </w:rPr>
              <w:t>מדינת ישראל</w:t>
            </w:r>
          </w:p>
          <w:p w14:paraId="5963DAF9" w14:textId="77777777" w:rsidR="00FC67B1" w:rsidRPr="006775F9" w:rsidRDefault="00FC67B1" w:rsidP="00D45BC2">
            <w:pPr>
              <w:rPr>
                <w:sz w:val="26"/>
                <w:szCs w:val="26"/>
              </w:rPr>
            </w:pPr>
          </w:p>
        </w:tc>
        <w:tc>
          <w:tcPr>
            <w:tcW w:w="3551" w:type="dxa"/>
            <w:tcBorders>
              <w:top w:val="nil"/>
              <w:left w:val="nil"/>
              <w:bottom w:val="nil"/>
              <w:right w:val="nil"/>
            </w:tcBorders>
            <w:shd w:val="clear" w:color="auto" w:fill="auto"/>
          </w:tcPr>
          <w:p w14:paraId="66D455C6" w14:textId="77777777" w:rsidR="00FC67B1" w:rsidRPr="006775F9" w:rsidRDefault="00FC67B1" w:rsidP="00FC67B1">
            <w:pPr>
              <w:jc w:val="both"/>
              <w:rPr>
                <w:rFonts w:ascii="Arial" w:hAnsi="Arial"/>
                <w:sz w:val="26"/>
                <w:szCs w:val="26"/>
              </w:rPr>
            </w:pPr>
          </w:p>
        </w:tc>
      </w:tr>
      <w:bookmarkEnd w:id="1"/>
      <w:tr w:rsidR="00FC67B1" w:rsidRPr="006775F9" w14:paraId="77951EA2" w14:textId="77777777" w:rsidTr="00FC67B1">
        <w:trPr>
          <w:trHeight w:val="373"/>
          <w:jc w:val="center"/>
        </w:trPr>
        <w:tc>
          <w:tcPr>
            <w:tcW w:w="885" w:type="dxa"/>
            <w:tcBorders>
              <w:top w:val="nil"/>
              <w:left w:val="nil"/>
              <w:bottom w:val="nil"/>
              <w:right w:val="nil"/>
            </w:tcBorders>
            <w:shd w:val="clear" w:color="auto" w:fill="auto"/>
          </w:tcPr>
          <w:p w14:paraId="397B240F" w14:textId="77777777" w:rsidR="00FC67B1" w:rsidRPr="006775F9" w:rsidRDefault="00FC67B1" w:rsidP="00FC67B1">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44232798" w14:textId="77777777" w:rsidR="00FC67B1" w:rsidRPr="006775F9" w:rsidRDefault="00FC67B1" w:rsidP="00FC67B1">
            <w:pPr>
              <w:jc w:val="center"/>
              <w:rPr>
                <w:rFonts w:ascii="Arial" w:hAnsi="Arial"/>
                <w:b/>
                <w:bCs/>
                <w:sz w:val="26"/>
                <w:szCs w:val="26"/>
                <w:rtl/>
              </w:rPr>
            </w:pPr>
          </w:p>
          <w:p w14:paraId="13B2CB63" w14:textId="77777777" w:rsidR="00FC67B1" w:rsidRPr="006775F9" w:rsidRDefault="00FC67B1" w:rsidP="00FC67B1">
            <w:pPr>
              <w:jc w:val="center"/>
              <w:rPr>
                <w:rFonts w:ascii="Arial" w:hAnsi="Arial"/>
                <w:b/>
                <w:bCs/>
                <w:sz w:val="26"/>
                <w:szCs w:val="26"/>
                <w:rtl/>
              </w:rPr>
            </w:pPr>
            <w:r w:rsidRPr="006775F9">
              <w:rPr>
                <w:rFonts w:ascii="Arial" w:hAnsi="Arial"/>
                <w:b/>
                <w:bCs/>
                <w:sz w:val="26"/>
                <w:szCs w:val="26"/>
                <w:rtl/>
              </w:rPr>
              <w:t>נגד</w:t>
            </w:r>
          </w:p>
          <w:p w14:paraId="4D314E49" w14:textId="77777777" w:rsidR="00FC67B1" w:rsidRPr="006775F9" w:rsidRDefault="00FC67B1" w:rsidP="00FC67B1">
            <w:pPr>
              <w:jc w:val="both"/>
              <w:rPr>
                <w:rFonts w:ascii="Arial" w:hAnsi="Arial"/>
                <w:sz w:val="26"/>
                <w:szCs w:val="26"/>
              </w:rPr>
            </w:pPr>
          </w:p>
        </w:tc>
      </w:tr>
      <w:tr w:rsidR="00FC67B1" w:rsidRPr="006775F9" w14:paraId="72D2C787" w14:textId="77777777" w:rsidTr="00FC67B1">
        <w:trPr>
          <w:trHeight w:val="355"/>
          <w:jc w:val="center"/>
        </w:trPr>
        <w:tc>
          <w:tcPr>
            <w:tcW w:w="885" w:type="dxa"/>
            <w:tcBorders>
              <w:top w:val="nil"/>
              <w:left w:val="nil"/>
              <w:bottom w:val="nil"/>
              <w:right w:val="nil"/>
            </w:tcBorders>
            <w:shd w:val="clear" w:color="auto" w:fill="auto"/>
          </w:tcPr>
          <w:p w14:paraId="2EC51E12" w14:textId="77777777" w:rsidR="00FC67B1" w:rsidRPr="006775F9" w:rsidRDefault="00FC67B1" w:rsidP="00D45BC2">
            <w:pPr>
              <w:rPr>
                <w:rFonts w:ascii="Arial" w:hAnsi="Arial"/>
                <w:sz w:val="26"/>
                <w:szCs w:val="26"/>
                <w:rtl/>
              </w:rPr>
            </w:pPr>
            <w:r w:rsidRPr="006775F9">
              <w:rPr>
                <w:rFonts w:ascii="Arial" w:hAnsi="Arial" w:hint="cs"/>
                <w:sz w:val="26"/>
                <w:szCs w:val="26"/>
                <w:rtl/>
              </w:rPr>
              <w:t>ה</w:t>
            </w:r>
            <w:r w:rsidRPr="006775F9">
              <w:rPr>
                <w:rFonts w:ascii="Arial" w:hAnsi="Arial"/>
                <w:sz w:val="26"/>
                <w:szCs w:val="26"/>
                <w:rtl/>
              </w:rPr>
              <w:t>נאשם</w:t>
            </w:r>
          </w:p>
        </w:tc>
        <w:tc>
          <w:tcPr>
            <w:tcW w:w="4384" w:type="dxa"/>
            <w:tcBorders>
              <w:top w:val="nil"/>
              <w:left w:val="nil"/>
              <w:bottom w:val="nil"/>
              <w:right w:val="nil"/>
            </w:tcBorders>
            <w:shd w:val="clear" w:color="auto" w:fill="auto"/>
          </w:tcPr>
          <w:p w14:paraId="5B1F5DB2" w14:textId="77777777" w:rsidR="00FC67B1" w:rsidRPr="006775F9" w:rsidRDefault="00FC67B1" w:rsidP="00D45BC2">
            <w:pPr>
              <w:rPr>
                <w:sz w:val="26"/>
                <w:szCs w:val="26"/>
                <w:rtl/>
              </w:rPr>
            </w:pPr>
            <w:r w:rsidRPr="006775F9">
              <w:rPr>
                <w:rFonts w:ascii="Arial" w:hAnsi="Arial"/>
                <w:sz w:val="26"/>
                <w:szCs w:val="26"/>
                <w:rtl/>
              </w:rPr>
              <w:t>אורן גרבלי</w:t>
            </w:r>
          </w:p>
          <w:p w14:paraId="5D5A689A" w14:textId="77777777" w:rsidR="00FC67B1" w:rsidRPr="006775F9" w:rsidRDefault="00FC67B1" w:rsidP="00D45BC2">
            <w:pPr>
              <w:rPr>
                <w:sz w:val="26"/>
                <w:szCs w:val="26"/>
                <w:rtl/>
              </w:rPr>
            </w:pPr>
          </w:p>
        </w:tc>
        <w:tc>
          <w:tcPr>
            <w:tcW w:w="3551" w:type="dxa"/>
            <w:tcBorders>
              <w:top w:val="nil"/>
              <w:left w:val="nil"/>
              <w:bottom w:val="nil"/>
              <w:right w:val="nil"/>
            </w:tcBorders>
            <w:shd w:val="clear" w:color="auto" w:fill="auto"/>
          </w:tcPr>
          <w:p w14:paraId="706BCE35" w14:textId="77777777" w:rsidR="00FC67B1" w:rsidRPr="006775F9" w:rsidRDefault="00FC67B1" w:rsidP="00FC67B1">
            <w:pPr>
              <w:jc w:val="right"/>
              <w:rPr>
                <w:rFonts w:ascii="Arial" w:hAnsi="Arial"/>
                <w:sz w:val="26"/>
                <w:szCs w:val="26"/>
              </w:rPr>
            </w:pPr>
          </w:p>
        </w:tc>
      </w:tr>
    </w:tbl>
    <w:p w14:paraId="1B3D850D" w14:textId="77777777" w:rsidR="00FC67B1" w:rsidRPr="006775F9" w:rsidRDefault="00FC67B1" w:rsidP="00FC67B1">
      <w:pPr>
        <w:rPr>
          <w:b/>
          <w:bCs/>
          <w:rtl/>
        </w:rPr>
      </w:pPr>
      <w:r w:rsidRPr="006775F9">
        <w:rPr>
          <w:rFonts w:hint="cs"/>
          <w:b/>
          <w:bCs/>
          <w:rtl/>
        </w:rPr>
        <w:t>נוכחים:</w:t>
      </w:r>
    </w:p>
    <w:p w14:paraId="2225F2B4" w14:textId="77777777" w:rsidR="00FC67B1" w:rsidRPr="006775F9" w:rsidRDefault="00FC67B1" w:rsidP="00FC67B1">
      <w:pPr>
        <w:rPr>
          <w:rtl/>
        </w:rPr>
      </w:pPr>
      <w:bookmarkStart w:id="2" w:name="FirstLawyer"/>
      <w:r w:rsidRPr="006775F9">
        <w:rPr>
          <w:rFonts w:hint="cs"/>
          <w:rtl/>
        </w:rPr>
        <w:t>ב"כ</w:t>
      </w:r>
      <w:bookmarkEnd w:id="2"/>
      <w:r w:rsidRPr="006775F9">
        <w:rPr>
          <w:rFonts w:hint="cs"/>
          <w:rtl/>
        </w:rPr>
        <w:t xml:space="preserve"> המאשימה עו"ד מיכל כהן סתיו</w:t>
      </w:r>
    </w:p>
    <w:p w14:paraId="24DCB8F6" w14:textId="77777777" w:rsidR="00FC67B1" w:rsidRPr="006775F9" w:rsidRDefault="00FC67B1" w:rsidP="00FC67B1">
      <w:pPr>
        <w:rPr>
          <w:rFonts w:hint="cs"/>
          <w:rtl/>
        </w:rPr>
      </w:pPr>
      <w:r w:rsidRPr="006775F9">
        <w:rPr>
          <w:rFonts w:hint="cs"/>
          <w:rtl/>
        </w:rPr>
        <w:t>ב"כ הנאשם עו"ד איתמר פלג ממשרד עו"ד שרון נהרי</w:t>
      </w:r>
    </w:p>
    <w:p w14:paraId="42B0797A" w14:textId="77777777" w:rsidR="00CF5EC3" w:rsidRDefault="00CF5EC3" w:rsidP="00CF5EC3">
      <w:pPr>
        <w:rPr>
          <w:rtl/>
        </w:rPr>
      </w:pPr>
      <w:bookmarkStart w:id="3" w:name="Links_Kitvei_Start"/>
      <w:r w:rsidRPr="006775F9">
        <w:rPr>
          <w:rFonts w:hint="cs"/>
          <w:rtl/>
        </w:rPr>
        <w:t>הנאשם התייצ</w:t>
      </w:r>
      <w:bookmarkStart w:id="4" w:name="LawTable"/>
      <w:bookmarkEnd w:id="4"/>
      <w:r>
        <w:rPr>
          <w:rFonts w:hint="cs"/>
          <w:rtl/>
        </w:rPr>
        <w:t>ב</w:t>
      </w:r>
    </w:p>
    <w:p w14:paraId="07311B6F" w14:textId="77777777" w:rsidR="006775F9" w:rsidRDefault="006775F9" w:rsidP="00FC67B1">
      <w:pPr>
        <w:rPr>
          <w:rtl/>
        </w:rPr>
      </w:pPr>
    </w:p>
    <w:p w14:paraId="01F62A33" w14:textId="77777777" w:rsidR="006775F9" w:rsidRPr="006775F9" w:rsidRDefault="006775F9" w:rsidP="006775F9">
      <w:pPr>
        <w:spacing w:after="120" w:line="240" w:lineRule="exact"/>
        <w:ind w:left="283" w:hanging="283"/>
        <w:jc w:val="both"/>
        <w:rPr>
          <w:rFonts w:ascii="FrankRuehl" w:hAnsi="FrankRuehl" w:cs="FrankRuehl"/>
          <w:rtl/>
        </w:rPr>
      </w:pPr>
    </w:p>
    <w:bookmarkEnd w:id="3"/>
    <w:p w14:paraId="5BBD94D5" w14:textId="77777777" w:rsidR="006775F9" w:rsidRPr="006775F9" w:rsidRDefault="006775F9" w:rsidP="006775F9">
      <w:pPr>
        <w:spacing w:after="120" w:line="240" w:lineRule="exact"/>
        <w:ind w:left="283" w:hanging="283"/>
        <w:jc w:val="both"/>
        <w:rPr>
          <w:rStyle w:val="Hyperlink"/>
          <w:rFonts w:ascii="FrankRuehl" w:hAnsi="FrankRuehl" w:cs="FrankRuehl"/>
          <w:rtl/>
        </w:rPr>
      </w:pPr>
      <w:r w:rsidRPr="006775F9">
        <w:rPr>
          <w:rFonts w:ascii="FrankRuehl" w:hAnsi="FrankRuehl" w:cs="FrankRuehl"/>
          <w:rtl/>
        </w:rPr>
        <w:t>כתבי עת:</w:t>
      </w:r>
      <w:r w:rsidRPr="006775F9">
        <w:rPr>
          <w:rFonts w:ascii="FrankRuehl" w:hAnsi="FrankRuehl" w:cs="FrankRuehl"/>
          <w:u w:val="single"/>
          <w:rtl/>
        </w:rPr>
        <w:fldChar w:fldCharType="begin"/>
      </w:r>
      <w:r w:rsidRPr="006775F9">
        <w:rPr>
          <w:rFonts w:ascii="FrankRuehl" w:hAnsi="FrankRuehl" w:cs="FrankRuehl"/>
          <w:u w:val="single"/>
          <w:rtl/>
        </w:rPr>
        <w:instrText xml:space="preserve"> </w:instrText>
      </w:r>
      <w:r w:rsidRPr="006775F9">
        <w:rPr>
          <w:rFonts w:ascii="FrankRuehl" w:hAnsi="FrankRuehl" w:cs="FrankRuehl"/>
          <w:u w:val="single"/>
        </w:rPr>
        <w:instrText xml:space="preserve">HYPERLINK </w:instrText>
      </w:r>
      <w:r w:rsidRPr="006775F9">
        <w:rPr>
          <w:rFonts w:ascii="FrankRuehl" w:hAnsi="FrankRuehl" w:cs="FrankRuehl"/>
          <w:u w:val="single"/>
          <w:rtl/>
        </w:rPr>
        <w:instrText>"</w:instrText>
      </w:r>
      <w:r w:rsidRPr="006775F9">
        <w:rPr>
          <w:rFonts w:ascii="FrankRuehl" w:hAnsi="FrankRuehl" w:cs="FrankRuehl"/>
          <w:u w:val="single"/>
        </w:rPr>
        <w:instrText>http://www.nevo.co.il/safrut/book/30035"</w:instrText>
      </w:r>
      <w:r w:rsidRPr="006775F9">
        <w:rPr>
          <w:rFonts w:ascii="FrankRuehl" w:hAnsi="FrankRuehl" w:cs="FrankRuehl"/>
          <w:u w:val="single"/>
          <w:rtl/>
        </w:rPr>
        <w:instrText xml:space="preserve"> </w:instrText>
      </w:r>
      <w:r w:rsidRPr="006775F9">
        <w:rPr>
          <w:rFonts w:ascii="FrankRuehl" w:hAnsi="FrankRuehl" w:cs="FrankRuehl"/>
          <w:u w:val="single"/>
          <w:rtl/>
        </w:rPr>
      </w:r>
      <w:r w:rsidRPr="006775F9">
        <w:rPr>
          <w:rFonts w:ascii="FrankRuehl" w:hAnsi="FrankRuehl" w:cs="FrankRuehl"/>
          <w:u w:val="single"/>
          <w:rtl/>
        </w:rPr>
        <w:fldChar w:fldCharType="separate"/>
      </w:r>
    </w:p>
    <w:p w14:paraId="130392F7" w14:textId="77777777" w:rsidR="006775F9" w:rsidRPr="006775F9" w:rsidRDefault="006775F9" w:rsidP="006775F9">
      <w:pPr>
        <w:spacing w:after="120" w:line="240" w:lineRule="exact"/>
        <w:ind w:left="283" w:hanging="283"/>
        <w:jc w:val="both"/>
        <w:rPr>
          <w:rFonts w:ascii="FrankRuehl" w:hAnsi="FrankRuehl" w:cs="FrankRuehl"/>
          <w:rtl/>
        </w:rPr>
      </w:pPr>
      <w:r w:rsidRPr="006775F9">
        <w:rPr>
          <w:rStyle w:val="Hyperlink"/>
          <w:rFonts w:ascii="FrankRuehl" w:hAnsi="FrankRuehl" w:cs="FrankRuehl"/>
          <w:rtl/>
        </w:rPr>
        <w:t xml:space="preserve">אורן גזל-אייל, "חריגה ממתחם העונש ההולם", ספר דורית ביניש,  (אונ' בר אילן, נבו, 2018) </w:t>
      </w:r>
      <w:r w:rsidRPr="006775F9">
        <w:rPr>
          <w:rStyle w:val="Hyperlink"/>
          <w:rFonts w:ascii="FrankRuehl" w:hAnsi="FrankRuehl" w:cs="FrankRuehl"/>
          <w:u w:val="none"/>
          <w:rtl/>
        </w:rPr>
        <w:t>539</w:t>
      </w:r>
      <w:r w:rsidRPr="006775F9">
        <w:rPr>
          <w:rFonts w:ascii="FrankRuehl" w:hAnsi="FrankRuehl" w:cs="FrankRuehl"/>
          <w:rtl/>
        </w:rPr>
        <w:fldChar w:fldCharType="end"/>
      </w:r>
    </w:p>
    <w:p w14:paraId="0B29C136" w14:textId="77777777" w:rsidR="006775F9" w:rsidRPr="006775F9" w:rsidRDefault="006775F9" w:rsidP="006775F9">
      <w:pPr>
        <w:spacing w:after="120" w:line="240" w:lineRule="exact"/>
        <w:ind w:left="283" w:hanging="283"/>
        <w:jc w:val="both"/>
        <w:rPr>
          <w:rFonts w:ascii="FrankRuehl" w:hAnsi="FrankRuehl" w:cs="FrankRuehl"/>
          <w:rtl/>
        </w:rPr>
      </w:pPr>
      <w:hyperlink r:id="rId7" w:history="1">
        <w:r w:rsidRPr="006775F9">
          <w:rPr>
            <w:rStyle w:val="Hyperlink"/>
            <w:rFonts w:ascii="FrankRuehl" w:hAnsi="FrankRuehl" w:cs="FrankRuehl"/>
            <w:rtl/>
          </w:rPr>
          <w:t xml:space="preserve">יניב ואקי, יורם רבין, "הבניית שיקול הדעת השיפוטי בענישה: תמונת מצב והרהורים על העתיד לבוא", הפרקליט, נב (תשע"ד) </w:t>
        </w:r>
        <w:r w:rsidRPr="006775F9">
          <w:rPr>
            <w:rStyle w:val="Hyperlink"/>
            <w:rFonts w:ascii="FrankRuehl" w:hAnsi="FrankRuehl" w:cs="FrankRuehl"/>
            <w:u w:val="none"/>
            <w:rtl/>
          </w:rPr>
          <w:t>413</w:t>
        </w:r>
      </w:hyperlink>
    </w:p>
    <w:p w14:paraId="5BE5DFED" w14:textId="77777777" w:rsidR="00CF5EC3" w:rsidRPr="00CF5EC3" w:rsidRDefault="00CF5EC3" w:rsidP="00CF5EC3">
      <w:pPr>
        <w:spacing w:after="120" w:line="240" w:lineRule="exact"/>
        <w:ind w:left="283" w:hanging="283"/>
        <w:jc w:val="both"/>
        <w:rPr>
          <w:rFonts w:ascii="FrankRuehl" w:hAnsi="FrankRuehl" w:cs="FrankRuehl"/>
          <w:rtl/>
        </w:rPr>
      </w:pPr>
      <w:bookmarkStart w:id="5" w:name="Links_Kitvei_End"/>
      <w:bookmarkEnd w:id="5"/>
    </w:p>
    <w:p w14:paraId="1CCC607D" w14:textId="77777777" w:rsidR="00CF5EC3" w:rsidRPr="00CF5EC3" w:rsidRDefault="00CF5EC3" w:rsidP="00CF5EC3">
      <w:pPr>
        <w:spacing w:after="120" w:line="240" w:lineRule="exact"/>
        <w:ind w:left="283" w:hanging="283"/>
        <w:jc w:val="both"/>
        <w:rPr>
          <w:rFonts w:ascii="FrankRuehl" w:hAnsi="FrankRuehl" w:cs="FrankRuehl"/>
          <w:rtl/>
        </w:rPr>
      </w:pPr>
      <w:r w:rsidRPr="00CF5EC3">
        <w:rPr>
          <w:rFonts w:ascii="FrankRuehl" w:hAnsi="FrankRuehl" w:cs="FrankRuehl"/>
          <w:rtl/>
        </w:rPr>
        <w:t xml:space="preserve">חקיקה שאוזכרה: </w:t>
      </w:r>
    </w:p>
    <w:p w14:paraId="679E69A2" w14:textId="77777777" w:rsidR="00CF5EC3" w:rsidRPr="00CF5EC3" w:rsidRDefault="00CF5EC3" w:rsidP="00CF5EC3">
      <w:pPr>
        <w:spacing w:after="120" w:line="240" w:lineRule="exact"/>
        <w:ind w:left="283" w:hanging="283"/>
        <w:jc w:val="both"/>
        <w:rPr>
          <w:rFonts w:ascii="FrankRuehl" w:hAnsi="FrankRuehl" w:cs="FrankRuehl"/>
          <w:rtl/>
        </w:rPr>
      </w:pPr>
      <w:hyperlink r:id="rId8" w:history="1">
        <w:r w:rsidRPr="00CF5EC3">
          <w:rPr>
            <w:rFonts w:ascii="FrankRuehl" w:hAnsi="FrankRuehl" w:cs="FrankRuehl"/>
            <w:color w:val="0000FF"/>
            <w:u w:val="single"/>
            <w:rtl/>
          </w:rPr>
          <w:t>פקודת הסמים המסוכנים [נוסח חדש], תשל"ג-1973</w:t>
        </w:r>
      </w:hyperlink>
      <w:r w:rsidRPr="00CF5EC3">
        <w:rPr>
          <w:rFonts w:ascii="FrankRuehl" w:hAnsi="FrankRuehl" w:cs="FrankRuehl"/>
          <w:rtl/>
        </w:rPr>
        <w:t xml:space="preserve">: סע'  </w:t>
      </w:r>
      <w:hyperlink r:id="rId9" w:history="1">
        <w:r w:rsidRPr="00CF5EC3">
          <w:rPr>
            <w:rFonts w:ascii="FrankRuehl" w:hAnsi="FrankRuehl" w:cs="FrankRuehl"/>
            <w:color w:val="0000FF"/>
            <w:u w:val="single"/>
            <w:rtl/>
          </w:rPr>
          <w:t>6</w:t>
        </w:r>
      </w:hyperlink>
      <w:r w:rsidRPr="00CF5EC3">
        <w:rPr>
          <w:rFonts w:ascii="FrankRuehl" w:hAnsi="FrankRuehl" w:cs="FrankRuehl"/>
          <w:rtl/>
        </w:rPr>
        <w:t xml:space="preserve">, </w:t>
      </w:r>
      <w:hyperlink r:id="rId10" w:history="1">
        <w:r w:rsidRPr="00CF5EC3">
          <w:rPr>
            <w:rFonts w:ascii="FrankRuehl" w:hAnsi="FrankRuehl" w:cs="FrankRuehl"/>
            <w:color w:val="0000FF"/>
            <w:u w:val="single"/>
            <w:rtl/>
          </w:rPr>
          <w:t>7.א.+</w:t>
        </w:r>
      </w:hyperlink>
      <w:r w:rsidRPr="00CF5EC3">
        <w:rPr>
          <w:rFonts w:ascii="FrankRuehl" w:hAnsi="FrankRuehl" w:cs="FrankRuehl"/>
          <w:rtl/>
        </w:rPr>
        <w:t xml:space="preserve">, </w:t>
      </w:r>
      <w:hyperlink r:id="rId11" w:history="1">
        <w:r w:rsidRPr="00CF5EC3">
          <w:rPr>
            <w:rFonts w:ascii="FrankRuehl" w:hAnsi="FrankRuehl" w:cs="FrankRuehl"/>
            <w:color w:val="0000FF"/>
            <w:u w:val="single"/>
            <w:rtl/>
          </w:rPr>
          <w:t>7.ג</w:t>
        </w:r>
      </w:hyperlink>
    </w:p>
    <w:p w14:paraId="43475DF8" w14:textId="77777777" w:rsidR="00CF5EC3" w:rsidRPr="00CF5EC3" w:rsidRDefault="00CF5EC3" w:rsidP="00CF5EC3">
      <w:pPr>
        <w:spacing w:after="120" w:line="240" w:lineRule="exact"/>
        <w:ind w:left="283" w:hanging="283"/>
        <w:jc w:val="both"/>
        <w:rPr>
          <w:rFonts w:ascii="FrankRuehl" w:hAnsi="FrankRuehl" w:cs="FrankRuehl"/>
          <w:rtl/>
        </w:rPr>
      </w:pPr>
      <w:hyperlink r:id="rId12" w:history="1">
        <w:r w:rsidRPr="00CF5EC3">
          <w:rPr>
            <w:rFonts w:ascii="FrankRuehl" w:hAnsi="FrankRuehl" w:cs="FrankRuehl"/>
            <w:color w:val="0000FF"/>
            <w:u w:val="single"/>
            <w:rtl/>
          </w:rPr>
          <w:t>חוק העונשין, תשל"ז-1977</w:t>
        </w:r>
      </w:hyperlink>
      <w:r w:rsidRPr="00CF5EC3">
        <w:rPr>
          <w:rFonts w:ascii="FrankRuehl" w:hAnsi="FrankRuehl" w:cs="FrankRuehl"/>
          <w:rtl/>
        </w:rPr>
        <w:t xml:space="preserve">: סע'  </w:t>
      </w:r>
      <w:hyperlink r:id="rId13" w:history="1">
        <w:r w:rsidRPr="00CF5EC3">
          <w:rPr>
            <w:rFonts w:ascii="FrankRuehl" w:hAnsi="FrankRuehl" w:cs="FrankRuehl"/>
            <w:color w:val="0000FF"/>
            <w:u w:val="single"/>
            <w:rtl/>
          </w:rPr>
          <w:t>40 ד(א)</w:t>
        </w:r>
      </w:hyperlink>
    </w:p>
    <w:p w14:paraId="23ECBF13" w14:textId="77777777" w:rsidR="00CF5EC3" w:rsidRPr="00CF5EC3" w:rsidRDefault="00CF5EC3" w:rsidP="00CF5EC3">
      <w:pPr>
        <w:spacing w:after="120" w:line="240" w:lineRule="exact"/>
        <w:ind w:left="283" w:hanging="283"/>
        <w:jc w:val="both"/>
        <w:rPr>
          <w:rFonts w:ascii="FrankRuehl" w:hAnsi="FrankRuehl" w:cs="FrankRuehl"/>
          <w:rtl/>
        </w:rPr>
      </w:pPr>
      <w:hyperlink r:id="rId14" w:history="1">
        <w:r w:rsidRPr="00CF5EC3">
          <w:rPr>
            <w:rFonts w:ascii="FrankRuehl" w:hAnsi="FrankRuehl" w:cs="FrankRuehl"/>
            <w:color w:val="0000FF"/>
            <w:u w:val="single"/>
            <w:rtl/>
          </w:rPr>
          <w:t>חוק סדר הדין הפלילי [נוסח משולב], תשמ"ב-1982</w:t>
        </w:r>
      </w:hyperlink>
    </w:p>
    <w:p w14:paraId="4C6AF66C" w14:textId="77777777" w:rsidR="00CF5EC3" w:rsidRPr="00CF5EC3" w:rsidRDefault="00CF5EC3" w:rsidP="00CF5EC3">
      <w:pPr>
        <w:spacing w:after="120" w:line="240" w:lineRule="exact"/>
        <w:ind w:left="283" w:hanging="283"/>
        <w:jc w:val="both"/>
        <w:rPr>
          <w:rFonts w:ascii="FrankRuehl" w:hAnsi="FrankRuehl" w:cs="FrankRuehl"/>
          <w:rtl/>
        </w:rPr>
      </w:pPr>
      <w:hyperlink r:id="rId15" w:history="1">
        <w:r w:rsidRPr="00CF5EC3">
          <w:rPr>
            <w:rFonts w:ascii="FrankRuehl" w:hAnsi="FrankRuehl" w:cs="FrankRuehl"/>
            <w:color w:val="0000FF"/>
            <w:u w:val="single"/>
            <w:rtl/>
          </w:rPr>
          <w:t>פקודת המבחן [נוסח חדש], תשכ"ט-1969</w:t>
        </w:r>
      </w:hyperlink>
    </w:p>
    <w:p w14:paraId="3E7C61C1" w14:textId="77777777" w:rsidR="00CF5EC3" w:rsidRPr="00CF5EC3" w:rsidRDefault="00CF5EC3" w:rsidP="00CF5EC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C67B1" w14:paraId="2DA0D894" w14:textId="77777777" w:rsidTr="00FC67B1">
        <w:trPr>
          <w:trHeight w:val="355"/>
          <w:jc w:val="center"/>
        </w:trPr>
        <w:tc>
          <w:tcPr>
            <w:tcW w:w="8820" w:type="dxa"/>
            <w:tcBorders>
              <w:top w:val="nil"/>
              <w:left w:val="nil"/>
              <w:bottom w:val="nil"/>
              <w:right w:val="nil"/>
            </w:tcBorders>
            <w:shd w:val="clear" w:color="auto" w:fill="auto"/>
          </w:tcPr>
          <w:p w14:paraId="44BEFEC2" w14:textId="77777777" w:rsidR="006775F9" w:rsidRPr="006775F9" w:rsidRDefault="006775F9" w:rsidP="006775F9">
            <w:pPr>
              <w:jc w:val="center"/>
              <w:rPr>
                <w:rFonts w:ascii="Arial" w:hAnsi="Arial"/>
                <w:b/>
                <w:bCs/>
                <w:sz w:val="28"/>
                <w:szCs w:val="28"/>
                <w:u w:val="single"/>
                <w:rtl/>
              </w:rPr>
            </w:pPr>
            <w:bookmarkStart w:id="6" w:name="LawTable_End"/>
            <w:bookmarkStart w:id="7" w:name="PsakDin" w:colFirst="0" w:colLast="0"/>
            <w:bookmarkEnd w:id="0"/>
            <w:bookmarkEnd w:id="6"/>
            <w:r w:rsidRPr="006775F9">
              <w:rPr>
                <w:rFonts w:ascii="Arial" w:hAnsi="Arial"/>
                <w:b/>
                <w:bCs/>
                <w:sz w:val="28"/>
                <w:szCs w:val="28"/>
                <w:u w:val="single"/>
                <w:rtl/>
              </w:rPr>
              <w:t>גזר דין</w:t>
            </w:r>
          </w:p>
          <w:p w14:paraId="6E40238D" w14:textId="77777777" w:rsidR="00FC67B1" w:rsidRPr="006775F9" w:rsidRDefault="00FC67B1" w:rsidP="006775F9">
            <w:pPr>
              <w:jc w:val="center"/>
              <w:rPr>
                <w:rFonts w:ascii="Arial" w:hAnsi="Arial"/>
                <w:bCs/>
                <w:sz w:val="28"/>
                <w:szCs w:val="28"/>
                <w:u w:val="single"/>
                <w:rtl/>
              </w:rPr>
            </w:pPr>
          </w:p>
        </w:tc>
      </w:tr>
      <w:bookmarkEnd w:id="7"/>
    </w:tbl>
    <w:p w14:paraId="0EA15F17" w14:textId="77777777" w:rsidR="00FC67B1" w:rsidRPr="00B05847" w:rsidRDefault="00FC67B1" w:rsidP="00FC67B1">
      <w:pPr>
        <w:rPr>
          <w:rFonts w:ascii="Arial" w:hAnsi="Arial"/>
          <w:rtl/>
        </w:rPr>
      </w:pPr>
    </w:p>
    <w:p w14:paraId="5FC9A71B" w14:textId="77777777" w:rsidR="00FC67B1" w:rsidRDefault="00FC67B1" w:rsidP="00FC67B1">
      <w:pPr>
        <w:rPr>
          <w:b/>
          <w:bCs/>
          <w:u w:val="single"/>
          <w:rtl/>
        </w:rPr>
      </w:pPr>
      <w:r>
        <w:rPr>
          <w:b/>
          <w:bCs/>
          <w:u w:val="single"/>
          <w:rtl/>
        </w:rPr>
        <w:t>רקע ועובדות כתב האישום</w:t>
      </w:r>
    </w:p>
    <w:p w14:paraId="561CA806" w14:textId="77777777" w:rsidR="00FC67B1" w:rsidRDefault="00FC67B1" w:rsidP="00FC67B1">
      <w:pPr>
        <w:pStyle w:val="1"/>
        <w:numPr>
          <w:ilvl w:val="0"/>
          <w:numId w:val="1"/>
        </w:numPr>
        <w:spacing w:line="360" w:lineRule="auto"/>
        <w:ind w:left="0" w:firstLine="0"/>
        <w:jc w:val="both"/>
      </w:pPr>
      <w:bookmarkStart w:id="8" w:name="ABSTRACT_START"/>
      <w:bookmarkEnd w:id="8"/>
      <w:r>
        <w:rPr>
          <w:rtl/>
        </w:rPr>
        <w:t>הנאשם הודה במפורט בכתב האישום המתוקן במסגרת הסדר טיעון והורשע בביצוע עבירת גידול</w:t>
      </w:r>
      <w:r>
        <w:rPr>
          <w:rFonts w:hint="cs"/>
          <w:rtl/>
        </w:rPr>
        <w:t>,</w:t>
      </w:r>
      <w:r>
        <w:rPr>
          <w:rtl/>
        </w:rPr>
        <w:t xml:space="preserve"> יצור </w:t>
      </w:r>
      <w:r>
        <w:rPr>
          <w:rFonts w:hint="cs"/>
          <w:rtl/>
        </w:rPr>
        <w:t>ו</w:t>
      </w:r>
      <w:r>
        <w:rPr>
          <w:rtl/>
        </w:rPr>
        <w:t xml:space="preserve">הכנת סמים מסוכנים לפי </w:t>
      </w:r>
      <w:hyperlink r:id="rId16" w:history="1">
        <w:r w:rsidR="00CF5EC3" w:rsidRPr="00CF5EC3">
          <w:rPr>
            <w:color w:val="0000FF"/>
            <w:u w:val="single"/>
            <w:rtl/>
          </w:rPr>
          <w:t>סעיף 6</w:t>
        </w:r>
      </w:hyperlink>
      <w:r>
        <w:rPr>
          <w:rtl/>
        </w:rPr>
        <w:t xml:space="preserve"> ל</w:t>
      </w:r>
      <w:hyperlink r:id="rId17" w:history="1">
        <w:r w:rsidR="006775F9" w:rsidRPr="006775F9">
          <w:rPr>
            <w:color w:val="0000FF"/>
            <w:u w:val="single"/>
            <w:rtl/>
          </w:rPr>
          <w:t>פקודת הסמים המסוכנים</w:t>
        </w:r>
      </w:hyperlink>
      <w:r>
        <w:rPr>
          <w:rtl/>
        </w:rPr>
        <w:t xml:space="preserve"> (נוסח חדש) תשל"ג-1973 (להלן: "</w:t>
      </w:r>
      <w:r>
        <w:rPr>
          <w:b/>
          <w:bCs/>
          <w:rtl/>
        </w:rPr>
        <w:t>פקודת הסמים</w:t>
      </w:r>
      <w:r>
        <w:rPr>
          <w:rtl/>
        </w:rPr>
        <w:t>") ובעבירת החזקה/ שימוש בס</w:t>
      </w:r>
      <w:r>
        <w:rPr>
          <w:rFonts w:hint="cs"/>
          <w:rtl/>
        </w:rPr>
        <w:t>מ</w:t>
      </w:r>
      <w:r>
        <w:rPr>
          <w:rtl/>
        </w:rPr>
        <w:t xml:space="preserve">ים שלא לצריכה עצמית לפי </w:t>
      </w:r>
      <w:hyperlink r:id="rId18" w:history="1">
        <w:r w:rsidR="00CF5EC3" w:rsidRPr="00CF5EC3">
          <w:rPr>
            <w:color w:val="0000FF"/>
            <w:u w:val="single"/>
            <w:rtl/>
          </w:rPr>
          <w:t>סעיף 7(א)+7(ג)</w:t>
        </w:r>
      </w:hyperlink>
      <w:r>
        <w:rPr>
          <w:rtl/>
        </w:rPr>
        <w:t xml:space="preserve"> רישא לפקודת הסמים</w:t>
      </w:r>
      <w:r>
        <w:rPr>
          <w:rFonts w:hint="cs"/>
          <w:rtl/>
        </w:rPr>
        <w:t>.</w:t>
      </w:r>
    </w:p>
    <w:p w14:paraId="2466D9A1" w14:textId="77777777" w:rsidR="00FC67B1" w:rsidRDefault="00FC67B1" w:rsidP="00FC67B1">
      <w:pPr>
        <w:pStyle w:val="1"/>
        <w:spacing w:line="360" w:lineRule="auto"/>
        <w:ind w:left="0"/>
        <w:jc w:val="both"/>
      </w:pPr>
      <w:bookmarkStart w:id="9" w:name="ABSTRACT_END"/>
      <w:bookmarkEnd w:id="9"/>
    </w:p>
    <w:p w14:paraId="18B7BB19" w14:textId="77777777" w:rsidR="00FC67B1" w:rsidRDefault="00FC67B1" w:rsidP="00FC67B1">
      <w:pPr>
        <w:pStyle w:val="1"/>
        <w:numPr>
          <w:ilvl w:val="0"/>
          <w:numId w:val="1"/>
        </w:numPr>
        <w:spacing w:line="360" w:lineRule="auto"/>
        <w:ind w:left="0" w:firstLine="0"/>
        <w:jc w:val="both"/>
      </w:pPr>
      <w:r>
        <w:rPr>
          <w:rtl/>
        </w:rPr>
        <w:t xml:space="preserve">כמפורט בכתב האישום המתוקן, עובר לתאריך 19.11.17, בדירה בתל אביב (להלן: </w:t>
      </w:r>
      <w:r w:rsidRPr="00F30EFE">
        <w:rPr>
          <w:b/>
          <w:bCs/>
          <w:rtl/>
        </w:rPr>
        <w:t>"הדירה"</w:t>
      </w:r>
      <w:r>
        <w:rPr>
          <w:rtl/>
        </w:rPr>
        <w:t>), גידל הנאשם שתילים של סם מסוכן מסוג קנ</w:t>
      </w:r>
      <w:r>
        <w:rPr>
          <w:rFonts w:hint="cs"/>
          <w:rtl/>
        </w:rPr>
        <w:t>אבי</w:t>
      </w:r>
      <w:r>
        <w:rPr>
          <w:rtl/>
        </w:rPr>
        <w:t>ס במשקל כולל של קילו אחד ללא רישיון מאת המנהל. בתאריך 19.11.17 בשעה 13:45 או בסמוך לכך החזיק הנאשם בדירה סם מסוכן מסוג קנ</w:t>
      </w:r>
      <w:r>
        <w:rPr>
          <w:rFonts w:hint="cs"/>
          <w:rtl/>
        </w:rPr>
        <w:t>א</w:t>
      </w:r>
      <w:r>
        <w:rPr>
          <w:rtl/>
        </w:rPr>
        <w:t>ב</w:t>
      </w:r>
      <w:r>
        <w:rPr>
          <w:rFonts w:hint="cs"/>
          <w:rtl/>
        </w:rPr>
        <w:t>י</w:t>
      </w:r>
      <w:r>
        <w:rPr>
          <w:rtl/>
        </w:rPr>
        <w:t xml:space="preserve">ס בתוך שקית במטבח במשקל של 53.50 גרם נטו. במעשיו המתוארים גידל </w:t>
      </w:r>
      <w:r>
        <w:rPr>
          <w:rtl/>
        </w:rPr>
        <w:lastRenderedPageBreak/>
        <w:t xml:space="preserve">הנאשם סם מסוכן, והחזיק בסם מסוכן במשקל כולל של 53.50 גרם שלא לצריכתו העצמית, ללא היתר או רישיון מאת המנהל.  </w:t>
      </w:r>
    </w:p>
    <w:p w14:paraId="5B917E1B" w14:textId="77777777" w:rsidR="00FC67B1" w:rsidRDefault="00FC67B1" w:rsidP="00FC67B1">
      <w:pPr>
        <w:ind w:left="720"/>
      </w:pPr>
    </w:p>
    <w:p w14:paraId="779FAB58" w14:textId="77777777" w:rsidR="00FC67B1" w:rsidRDefault="00FC67B1" w:rsidP="00FC67B1">
      <w:pPr>
        <w:spacing w:line="360" w:lineRule="auto"/>
        <w:ind w:left="425" w:hanging="425"/>
        <w:jc w:val="both"/>
        <w:rPr>
          <w:b/>
          <w:bCs/>
          <w:u w:val="single"/>
        </w:rPr>
      </w:pPr>
      <w:r>
        <w:rPr>
          <w:b/>
          <w:bCs/>
          <w:u w:val="single"/>
          <w:rtl/>
        </w:rPr>
        <w:t xml:space="preserve">תסקירי שירות המבחן </w:t>
      </w:r>
    </w:p>
    <w:p w14:paraId="437D517E" w14:textId="77777777" w:rsidR="00FC67B1" w:rsidRDefault="00FC67B1" w:rsidP="00FC67B1">
      <w:pPr>
        <w:pStyle w:val="1"/>
        <w:numPr>
          <w:ilvl w:val="0"/>
          <w:numId w:val="1"/>
        </w:numPr>
        <w:spacing w:line="360" w:lineRule="auto"/>
        <w:ind w:left="0" w:firstLine="0"/>
        <w:jc w:val="both"/>
      </w:pPr>
      <w:r>
        <w:rPr>
          <w:rtl/>
        </w:rPr>
        <w:t xml:space="preserve">בעניינו של הנאשם התקבלו שני תסקירים לעונש. בתסקיר הראשון מיום 28.1.2019 (להלן: </w:t>
      </w:r>
      <w:r>
        <w:rPr>
          <w:b/>
          <w:bCs/>
          <w:rtl/>
        </w:rPr>
        <w:t>"התסקיר הראשון"</w:t>
      </w:r>
      <w:r>
        <w:rPr>
          <w:rtl/>
        </w:rPr>
        <w:t xml:space="preserve">) פורט כי הנאשם בן 23, רווק, סיים שירות צבאי מלא, התגורר עם בת זוגו ועבד כמעצב שיער במספרה במשך חצי שנה לפני מעצרו. הנאשם בן להורים גרושים ולאור קשיים כלכליים החל לעבוד בגיל 12, והוא נעדר עבר פלילי. להתרשמות שירות המבחן במסגרת תסקיר המעצר בעניינו של הנאשם, בתקופה שקדמה לביצוע העבירות חלה נסיגה במצבו של הנאשם ובכוחותיו התפקודיים, לכדי שימוש התמכרותי בסמים מסוג קנאביס. הנאשם נקט בעמדה מטשטשת ומצמצמת את הבעייתיות בהתנהלותו. לצד זאת התרשם שירות המבחן כי הנאשם מצליח להתבונן באופן ביקורתי וראשוני על הרגלי צריכת הסמים שלו ומבטא הבנה להשפעתם השלילית על מצבו. </w:t>
      </w:r>
    </w:p>
    <w:p w14:paraId="39AC38CC" w14:textId="77777777" w:rsidR="00FC67B1" w:rsidRDefault="00FC67B1" w:rsidP="00FC67B1">
      <w:pPr>
        <w:pStyle w:val="1"/>
        <w:spacing w:line="360" w:lineRule="auto"/>
        <w:ind w:left="0"/>
        <w:jc w:val="both"/>
      </w:pPr>
    </w:p>
    <w:p w14:paraId="1F0BC4C6" w14:textId="77777777" w:rsidR="00FC67B1" w:rsidRDefault="00FC67B1" w:rsidP="00FC67B1">
      <w:pPr>
        <w:pStyle w:val="1"/>
        <w:numPr>
          <w:ilvl w:val="0"/>
          <w:numId w:val="1"/>
        </w:numPr>
        <w:spacing w:line="360" w:lineRule="auto"/>
        <w:ind w:left="0" w:firstLine="0"/>
        <w:jc w:val="both"/>
        <w:rPr>
          <w:rtl/>
        </w:rPr>
      </w:pPr>
      <w:r>
        <w:rPr>
          <w:rFonts w:hint="cs"/>
          <w:rtl/>
        </w:rPr>
        <w:t xml:space="preserve">במסגרת צו פיקוח מעצרים שולב הנאשם </w:t>
      </w:r>
      <w:r>
        <w:rPr>
          <w:rtl/>
        </w:rPr>
        <w:t xml:space="preserve">בחודש אוגוסט 2018 בקבוצה טיפולית אך לא הגיע באופן סדיר למפגשים והתקשה לשתף. בחודש אוקטובר 2018 </w:t>
      </w:r>
      <w:r>
        <w:rPr>
          <w:rFonts w:hint="cs"/>
          <w:rtl/>
        </w:rPr>
        <w:t>במהלך אבחון ביחידה</w:t>
      </w:r>
      <w:r>
        <w:rPr>
          <w:rtl/>
        </w:rPr>
        <w:t xml:space="preserve"> העירונית להתמכרויות בתל אביב</w:t>
      </w:r>
      <w:r>
        <w:rPr>
          <w:rFonts w:hint="cs"/>
          <w:rtl/>
        </w:rPr>
        <w:t xml:space="preserve"> מסר </w:t>
      </w:r>
      <w:r>
        <w:rPr>
          <w:rtl/>
        </w:rPr>
        <w:t xml:space="preserve">כי כשנה עובר לביצוע העבירות נפצע בתאונת דרכים בעקבותיה נדרש ליטול משככי כאבים אשר גרמו לתופעות לוואי, והביאו אותו לשימוש בסם מסוג קנאביס כדרך אלטרנטיבית, ולא מזיקה לתפיסתו, להקל על כאביו. לדברי הנאשם הרופא המליץ לו לפעול לקבלת רישיון רפואי לשימוש בקנאביס, אך הוא לא פעל כאמור לאור הבירוקרטיה הכרוכה בכך, והמשיך לצרוך קנביס ללא אישור רפואי באופן יומיומי ואינטנסיבי. הנאשם מסר כי פיתח תלות בסם. בשל צריכה מוגברת, רצון לצמצם הוצאות ולהימנע ממפגש עם גורמים שליליים, החליט לגדל את הקנאביס באופן עצמאי. </w:t>
      </w:r>
    </w:p>
    <w:p w14:paraId="2188B187" w14:textId="77777777" w:rsidR="00FC67B1" w:rsidRDefault="00FC67B1" w:rsidP="00FC67B1">
      <w:pPr>
        <w:ind w:left="720"/>
        <w:rPr>
          <w:rtl/>
        </w:rPr>
      </w:pPr>
    </w:p>
    <w:p w14:paraId="140F5A78" w14:textId="77777777" w:rsidR="00FC67B1" w:rsidRDefault="00FC67B1" w:rsidP="00FC67B1">
      <w:pPr>
        <w:pStyle w:val="1"/>
        <w:numPr>
          <w:ilvl w:val="0"/>
          <w:numId w:val="1"/>
        </w:numPr>
        <w:spacing w:line="360" w:lineRule="auto"/>
        <w:ind w:left="0" w:firstLine="0"/>
        <w:jc w:val="both"/>
      </w:pPr>
      <w:r>
        <w:rPr>
          <w:rtl/>
        </w:rPr>
        <w:t>במהלך האבחון נטל הנאשם אחריות</w:t>
      </w:r>
      <w:r>
        <w:rPr>
          <w:rFonts w:hint="cs"/>
          <w:rtl/>
        </w:rPr>
        <w:t xml:space="preserve"> והביע חרטה</w:t>
      </w:r>
      <w:r>
        <w:rPr>
          <w:rtl/>
        </w:rPr>
        <w:t xml:space="preserve"> על ביצוע העבירות, הכיר בהתנהלותו הבעייתית והצליח לבחון באופן ראשוני את חומרת מעשיו. </w:t>
      </w:r>
      <w:r>
        <w:rPr>
          <w:rFonts w:hint="cs"/>
          <w:rtl/>
        </w:rPr>
        <w:t xml:space="preserve">הנאשם </w:t>
      </w:r>
      <w:r>
        <w:rPr>
          <w:rtl/>
        </w:rPr>
        <w:t>מסר כי מאז ביצוע העבירות ערך שינוי בחייו, מנהל אורח חיים מסודר הממוקד בתפקוד תעסוקתי וקידום הקריירה בתחום עיצוב השיער</w:t>
      </w:r>
      <w:r>
        <w:rPr>
          <w:rFonts w:hint="cs"/>
          <w:rtl/>
        </w:rPr>
        <w:t xml:space="preserve"> ו</w:t>
      </w:r>
      <w:r>
        <w:rPr>
          <w:rtl/>
        </w:rPr>
        <w:t>נמנע משימוש בסמים</w:t>
      </w:r>
      <w:r>
        <w:rPr>
          <w:rFonts w:hint="cs"/>
          <w:rtl/>
        </w:rPr>
        <w:t xml:space="preserve">. </w:t>
      </w:r>
      <w:r>
        <w:rPr>
          <w:rtl/>
        </w:rPr>
        <w:t>ניכר כי השתתפותו בהליך הטיפולי תרמה להעלאת מודעות אצל הנאשם לדפוסים מכשילים ולחידוד גבולותיו.</w:t>
      </w:r>
    </w:p>
    <w:p w14:paraId="2C0E5994" w14:textId="77777777" w:rsidR="00FC67B1" w:rsidRDefault="00FC67B1" w:rsidP="00FC67B1">
      <w:pPr>
        <w:pStyle w:val="a9"/>
      </w:pPr>
    </w:p>
    <w:p w14:paraId="3D8F4E25" w14:textId="77777777" w:rsidR="00FC67B1" w:rsidRDefault="00FC67B1" w:rsidP="00FC67B1">
      <w:pPr>
        <w:pStyle w:val="1"/>
        <w:numPr>
          <w:ilvl w:val="0"/>
          <w:numId w:val="1"/>
        </w:numPr>
        <w:spacing w:line="360" w:lineRule="auto"/>
        <w:ind w:left="0" w:firstLine="0"/>
        <w:jc w:val="both"/>
        <w:rPr>
          <w:rtl/>
        </w:rPr>
      </w:pPr>
      <w:r>
        <w:rPr>
          <w:rtl/>
        </w:rPr>
        <w:t xml:space="preserve">על פי דיווח מהיחידה העירונית בתחום ההתמכרויות עלה כי הנאשם משתף פעולה, מגיע באופן קבוע לפגישות ומצוי בתהליך אבחון ממושך. עוד עלה כי הנאשם הביע רצון להיעזר ולהעמיק בהתנהגותו הבעייתית בעבירות ובמצבים בהם נתון בסיכון, התייחס לעצמו באופן ביקורתי ורציני, מסוגל לקחת אחריות על חלקו בביצוע העבירות ורואה בהשתלבותו בטיפול הזדמנות להתבוננות על עצמו וחלקיו הבעייתיים. עוד עלה כי בדיקות השתן לאיתור סמים שמסר באופן קבוע נקיות. </w:t>
      </w:r>
    </w:p>
    <w:p w14:paraId="3DB5B0F1" w14:textId="77777777" w:rsidR="00FC67B1" w:rsidRDefault="00FC67B1" w:rsidP="00FC67B1">
      <w:pPr>
        <w:pStyle w:val="a9"/>
      </w:pPr>
    </w:p>
    <w:p w14:paraId="7E51DCAC" w14:textId="77777777" w:rsidR="00FC67B1" w:rsidRDefault="00FC67B1" w:rsidP="00FC67B1">
      <w:pPr>
        <w:pStyle w:val="1"/>
        <w:numPr>
          <w:ilvl w:val="0"/>
          <w:numId w:val="1"/>
        </w:numPr>
        <w:spacing w:line="360" w:lineRule="auto"/>
        <w:ind w:left="0" w:firstLine="0"/>
        <w:jc w:val="both"/>
        <w:rPr>
          <w:rtl/>
        </w:rPr>
      </w:pPr>
      <w:r>
        <w:rPr>
          <w:rtl/>
        </w:rPr>
        <w:t xml:space="preserve">שירות המבחן התרשם כי הנאשם הוא אדם צעיר, בלתי בשל, אשר גדל והתפתח בתנאים משפחתיים וסביבתיים בלתי יציבים ומורכבים. כגורמי סיכון צוין כי הנאשם נעדר גורמי תמיכה </w:t>
      </w:r>
      <w:r>
        <w:rPr>
          <w:rtl/>
        </w:rPr>
        <w:lastRenderedPageBreak/>
        <w:t>משמעותיים בחייו ומגיל צעיר החל להתנהל באופן עצמאי מבלי שהיה בשל ומיומן בכך. עוד צוינו קשייו להעמיק בבחינה עצמית ובבחינת החלקים הבעייתיים והמכשילים באישיותו ובדפוס התנהגותו. כן צוינו מאפייני העבירות, ההסלמה בהתנהגותו</w:t>
      </w:r>
      <w:r>
        <w:rPr>
          <w:rFonts w:hint="cs"/>
          <w:rtl/>
        </w:rPr>
        <w:t>,</w:t>
      </w:r>
      <w:r>
        <w:rPr>
          <w:rtl/>
        </w:rPr>
        <w:t xml:space="preserve"> ונטייתו לשימוש בסמים לצד קשייו להציב לעצמו גבולות ונטייתו לפעול באופן בלתי שקול לעיתים מתוך ניסיון לענות לצרכיו המידיים. </w:t>
      </w:r>
    </w:p>
    <w:p w14:paraId="258BAB7F" w14:textId="77777777" w:rsidR="00FC67B1" w:rsidRDefault="00FC67B1" w:rsidP="00FC67B1">
      <w:pPr>
        <w:pStyle w:val="a9"/>
      </w:pPr>
    </w:p>
    <w:p w14:paraId="7A3EE819" w14:textId="77777777" w:rsidR="00FC67B1" w:rsidRDefault="00FC67B1" w:rsidP="00FC67B1">
      <w:pPr>
        <w:pStyle w:val="1"/>
        <w:numPr>
          <w:ilvl w:val="0"/>
          <w:numId w:val="1"/>
        </w:numPr>
        <w:spacing w:line="360" w:lineRule="auto"/>
        <w:ind w:left="0" w:firstLine="0"/>
        <w:jc w:val="both"/>
        <w:rPr>
          <w:rtl/>
        </w:rPr>
      </w:pPr>
      <w:r>
        <w:rPr>
          <w:rtl/>
        </w:rPr>
        <w:t xml:space="preserve">באשר לגורמי הסיכוי לשיקום צוינו יכולותיו של הנאשם לתפקוד תקין, ההשפעה המרתיעה והמרסנת של ההליך המשפטי, ביטוי רצון מצדו להתנהלות הישגית, יכולתו להכיר מילולית בפסול שבמעשיו בעבירות, ונכונותו המילולית לשאת בעונש. בנוסף צוינה נכונות הנאשם לקשר עם שירות המבחן לצורך הכוונה וסיוע, צעדיו להשתלבות בטיפול בתחום הגמילה מהתמכרויות והימנעותו של הנאשם משימוש בסמים. לאור האמור ובשל הצורך במעורבות טיפולית, גם לשם צמצום רמת הסיכון במצבו, המליץ שירות המבחן על דחייה בת 4 חודשים לשם המשך ההליך הטיפולי. </w:t>
      </w:r>
    </w:p>
    <w:p w14:paraId="5A5AF36D" w14:textId="77777777" w:rsidR="00FC67B1" w:rsidRDefault="00FC67B1" w:rsidP="00FC67B1">
      <w:pPr>
        <w:spacing w:line="360" w:lineRule="auto"/>
        <w:ind w:left="425"/>
        <w:contextualSpacing/>
        <w:jc w:val="both"/>
      </w:pPr>
    </w:p>
    <w:p w14:paraId="6E398F9C" w14:textId="77777777" w:rsidR="00FC67B1" w:rsidRDefault="00FC67B1" w:rsidP="00FC67B1">
      <w:pPr>
        <w:pStyle w:val="1"/>
        <w:numPr>
          <w:ilvl w:val="0"/>
          <w:numId w:val="1"/>
        </w:numPr>
        <w:spacing w:line="360" w:lineRule="auto"/>
        <w:ind w:left="0" w:firstLine="0"/>
        <w:jc w:val="both"/>
      </w:pPr>
      <w:r>
        <w:rPr>
          <w:rtl/>
        </w:rPr>
        <w:t xml:space="preserve">תסקיר משלים התקבל ביום 2.6.2019 (להלן: </w:t>
      </w:r>
      <w:r>
        <w:rPr>
          <w:b/>
          <w:bCs/>
          <w:rtl/>
        </w:rPr>
        <w:t>"התסקיר המשלים"</w:t>
      </w:r>
      <w:r>
        <w:rPr>
          <w:rtl/>
        </w:rPr>
        <w:t xml:space="preserve">). בתסקיר המשלים  פורט כי במהלך תקופת הדחייה דיווח הנאשם כי הוא מרגיש טוב בטיפול בו משולב, מגיע באופן קבוע למפגשים, משתף בקשייו ומרגיש כי נתרם מהטיפול. הנאשם נטל אחריות לביצוע העבירות והצליח באופן ראשוני לבחון את חומרת מעשיו. לדברי הנאשם, בשל חובות כספיים לא יכול היה להמשיך לעסוק כמעצב שיער ושינה מקום עבודה בתנאי שכר המאפשרים לו להחזיר את חובותיו. זאת בניגוד לדרכים הבעייתיות על פיהן נהג בעבר לפתור את קשייו. מדיווח היחידה עירונית להתמכרויות בתל אביב עולה כי הנאשם מגיע באופן קבוע לפגישות, </w:t>
      </w:r>
      <w:r>
        <w:rPr>
          <w:rFonts w:hint="cs"/>
          <w:rtl/>
        </w:rPr>
        <w:t>ו</w:t>
      </w:r>
      <w:r>
        <w:rPr>
          <w:rtl/>
        </w:rPr>
        <w:t xml:space="preserve">מביע רצון להיעזר ולהעמיק בהתנהגותו הבעייתית. הנאשם מתייחס לנטייתו לחומרים פסיכו אקטיביים, לפגיעות רגשיות ולתחושת אובדן שחש. בנוסף בדיקות שתן שמסר באופן קבוע נקיות משרידי סמים. בתקופת הדחייה לא נפתחו נגדו תיקים נוספים.  </w:t>
      </w:r>
    </w:p>
    <w:p w14:paraId="31474CE8" w14:textId="77777777" w:rsidR="00FC67B1" w:rsidRDefault="00FC67B1" w:rsidP="00FC67B1">
      <w:pPr>
        <w:pStyle w:val="1"/>
        <w:spacing w:line="360" w:lineRule="auto"/>
        <w:ind w:left="0"/>
        <w:jc w:val="both"/>
      </w:pPr>
    </w:p>
    <w:p w14:paraId="175E363A" w14:textId="77777777" w:rsidR="00FC67B1" w:rsidRDefault="00FC67B1" w:rsidP="00FC67B1">
      <w:pPr>
        <w:pStyle w:val="1"/>
        <w:numPr>
          <w:ilvl w:val="0"/>
          <w:numId w:val="1"/>
        </w:numPr>
        <w:spacing w:line="360" w:lineRule="auto"/>
        <w:ind w:left="0" w:firstLine="0"/>
        <w:jc w:val="both"/>
      </w:pPr>
      <w:r>
        <w:rPr>
          <w:rtl/>
        </w:rPr>
        <w:t>בתסקיר המשלים צוין כי לצד חומרת העבירות והצורך בעונש מציב גבול לנאשם, מדובר בנאשם צעיר, אשר עובר תהליך טיפולי בעל השפעה מיטיבה ומפחיתת סיכון במצבו, בו הוא מתמיד כ- 7 חודשים. הנאשם מדווח כי הוא עובר שינוי, עושה עבודה עצמית משמעותית, ומגלה רצון לניהול אורח חיים שומר חוק, אחריות ורצון להחזיר חובות כספיים, ומשקיע בכך מאמץ בעבודה בשעות רבות בתנאים לא פשוטים. הנאשם אף נמנע מסמים. שירות המבחן מצא לעודד את מאמצי הנאשם</w:t>
      </w:r>
      <w:r>
        <w:rPr>
          <w:rFonts w:hint="cs"/>
          <w:rtl/>
        </w:rPr>
        <w:t xml:space="preserve">. </w:t>
      </w:r>
      <w:r>
        <w:rPr>
          <w:rtl/>
        </w:rPr>
        <w:t xml:space="preserve">בנסיבות אלה, ונוכח שיתוף הפעולה של הנאשם, הומלץ להעמיד את הנאשם בצו מבחן למשך שנה, במסגרתו ימשיך בטיפול לצד צו של"צ בהיקף של 120 שעות (זאת אף בשים לב לכך שעובד שעות ארוכות לשם החזרת חובות). </w:t>
      </w:r>
    </w:p>
    <w:p w14:paraId="14530FA9" w14:textId="77777777" w:rsidR="00FC67B1" w:rsidRDefault="00FC67B1" w:rsidP="00FC67B1">
      <w:pPr>
        <w:pStyle w:val="a9"/>
      </w:pPr>
    </w:p>
    <w:p w14:paraId="518C8FE6" w14:textId="77777777" w:rsidR="00FC67B1" w:rsidRDefault="00FC67B1" w:rsidP="00FC67B1">
      <w:pPr>
        <w:pStyle w:val="1"/>
        <w:numPr>
          <w:ilvl w:val="0"/>
          <w:numId w:val="1"/>
        </w:numPr>
        <w:spacing w:line="360" w:lineRule="auto"/>
        <w:ind w:left="0" w:firstLine="0"/>
        <w:jc w:val="both"/>
        <w:rPr>
          <w:rtl/>
        </w:rPr>
      </w:pPr>
      <w:r>
        <w:rPr>
          <w:rtl/>
        </w:rPr>
        <w:t>שירות המבחן אף המליץ על ביטול הרשעת הנאשם, בגילו הצעיר, הנמצא בשלבים ראשוניים של בניית חייו וביסוס הקריירה המקצועית בארץ ובחו"ל</w:t>
      </w:r>
      <w:r>
        <w:rPr>
          <w:rFonts w:hint="cs"/>
          <w:rtl/>
        </w:rPr>
        <w:t xml:space="preserve"> וציין</w:t>
      </w:r>
      <w:r>
        <w:rPr>
          <w:rtl/>
        </w:rPr>
        <w:t xml:space="preserve"> כי הרשעה בדין עלולה לחסום בפני הנאשם אופציות תעסוקתיות שונות, ובאופן זה גם לפגוע בסיכוייו להתפתח ולהתקדם אישית ומקצועית. המלצת שירות המבחן לביטול הרשעה באה אף בהתחשב במצבו ובנתוניו, לאור חשיבותה של ענישה שיקומית בעניינו של הנאשם, וחשיבות עידוד כוחותיו החיוביים לתפקוד והשתלבות חברתית תקינה. </w:t>
      </w:r>
    </w:p>
    <w:p w14:paraId="18794BAA" w14:textId="77777777" w:rsidR="00FC67B1" w:rsidRDefault="00FC67B1" w:rsidP="00FC67B1">
      <w:pPr>
        <w:pStyle w:val="a9"/>
        <w:rPr>
          <w:b/>
          <w:bCs/>
          <w:u w:val="single"/>
        </w:rPr>
      </w:pPr>
    </w:p>
    <w:p w14:paraId="00587BD3" w14:textId="77777777" w:rsidR="00FC67B1" w:rsidRDefault="00FC67B1" w:rsidP="00FC67B1">
      <w:pPr>
        <w:pStyle w:val="1"/>
        <w:spacing w:line="360" w:lineRule="auto"/>
        <w:ind w:left="0"/>
        <w:jc w:val="both"/>
        <w:rPr>
          <w:rtl/>
        </w:rPr>
      </w:pPr>
      <w:r>
        <w:rPr>
          <w:b/>
          <w:bCs/>
          <w:u w:val="single"/>
          <w:rtl/>
        </w:rPr>
        <w:t xml:space="preserve">תמצית טיעוני הצדדים </w:t>
      </w:r>
      <w:r w:rsidRPr="005052B2">
        <w:rPr>
          <w:b/>
          <w:bCs/>
          <w:u w:val="single"/>
          <w:rtl/>
        </w:rPr>
        <w:t xml:space="preserve">לעונש </w:t>
      </w:r>
      <w:r w:rsidRPr="005052B2">
        <w:rPr>
          <w:rFonts w:hint="cs"/>
          <w:b/>
          <w:bCs/>
          <w:u w:val="single"/>
          <w:rtl/>
        </w:rPr>
        <w:t>והשתלשלות העניינים</w:t>
      </w:r>
    </w:p>
    <w:p w14:paraId="5D92F091" w14:textId="77777777" w:rsidR="00FC67B1" w:rsidRDefault="00FC67B1" w:rsidP="00FC67B1">
      <w:pPr>
        <w:pStyle w:val="1"/>
        <w:numPr>
          <w:ilvl w:val="0"/>
          <w:numId w:val="1"/>
        </w:numPr>
        <w:spacing w:line="360" w:lineRule="auto"/>
        <w:ind w:left="0" w:firstLine="0"/>
        <w:jc w:val="both"/>
        <w:rPr>
          <w:rtl/>
        </w:rPr>
      </w:pPr>
      <w:r>
        <w:rPr>
          <w:b/>
          <w:bCs/>
          <w:rtl/>
        </w:rPr>
        <w:t>ב"כ המאשימה</w:t>
      </w:r>
      <w:r>
        <w:rPr>
          <w:rtl/>
        </w:rPr>
        <w:t xml:space="preserve"> הפנתה לנסיבות ביצוע העבירות, לערכים המוגנים אשר נפגעים מביצוען ולנזק הנגרם מהשימוש בסמים וטענה כי הנאשם, אשר גידל כמות גדולה של קנאביס בביתו, נמנה על רשת הפצתם. לטענתה, מתחם העונש ההולם בנסיבות המקרה דנן הוא בין מספר חודשי מאסר לבין 12 חודשי מאסר בפועל. </w:t>
      </w:r>
    </w:p>
    <w:p w14:paraId="6923DD3E" w14:textId="77777777" w:rsidR="00FC67B1" w:rsidRDefault="00FC67B1" w:rsidP="00FC67B1">
      <w:pPr>
        <w:pStyle w:val="a9"/>
      </w:pPr>
    </w:p>
    <w:p w14:paraId="1FEB7156" w14:textId="77777777" w:rsidR="00FC67B1" w:rsidRDefault="00FC67B1" w:rsidP="00FC67B1">
      <w:pPr>
        <w:pStyle w:val="1"/>
        <w:numPr>
          <w:ilvl w:val="0"/>
          <w:numId w:val="1"/>
        </w:numPr>
        <w:spacing w:line="360" w:lineRule="auto"/>
        <w:ind w:left="0" w:firstLine="0"/>
        <w:jc w:val="both"/>
        <w:rPr>
          <w:rtl/>
        </w:rPr>
      </w:pPr>
      <w:r>
        <w:rPr>
          <w:rtl/>
        </w:rPr>
        <w:t xml:space="preserve">באשר לנסיבותיו האישיות של הנאשם ציינה  כי הנאשם נעדר פלילי </w:t>
      </w:r>
      <w:r>
        <w:rPr>
          <w:rFonts w:hint="cs"/>
          <w:rtl/>
        </w:rPr>
        <w:t>והתייחסה למפורט</w:t>
      </w:r>
      <w:r>
        <w:rPr>
          <w:rtl/>
        </w:rPr>
        <w:t xml:space="preserve"> בתסקירי שירות המבחן. לטענתה, וחרף המלצת שירות המבחן, אין מקום לבטל את הרשעת הנאשם לאור חומרת העבירה </w:t>
      </w:r>
      <w:r>
        <w:rPr>
          <w:rFonts w:hint="cs"/>
          <w:rtl/>
        </w:rPr>
        <w:t>בביצועה</w:t>
      </w:r>
      <w:r>
        <w:rPr>
          <w:rtl/>
        </w:rPr>
        <w:t xml:space="preserve"> הורשע הנאשם שעניינה גידול סמים. כן ציינה העדרו של נזק קונקרטי לנאשם וטענה כי לא די במכתב שהוצג ממספרה בלונדון, נושא תאריך 20.11.2018, כדי לבסס קיומו של נזק קונקרטי כנדרש, משלא ברור אם לנאשם ויזה אם לאו וכיצד יפגע מההרשעה. בנסיבותיו של הנאשם, עתרה המאשימה למיקומו ברף התחתון של מתחם העונש לו עתרה, כך שיושתו עליו 4 חודשי מאסר שיכול וירוצו בעבודות שירות, מאסר על תנאי, קנס, פסילה ופסילה על תנאי.  המאשימה הגישה פסיקה לתמיכה בטענותיה. </w:t>
      </w:r>
    </w:p>
    <w:p w14:paraId="2667B39B" w14:textId="77777777" w:rsidR="00FC67B1" w:rsidRDefault="00FC67B1" w:rsidP="00FC67B1">
      <w:pPr>
        <w:pStyle w:val="a9"/>
        <w:rPr>
          <w:b/>
          <w:bCs/>
        </w:rPr>
      </w:pPr>
    </w:p>
    <w:p w14:paraId="73620018" w14:textId="77777777" w:rsidR="00FC67B1" w:rsidRDefault="00FC67B1" w:rsidP="00FC67B1">
      <w:pPr>
        <w:pStyle w:val="1"/>
        <w:numPr>
          <w:ilvl w:val="0"/>
          <w:numId w:val="1"/>
        </w:numPr>
        <w:spacing w:line="360" w:lineRule="auto"/>
        <w:ind w:left="0" w:firstLine="0"/>
        <w:jc w:val="both"/>
        <w:rPr>
          <w:rtl/>
        </w:rPr>
      </w:pPr>
      <w:r>
        <w:rPr>
          <w:b/>
          <w:bCs/>
          <w:rtl/>
        </w:rPr>
        <w:t>ב"כ הנאשם</w:t>
      </w:r>
      <w:r>
        <w:rPr>
          <w:rtl/>
        </w:rPr>
        <w:t xml:space="preserve"> הגיש טיעון כתוב (נ/1) והוסיף דברים בעל פה. בטיעונו, חלק על עמדת המאשימה באשר לנזק לציבור מהשימוש בקנאביס, הפנה </w:t>
      </w:r>
      <w:r>
        <w:rPr>
          <w:rFonts w:hint="cs"/>
          <w:rtl/>
        </w:rPr>
        <w:t xml:space="preserve">להוראת השעה בקשר </w:t>
      </w:r>
      <w:r>
        <w:rPr>
          <w:rtl/>
        </w:rPr>
        <w:t xml:space="preserve">לשימוש עצמי בקנאביס </w:t>
      </w:r>
      <w:r>
        <w:rPr>
          <w:rFonts w:hint="cs"/>
          <w:rtl/>
        </w:rPr>
        <w:t xml:space="preserve">מהעת האחרונה, </w:t>
      </w:r>
      <w:r>
        <w:rPr>
          <w:rtl/>
        </w:rPr>
        <w:t xml:space="preserve">וטען כי יש לתת את הדעת לשינוי ביחס לשימוש בקנאביס כיום.  באשר לנסיבות ביצוע העבירות ציין תכנון ותחכום מינימאלי בביצוען. לטענתו אין המדובר במעבדה לגידול סם אלא בגידול ביתי (תוך שאישר כי הנאשם </w:t>
      </w:r>
      <w:r>
        <w:rPr>
          <w:rFonts w:hint="cs"/>
          <w:rtl/>
        </w:rPr>
        <w:t xml:space="preserve">אף </w:t>
      </w:r>
      <w:r>
        <w:rPr>
          <w:rtl/>
        </w:rPr>
        <w:t>הודה בהחזקת סם שלא לצריכה עצמית). לדבריו, לא נמצאו בבית משקל, שקיות לחלוקה למנות או חפצים המלמדים על הפצה של הסם (המאשימה לא הסכימה עם אמירה זו). לטענתו, תאונת דרכים אותה עבר הנאשם, מצבו הרפואי ומכאוביו הביאו אותו לביצוע העבירות, על מנת להימנע מקשר עם סוחרי סמים</w:t>
      </w:r>
      <w:r>
        <w:rPr>
          <w:rFonts w:hint="cs"/>
          <w:rtl/>
        </w:rPr>
        <w:t>,</w:t>
      </w:r>
      <w:r>
        <w:rPr>
          <w:rtl/>
        </w:rPr>
        <w:t xml:space="preserve"> והפנה למסמכים רפואיים אודות התאונה (נ/3). עוד הוסיף כי הנאשם אמנם מואשם בגידול סם מסוג קנאביס במשקל של 1 ק"ג אך רק 10% מהמשקל ברוטו מהווה חומר פעיל אותו ניתן לעשן, תוך שהפנה ל</w:t>
      </w:r>
      <w:hyperlink r:id="rId19" w:history="1">
        <w:r w:rsidR="006775F9" w:rsidRPr="006775F9">
          <w:rPr>
            <w:color w:val="0000FF"/>
            <w:u w:val="single"/>
            <w:rtl/>
          </w:rPr>
          <w:t>ת"פ (ח"י) 74-11-13</w:t>
        </w:r>
      </w:hyperlink>
      <w:r>
        <w:rPr>
          <w:rtl/>
        </w:rPr>
        <w:t xml:space="preserve"> </w:t>
      </w:r>
      <w:r>
        <w:rPr>
          <w:b/>
          <w:bCs/>
          <w:rtl/>
        </w:rPr>
        <w:t>מדינת ישראל נ' דוד</w:t>
      </w:r>
      <w:r>
        <w:rPr>
          <w:rtl/>
        </w:rPr>
        <w:t xml:space="preserve"> (7.9.2015) </w:t>
      </w:r>
      <w:r>
        <w:rPr>
          <w:rFonts w:hint="cs"/>
          <w:rtl/>
        </w:rPr>
        <w:t xml:space="preserve">(להלן: </w:t>
      </w:r>
      <w:r w:rsidRPr="005B3D0E">
        <w:rPr>
          <w:rFonts w:hint="cs"/>
          <w:b/>
          <w:bCs/>
          <w:rtl/>
        </w:rPr>
        <w:t>"עניין דוד"</w:t>
      </w:r>
      <w:r>
        <w:rPr>
          <w:rFonts w:hint="cs"/>
          <w:rtl/>
        </w:rPr>
        <w:t xml:space="preserve">) </w:t>
      </w:r>
      <w:r>
        <w:rPr>
          <w:rtl/>
        </w:rPr>
        <w:t xml:space="preserve">ודברי עד מומחה שם (נספח ב' לנ/2). </w:t>
      </w:r>
    </w:p>
    <w:p w14:paraId="11AAA12B" w14:textId="77777777" w:rsidR="00FC67B1" w:rsidRDefault="00FC67B1" w:rsidP="00FC67B1">
      <w:pPr>
        <w:pStyle w:val="a9"/>
        <w:rPr>
          <w:color w:val="FF0000"/>
        </w:rPr>
      </w:pPr>
    </w:p>
    <w:p w14:paraId="59F59941" w14:textId="77777777" w:rsidR="00FC67B1" w:rsidRDefault="00FC67B1" w:rsidP="00FC67B1">
      <w:pPr>
        <w:pStyle w:val="1"/>
        <w:numPr>
          <w:ilvl w:val="0"/>
          <w:numId w:val="1"/>
        </w:numPr>
        <w:spacing w:line="360" w:lineRule="auto"/>
        <w:ind w:left="0" w:firstLine="0"/>
        <w:jc w:val="both"/>
      </w:pPr>
      <w:r>
        <w:rPr>
          <w:rtl/>
        </w:rPr>
        <w:t xml:space="preserve">ב"כ הנאשם הוסיף </w:t>
      </w:r>
      <w:r>
        <w:rPr>
          <w:rFonts w:hint="cs"/>
          <w:rtl/>
        </w:rPr>
        <w:t xml:space="preserve">אודות נסיבותיו האישיות של הנאשם, גילו, </w:t>
      </w:r>
      <w:r>
        <w:rPr>
          <w:rtl/>
        </w:rPr>
        <w:t>הודייתו</w:t>
      </w:r>
      <w:r>
        <w:rPr>
          <w:rFonts w:hint="cs"/>
          <w:rtl/>
        </w:rPr>
        <w:t xml:space="preserve">, </w:t>
      </w:r>
      <w:r>
        <w:rPr>
          <w:rtl/>
        </w:rPr>
        <w:t xml:space="preserve">חיסכון הזמן השיפוטי על ידו ושיתוף הפעולה שלו עם הרשויות. </w:t>
      </w:r>
      <w:r>
        <w:rPr>
          <w:rFonts w:hint="cs"/>
          <w:rtl/>
        </w:rPr>
        <w:t>בנוסף</w:t>
      </w:r>
      <w:r>
        <w:rPr>
          <w:rtl/>
        </w:rPr>
        <w:t xml:space="preserve"> הפנה לתסקירי שירות המבחן, והשיפור במצב הנאשם העולה מהם</w:t>
      </w:r>
      <w:r>
        <w:rPr>
          <w:rFonts w:hint="cs"/>
          <w:rtl/>
        </w:rPr>
        <w:t>.</w:t>
      </w:r>
      <w:r>
        <w:rPr>
          <w:rtl/>
        </w:rPr>
        <w:t xml:space="preserve"> לטענת ב"כ הנאשם מתחם העונש ההולם במקרה זה הוא בין אי הרשעה לבין מספר חודשי מאסר אותם ניתן לרצות בעבודות שירות. לטענתו, בנסיבותיו של הנאשם, ניתן </w:t>
      </w:r>
      <w:r>
        <w:rPr>
          <w:rFonts w:hint="cs"/>
          <w:rtl/>
        </w:rPr>
        <w:t xml:space="preserve">אף </w:t>
      </w:r>
      <w:r>
        <w:rPr>
          <w:rtl/>
        </w:rPr>
        <w:t xml:space="preserve">לחרוג מגדרי מתחם הענישה משיקולי שיקום. ב"כ הנאשם עתר לביטול הרשעת הנאשם, הצעיר בגילו, </w:t>
      </w:r>
      <w:r>
        <w:rPr>
          <w:rFonts w:hint="cs"/>
          <w:rtl/>
        </w:rPr>
        <w:t>ו</w:t>
      </w:r>
      <w:r>
        <w:rPr>
          <w:rtl/>
        </w:rPr>
        <w:t>הבהיר כי הנאשם מסכים להשתת צו מבחן ושל"צ</w:t>
      </w:r>
      <w:r>
        <w:rPr>
          <w:rFonts w:hint="cs"/>
          <w:rtl/>
        </w:rPr>
        <w:t>.</w:t>
      </w:r>
    </w:p>
    <w:p w14:paraId="3E053A04" w14:textId="77777777" w:rsidR="00FC67B1" w:rsidRDefault="00FC67B1" w:rsidP="00FC67B1">
      <w:pPr>
        <w:pStyle w:val="1"/>
        <w:spacing w:line="360" w:lineRule="auto"/>
        <w:ind w:left="0"/>
        <w:jc w:val="both"/>
      </w:pPr>
    </w:p>
    <w:p w14:paraId="698F7867" w14:textId="77777777" w:rsidR="00FC67B1" w:rsidRDefault="00FC67B1" w:rsidP="00FC67B1">
      <w:pPr>
        <w:pStyle w:val="1"/>
        <w:numPr>
          <w:ilvl w:val="0"/>
          <w:numId w:val="1"/>
        </w:numPr>
        <w:spacing w:line="360" w:lineRule="auto"/>
        <w:ind w:left="0" w:firstLine="0"/>
        <w:jc w:val="both"/>
      </w:pPr>
      <w:r>
        <w:rPr>
          <w:rtl/>
        </w:rPr>
        <w:t>לטענתו, ניתן לבטל הרשעה גם מקום בו מדובר בפגיעה אפשרית בנאשם גם אם לא בפגיעה קונקרטית בעתידו או שיקומו, תוך הפניה לפסיקה, ויש לאזן בין חומרת העבירה לבין הנזק לנאשם מההרשעה. ב"כ הנאשם הוסיף כי הנאשם עובד כספר למחייתו מגיל 15, השתלם אצל ספרים מפורסמים ונמצא כיום בקשר עם מספרה בלונדון. לטענתו, באם תיוותר הרשעת הנאשם על כנה, לא יקבל אשרת עבודה באירופה וככל שיבקש לעבוד בלונדון תפגע פרנסתו, תוך שהפנה לנ/4, מכתב ממספרה בלונדון, מיום 20.11.2018, המבקשת להעסיק את הנאשם. עוד ביקש להגיש תוך 14 יום מסמכים המלמדים על מניעת אשרת עבודה באירופה למי שיש לו הרשעה פלילית</w:t>
      </w:r>
      <w:r>
        <w:rPr>
          <w:rFonts w:hint="cs"/>
          <w:rtl/>
        </w:rPr>
        <w:t>.</w:t>
      </w:r>
    </w:p>
    <w:p w14:paraId="400AF62A" w14:textId="77777777" w:rsidR="00FC67B1" w:rsidRDefault="00FC67B1" w:rsidP="00FC67B1">
      <w:pPr>
        <w:pStyle w:val="a9"/>
        <w:rPr>
          <w:rtl/>
        </w:rPr>
      </w:pPr>
    </w:p>
    <w:p w14:paraId="7F926E90" w14:textId="77777777" w:rsidR="00FC67B1" w:rsidRDefault="00FC67B1" w:rsidP="00FC67B1">
      <w:pPr>
        <w:pStyle w:val="1"/>
        <w:numPr>
          <w:ilvl w:val="0"/>
          <w:numId w:val="1"/>
        </w:numPr>
        <w:spacing w:line="360" w:lineRule="auto"/>
        <w:ind w:left="0" w:firstLine="0"/>
        <w:jc w:val="both"/>
      </w:pPr>
      <w:r>
        <w:rPr>
          <w:rtl/>
        </w:rPr>
        <w:t xml:space="preserve">לטענת ב"כ הנאשם אין הבדל מהותי בין 4 חודשי עבודות שירות לבין צו של"צ, </w:t>
      </w:r>
      <w:r>
        <w:rPr>
          <w:rFonts w:hint="cs"/>
          <w:rtl/>
        </w:rPr>
        <w:t>ו</w:t>
      </w:r>
      <w:r>
        <w:rPr>
          <w:rtl/>
        </w:rPr>
        <w:t>הגם שלא יושת מאסר על תנאי ככל שתבוטל ההרשעה, הנאשם יהיה בפיקוח שירות המבחן לתקופה ארוכה, וככל שיפר את התנאים ניתן יהיה לבקש להפקיע את צו השל"צ ו/או המבחן ולגזור את עונשו מחדש</w:t>
      </w:r>
      <w:r>
        <w:rPr>
          <w:rFonts w:hint="cs"/>
          <w:rtl/>
        </w:rPr>
        <w:t>.</w:t>
      </w:r>
    </w:p>
    <w:p w14:paraId="2FA88B31" w14:textId="77777777" w:rsidR="00FC67B1" w:rsidRDefault="00FC67B1" w:rsidP="00FC67B1">
      <w:pPr>
        <w:pStyle w:val="a9"/>
        <w:rPr>
          <w:rtl/>
        </w:rPr>
      </w:pPr>
    </w:p>
    <w:p w14:paraId="6FF09A75" w14:textId="77777777" w:rsidR="00FC67B1" w:rsidRDefault="00FC67B1" w:rsidP="00FC67B1">
      <w:pPr>
        <w:pStyle w:val="1"/>
        <w:numPr>
          <w:ilvl w:val="0"/>
          <w:numId w:val="1"/>
        </w:numPr>
        <w:spacing w:line="360" w:lineRule="auto"/>
        <w:ind w:left="0" w:firstLine="0"/>
        <w:jc w:val="both"/>
        <w:rPr>
          <w:rtl/>
        </w:rPr>
      </w:pPr>
      <w:r>
        <w:rPr>
          <w:rFonts w:hint="cs"/>
          <w:rtl/>
        </w:rPr>
        <w:t>במועד הטיעון לעונש נעתרתי לבקשת הסנגור להגיש מסמך עדכני מהמספרה בלונדון בעניינו של הנאשם וכן מסמכים המלמדים על מניעת אשרת עבודה באירופה למי שיש לו הרשעה פלילית. ביום 23.6.2019 הגיש הסנגור אסופת מסמכים באנגלית. לבקשת המאשימה קבעתי כי טרם  מתן גזר הדין יתקיים דיון ביחס למסמך שהוגש והוריתי לסנגור לתרגם את המסמך ולהתייחס לטענות המאשימה בתגובתה. יצוין כי לא צורף מסמך עדכני בדבר רצונה של המספרה בלונדון להעסיק את הנאשם. טרם מתן גזר הדין הודיעו הצדדים כי אינם מבקשים לקיים דיון מקדים טרם נתינתו. בעת שימוע גזר הדין ציין הסנגור כי קיבל אתמול מכתב עדכני מהמספרה בלונדון, באמצעות הנאשם, אך אין בידו כיצד להציגו לבית המשפט כעת.</w:t>
      </w:r>
    </w:p>
    <w:p w14:paraId="7C627B87" w14:textId="77777777" w:rsidR="00FC67B1" w:rsidRDefault="00FC67B1" w:rsidP="00FC67B1">
      <w:pPr>
        <w:pStyle w:val="1"/>
        <w:spacing w:line="360" w:lineRule="auto"/>
        <w:ind w:left="0"/>
        <w:jc w:val="both"/>
      </w:pPr>
      <w:r>
        <w:rPr>
          <w:rtl/>
        </w:rPr>
        <w:t xml:space="preserve"> </w:t>
      </w:r>
    </w:p>
    <w:p w14:paraId="6929E227" w14:textId="77777777" w:rsidR="00FC67B1" w:rsidRDefault="00FC67B1" w:rsidP="00FC67B1">
      <w:pPr>
        <w:spacing w:line="360" w:lineRule="auto"/>
        <w:jc w:val="both"/>
      </w:pPr>
      <w:r>
        <w:rPr>
          <w:b/>
          <w:bCs/>
          <w:u w:val="single"/>
          <w:rtl/>
        </w:rPr>
        <w:t>דברי הנאשם</w:t>
      </w:r>
    </w:p>
    <w:p w14:paraId="06D5D29B" w14:textId="77777777" w:rsidR="00FC67B1" w:rsidRDefault="00FC67B1" w:rsidP="00FC67B1">
      <w:pPr>
        <w:pStyle w:val="1"/>
        <w:numPr>
          <w:ilvl w:val="0"/>
          <w:numId w:val="1"/>
        </w:numPr>
        <w:spacing w:line="360" w:lineRule="auto"/>
        <w:ind w:left="0" w:firstLine="0"/>
        <w:jc w:val="both"/>
        <w:rPr>
          <w:rtl/>
        </w:rPr>
      </w:pPr>
      <w:r>
        <w:rPr>
          <w:rtl/>
        </w:rPr>
        <w:t>הנאשם סיפר כי עבר דרך ארוכה של שיקום והסתכלות עצמית. לדבריו, השתמש בקנאביס  בעקבות תאונה שעבר וחוויות ילדותו. לטענתו, קיבל כלים חשובים להתמודדות משירות המבחן. עוד הוסיף כי קיבל הצעה לעבוד במספרה ולהדריך באקדמיה בלונדון. לדבריו, אותם מעסיקים פוטנציאליים מוכנים להמתין עד שיסיים את ההליך השיקומי אך הוא לא יוכל לקבל ויזה ככל שיורשע. עוד פירט כי הקים חברה עם שותף והוא עובד במשרה מלאה</w:t>
      </w:r>
      <w:r>
        <w:rPr>
          <w:rFonts w:hint="cs"/>
          <w:rtl/>
        </w:rPr>
        <w:t>,</w:t>
      </w:r>
      <w:r>
        <w:rPr>
          <w:rtl/>
        </w:rPr>
        <w:t xml:space="preserve"> </w:t>
      </w:r>
      <w:r>
        <w:rPr>
          <w:rFonts w:hint="cs"/>
          <w:rtl/>
        </w:rPr>
        <w:t>וביקש התחשבות במצבו.</w:t>
      </w:r>
    </w:p>
    <w:p w14:paraId="53FD2F04" w14:textId="77777777" w:rsidR="00FC67B1" w:rsidRDefault="00FC67B1" w:rsidP="00FC67B1">
      <w:pPr>
        <w:spacing w:line="360" w:lineRule="auto"/>
        <w:jc w:val="both"/>
      </w:pPr>
    </w:p>
    <w:p w14:paraId="33019AD3" w14:textId="77777777" w:rsidR="00FC67B1" w:rsidRDefault="00FC67B1" w:rsidP="00FC67B1">
      <w:pPr>
        <w:spacing w:line="360" w:lineRule="auto"/>
        <w:ind w:left="425" w:hanging="425"/>
        <w:jc w:val="both"/>
        <w:rPr>
          <w:b/>
          <w:bCs/>
          <w:u w:val="single"/>
          <w:rtl/>
        </w:rPr>
      </w:pPr>
      <w:r>
        <w:rPr>
          <w:rFonts w:hint="cs"/>
          <w:b/>
          <w:bCs/>
          <w:u w:val="single"/>
          <w:rtl/>
        </w:rPr>
        <w:t>סוגיית ההרשעה</w:t>
      </w:r>
    </w:p>
    <w:p w14:paraId="5F9D597B" w14:textId="77777777" w:rsidR="00FC67B1" w:rsidRDefault="00FC67B1" w:rsidP="00FC67B1">
      <w:pPr>
        <w:pStyle w:val="1"/>
        <w:numPr>
          <w:ilvl w:val="0"/>
          <w:numId w:val="1"/>
        </w:numPr>
        <w:spacing w:line="360" w:lineRule="auto"/>
        <w:ind w:left="0" w:firstLine="0"/>
        <w:jc w:val="both"/>
        <w:rPr>
          <w:rFonts w:ascii="David" w:hAnsi="David"/>
        </w:rPr>
      </w:pPr>
      <w:r w:rsidRPr="00465E3F">
        <w:rPr>
          <w:rFonts w:ascii="David" w:hAnsi="David"/>
          <w:rtl/>
        </w:rPr>
        <w:t xml:space="preserve">ככלל, הליך משפטי של אדם בגיר שהוכח כי עבר עבירה פלילית יסתיים בהרשעה. הימנעות מהרשעה או ביטולה מהווים חריג בשל נסיבות מיוחדות ויוצאות דופן. על פי </w:t>
      </w:r>
      <w:r w:rsidRPr="00465E3F">
        <w:rPr>
          <w:rFonts w:ascii="David" w:hAnsi="David"/>
          <w:b/>
          <w:bCs/>
          <w:rtl/>
        </w:rPr>
        <w:t>הלכת כתב</w:t>
      </w:r>
      <w:r w:rsidRPr="00465E3F">
        <w:rPr>
          <w:rFonts w:ascii="David" w:hAnsi="David"/>
          <w:rtl/>
        </w:rPr>
        <w:t xml:space="preserve"> (</w:t>
      </w:r>
      <w:hyperlink r:id="rId20" w:history="1">
        <w:r w:rsidR="006775F9" w:rsidRPr="006775F9">
          <w:rPr>
            <w:rFonts w:ascii="David" w:hAnsi="David"/>
            <w:color w:val="0000FF"/>
            <w:u w:val="single"/>
            <w:rtl/>
          </w:rPr>
          <w:t>ע"פ 2083/96 תמר כתב נ' מדינת ישראל, (פ"ד נב</w:t>
        </w:r>
      </w:hyperlink>
      <w:r w:rsidRPr="00465E3F">
        <w:rPr>
          <w:rFonts w:ascii="David" w:hAnsi="David"/>
          <w:rtl/>
        </w:rPr>
        <w:t>(3) 337, 342 (1997)), על מנת להימנע מהרשעה או לבטלה, יש לבחון הצטברותם של שני תנאים עיקריים: האחד, האם ההרשעה תפגע פגיעה חמורה בעתידו או בשיקומו של הנאשם. השני, האם סוג העבירה ונסיבות ביצועה מאפשרים לוותר בנסיבות המקרה על ההרשעה</w:t>
      </w:r>
      <w:r>
        <w:rPr>
          <w:rFonts w:ascii="David" w:hAnsi="David" w:hint="cs"/>
          <w:rtl/>
        </w:rPr>
        <w:t>,</w:t>
      </w:r>
      <w:r w:rsidRPr="00465E3F">
        <w:rPr>
          <w:rFonts w:ascii="David" w:hAnsi="David"/>
          <w:rtl/>
        </w:rPr>
        <w:t xml:space="preserve"> מבלי לפגוע באופן מהותי</w:t>
      </w:r>
      <w:r>
        <w:rPr>
          <w:rFonts w:ascii="David" w:hAnsi="David"/>
          <w:rtl/>
        </w:rPr>
        <w:t xml:space="preserve"> בשיקולי ענישה אחרים.</w:t>
      </w:r>
      <w:r>
        <w:rPr>
          <w:rFonts w:ascii="David" w:hAnsi="David" w:hint="cs"/>
          <w:rtl/>
        </w:rPr>
        <w:t xml:space="preserve"> </w:t>
      </w:r>
      <w:r w:rsidRPr="00AF4031">
        <w:rPr>
          <w:rFonts w:ascii="David" w:hAnsi="David"/>
          <w:rtl/>
        </w:rPr>
        <w:t>על ההגנה מונח הנטל לשכנע, כי בנסיבות המקרה יש להעדיף את שיקום הנאשם על פני שיקולים אחרים</w:t>
      </w:r>
      <w:r>
        <w:rPr>
          <w:rFonts w:ascii="David" w:hAnsi="David" w:hint="cs"/>
          <w:rtl/>
        </w:rPr>
        <w:t xml:space="preserve">. </w:t>
      </w:r>
      <w:r w:rsidRPr="00AF4031">
        <w:rPr>
          <w:rFonts w:ascii="David" w:hAnsi="David"/>
          <w:rtl/>
        </w:rPr>
        <w:t xml:space="preserve">ראו גם: </w:t>
      </w:r>
      <w:hyperlink r:id="rId21" w:history="1">
        <w:r w:rsidR="006775F9" w:rsidRPr="006775F9">
          <w:rPr>
            <w:color w:val="0000FF"/>
            <w:u w:val="single"/>
            <w:rtl/>
          </w:rPr>
          <w:t>ע"פ 5985/13</w:t>
        </w:r>
      </w:hyperlink>
      <w:r w:rsidRPr="00AF4031">
        <w:rPr>
          <w:rFonts w:ascii="David" w:hAnsi="David"/>
          <w:rtl/>
        </w:rPr>
        <w:t xml:space="preserve"> </w:t>
      </w:r>
      <w:r w:rsidRPr="00AF4031">
        <w:rPr>
          <w:rFonts w:ascii="David" w:hAnsi="David"/>
          <w:b/>
          <w:bCs/>
          <w:rtl/>
        </w:rPr>
        <w:t>אבן נ' מדינת ישראל</w:t>
      </w:r>
      <w:r w:rsidRPr="00AF4031">
        <w:rPr>
          <w:rFonts w:ascii="David" w:hAnsi="David"/>
          <w:rtl/>
        </w:rPr>
        <w:t xml:space="preserve"> </w:t>
      </w:r>
      <w:r w:rsidRPr="00AF4031">
        <w:rPr>
          <w:rFonts w:ascii="David" w:hAnsi="David" w:hint="cs"/>
          <w:rtl/>
        </w:rPr>
        <w:t>(</w:t>
      </w:r>
      <w:r w:rsidRPr="00AF4031">
        <w:rPr>
          <w:rFonts w:ascii="David" w:hAnsi="David"/>
          <w:rtl/>
        </w:rPr>
        <w:t>2.4.2014), כב' השופט ג'ובראן ב</w:t>
      </w:r>
      <w:hyperlink r:id="rId22" w:history="1">
        <w:r w:rsidR="006775F9" w:rsidRPr="006775F9">
          <w:rPr>
            <w:color w:val="0000FF"/>
            <w:u w:val="single"/>
            <w:rtl/>
          </w:rPr>
          <w:t>רע"פ 3852/14</w:t>
        </w:r>
      </w:hyperlink>
      <w:r w:rsidRPr="00AF4031">
        <w:rPr>
          <w:rFonts w:ascii="David" w:hAnsi="David"/>
          <w:rtl/>
        </w:rPr>
        <w:t xml:space="preserve"> </w:t>
      </w:r>
      <w:r w:rsidRPr="00AF4031">
        <w:rPr>
          <w:rFonts w:ascii="David" w:hAnsi="David"/>
          <w:b/>
          <w:bCs/>
          <w:rtl/>
        </w:rPr>
        <w:t>ורשואר נ' מדינת ישראל</w:t>
      </w:r>
      <w:r w:rsidRPr="00AF4031">
        <w:rPr>
          <w:rFonts w:ascii="David" w:hAnsi="David"/>
          <w:rtl/>
        </w:rPr>
        <w:t xml:space="preserve"> (18.8.2014) פסקה 11, ו</w:t>
      </w:r>
      <w:hyperlink r:id="rId23" w:history="1">
        <w:r w:rsidR="006775F9" w:rsidRPr="006775F9">
          <w:rPr>
            <w:color w:val="0000FF"/>
            <w:u w:val="single"/>
            <w:rtl/>
          </w:rPr>
          <w:t>ע"פ 3255/14</w:t>
        </w:r>
      </w:hyperlink>
      <w:r w:rsidRPr="00AF4031">
        <w:rPr>
          <w:rFonts w:ascii="David" w:hAnsi="David"/>
          <w:rtl/>
        </w:rPr>
        <w:t xml:space="preserve"> </w:t>
      </w:r>
      <w:r w:rsidRPr="00AF4031">
        <w:rPr>
          <w:rFonts w:ascii="David" w:hAnsi="David"/>
          <w:b/>
          <w:bCs/>
          <w:rtl/>
        </w:rPr>
        <w:t>ביטון נ' מדינת ישראל</w:t>
      </w:r>
      <w:r w:rsidRPr="00AF4031">
        <w:rPr>
          <w:rFonts w:ascii="David" w:hAnsi="David"/>
          <w:rtl/>
        </w:rPr>
        <w:t xml:space="preserve"> </w:t>
      </w:r>
      <w:r>
        <w:rPr>
          <w:rFonts w:ascii="David" w:hAnsi="David"/>
          <w:rtl/>
        </w:rPr>
        <w:t>(16.3.2015)</w:t>
      </w:r>
      <w:r w:rsidRPr="00AF4031">
        <w:rPr>
          <w:rFonts w:ascii="David" w:hAnsi="David"/>
          <w:rtl/>
        </w:rPr>
        <w:t xml:space="preserve">. </w:t>
      </w:r>
    </w:p>
    <w:p w14:paraId="327EB2CE" w14:textId="77777777" w:rsidR="00FC67B1" w:rsidRDefault="00FC67B1" w:rsidP="00FC67B1">
      <w:pPr>
        <w:pStyle w:val="1"/>
        <w:spacing w:line="360" w:lineRule="auto"/>
        <w:ind w:left="0"/>
        <w:jc w:val="both"/>
        <w:rPr>
          <w:rFonts w:ascii="David" w:hAnsi="David"/>
        </w:rPr>
      </w:pPr>
    </w:p>
    <w:p w14:paraId="419E4AA0" w14:textId="77777777" w:rsidR="00FC67B1" w:rsidRDefault="00FC67B1" w:rsidP="00FC67B1">
      <w:pPr>
        <w:pStyle w:val="1"/>
        <w:numPr>
          <w:ilvl w:val="0"/>
          <w:numId w:val="1"/>
        </w:numPr>
        <w:spacing w:line="360" w:lineRule="auto"/>
        <w:ind w:left="0" w:firstLine="0"/>
        <w:jc w:val="both"/>
        <w:rPr>
          <w:rFonts w:ascii="David" w:hAnsi="David"/>
        </w:rPr>
      </w:pPr>
      <w:r>
        <w:rPr>
          <w:rFonts w:ascii="David" w:hAnsi="David" w:hint="cs"/>
          <w:rtl/>
        </w:rPr>
        <w:t>ב</w:t>
      </w:r>
      <w:hyperlink r:id="rId24" w:history="1">
        <w:r w:rsidR="006775F9" w:rsidRPr="006775F9">
          <w:rPr>
            <w:color w:val="0000FF"/>
            <w:u w:val="single"/>
            <w:rtl/>
          </w:rPr>
          <w:t>רע"פ 3589/14</w:t>
        </w:r>
      </w:hyperlink>
      <w:r w:rsidRPr="00AF4031">
        <w:rPr>
          <w:rFonts w:ascii="David" w:hAnsi="David"/>
          <w:rtl/>
        </w:rPr>
        <w:t xml:space="preserve"> </w:t>
      </w:r>
      <w:r w:rsidRPr="00AF4031">
        <w:rPr>
          <w:rFonts w:ascii="David" w:hAnsi="David"/>
          <w:b/>
          <w:bCs/>
          <w:rtl/>
        </w:rPr>
        <w:t>לוזון נ' מדינת ישראל</w:t>
      </w:r>
      <w:r w:rsidRPr="00AF4031">
        <w:rPr>
          <w:rFonts w:ascii="David" w:hAnsi="David"/>
          <w:rtl/>
        </w:rPr>
        <w:t xml:space="preserve"> (10.6.2014) נקבע כי על פי </w:t>
      </w:r>
      <w:r w:rsidRPr="00AF4031">
        <w:rPr>
          <w:rFonts w:ascii="David" w:hAnsi="David"/>
          <w:b/>
          <w:bCs/>
          <w:rtl/>
        </w:rPr>
        <w:t>הלכת כתב</w:t>
      </w:r>
      <w:r w:rsidRPr="00AF4031">
        <w:rPr>
          <w:rFonts w:ascii="David" w:hAnsi="David"/>
          <w:rtl/>
        </w:rPr>
        <w:t>, ביטול או הימנעות מהרשעה הוא חריג מצומצם</w:t>
      </w:r>
      <w:r w:rsidRPr="00AF4031">
        <w:rPr>
          <w:rFonts w:ascii="David" w:hAnsi="David" w:hint="cs"/>
          <w:rtl/>
        </w:rPr>
        <w:t>,</w:t>
      </w:r>
      <w:r w:rsidRPr="00AF4031">
        <w:rPr>
          <w:rFonts w:ascii="David" w:hAnsi="David"/>
          <w:rtl/>
        </w:rPr>
        <w:t xml:space="preserve"> המוצדק רק במקרים חריגים ויוצאי דופן</w:t>
      </w:r>
      <w:r w:rsidRPr="00AF4031">
        <w:rPr>
          <w:rFonts w:ascii="David" w:hAnsi="David" w:hint="cs"/>
          <w:rtl/>
        </w:rPr>
        <w:t>,</w:t>
      </w:r>
      <w:r w:rsidRPr="00AF4031">
        <w:rPr>
          <w:rFonts w:ascii="David" w:hAnsi="David"/>
          <w:rtl/>
        </w:rPr>
        <w:t xml:space="preserve"> בהם לא מתקיים יחס סביר בין הנזק הצפוי לנאשם מן ההרשעה לבין חומרתה של העבירה. כן נקבע כי יש לבחון קיומו נזק קונקרטי לנאשם גם במקום בו הנאשם נעדר עבר פלילי. ראו גם </w:t>
      </w:r>
      <w:hyperlink r:id="rId25" w:history="1">
        <w:r w:rsidR="006775F9" w:rsidRPr="006775F9">
          <w:rPr>
            <w:color w:val="0000FF"/>
            <w:u w:val="single"/>
            <w:rtl/>
          </w:rPr>
          <w:t>רע"פ 619/18</w:t>
        </w:r>
      </w:hyperlink>
      <w:r w:rsidRPr="00AF4031">
        <w:rPr>
          <w:rFonts w:ascii="David" w:hAnsi="David"/>
          <w:rtl/>
        </w:rPr>
        <w:t xml:space="preserve"> </w:t>
      </w:r>
      <w:r w:rsidRPr="00AF4031">
        <w:rPr>
          <w:rFonts w:ascii="David" w:hAnsi="David"/>
          <w:b/>
          <w:bCs/>
          <w:rtl/>
        </w:rPr>
        <w:t>בזיזינסקי נ' מדינת ישראל</w:t>
      </w:r>
      <w:r w:rsidRPr="00AF4031">
        <w:rPr>
          <w:rFonts w:ascii="David" w:hAnsi="David"/>
          <w:rtl/>
        </w:rPr>
        <w:t xml:space="preserve"> (1.3.2018) (להלן: </w:t>
      </w:r>
      <w:r w:rsidRPr="00AF4031">
        <w:rPr>
          <w:rFonts w:ascii="David" w:hAnsi="David"/>
          <w:b/>
          <w:bCs/>
          <w:rtl/>
        </w:rPr>
        <w:t>"עניין בזיזינסקי"</w:t>
      </w:r>
      <w:r w:rsidRPr="00AF4031">
        <w:rPr>
          <w:rFonts w:ascii="David" w:hAnsi="David"/>
          <w:rtl/>
        </w:rPr>
        <w:t>) ו</w:t>
      </w:r>
      <w:hyperlink r:id="rId26" w:history="1">
        <w:r w:rsidR="006775F9" w:rsidRPr="006775F9">
          <w:rPr>
            <w:color w:val="0000FF"/>
            <w:u w:val="single"/>
            <w:rtl/>
          </w:rPr>
          <w:t>רע"פ 2323/17</w:t>
        </w:r>
      </w:hyperlink>
      <w:r w:rsidRPr="00AF4031">
        <w:rPr>
          <w:rFonts w:ascii="David" w:hAnsi="David"/>
          <w:rtl/>
        </w:rPr>
        <w:t xml:space="preserve"> </w:t>
      </w:r>
      <w:r w:rsidRPr="00AF4031">
        <w:rPr>
          <w:rFonts w:ascii="David" w:hAnsi="David"/>
          <w:b/>
          <w:bCs/>
          <w:rtl/>
        </w:rPr>
        <w:t>פלוני נ' מדינת ישראל</w:t>
      </w:r>
      <w:r w:rsidRPr="00AF4031">
        <w:rPr>
          <w:rFonts w:ascii="David" w:hAnsi="David"/>
          <w:rtl/>
        </w:rPr>
        <w:t xml:space="preserve"> (12.6.2017) (להלן: "</w:t>
      </w:r>
      <w:r w:rsidRPr="00AF4031">
        <w:rPr>
          <w:rFonts w:ascii="David" w:hAnsi="David"/>
          <w:b/>
          <w:bCs/>
          <w:rtl/>
        </w:rPr>
        <w:t>עניין פלוני"</w:t>
      </w:r>
      <w:r w:rsidRPr="00AF4031">
        <w:rPr>
          <w:rFonts w:ascii="David" w:hAnsi="David"/>
          <w:rtl/>
        </w:rPr>
        <w:t>)</w:t>
      </w:r>
      <w:r>
        <w:rPr>
          <w:rFonts w:ascii="David" w:hAnsi="David" w:hint="cs"/>
          <w:rtl/>
        </w:rPr>
        <w:t xml:space="preserve"> שם חזר בית המשפט והבהיר את </w:t>
      </w:r>
      <w:r>
        <w:rPr>
          <w:rFonts w:ascii="David" w:hAnsi="David"/>
          <w:rtl/>
        </w:rPr>
        <w:t>נחיצות קיומו של נזק קונקרטי לשם הימנעות מהרשעה</w:t>
      </w:r>
      <w:r w:rsidRPr="00AF4031">
        <w:rPr>
          <w:rFonts w:ascii="David" w:hAnsi="David"/>
          <w:rtl/>
        </w:rPr>
        <w:t>.</w:t>
      </w:r>
    </w:p>
    <w:p w14:paraId="70A1A208" w14:textId="77777777" w:rsidR="00FC67B1" w:rsidRDefault="00FC67B1" w:rsidP="00FC67B1">
      <w:pPr>
        <w:pStyle w:val="a9"/>
        <w:rPr>
          <w:rFonts w:ascii="David" w:hAnsi="David"/>
          <w:rtl/>
        </w:rPr>
      </w:pPr>
    </w:p>
    <w:p w14:paraId="03D1F8CF" w14:textId="77777777" w:rsidR="00FC67B1" w:rsidRDefault="00FC67B1" w:rsidP="00FC67B1">
      <w:pPr>
        <w:pStyle w:val="1"/>
        <w:numPr>
          <w:ilvl w:val="0"/>
          <w:numId w:val="1"/>
        </w:numPr>
        <w:spacing w:line="360" w:lineRule="auto"/>
        <w:ind w:left="0" w:firstLine="0"/>
        <w:jc w:val="both"/>
        <w:rPr>
          <w:rFonts w:ascii="David" w:hAnsi="David"/>
          <w:b/>
          <w:bCs/>
        </w:rPr>
      </w:pPr>
      <w:r w:rsidRPr="003A375E">
        <w:rPr>
          <w:rFonts w:ascii="David" w:hAnsi="David" w:hint="cs"/>
          <w:rtl/>
        </w:rPr>
        <w:t xml:space="preserve">טרם דיון בשאלה האם מתקיימים במקרה דנן </w:t>
      </w:r>
      <w:r w:rsidRPr="003A375E">
        <w:rPr>
          <w:rFonts w:ascii="David" w:hAnsi="David" w:hint="cs"/>
          <w:b/>
          <w:bCs/>
          <w:rtl/>
        </w:rPr>
        <w:t>תנאי הלכת כתב</w:t>
      </w:r>
      <w:r w:rsidRPr="003A375E">
        <w:rPr>
          <w:rFonts w:ascii="David" w:hAnsi="David" w:hint="cs"/>
          <w:rtl/>
        </w:rPr>
        <w:t xml:space="preserve"> יש להבהיר</w:t>
      </w:r>
      <w:r>
        <w:rPr>
          <w:rFonts w:ascii="David" w:hAnsi="David" w:hint="cs"/>
          <w:rtl/>
        </w:rPr>
        <w:t xml:space="preserve"> כי </w:t>
      </w:r>
      <w:r w:rsidRPr="003A375E">
        <w:rPr>
          <w:rFonts w:ascii="David" w:hAnsi="David" w:hint="cs"/>
          <w:rtl/>
        </w:rPr>
        <w:t>בניגוד לעמדת ההגנה, וכפי שנקבע על ידי כב' השופט קרא בעת האחרונה ב</w:t>
      </w:r>
      <w:hyperlink r:id="rId27" w:history="1">
        <w:r w:rsidR="006775F9" w:rsidRPr="006775F9">
          <w:rPr>
            <w:rFonts w:ascii="David" w:hAnsi="David"/>
            <w:color w:val="0000FF"/>
            <w:u w:val="single"/>
            <w:rtl/>
          </w:rPr>
          <w:t>רע"פ 3195/19</w:t>
        </w:r>
      </w:hyperlink>
      <w:r w:rsidRPr="003A375E">
        <w:rPr>
          <w:rFonts w:ascii="David" w:hAnsi="David" w:hint="cs"/>
          <w:rtl/>
        </w:rPr>
        <w:t xml:space="preserve"> </w:t>
      </w:r>
      <w:r w:rsidRPr="003A375E">
        <w:rPr>
          <w:rFonts w:ascii="David" w:hAnsi="David" w:hint="cs"/>
          <w:b/>
          <w:bCs/>
          <w:rtl/>
        </w:rPr>
        <w:t>אגוזי נ' מדינת ישראל</w:t>
      </w:r>
      <w:r w:rsidRPr="003A375E">
        <w:rPr>
          <w:rFonts w:ascii="David" w:hAnsi="David" w:hint="cs"/>
          <w:rtl/>
        </w:rPr>
        <w:t xml:space="preserve"> (4.7.2019)</w:t>
      </w:r>
      <w:r>
        <w:rPr>
          <w:rFonts w:ascii="David" w:hAnsi="David" w:hint="cs"/>
          <w:rtl/>
        </w:rPr>
        <w:t xml:space="preserve">, </w:t>
      </w:r>
      <w:r w:rsidRPr="003A375E">
        <w:rPr>
          <w:rFonts w:ascii="David" w:hAnsi="David" w:hint="cs"/>
          <w:rtl/>
        </w:rPr>
        <w:t>אי הרשעה איננה עונש</w:t>
      </w:r>
      <w:r>
        <w:rPr>
          <w:rFonts w:ascii="David" w:hAnsi="David" w:hint="cs"/>
          <w:rtl/>
        </w:rPr>
        <w:t xml:space="preserve"> ומשכך </w:t>
      </w:r>
      <w:r w:rsidRPr="003A375E">
        <w:rPr>
          <w:rFonts w:ascii="David" w:hAnsi="David" w:hint="cs"/>
          <w:rtl/>
        </w:rPr>
        <w:t>איננה חלק ממתחם העונש ההולם, אלא שאלה עצמאית ונפרדת</w:t>
      </w:r>
      <w:r>
        <w:rPr>
          <w:rFonts w:ascii="David" w:hAnsi="David" w:hint="cs"/>
          <w:rtl/>
        </w:rPr>
        <w:t>:</w:t>
      </w:r>
    </w:p>
    <w:p w14:paraId="2942BFE5" w14:textId="77777777" w:rsidR="00FC67B1" w:rsidRDefault="00FC67B1" w:rsidP="00FC67B1">
      <w:pPr>
        <w:pStyle w:val="a9"/>
        <w:rPr>
          <w:rFonts w:ascii="David" w:hAnsi="David"/>
          <w:b/>
          <w:bCs/>
          <w:rtl/>
        </w:rPr>
      </w:pPr>
    </w:p>
    <w:p w14:paraId="00C86B7E" w14:textId="77777777" w:rsidR="00FC67B1" w:rsidRDefault="00FC67B1" w:rsidP="00FC67B1">
      <w:pPr>
        <w:pStyle w:val="1"/>
        <w:ind w:left="737" w:right="737"/>
        <w:jc w:val="both"/>
        <w:rPr>
          <w:rFonts w:ascii="David" w:hAnsi="David"/>
          <w:b/>
          <w:bCs/>
          <w:rtl/>
        </w:rPr>
      </w:pPr>
      <w:r w:rsidRPr="003A375E">
        <w:rPr>
          <w:rFonts w:ascii="David" w:hAnsi="David"/>
          <w:b/>
          <w:bCs/>
          <w:rtl/>
        </w:rPr>
        <w:t>"אי-הרשעה אינה עונש. האפשרות להימנע מהרשעה אינה מנויה בפרק ו' ל</w:t>
      </w:r>
      <w:hyperlink r:id="rId28" w:history="1">
        <w:r w:rsidR="006775F9" w:rsidRPr="006775F9">
          <w:rPr>
            <w:rFonts w:ascii="David" w:hAnsi="David"/>
            <w:b/>
            <w:bCs/>
            <w:color w:val="0000FF"/>
            <w:u w:val="single"/>
            <w:rtl/>
          </w:rPr>
          <w:t>חוק העונשין</w:t>
        </w:r>
      </w:hyperlink>
      <w:r w:rsidRPr="003A375E">
        <w:rPr>
          <w:rFonts w:ascii="David" w:hAnsi="David"/>
          <w:b/>
          <w:bCs/>
          <w:rtl/>
        </w:rPr>
        <w:t>, שכותרתו "דרכי ענישה" אלא ב</w:t>
      </w:r>
      <w:hyperlink r:id="rId29" w:history="1">
        <w:r w:rsidR="006775F9" w:rsidRPr="006775F9">
          <w:rPr>
            <w:rFonts w:ascii="David" w:hAnsi="David"/>
            <w:b/>
            <w:bCs/>
            <w:color w:val="0000FF"/>
            <w:u w:val="single"/>
            <w:rtl/>
          </w:rPr>
          <w:t>חוק סדר הדין הפלילי</w:t>
        </w:r>
      </w:hyperlink>
      <w:r w:rsidRPr="003A375E">
        <w:rPr>
          <w:rFonts w:ascii="David" w:hAnsi="David"/>
          <w:b/>
          <w:bCs/>
          <w:rtl/>
        </w:rPr>
        <w:t xml:space="preserve">. השיקול המרכזי המנחה את בית המשפט בהחלטה שלא להרשיע את הנאשם הוא יחס בלתי מידתי בין התועלת שבהרשעת הנאשם לבין הנזק שעתיד להיגרם לו כתוצאה מכך. שיקול זה אינו חלק ממערך השיקולים המנחה את השופט בקביעת מתחם העונש ההולם." (יניב ואקי ויורם </w:t>
      </w:r>
      <w:hyperlink r:id="rId30" w:history="1">
        <w:r w:rsidR="006775F9" w:rsidRPr="006775F9">
          <w:rPr>
            <w:rFonts w:ascii="David" w:hAnsi="David"/>
            <w:b/>
            <w:bCs/>
            <w:color w:val="0000FF"/>
            <w:u w:val="single"/>
            <w:rtl/>
          </w:rPr>
          <w:t xml:space="preserve">רבין "הבניית שיקול הדעת השיפוטי </w:t>
        </w:r>
      </w:hyperlink>
      <w:r w:rsidRPr="006775F9">
        <w:rPr>
          <w:rFonts w:ascii="David" w:hAnsi="David"/>
          <w:b/>
          <w:bCs/>
          <w:color w:val="000000"/>
          <w:rtl/>
        </w:rPr>
        <w:t xml:space="preserve"> </w:t>
      </w:r>
      <w:r w:rsidRPr="003A375E">
        <w:rPr>
          <w:rFonts w:ascii="David" w:hAnsi="David"/>
          <w:b/>
          <w:bCs/>
          <w:rtl/>
        </w:rPr>
        <w:t xml:space="preserve"> בענישה: תמונת מצב והרהורים על העתיד לבוא" הפרקליט נב 413, 428 (2013)).</w:t>
      </w:r>
    </w:p>
    <w:p w14:paraId="23D07633" w14:textId="77777777" w:rsidR="00FC67B1" w:rsidRPr="008E18A0" w:rsidRDefault="00FC67B1" w:rsidP="00FC67B1">
      <w:pPr>
        <w:pStyle w:val="1"/>
        <w:ind w:left="737" w:right="737"/>
        <w:jc w:val="both"/>
        <w:rPr>
          <w:rFonts w:ascii="David" w:hAnsi="David"/>
          <w:b/>
          <w:bCs/>
          <w:rtl/>
        </w:rPr>
      </w:pPr>
    </w:p>
    <w:p w14:paraId="0F534990" w14:textId="77777777" w:rsidR="00FC67B1" w:rsidRPr="00913B7C" w:rsidRDefault="00FC67B1" w:rsidP="00FC67B1">
      <w:pPr>
        <w:pStyle w:val="1"/>
        <w:numPr>
          <w:ilvl w:val="0"/>
          <w:numId w:val="1"/>
        </w:numPr>
        <w:spacing w:line="360" w:lineRule="auto"/>
        <w:ind w:left="0" w:firstLine="0"/>
        <w:jc w:val="both"/>
        <w:rPr>
          <w:rFonts w:ascii="David" w:hAnsi="David"/>
          <w:rtl/>
        </w:rPr>
      </w:pPr>
      <w:r w:rsidRPr="00913B7C">
        <w:rPr>
          <w:rFonts w:ascii="David" w:hAnsi="David" w:hint="cs"/>
          <w:rtl/>
        </w:rPr>
        <w:t xml:space="preserve">נוכח המפורט, עתירת הסנגור לקביעת אי הרשעה בתחתית מתחם הענישה נדחית. </w:t>
      </w:r>
    </w:p>
    <w:p w14:paraId="0939DFC9" w14:textId="77777777" w:rsidR="00FC67B1" w:rsidRPr="00D21A27" w:rsidRDefault="00FC67B1" w:rsidP="00FC67B1">
      <w:pPr>
        <w:pStyle w:val="1"/>
        <w:spacing w:line="360" w:lineRule="auto"/>
        <w:ind w:left="0"/>
        <w:jc w:val="both"/>
        <w:rPr>
          <w:rFonts w:ascii="David" w:hAnsi="David"/>
          <w:rtl/>
        </w:rPr>
      </w:pPr>
    </w:p>
    <w:p w14:paraId="0C4AE246" w14:textId="77777777" w:rsidR="00FC67B1" w:rsidRPr="001E3049" w:rsidRDefault="00FC67B1" w:rsidP="00FC67B1">
      <w:pPr>
        <w:pStyle w:val="1"/>
        <w:numPr>
          <w:ilvl w:val="0"/>
          <w:numId w:val="1"/>
        </w:numPr>
        <w:spacing w:line="360" w:lineRule="auto"/>
        <w:ind w:left="0" w:firstLine="0"/>
        <w:jc w:val="both"/>
        <w:rPr>
          <w:rFonts w:ascii="David" w:hAnsi="David"/>
          <w:u w:val="single"/>
        </w:rPr>
      </w:pPr>
      <w:r w:rsidRPr="00C1721B">
        <w:rPr>
          <w:rFonts w:ascii="David" w:hAnsi="David" w:hint="cs"/>
          <w:rtl/>
        </w:rPr>
        <w:t xml:space="preserve">עתה נפנה לבחון האם עניינו של הנאשם עומד בתנאי </w:t>
      </w:r>
      <w:r w:rsidRPr="00B80075">
        <w:rPr>
          <w:rFonts w:ascii="David" w:hAnsi="David" w:hint="cs"/>
          <w:b/>
          <w:bCs/>
          <w:rtl/>
        </w:rPr>
        <w:t>הלכת כתב</w:t>
      </w:r>
      <w:r w:rsidRPr="00C1721B">
        <w:rPr>
          <w:rFonts w:ascii="David" w:hAnsi="David" w:hint="cs"/>
          <w:rtl/>
        </w:rPr>
        <w:t>: באשר לתנאי הראשון לביטול הרשעה הנוגע</w:t>
      </w:r>
      <w:r w:rsidRPr="00C1721B">
        <w:rPr>
          <w:rFonts w:ascii="David" w:hAnsi="David"/>
          <w:rtl/>
        </w:rPr>
        <w:t xml:space="preserve"> </w:t>
      </w:r>
      <w:r w:rsidRPr="00C1721B">
        <w:rPr>
          <w:rFonts w:ascii="David" w:hAnsi="David" w:hint="cs"/>
          <w:b/>
          <w:bCs/>
          <w:rtl/>
        </w:rPr>
        <w:t>ל</w:t>
      </w:r>
      <w:r w:rsidRPr="00C1721B">
        <w:rPr>
          <w:rFonts w:ascii="David" w:hAnsi="David"/>
          <w:b/>
          <w:bCs/>
          <w:rtl/>
        </w:rPr>
        <w:t>פגיעה חמורה בעתידו או בשיקומו של הנאשם</w:t>
      </w:r>
      <w:r w:rsidRPr="00C1721B">
        <w:rPr>
          <w:rFonts w:ascii="David" w:hAnsi="David" w:hint="cs"/>
          <w:rtl/>
        </w:rPr>
        <w:t xml:space="preserve">, נתתי דעתי לכלל טענות הסנגור בהקשר זה, למכתב נ/4 משנת 2018 מהמספרה בלונדון, אשר ביקשה להעסיק את הנאשם ולמסמכים באנגלית הנוגעים לצורך בהעברת רישום פלילי לצד בקשה לאשרה אשר צורפו לתיק. אמנם על פי נ/4, מסכימה המספרה להמתין לסיום ההליך המשפטי בעניינו של הנאשם (ולצד זאת מודיעה כי תשקול שוב הצעתה להעסיקו ככל שתיוותר הרשעתו על כנה). יחד עם זאת, המדובר במכתב מחודש נובמבר 2018, והגם שאפשרתי לסנגור להגיש מכתב עדכני מהמספרה אשר יבהיר האם הצעת העבודה לנאשם עדיין רלבנטית, לא הוגש מסמך כאמור. </w:t>
      </w:r>
      <w:r>
        <w:rPr>
          <w:rFonts w:ascii="David" w:hAnsi="David" w:hint="cs"/>
          <w:rtl/>
        </w:rPr>
        <w:t>בנוסף, לא ניתן להבין בבירור מהמסמכים באנגלית אשר הוגשו לתיק לאחר הטיעון לעונש מהם התנאים לקבלת אשרת עבודה באנגליה ובפרט, האם הרשעה פלילית חוסמת אפשרות שכזו.</w:t>
      </w:r>
    </w:p>
    <w:p w14:paraId="2FD754C3" w14:textId="77777777" w:rsidR="00FC67B1" w:rsidRDefault="00FC67B1" w:rsidP="00FC67B1">
      <w:pPr>
        <w:pStyle w:val="a9"/>
        <w:rPr>
          <w:rFonts w:ascii="David" w:hAnsi="David"/>
          <w:rtl/>
        </w:rPr>
      </w:pPr>
    </w:p>
    <w:p w14:paraId="72DB76F2" w14:textId="77777777" w:rsidR="00FC67B1" w:rsidRPr="00371137" w:rsidRDefault="00FC67B1" w:rsidP="00FC67B1">
      <w:pPr>
        <w:pStyle w:val="1"/>
        <w:numPr>
          <w:ilvl w:val="0"/>
          <w:numId w:val="1"/>
        </w:numPr>
        <w:spacing w:line="360" w:lineRule="auto"/>
        <w:ind w:left="0" w:firstLine="0"/>
        <w:jc w:val="both"/>
        <w:rPr>
          <w:rFonts w:ascii="David" w:hAnsi="David"/>
          <w:u w:val="single"/>
        </w:rPr>
      </w:pPr>
      <w:r>
        <w:rPr>
          <w:rFonts w:ascii="David" w:hAnsi="David" w:hint="cs"/>
          <w:rtl/>
        </w:rPr>
        <w:t xml:space="preserve">בראי גילו הצעיר של הנאשם, דרכו השיקומית והמלצת שירות המבחן </w:t>
      </w:r>
      <w:r w:rsidRPr="00C1721B">
        <w:rPr>
          <w:rFonts w:ascii="David" w:hAnsi="David" w:hint="cs"/>
          <w:rtl/>
        </w:rPr>
        <w:t>שקלתי את טענת ההגנה לפיה קיימים מקרים בהם חרף העדרו של נזק קונקרטי</w:t>
      </w:r>
      <w:r>
        <w:rPr>
          <w:rFonts w:ascii="David" w:hAnsi="David" w:hint="cs"/>
          <w:rtl/>
        </w:rPr>
        <w:t xml:space="preserve"> וברור</w:t>
      </w:r>
      <w:r w:rsidRPr="00C1721B">
        <w:rPr>
          <w:rFonts w:ascii="David" w:hAnsi="David" w:hint="cs"/>
          <w:rtl/>
        </w:rPr>
        <w:t xml:space="preserve">, בשל אפשרות צמצום של אפיקי תעסוקה, </w:t>
      </w:r>
      <w:r>
        <w:rPr>
          <w:rFonts w:ascii="David" w:hAnsi="David" w:hint="cs"/>
          <w:rtl/>
        </w:rPr>
        <w:t xml:space="preserve">בפרט כשהמדובר באדם צעיר, </w:t>
      </w:r>
      <w:r w:rsidRPr="00C1721B">
        <w:rPr>
          <w:rFonts w:ascii="David" w:hAnsi="David" w:hint="cs"/>
          <w:rtl/>
        </w:rPr>
        <w:t>מצא בית המשפט שלא להרשיע נאשם בעבירות של גידול סם מסוכן (</w:t>
      </w:r>
      <w:hyperlink r:id="rId31" w:history="1">
        <w:r w:rsidR="006775F9" w:rsidRPr="006775F9">
          <w:rPr>
            <w:rFonts w:ascii="David" w:hAnsi="David"/>
            <w:color w:val="0000FF"/>
            <w:u w:val="single"/>
            <w:rtl/>
          </w:rPr>
          <w:t>ת"פ (ק"ש) 27663-08-15</w:t>
        </w:r>
      </w:hyperlink>
      <w:r w:rsidRPr="00C1721B">
        <w:rPr>
          <w:rFonts w:ascii="David" w:hAnsi="David" w:hint="cs"/>
          <w:rtl/>
        </w:rPr>
        <w:t xml:space="preserve"> </w:t>
      </w:r>
      <w:r w:rsidRPr="00C1721B">
        <w:rPr>
          <w:rFonts w:ascii="David" w:hAnsi="David" w:hint="cs"/>
          <w:b/>
          <w:bCs/>
          <w:rtl/>
        </w:rPr>
        <w:t>מדינת ישראל נ' קריינס</w:t>
      </w:r>
      <w:r w:rsidRPr="00C1721B">
        <w:rPr>
          <w:rFonts w:ascii="David" w:hAnsi="David" w:hint="cs"/>
          <w:rtl/>
        </w:rPr>
        <w:t xml:space="preserve"> (19.1.2016)</w:t>
      </w:r>
      <w:r>
        <w:rPr>
          <w:rFonts w:ascii="David" w:hAnsi="David" w:hint="cs"/>
          <w:rtl/>
        </w:rPr>
        <w:t xml:space="preserve"> (להלן: </w:t>
      </w:r>
      <w:r w:rsidRPr="00EC3D93">
        <w:rPr>
          <w:rFonts w:ascii="David" w:hAnsi="David" w:hint="cs"/>
          <w:b/>
          <w:bCs/>
          <w:rtl/>
        </w:rPr>
        <w:t>"עניין קריינס"</w:t>
      </w:r>
      <w:r>
        <w:rPr>
          <w:rFonts w:ascii="David" w:hAnsi="David" w:hint="cs"/>
          <w:rtl/>
        </w:rPr>
        <w:t xml:space="preserve">) </w:t>
      </w:r>
      <w:r w:rsidRPr="00C1721B">
        <w:rPr>
          <w:rFonts w:ascii="David" w:hAnsi="David" w:hint="cs"/>
          <w:rtl/>
        </w:rPr>
        <w:t xml:space="preserve">, </w:t>
      </w:r>
      <w:hyperlink r:id="rId32" w:history="1">
        <w:r w:rsidR="006775F9" w:rsidRPr="006775F9">
          <w:rPr>
            <w:rFonts w:ascii="David" w:hAnsi="David"/>
            <w:color w:val="0000FF"/>
            <w:u w:val="single"/>
            <w:rtl/>
          </w:rPr>
          <w:t>ת"פ (ק"ג) 7786-05-16</w:t>
        </w:r>
      </w:hyperlink>
      <w:r w:rsidRPr="00C1721B">
        <w:rPr>
          <w:rFonts w:ascii="David" w:hAnsi="David" w:hint="cs"/>
          <w:rtl/>
        </w:rPr>
        <w:t xml:space="preserve"> </w:t>
      </w:r>
      <w:r w:rsidRPr="001E3049">
        <w:rPr>
          <w:rFonts w:ascii="David" w:hAnsi="David" w:hint="cs"/>
          <w:b/>
          <w:bCs/>
          <w:rtl/>
        </w:rPr>
        <w:t>מדינת ישראל נ' מערב</w:t>
      </w:r>
      <w:r w:rsidRPr="00C1721B">
        <w:rPr>
          <w:rFonts w:ascii="David" w:hAnsi="David" w:hint="cs"/>
          <w:rtl/>
        </w:rPr>
        <w:t xml:space="preserve"> (16.4.2018)</w:t>
      </w:r>
      <w:r>
        <w:rPr>
          <w:rFonts w:ascii="David" w:hAnsi="David" w:hint="cs"/>
          <w:rtl/>
        </w:rPr>
        <w:t xml:space="preserve"> (להלן: </w:t>
      </w:r>
      <w:r w:rsidRPr="00EC3D93">
        <w:rPr>
          <w:rFonts w:ascii="David" w:hAnsi="David" w:hint="cs"/>
          <w:b/>
          <w:bCs/>
          <w:rtl/>
        </w:rPr>
        <w:t>"עניין מערב"</w:t>
      </w:r>
      <w:r>
        <w:rPr>
          <w:rFonts w:ascii="David" w:hAnsi="David" w:hint="cs"/>
          <w:rtl/>
        </w:rPr>
        <w:t xml:space="preserve">), </w:t>
      </w:r>
      <w:hyperlink r:id="rId33" w:history="1">
        <w:r w:rsidR="006775F9" w:rsidRPr="006775F9">
          <w:rPr>
            <w:rFonts w:ascii="David" w:hAnsi="David"/>
            <w:color w:val="0000FF"/>
            <w:u w:val="single"/>
            <w:rtl/>
          </w:rPr>
          <w:t>ת"פ (ת"א) 23797-03-14</w:t>
        </w:r>
      </w:hyperlink>
      <w:r>
        <w:rPr>
          <w:rFonts w:ascii="David" w:hAnsi="David" w:hint="cs"/>
          <w:rtl/>
        </w:rPr>
        <w:t xml:space="preserve"> </w:t>
      </w:r>
      <w:r w:rsidRPr="00371137">
        <w:rPr>
          <w:rFonts w:ascii="David" w:hAnsi="David" w:hint="cs"/>
          <w:b/>
          <w:bCs/>
          <w:rtl/>
        </w:rPr>
        <w:t>מדינת ישראל נ' אביב</w:t>
      </w:r>
      <w:r>
        <w:rPr>
          <w:rFonts w:ascii="David" w:hAnsi="David" w:hint="cs"/>
          <w:rtl/>
        </w:rPr>
        <w:t xml:space="preserve"> (1.12.2015) (להלן: </w:t>
      </w:r>
      <w:r w:rsidRPr="00EC3D93">
        <w:rPr>
          <w:rFonts w:ascii="David" w:hAnsi="David" w:hint="cs"/>
          <w:b/>
          <w:bCs/>
          <w:rtl/>
        </w:rPr>
        <w:t>"עניין אביב"</w:t>
      </w:r>
      <w:r>
        <w:rPr>
          <w:rFonts w:ascii="David" w:hAnsi="David" w:hint="cs"/>
          <w:rtl/>
        </w:rPr>
        <w:t>)</w:t>
      </w:r>
      <w:r w:rsidRPr="00C1721B">
        <w:rPr>
          <w:rFonts w:ascii="David" w:hAnsi="David" w:hint="cs"/>
          <w:rtl/>
        </w:rPr>
        <w:t>)</w:t>
      </w:r>
      <w:r>
        <w:rPr>
          <w:rFonts w:ascii="David" w:hAnsi="David" w:hint="cs"/>
          <w:rtl/>
        </w:rPr>
        <w:t>. יש לציין כי בחלק מהמקרים אליהם הפנתה ההגנה קיבל בית המשפט המחוזי את ערעור המדינה על החלטת בית משפט השלום להימנע מהרשעה, לדוגמא ב</w:t>
      </w:r>
      <w:hyperlink r:id="rId34" w:history="1">
        <w:r w:rsidR="006775F9" w:rsidRPr="006775F9">
          <w:rPr>
            <w:rFonts w:ascii="David" w:hAnsi="David"/>
            <w:color w:val="0000FF"/>
            <w:u w:val="single"/>
            <w:rtl/>
          </w:rPr>
          <w:t>עפ"ג (ת"א) 68799-11-17</w:t>
        </w:r>
      </w:hyperlink>
      <w:r>
        <w:rPr>
          <w:rFonts w:ascii="David" w:hAnsi="David" w:hint="cs"/>
          <w:rtl/>
        </w:rPr>
        <w:t xml:space="preserve"> </w:t>
      </w:r>
      <w:r w:rsidRPr="008775BA">
        <w:rPr>
          <w:rFonts w:ascii="David" w:hAnsi="David" w:hint="cs"/>
          <w:b/>
          <w:bCs/>
          <w:rtl/>
        </w:rPr>
        <w:t>מדינת ישראל נ' ויצמן</w:t>
      </w:r>
      <w:r>
        <w:rPr>
          <w:rFonts w:ascii="David" w:hAnsi="David" w:hint="cs"/>
          <w:rtl/>
        </w:rPr>
        <w:t xml:space="preserve"> (18.2.2019) (להלן: </w:t>
      </w:r>
      <w:r w:rsidRPr="008775BA">
        <w:rPr>
          <w:rFonts w:ascii="David" w:hAnsi="David" w:hint="cs"/>
          <w:b/>
          <w:bCs/>
          <w:rtl/>
        </w:rPr>
        <w:t>"עניין ויצמן"</w:t>
      </w:r>
      <w:r>
        <w:rPr>
          <w:rFonts w:ascii="David" w:hAnsi="David" w:hint="cs"/>
          <w:rtl/>
        </w:rPr>
        <w:t xml:space="preserve">) בו דובר בגידול סם מסוכן והחזקה שלא לצריכה עצמית, ואף הוצג נזק מסוים שעתיד להיגרם לעבודתו של הנאשם מההרשעה. ראו עוד: </w:t>
      </w:r>
      <w:hyperlink r:id="rId35" w:history="1">
        <w:r w:rsidR="006775F9" w:rsidRPr="006775F9">
          <w:rPr>
            <w:rFonts w:ascii="David" w:hAnsi="David"/>
            <w:color w:val="0000FF"/>
            <w:u w:val="single"/>
            <w:rtl/>
          </w:rPr>
          <w:t>ת"פ (חד') 56927-06-15</w:t>
        </w:r>
      </w:hyperlink>
      <w:r>
        <w:rPr>
          <w:rFonts w:ascii="David" w:hAnsi="David" w:hint="cs"/>
          <w:rtl/>
        </w:rPr>
        <w:t xml:space="preserve"> </w:t>
      </w:r>
      <w:r w:rsidRPr="008775BA">
        <w:rPr>
          <w:rFonts w:ascii="David" w:hAnsi="David" w:hint="cs"/>
          <w:b/>
          <w:bCs/>
          <w:rtl/>
        </w:rPr>
        <w:t xml:space="preserve">מדינת ישראל נ' אוחיון </w:t>
      </w:r>
      <w:r>
        <w:rPr>
          <w:rFonts w:ascii="David" w:hAnsi="David" w:hint="cs"/>
          <w:rtl/>
        </w:rPr>
        <w:t>(31.1.2017) ו</w:t>
      </w:r>
      <w:hyperlink r:id="rId36" w:history="1">
        <w:r w:rsidR="006775F9" w:rsidRPr="006775F9">
          <w:rPr>
            <w:rFonts w:ascii="David" w:hAnsi="David"/>
            <w:color w:val="0000FF"/>
            <w:u w:val="single"/>
            <w:rtl/>
          </w:rPr>
          <w:t>עפ"ג (חי') 49266-02-17</w:t>
        </w:r>
      </w:hyperlink>
      <w:r>
        <w:rPr>
          <w:rFonts w:ascii="David" w:hAnsi="David" w:hint="cs"/>
          <w:rtl/>
        </w:rPr>
        <w:t xml:space="preserve"> </w:t>
      </w:r>
      <w:r w:rsidRPr="008775BA">
        <w:rPr>
          <w:rFonts w:ascii="David" w:hAnsi="David" w:hint="cs"/>
          <w:b/>
          <w:bCs/>
          <w:rtl/>
        </w:rPr>
        <w:t>מדינת ישראל נ' אוחיון</w:t>
      </w:r>
      <w:r>
        <w:rPr>
          <w:rFonts w:ascii="David" w:hAnsi="David" w:hint="cs"/>
          <w:rtl/>
        </w:rPr>
        <w:t xml:space="preserve"> (16.3.2017). </w:t>
      </w:r>
    </w:p>
    <w:p w14:paraId="686F09A6" w14:textId="77777777" w:rsidR="00FC67B1" w:rsidRDefault="00FC67B1" w:rsidP="00FC67B1">
      <w:pPr>
        <w:pStyle w:val="a9"/>
        <w:rPr>
          <w:rFonts w:ascii="David" w:hAnsi="David"/>
          <w:rtl/>
        </w:rPr>
      </w:pPr>
    </w:p>
    <w:p w14:paraId="06D224E9" w14:textId="77777777" w:rsidR="00FC67B1" w:rsidRPr="00371137" w:rsidRDefault="00FC67B1" w:rsidP="00FC67B1">
      <w:pPr>
        <w:pStyle w:val="1"/>
        <w:numPr>
          <w:ilvl w:val="0"/>
          <w:numId w:val="1"/>
        </w:numPr>
        <w:spacing w:line="360" w:lineRule="auto"/>
        <w:ind w:left="0" w:firstLine="0"/>
        <w:jc w:val="both"/>
        <w:rPr>
          <w:rFonts w:ascii="David" w:hAnsi="David"/>
          <w:u w:val="single"/>
        </w:rPr>
      </w:pPr>
      <w:r>
        <w:rPr>
          <w:rFonts w:ascii="David" w:hAnsi="David" w:hint="cs"/>
          <w:rtl/>
        </w:rPr>
        <w:t xml:space="preserve">בנוסף, </w:t>
      </w:r>
      <w:r w:rsidRPr="00371137">
        <w:rPr>
          <w:rFonts w:ascii="David" w:hAnsi="David" w:hint="cs"/>
          <w:rtl/>
        </w:rPr>
        <w:t xml:space="preserve">רק בעת האחרונה חזר והדגיש בית המשפט העליון את נחיצותו של נזק קונקרטי וממשי לנאשם בעת בחינת ביטול הרשעתו, גם כשהמדובר במי שצעיר מאוד בגילו (ראו: </w:t>
      </w:r>
      <w:hyperlink r:id="rId37" w:history="1">
        <w:r w:rsidR="006775F9" w:rsidRPr="006775F9">
          <w:rPr>
            <w:rFonts w:ascii="David" w:hAnsi="David"/>
            <w:color w:val="0000FF"/>
            <w:u w:val="single"/>
            <w:rtl/>
          </w:rPr>
          <w:t>רע"פ 5478/19</w:t>
        </w:r>
      </w:hyperlink>
      <w:r w:rsidRPr="00371137">
        <w:rPr>
          <w:rFonts w:ascii="David" w:hAnsi="David" w:hint="cs"/>
          <w:rtl/>
        </w:rPr>
        <w:t xml:space="preserve"> </w:t>
      </w:r>
      <w:r w:rsidRPr="00371137">
        <w:rPr>
          <w:rFonts w:ascii="David" w:hAnsi="David" w:hint="cs"/>
          <w:b/>
          <w:bCs/>
          <w:rtl/>
        </w:rPr>
        <w:t>לוין נ' מדינת ישראל</w:t>
      </w:r>
      <w:r w:rsidRPr="00371137">
        <w:rPr>
          <w:rFonts w:ascii="David" w:hAnsi="David" w:hint="cs"/>
          <w:rtl/>
        </w:rPr>
        <w:t xml:space="preserve"> (25.8.2019)). ראו גם </w:t>
      </w:r>
      <w:r w:rsidRPr="00371137">
        <w:rPr>
          <w:rFonts w:ascii="David" w:hAnsi="David"/>
          <w:b/>
          <w:bCs/>
          <w:rtl/>
        </w:rPr>
        <w:t>עניין פלוני ועניין בזיזינסקי</w:t>
      </w:r>
      <w:r w:rsidRPr="00371137">
        <w:rPr>
          <w:rFonts w:ascii="David" w:hAnsi="David"/>
          <w:rtl/>
        </w:rPr>
        <w:t xml:space="preserve"> המאוזכרים לעיל, </w:t>
      </w:r>
      <w:r w:rsidRPr="00371137">
        <w:rPr>
          <w:rFonts w:ascii="David" w:hAnsi="David" w:hint="cs"/>
          <w:rtl/>
        </w:rPr>
        <w:t xml:space="preserve">וכן רע"פ 722/14 </w:t>
      </w:r>
      <w:r w:rsidRPr="00371137">
        <w:rPr>
          <w:rFonts w:ascii="David" w:hAnsi="David"/>
          <w:b/>
          <w:bCs/>
          <w:rtl/>
        </w:rPr>
        <w:t>פרנסקי נ' מדינת ישראל</w:t>
      </w:r>
      <w:r w:rsidRPr="00371137">
        <w:rPr>
          <w:rFonts w:ascii="David" w:hAnsi="David"/>
          <w:rtl/>
        </w:rPr>
        <w:t xml:space="preserve"> (10.11.2014) לפיו לא די במידת ודאות קרובה לקיומו של נזק קונקרטי ויש לבסס את הנזק הקונקרטי בתשתית ראייתית מתאימה.</w:t>
      </w:r>
    </w:p>
    <w:p w14:paraId="46DEBEEF" w14:textId="77777777" w:rsidR="00FC67B1" w:rsidRPr="00AF4031" w:rsidRDefault="00FC67B1" w:rsidP="00FC67B1">
      <w:pPr>
        <w:pStyle w:val="1"/>
        <w:spacing w:line="360" w:lineRule="auto"/>
        <w:ind w:left="0"/>
        <w:jc w:val="both"/>
        <w:rPr>
          <w:rFonts w:ascii="David" w:hAnsi="David"/>
        </w:rPr>
      </w:pPr>
    </w:p>
    <w:p w14:paraId="6A4FAAD1" w14:textId="77777777" w:rsidR="00FC67B1" w:rsidRDefault="00FC67B1" w:rsidP="00FC67B1">
      <w:pPr>
        <w:pStyle w:val="1"/>
        <w:numPr>
          <w:ilvl w:val="0"/>
          <w:numId w:val="1"/>
        </w:numPr>
        <w:spacing w:line="360" w:lineRule="auto"/>
        <w:ind w:left="0" w:firstLine="0"/>
        <w:jc w:val="both"/>
        <w:rPr>
          <w:rFonts w:ascii="David" w:hAnsi="David"/>
        </w:rPr>
      </w:pPr>
      <w:r w:rsidRPr="00BA0B14">
        <w:rPr>
          <w:rFonts w:ascii="David" w:hAnsi="David" w:hint="cs"/>
          <w:rtl/>
        </w:rPr>
        <w:t xml:space="preserve">כפי </w:t>
      </w:r>
      <w:r>
        <w:rPr>
          <w:rFonts w:ascii="David" w:hAnsi="David" w:hint="cs"/>
          <w:rtl/>
        </w:rPr>
        <w:t>שציינתי ב</w:t>
      </w:r>
      <w:hyperlink r:id="rId38" w:history="1">
        <w:r w:rsidR="006775F9" w:rsidRPr="006775F9">
          <w:rPr>
            <w:rFonts w:ascii="David" w:hAnsi="David"/>
            <w:color w:val="0000FF"/>
            <w:u w:val="single"/>
            <w:rtl/>
          </w:rPr>
          <w:t>ת"פ (ת"א) 685-12-16</w:t>
        </w:r>
      </w:hyperlink>
      <w:r>
        <w:rPr>
          <w:rFonts w:ascii="David" w:hAnsi="David" w:hint="cs"/>
          <w:rtl/>
        </w:rPr>
        <w:t xml:space="preserve"> </w:t>
      </w:r>
      <w:r w:rsidRPr="00DC5F83">
        <w:rPr>
          <w:rFonts w:ascii="David" w:hAnsi="David" w:hint="cs"/>
          <w:b/>
          <w:bCs/>
          <w:rtl/>
        </w:rPr>
        <w:t>מדינת ישראל נ' אלפנדרי</w:t>
      </w:r>
      <w:r>
        <w:rPr>
          <w:rFonts w:ascii="David" w:hAnsi="David" w:hint="cs"/>
          <w:rtl/>
        </w:rPr>
        <w:t xml:space="preserve"> (17.7.2019)</w:t>
      </w:r>
      <w:r w:rsidRPr="00BA0B14">
        <w:rPr>
          <w:rFonts w:ascii="David" w:hAnsi="David" w:hint="cs"/>
          <w:rtl/>
        </w:rPr>
        <w:t xml:space="preserve">, </w:t>
      </w:r>
      <w:r w:rsidRPr="00BA0B14">
        <w:rPr>
          <w:rFonts w:ascii="David" w:hAnsi="David"/>
          <w:rtl/>
        </w:rPr>
        <w:t>השאלה האם ת</w:t>
      </w:r>
      <w:r>
        <w:rPr>
          <w:rFonts w:ascii="David" w:hAnsi="David" w:hint="cs"/>
          <w:rtl/>
        </w:rPr>
        <w:t>י</w:t>
      </w:r>
      <w:r w:rsidRPr="00BA0B14">
        <w:rPr>
          <w:rFonts w:ascii="David" w:hAnsi="David"/>
          <w:rtl/>
        </w:rPr>
        <w:t>גרם פגיעה ממשית וקונקרטית לעתידו או שיקומו של הנאשם מהרשעה תלויה גם במיהות הנאשם</w:t>
      </w:r>
      <w:r w:rsidRPr="00BA0B14">
        <w:rPr>
          <w:rFonts w:ascii="David" w:hAnsi="David" w:hint="cs"/>
          <w:rtl/>
        </w:rPr>
        <w:t xml:space="preserve"> ויתר נסיבותיו </w:t>
      </w:r>
      <w:r w:rsidRPr="00BA0B14">
        <w:rPr>
          <w:rFonts w:ascii="David" w:hAnsi="David"/>
          <w:rtl/>
        </w:rPr>
        <w:t>ויש לבחון את כל אלה</w:t>
      </w:r>
      <w:r>
        <w:rPr>
          <w:rFonts w:ascii="David" w:hAnsi="David" w:hint="cs"/>
          <w:rtl/>
        </w:rPr>
        <w:t xml:space="preserve"> (</w:t>
      </w:r>
      <w:hyperlink r:id="rId39" w:history="1">
        <w:r w:rsidR="006775F9" w:rsidRPr="006775F9">
          <w:rPr>
            <w:color w:val="0000FF"/>
            <w:u w:val="single"/>
            <w:rtl/>
          </w:rPr>
          <w:t>ע"פ 9893/06</w:t>
        </w:r>
      </w:hyperlink>
      <w:r w:rsidRPr="00BA0B14">
        <w:rPr>
          <w:rFonts w:ascii="David" w:hAnsi="David"/>
          <w:rtl/>
        </w:rPr>
        <w:t xml:space="preserve"> </w:t>
      </w:r>
      <w:r w:rsidRPr="00BA0B14">
        <w:rPr>
          <w:rFonts w:ascii="David" w:hAnsi="David"/>
          <w:b/>
          <w:bCs/>
          <w:rtl/>
        </w:rPr>
        <w:t>לאופר נ' מדינת ישראל</w:t>
      </w:r>
      <w:r w:rsidRPr="00BA0B14">
        <w:rPr>
          <w:rFonts w:ascii="David" w:hAnsi="David"/>
          <w:rtl/>
        </w:rPr>
        <w:t xml:space="preserve">, תק-על 2007 (4) </w:t>
      </w:r>
      <w:r>
        <w:rPr>
          <w:rFonts w:ascii="David" w:hAnsi="David"/>
          <w:rtl/>
        </w:rPr>
        <w:t>4546, עמ' 4561</w:t>
      </w:r>
      <w:r>
        <w:rPr>
          <w:rFonts w:ascii="David" w:hAnsi="David" w:hint="cs"/>
          <w:rtl/>
        </w:rPr>
        <w:t>)</w:t>
      </w:r>
      <w:r w:rsidRPr="00BA0B14">
        <w:rPr>
          <w:rFonts w:ascii="David" w:hAnsi="David"/>
          <w:rtl/>
        </w:rPr>
        <w:t xml:space="preserve">. </w:t>
      </w:r>
      <w:r>
        <w:rPr>
          <w:rFonts w:ascii="David" w:hAnsi="David" w:hint="cs"/>
          <w:rtl/>
        </w:rPr>
        <w:t>בנוסף, ו</w:t>
      </w:r>
      <w:r w:rsidRPr="00BA0B14">
        <w:rPr>
          <w:rFonts w:ascii="David" w:hAnsi="David"/>
          <w:rtl/>
        </w:rPr>
        <w:t>טרם החלטה סופית יש אף לאזן, בסוג של מקבילית כוחות, את הנזק הקונקרטי הנטען וסוגו אל מול סוג העבירה שבביצועה הורשע הנאשם ונסיבותיה</w:t>
      </w:r>
      <w:r>
        <w:rPr>
          <w:rFonts w:ascii="David" w:hAnsi="David" w:hint="cs"/>
          <w:rtl/>
        </w:rPr>
        <w:t xml:space="preserve"> (ובלבד שהמדובר ב</w:t>
      </w:r>
      <w:r w:rsidRPr="00465E3F">
        <w:rPr>
          <w:rFonts w:ascii="David" w:hAnsi="David"/>
          <w:rtl/>
        </w:rPr>
        <w:t xml:space="preserve">סוג העבירה ונסיבות </w:t>
      </w:r>
      <w:r>
        <w:rPr>
          <w:rFonts w:ascii="David" w:hAnsi="David" w:hint="cs"/>
          <w:rtl/>
        </w:rPr>
        <w:t>ה</w:t>
      </w:r>
      <w:r w:rsidRPr="00465E3F">
        <w:rPr>
          <w:rFonts w:ascii="David" w:hAnsi="David"/>
          <w:rtl/>
        </w:rPr>
        <w:t>מאפשרים</w:t>
      </w:r>
      <w:r>
        <w:rPr>
          <w:rFonts w:ascii="David" w:hAnsi="David" w:hint="cs"/>
          <w:rtl/>
        </w:rPr>
        <w:t xml:space="preserve"> לותר</w:t>
      </w:r>
      <w:r w:rsidRPr="00465E3F">
        <w:rPr>
          <w:rFonts w:ascii="David" w:hAnsi="David"/>
          <w:rtl/>
        </w:rPr>
        <w:t xml:space="preserve"> על ההרשעה</w:t>
      </w:r>
      <w:r>
        <w:rPr>
          <w:rFonts w:ascii="David" w:hAnsi="David" w:hint="cs"/>
          <w:rtl/>
        </w:rPr>
        <w:t xml:space="preserve">) </w:t>
      </w:r>
      <w:r w:rsidRPr="00BA0B14">
        <w:rPr>
          <w:rFonts w:ascii="David" w:hAnsi="David"/>
          <w:rtl/>
        </w:rPr>
        <w:t>ולבחון האם מתקיים יחס בלתי סביר</w:t>
      </w:r>
      <w:r>
        <w:rPr>
          <w:rFonts w:ascii="David" w:hAnsi="David"/>
          <w:rtl/>
        </w:rPr>
        <w:t xml:space="preserve"> בין הנזק הצפוי לנאשם מן ההרשעה</w:t>
      </w:r>
      <w:r>
        <w:rPr>
          <w:rFonts w:ascii="David" w:hAnsi="David" w:hint="cs"/>
          <w:rtl/>
        </w:rPr>
        <w:t xml:space="preserve">, </w:t>
      </w:r>
      <w:r>
        <w:rPr>
          <w:rFonts w:ascii="David" w:hAnsi="David"/>
          <w:rtl/>
        </w:rPr>
        <w:t>לבין חומרת העבירה המצדיק את ביטול ההרשעה</w:t>
      </w:r>
      <w:r>
        <w:rPr>
          <w:rFonts w:ascii="David" w:hAnsi="David" w:hint="cs"/>
          <w:rtl/>
        </w:rPr>
        <w:t>. כפי שצוין ב</w:t>
      </w:r>
      <w:hyperlink r:id="rId40" w:history="1">
        <w:r w:rsidR="006775F9" w:rsidRPr="006775F9">
          <w:rPr>
            <w:rFonts w:ascii="David" w:hAnsi="David"/>
            <w:color w:val="0000FF"/>
            <w:u w:val="single"/>
            <w:rtl/>
          </w:rPr>
          <w:t>ע"פ (מרכז) 24457-03-15</w:t>
        </w:r>
      </w:hyperlink>
      <w:r>
        <w:rPr>
          <w:rFonts w:ascii="David" w:hAnsi="David" w:hint="cs"/>
          <w:rtl/>
        </w:rPr>
        <w:t xml:space="preserve"> </w:t>
      </w:r>
      <w:r w:rsidRPr="008E18A0">
        <w:rPr>
          <w:rFonts w:ascii="David" w:hAnsi="David" w:hint="cs"/>
          <w:b/>
          <w:bCs/>
          <w:rtl/>
        </w:rPr>
        <w:t>גוטרמן נ' מדינת ישראל</w:t>
      </w:r>
      <w:r>
        <w:rPr>
          <w:rFonts w:ascii="David" w:hAnsi="David" w:hint="cs"/>
          <w:rtl/>
        </w:rPr>
        <w:t xml:space="preserve"> (30.8.2015) פסקה 69, ככל שמעשי העבירה חמורים יותר כך נדרשת פגיעה קונקרטית ומוחשית יותר ולהיפך.</w:t>
      </w:r>
    </w:p>
    <w:p w14:paraId="0D590585" w14:textId="77777777" w:rsidR="00FC67B1" w:rsidRDefault="00FC67B1" w:rsidP="00FC67B1">
      <w:pPr>
        <w:pStyle w:val="a9"/>
        <w:rPr>
          <w:rFonts w:ascii="David" w:hAnsi="David"/>
          <w:rtl/>
        </w:rPr>
      </w:pPr>
    </w:p>
    <w:p w14:paraId="2B3580E1" w14:textId="77777777" w:rsidR="00FC67B1" w:rsidRDefault="00FC67B1" w:rsidP="00FC67B1">
      <w:pPr>
        <w:pStyle w:val="1"/>
        <w:numPr>
          <w:ilvl w:val="0"/>
          <w:numId w:val="1"/>
        </w:numPr>
        <w:spacing w:line="360" w:lineRule="auto"/>
        <w:ind w:left="0" w:firstLine="0"/>
        <w:jc w:val="both"/>
        <w:rPr>
          <w:rFonts w:ascii="David" w:hAnsi="David"/>
        </w:rPr>
      </w:pPr>
      <w:r w:rsidRPr="00EF36D7">
        <w:rPr>
          <w:rFonts w:ascii="David" w:hAnsi="David" w:hint="cs"/>
          <w:rtl/>
        </w:rPr>
        <w:t>את כלל נסיבותיו של הנאשם המפורטות לעיל, גילו, שיקומו והצעת העבודה בלונדון, שלא ברור האם עדיין קיימת וכן האם הרשעה פלילית תהווה חסם לקבלתה, איזנתי אל מול העבירות בביצוען הורשע ונסיבותיהן. מעיון בפסיקה עולה קיימים מקרים בהם בוטלה הרשעת נאשמים אשר גידלו סם מסוג קנאביס בכמות דומה ואף גדולה מזו המיוחסת לנאשם, לעיתים לצד החזקת סם לצריכה עצמית (</w:t>
      </w:r>
      <w:r w:rsidRPr="00EF36D7">
        <w:rPr>
          <w:rFonts w:ascii="David" w:hAnsi="David" w:hint="cs"/>
          <w:b/>
          <w:bCs/>
          <w:rtl/>
        </w:rPr>
        <w:t>עניין דוד, עניין קריינס, עניין אביב</w:t>
      </w:r>
      <w:r w:rsidRPr="00EF36D7">
        <w:rPr>
          <w:rFonts w:ascii="David" w:hAnsi="David" w:hint="cs"/>
          <w:rtl/>
        </w:rPr>
        <w:t>). לצד זאת, מקרים בהם מצא בית המשפט המחוזי להרשיע נאשמים בביצוע עבירות מסוג זה לאחר שבית המשפט השלום נמנע מהרשעתם, גם מקום בו הוצג נזק קונקרטי מסוים (</w:t>
      </w:r>
      <w:r w:rsidRPr="00EF36D7">
        <w:rPr>
          <w:rFonts w:ascii="David" w:hAnsi="David" w:hint="cs"/>
          <w:b/>
          <w:bCs/>
          <w:rtl/>
        </w:rPr>
        <w:t>עניין ויצמן</w:t>
      </w:r>
      <w:r w:rsidRPr="00EF36D7">
        <w:rPr>
          <w:rFonts w:ascii="David" w:hAnsi="David" w:hint="cs"/>
          <w:rtl/>
        </w:rPr>
        <w:t xml:space="preserve">). </w:t>
      </w:r>
    </w:p>
    <w:p w14:paraId="3E9E0F1B" w14:textId="77777777" w:rsidR="00FC67B1" w:rsidRDefault="00FC67B1" w:rsidP="00FC67B1">
      <w:pPr>
        <w:pStyle w:val="a9"/>
        <w:rPr>
          <w:rFonts w:ascii="David" w:hAnsi="David"/>
          <w:rtl/>
        </w:rPr>
      </w:pPr>
    </w:p>
    <w:p w14:paraId="50B650B4" w14:textId="77777777" w:rsidR="00FC67B1" w:rsidRDefault="00FC67B1" w:rsidP="00FC67B1">
      <w:pPr>
        <w:pStyle w:val="1"/>
        <w:numPr>
          <w:ilvl w:val="0"/>
          <w:numId w:val="1"/>
        </w:numPr>
        <w:spacing w:line="360" w:lineRule="auto"/>
        <w:ind w:left="0" w:firstLine="0"/>
        <w:jc w:val="both"/>
        <w:rPr>
          <w:rFonts w:ascii="David" w:hAnsi="David"/>
        </w:rPr>
      </w:pPr>
      <w:r>
        <w:rPr>
          <w:rFonts w:ascii="David" w:hAnsi="David" w:hint="cs"/>
          <w:rtl/>
        </w:rPr>
        <w:t>מן האמור עולה כי</w:t>
      </w:r>
      <w:r w:rsidRPr="00EF36D7">
        <w:rPr>
          <w:rFonts w:ascii="David" w:hAnsi="David" w:hint="cs"/>
          <w:rtl/>
        </w:rPr>
        <w:t xml:space="preserve"> בעבירות שבביצוען הודה הנאשם, ב</w:t>
      </w:r>
      <w:r>
        <w:rPr>
          <w:rFonts w:ascii="David" w:hAnsi="David" w:hint="cs"/>
          <w:rtl/>
        </w:rPr>
        <w:t xml:space="preserve">נסיבותיהן, </w:t>
      </w:r>
      <w:r w:rsidRPr="00EF36D7">
        <w:rPr>
          <w:rFonts w:ascii="David" w:hAnsi="David" w:hint="cs"/>
          <w:rtl/>
        </w:rPr>
        <w:t xml:space="preserve">ניתן במקרים מתאימים </w:t>
      </w:r>
      <w:r w:rsidRPr="00EF36D7">
        <w:rPr>
          <w:rFonts w:ascii="David" w:hAnsi="David"/>
          <w:rtl/>
        </w:rPr>
        <w:t>לוותר על ההרשעה</w:t>
      </w:r>
      <w:r w:rsidRPr="00EF36D7">
        <w:rPr>
          <w:rFonts w:ascii="David" w:hAnsi="David" w:hint="cs"/>
          <w:rtl/>
        </w:rPr>
        <w:t>,</w:t>
      </w:r>
      <w:r w:rsidRPr="00EF36D7">
        <w:rPr>
          <w:rFonts w:ascii="David" w:hAnsi="David"/>
          <w:rtl/>
        </w:rPr>
        <w:t xml:space="preserve"> מבלי לפגוע באופן מהותי בשיקולי ענישה אחרים</w:t>
      </w:r>
      <w:r w:rsidRPr="00EF36D7">
        <w:rPr>
          <w:rFonts w:ascii="David" w:hAnsi="David" w:hint="cs"/>
          <w:rtl/>
        </w:rPr>
        <w:t xml:space="preserve">. </w:t>
      </w:r>
      <w:r w:rsidRPr="00B80075">
        <w:rPr>
          <w:rFonts w:ascii="David" w:hAnsi="David" w:hint="cs"/>
          <w:rtl/>
        </w:rPr>
        <w:t xml:space="preserve">יחד עם זאת, בשים לב לחומרת העבירות והערכים המוגנים </w:t>
      </w:r>
      <w:r>
        <w:rPr>
          <w:rFonts w:ascii="David" w:hAnsi="David" w:hint="cs"/>
          <w:rtl/>
        </w:rPr>
        <w:t>ש</w:t>
      </w:r>
      <w:r w:rsidRPr="00B80075">
        <w:rPr>
          <w:rFonts w:ascii="David" w:hAnsi="David" w:hint="cs"/>
          <w:rtl/>
        </w:rPr>
        <w:t xml:space="preserve">בבסיסן </w:t>
      </w:r>
      <w:r>
        <w:rPr>
          <w:rFonts w:hint="cs"/>
          <w:rtl/>
        </w:rPr>
        <w:t xml:space="preserve">(ראו באשר לעבירת הגידול </w:t>
      </w:r>
      <w:hyperlink r:id="rId41" w:history="1">
        <w:r w:rsidR="006775F9" w:rsidRPr="006775F9">
          <w:rPr>
            <w:color w:val="0000FF"/>
            <w:u w:val="single"/>
            <w:rtl/>
          </w:rPr>
          <w:t>עפ"ג (ב"ש) 50721-06-18</w:t>
        </w:r>
      </w:hyperlink>
      <w:r>
        <w:rPr>
          <w:rtl/>
        </w:rPr>
        <w:t xml:space="preserve"> </w:t>
      </w:r>
      <w:r w:rsidRPr="00B80075">
        <w:rPr>
          <w:b/>
          <w:bCs/>
          <w:rtl/>
        </w:rPr>
        <w:t>שטרר נ' מדינת ישראל</w:t>
      </w:r>
      <w:r>
        <w:rPr>
          <w:rtl/>
        </w:rPr>
        <w:t xml:space="preserve"> (17.10.2018</w:t>
      </w:r>
      <w:r>
        <w:rPr>
          <w:rFonts w:hint="cs"/>
          <w:rtl/>
        </w:rPr>
        <w:t>))</w:t>
      </w:r>
      <w:r w:rsidRPr="00B80075">
        <w:rPr>
          <w:rFonts w:ascii="David" w:hAnsi="David" w:hint="cs"/>
          <w:rtl/>
        </w:rPr>
        <w:t>, יש צורך בביסוסו של נזק קונקרטי ממשי על ידי הנאשם בפרט כאשר לצד הגידול החזיק הנאשם בסם שלא לצריכה עצמית, עובדה המקשה מעצם טיבה לקבל את טענת הנאשם לגידול לשם צריכה עצמית בלבד</w:t>
      </w:r>
      <w:r>
        <w:rPr>
          <w:rFonts w:ascii="David" w:hAnsi="David" w:hint="cs"/>
          <w:rtl/>
        </w:rPr>
        <w:t xml:space="preserve">. </w:t>
      </w:r>
    </w:p>
    <w:p w14:paraId="7D42F7AF" w14:textId="77777777" w:rsidR="00FC67B1" w:rsidRDefault="00FC67B1" w:rsidP="00FC67B1">
      <w:pPr>
        <w:pStyle w:val="a9"/>
        <w:rPr>
          <w:rFonts w:ascii="David" w:hAnsi="David"/>
          <w:rtl/>
        </w:rPr>
      </w:pPr>
    </w:p>
    <w:p w14:paraId="0D24DCCE" w14:textId="77777777" w:rsidR="00FC67B1" w:rsidRPr="00B80075" w:rsidRDefault="00FC67B1" w:rsidP="00FC67B1">
      <w:pPr>
        <w:pStyle w:val="1"/>
        <w:numPr>
          <w:ilvl w:val="0"/>
          <w:numId w:val="1"/>
        </w:numPr>
        <w:spacing w:line="360" w:lineRule="auto"/>
        <w:ind w:left="0" w:firstLine="0"/>
        <w:jc w:val="both"/>
        <w:rPr>
          <w:rFonts w:ascii="David" w:hAnsi="David"/>
        </w:rPr>
      </w:pPr>
      <w:r>
        <w:rPr>
          <w:rFonts w:ascii="David" w:hAnsi="David" w:hint="cs"/>
          <w:rtl/>
        </w:rPr>
        <w:t xml:space="preserve">האמור נכון אף בנסיבות ביצוע העבירות </w:t>
      </w:r>
      <w:r w:rsidRPr="00B80075">
        <w:rPr>
          <w:rFonts w:ascii="David" w:hAnsi="David" w:hint="cs"/>
          <w:rtl/>
        </w:rPr>
        <w:t>בעניינ</w:t>
      </w:r>
      <w:r>
        <w:rPr>
          <w:rFonts w:ascii="David" w:hAnsi="David" w:hint="cs"/>
          <w:rtl/>
        </w:rPr>
        <w:t>נ</w:t>
      </w:r>
      <w:r w:rsidRPr="00B80075">
        <w:rPr>
          <w:rFonts w:ascii="David" w:hAnsi="David" w:hint="cs"/>
          <w:rtl/>
        </w:rPr>
        <w:t xml:space="preserve">ו, שאינן ברף הגבוה ביותר, </w:t>
      </w:r>
      <w:r>
        <w:rPr>
          <w:rFonts w:ascii="David" w:hAnsi="David" w:hint="cs"/>
          <w:rtl/>
        </w:rPr>
        <w:t xml:space="preserve">כשהמדובר </w:t>
      </w:r>
      <w:r w:rsidRPr="00B80075">
        <w:rPr>
          <w:rFonts w:ascii="David" w:hAnsi="David" w:hint="cs"/>
          <w:rtl/>
        </w:rPr>
        <w:t>בכמות</w:t>
      </w:r>
      <w:r>
        <w:rPr>
          <w:rFonts w:ascii="David" w:hAnsi="David" w:hint="cs"/>
          <w:rtl/>
        </w:rPr>
        <w:t xml:space="preserve"> ומשקל</w:t>
      </w:r>
      <w:r w:rsidRPr="00B80075">
        <w:rPr>
          <w:rFonts w:ascii="David" w:hAnsi="David" w:hint="cs"/>
          <w:rtl/>
        </w:rPr>
        <w:t xml:space="preserve"> שאיננה נכבדה, למרות שאין המדובר בגידול מקצועי או מתוחכם, וגם אם אצא מנקודת הנחה כי חלק מהשתילים שגידל הנאשם שימשו אותו לצריכה עצמית לאור התמכרותו</w:t>
      </w:r>
      <w:r>
        <w:rPr>
          <w:rFonts w:ascii="David" w:hAnsi="David" w:hint="cs"/>
          <w:rtl/>
        </w:rPr>
        <w:t>.</w:t>
      </w:r>
      <w:r w:rsidRPr="00B80075">
        <w:rPr>
          <w:rFonts w:ascii="David" w:hAnsi="David" w:hint="cs"/>
          <w:rtl/>
        </w:rPr>
        <w:t xml:space="preserve"> ואף </w:t>
      </w:r>
      <w:r>
        <w:rPr>
          <w:rFonts w:ascii="David" w:hAnsi="David" w:hint="cs"/>
          <w:rtl/>
        </w:rPr>
        <w:t>בשים לב ל</w:t>
      </w:r>
      <w:r w:rsidRPr="00B80075">
        <w:rPr>
          <w:rFonts w:ascii="David" w:hAnsi="David" w:hint="cs"/>
          <w:rtl/>
        </w:rPr>
        <w:t>טענת הסנגור לכמות קט</w:t>
      </w:r>
      <w:r>
        <w:rPr>
          <w:rFonts w:ascii="David" w:hAnsi="David" w:hint="cs"/>
          <w:rtl/>
        </w:rPr>
        <w:t>נה של חומר פעיל בשתילים שנתפסו, לטענותיו הנוגעות להוראת השעה ביחס לשימוש בקנאביס ולטענותיו בקשר ל</w:t>
      </w:r>
      <w:r w:rsidRPr="00B80075">
        <w:rPr>
          <w:rFonts w:ascii="David" w:hAnsi="David" w:hint="cs"/>
          <w:rtl/>
        </w:rPr>
        <w:t>מדיניות העמדה לדין העדכנית בעבירה של גידול סם (נ/5).</w:t>
      </w:r>
    </w:p>
    <w:p w14:paraId="5A37716C" w14:textId="77777777" w:rsidR="00FC67B1" w:rsidRDefault="00FC67B1" w:rsidP="00FC67B1">
      <w:pPr>
        <w:pStyle w:val="a9"/>
        <w:rPr>
          <w:rFonts w:ascii="David" w:hAnsi="David"/>
          <w:rtl/>
        </w:rPr>
      </w:pPr>
    </w:p>
    <w:p w14:paraId="1C072AFB" w14:textId="77777777" w:rsidR="00FC67B1" w:rsidRPr="00A92FA2" w:rsidRDefault="00FC67B1" w:rsidP="00FC67B1">
      <w:pPr>
        <w:pStyle w:val="1"/>
        <w:numPr>
          <w:ilvl w:val="0"/>
          <w:numId w:val="1"/>
        </w:numPr>
        <w:spacing w:line="360" w:lineRule="auto"/>
        <w:ind w:left="0" w:firstLine="0"/>
        <w:jc w:val="both"/>
        <w:rPr>
          <w:rFonts w:ascii="David" w:hAnsi="David"/>
          <w:rtl/>
        </w:rPr>
      </w:pPr>
      <w:r>
        <w:rPr>
          <w:rFonts w:ascii="David" w:hAnsi="David" w:hint="cs"/>
          <w:rtl/>
        </w:rPr>
        <w:t xml:space="preserve">לאחר שקילת כלל המפורט לעיל, ועריכת האיזון הנדרש, מצאתי כי במקרה זה לא בוסס נזק קונקרטי כנדרש על ידי ההגנה ולא ניתן לקבוע כי </w:t>
      </w:r>
      <w:r w:rsidRPr="00BA0B14">
        <w:rPr>
          <w:rFonts w:ascii="David" w:hAnsi="David"/>
          <w:rtl/>
        </w:rPr>
        <w:t>מתקיים יחס בלתי סביר בין הנזק הצפוי לנאשם מן ההרשעה לבין חומרתה של</w:t>
      </w:r>
      <w:r>
        <w:rPr>
          <w:rFonts w:ascii="David" w:hAnsi="David"/>
          <w:rtl/>
        </w:rPr>
        <w:t xml:space="preserve"> העביר</w:t>
      </w:r>
      <w:r>
        <w:rPr>
          <w:rFonts w:ascii="David" w:hAnsi="David" w:hint="cs"/>
          <w:rtl/>
        </w:rPr>
        <w:t>ה</w:t>
      </w:r>
      <w:r>
        <w:rPr>
          <w:rFonts w:ascii="David" w:hAnsi="David"/>
          <w:rtl/>
        </w:rPr>
        <w:t xml:space="preserve"> המצדיק את ביטול ההרשעה</w:t>
      </w:r>
      <w:r>
        <w:rPr>
          <w:rFonts w:ascii="David" w:hAnsi="David" w:hint="cs"/>
          <w:rtl/>
        </w:rPr>
        <w:t xml:space="preserve">. על כן, הבקשה לביטול הרשעת הנאשם נדחית. </w:t>
      </w:r>
    </w:p>
    <w:p w14:paraId="5A08A47E" w14:textId="77777777" w:rsidR="00FC67B1" w:rsidRDefault="00FC67B1" w:rsidP="00FC67B1">
      <w:pPr>
        <w:pStyle w:val="a9"/>
        <w:rPr>
          <w:rFonts w:ascii="David" w:hAnsi="David"/>
          <w:rtl/>
        </w:rPr>
      </w:pPr>
    </w:p>
    <w:p w14:paraId="189B504A" w14:textId="77777777" w:rsidR="00FC67B1" w:rsidRPr="00904D99" w:rsidRDefault="00FC67B1" w:rsidP="00FC67B1">
      <w:pPr>
        <w:pStyle w:val="1"/>
        <w:spacing w:line="360" w:lineRule="auto"/>
        <w:ind w:left="4"/>
        <w:jc w:val="both"/>
        <w:rPr>
          <w:rFonts w:ascii="David" w:hAnsi="David"/>
          <w:b/>
          <w:bCs/>
          <w:u w:val="single"/>
        </w:rPr>
      </w:pPr>
      <w:r w:rsidRPr="00904D99">
        <w:rPr>
          <w:rFonts w:ascii="David" w:hAnsi="David" w:hint="cs"/>
          <w:b/>
          <w:bCs/>
          <w:u w:val="single"/>
          <w:rtl/>
        </w:rPr>
        <w:t>מתחם העונש ההולם</w:t>
      </w:r>
    </w:p>
    <w:p w14:paraId="1963EA8C" w14:textId="77777777" w:rsidR="00FC67B1" w:rsidRDefault="00FC67B1" w:rsidP="00FC67B1">
      <w:pPr>
        <w:pStyle w:val="a9"/>
        <w:rPr>
          <w:rtl/>
        </w:rPr>
      </w:pPr>
    </w:p>
    <w:p w14:paraId="2929B129" w14:textId="77777777" w:rsidR="00FC67B1" w:rsidRPr="00941265" w:rsidRDefault="00FC67B1" w:rsidP="00FC67B1">
      <w:pPr>
        <w:pStyle w:val="1"/>
        <w:numPr>
          <w:ilvl w:val="0"/>
          <w:numId w:val="1"/>
        </w:numPr>
        <w:spacing w:line="360" w:lineRule="auto"/>
        <w:ind w:left="0" w:firstLine="0"/>
        <w:jc w:val="both"/>
        <w:rPr>
          <w:rFonts w:ascii="David" w:hAnsi="David"/>
        </w:rPr>
      </w:pPr>
      <w:r>
        <w:rPr>
          <w:rtl/>
        </w:rPr>
        <w:t>קביעת מתחם העונש ההולם נעשית על פי עיקרון ההלימה. במסגרת קביעה זו יש להתחשב בערך החברתי אשר נפגע, במידת הפגיעה בו, במדיניות הענישה הנוהגת ובנסיבות ביצוע העבירה.</w:t>
      </w:r>
      <w:r w:rsidRPr="00904D99">
        <w:rPr>
          <w:rtl/>
        </w:rPr>
        <w:t xml:space="preserve"> </w:t>
      </w:r>
      <w:r>
        <w:rPr>
          <w:rFonts w:hint="cs"/>
          <w:rtl/>
        </w:rPr>
        <w:t xml:space="preserve">אמנם, </w:t>
      </w:r>
      <w:r>
        <w:rPr>
          <w:rtl/>
        </w:rPr>
        <w:t xml:space="preserve">בשנים האחרונות מתרבים הקולות הטוענים כי </w:t>
      </w:r>
      <w:r>
        <w:rPr>
          <w:rFonts w:hint="cs"/>
          <w:rtl/>
        </w:rPr>
        <w:t xml:space="preserve">לסם מסוג </w:t>
      </w:r>
      <w:r>
        <w:rPr>
          <w:rtl/>
        </w:rPr>
        <w:t>קנאב</w:t>
      </w:r>
      <w:r>
        <w:rPr>
          <w:rFonts w:hint="cs"/>
          <w:rtl/>
        </w:rPr>
        <w:t>י</w:t>
      </w:r>
      <w:r>
        <w:rPr>
          <w:rtl/>
        </w:rPr>
        <w:t>ס</w:t>
      </w:r>
      <w:r>
        <w:rPr>
          <w:rFonts w:hint="cs"/>
          <w:rtl/>
        </w:rPr>
        <w:t xml:space="preserve"> </w:t>
      </w:r>
      <w:r>
        <w:rPr>
          <w:rtl/>
        </w:rPr>
        <w:t>יתרונות ושימושים חיוביים</w:t>
      </w:r>
      <w:r>
        <w:rPr>
          <w:rFonts w:hint="cs"/>
          <w:rtl/>
        </w:rPr>
        <w:t>, והוא סם ה</w:t>
      </w:r>
      <w:r>
        <w:rPr>
          <w:rtl/>
        </w:rPr>
        <w:t xml:space="preserve">נמנה עם הסמים הקלים ואינו מצוי במדרג חומרה גבוה </w:t>
      </w:r>
      <w:r>
        <w:rPr>
          <w:rFonts w:hint="cs"/>
          <w:rtl/>
        </w:rPr>
        <w:t>מ</w:t>
      </w:r>
      <w:r>
        <w:rPr>
          <w:rtl/>
        </w:rPr>
        <w:t>בין הסמים השונים</w:t>
      </w:r>
      <w:r>
        <w:rPr>
          <w:rFonts w:hint="cs"/>
          <w:rtl/>
        </w:rPr>
        <w:t xml:space="preserve">. יחד עם זאת, אין להתעלם מכך שמביצוע העבירות של גידול והחזקת קנאביס שלא לצריכה עצמית נפגעים ערכים מוגנים הנוגעים לבריאותו, לשלומו ולביטחונו של הציבור. בנוסף נפגע החוסן החברתי ולצדו אף סכנת ההתמכרות על כל השלכותיה ההרסניות. </w:t>
      </w:r>
    </w:p>
    <w:p w14:paraId="3F7E437E" w14:textId="77777777" w:rsidR="00FC67B1" w:rsidRPr="00216E94" w:rsidRDefault="00FC67B1" w:rsidP="00FC67B1">
      <w:pPr>
        <w:pStyle w:val="1"/>
        <w:spacing w:line="360" w:lineRule="auto"/>
        <w:ind w:left="4"/>
        <w:jc w:val="both"/>
        <w:rPr>
          <w:rFonts w:ascii="David" w:hAnsi="David"/>
          <w:rtl/>
        </w:rPr>
      </w:pPr>
    </w:p>
    <w:p w14:paraId="69F00B31" w14:textId="77777777" w:rsidR="00FC67B1" w:rsidRDefault="00FC67B1" w:rsidP="00FC67B1">
      <w:pPr>
        <w:pStyle w:val="1"/>
        <w:numPr>
          <w:ilvl w:val="0"/>
          <w:numId w:val="1"/>
        </w:numPr>
        <w:spacing w:line="360" w:lineRule="auto"/>
        <w:ind w:left="0" w:firstLine="0"/>
        <w:jc w:val="both"/>
      </w:pPr>
      <w:r>
        <w:rPr>
          <w:rtl/>
        </w:rPr>
        <w:t>באשר לנסיבות ביצוע העביר</w:t>
      </w:r>
      <w:r>
        <w:rPr>
          <w:rFonts w:hint="cs"/>
          <w:rtl/>
        </w:rPr>
        <w:t>ות</w:t>
      </w:r>
      <w:r>
        <w:rPr>
          <w:rtl/>
        </w:rPr>
        <w:t xml:space="preserve">, </w:t>
      </w:r>
      <w:r>
        <w:rPr>
          <w:rFonts w:hint="cs"/>
          <w:rtl/>
        </w:rPr>
        <w:t xml:space="preserve">כפי שפורט לעיל, במקרה זה המדובר בנסיבות מתונות במידת מה. אמנם, הנאשם הודה והורשע בגידול שתילי קנאביס והחזקת קנאביס שלא לצריכה עצמית, ואין להתעלם מהחומרה שלצד האמור. יחד עם זאת, על פי עובדות כתב האישום המתוקן אין המדובר בגידול מקצועי ומתוחכם ביותר או בכמויות נכבדות מאוד (מבלי להתעלם מהתמונות ת/1) ומקובלת עלי הטענה לפיה כמות החומר הפעיל בשתילים קטנה ממשקלם הכולל, מבלי לקבוע מסמרות באשר לשאלה מהו אחוז החומר הפעיל חרף הקביעה </w:t>
      </w:r>
      <w:r>
        <w:rPr>
          <w:rFonts w:hint="cs"/>
          <w:b/>
          <w:bCs/>
          <w:rtl/>
        </w:rPr>
        <w:t>בעניין דוד (</w:t>
      </w:r>
      <w:r>
        <w:rPr>
          <w:rFonts w:hint="cs"/>
          <w:rtl/>
        </w:rPr>
        <w:t xml:space="preserve">זאת מבלי לשכוח את השימוש החוזר הנעשה באופן רגיל בשתילים). כמו כן, כמפורט לעיל, נראה כי הרקע לביצוע העבירות היא התמכרותו של הנאשם בעקבות תאונה שעבר ופציעתו (נ/3) וכי חלק מהקנאביס שגידל שימש אותו לאור התמכרותו.  </w:t>
      </w:r>
    </w:p>
    <w:p w14:paraId="38EA4F83" w14:textId="77777777" w:rsidR="00FC67B1" w:rsidRDefault="00FC67B1" w:rsidP="00FC67B1">
      <w:pPr>
        <w:pStyle w:val="a9"/>
        <w:rPr>
          <w:rtl/>
        </w:rPr>
      </w:pPr>
    </w:p>
    <w:p w14:paraId="0FF91FF9" w14:textId="77777777" w:rsidR="00FC67B1" w:rsidRDefault="00FC67B1" w:rsidP="00FC67B1">
      <w:pPr>
        <w:pStyle w:val="1"/>
        <w:numPr>
          <w:ilvl w:val="0"/>
          <w:numId w:val="1"/>
        </w:numPr>
        <w:spacing w:line="360" w:lineRule="auto"/>
        <w:ind w:left="0" w:firstLine="0"/>
        <w:jc w:val="both"/>
      </w:pPr>
      <w:r>
        <w:rPr>
          <w:rFonts w:hint="cs"/>
          <w:rtl/>
        </w:rPr>
        <w:t xml:space="preserve">מדיניות </w:t>
      </w:r>
      <w:r>
        <w:rPr>
          <w:rtl/>
        </w:rPr>
        <w:t xml:space="preserve">הענישה </w:t>
      </w:r>
      <w:r>
        <w:rPr>
          <w:rFonts w:hint="cs"/>
          <w:rtl/>
        </w:rPr>
        <w:t xml:space="preserve">הנוהגת </w:t>
      </w:r>
      <w:r>
        <w:rPr>
          <w:rtl/>
        </w:rPr>
        <w:t>בעביר</w:t>
      </w:r>
      <w:r>
        <w:rPr>
          <w:rFonts w:hint="cs"/>
          <w:rtl/>
        </w:rPr>
        <w:t>ו</w:t>
      </w:r>
      <w:r>
        <w:rPr>
          <w:rtl/>
        </w:rPr>
        <w:t>ת גידול והחזקת קנאב</w:t>
      </w:r>
      <w:r>
        <w:rPr>
          <w:rFonts w:hint="cs"/>
          <w:rtl/>
        </w:rPr>
        <w:t>י</w:t>
      </w:r>
      <w:r>
        <w:rPr>
          <w:rtl/>
        </w:rPr>
        <w:t>ס</w:t>
      </w:r>
      <w:r>
        <w:rPr>
          <w:rFonts w:hint="cs"/>
          <w:rtl/>
        </w:rPr>
        <w:t>, בפרט שלא לצריכה עצמית,  כוללת מתחמי ענישה שתחתיתם</w:t>
      </w:r>
      <w:r>
        <w:rPr>
          <w:rtl/>
        </w:rPr>
        <w:t xml:space="preserve"> </w:t>
      </w:r>
      <w:r>
        <w:rPr>
          <w:rFonts w:hint="cs"/>
          <w:rtl/>
        </w:rPr>
        <w:t xml:space="preserve">בנסיבות דומות עומדת על מספר חודשי מאסר אותם ניתן לרצות בעבודות שירות ועד תקופה ממשית של מאסר מאחורי סורג ובריח, כפי שיפורט להלן: </w:t>
      </w:r>
    </w:p>
    <w:p w14:paraId="634C3C97" w14:textId="77777777" w:rsidR="00FC67B1" w:rsidRDefault="00FC67B1" w:rsidP="00FC67B1">
      <w:pPr>
        <w:pStyle w:val="a9"/>
        <w:rPr>
          <w:rtl/>
        </w:rPr>
      </w:pPr>
    </w:p>
    <w:p w14:paraId="7EBD6257" w14:textId="77777777" w:rsidR="00FC67B1" w:rsidRDefault="00FC67B1" w:rsidP="00FC67B1">
      <w:pPr>
        <w:pStyle w:val="1"/>
        <w:numPr>
          <w:ilvl w:val="0"/>
          <w:numId w:val="2"/>
        </w:numPr>
        <w:spacing w:line="360" w:lineRule="auto"/>
        <w:ind w:left="0"/>
        <w:jc w:val="both"/>
      </w:pPr>
      <w:r>
        <w:rPr>
          <w:rFonts w:hint="cs"/>
          <w:rtl/>
        </w:rPr>
        <w:t>ב</w:t>
      </w:r>
      <w:hyperlink r:id="rId42" w:history="1">
        <w:r w:rsidR="006775F9" w:rsidRPr="006775F9">
          <w:rPr>
            <w:color w:val="0000FF"/>
            <w:u w:val="single"/>
            <w:rtl/>
          </w:rPr>
          <w:t>רע"פ 7005/14</w:t>
        </w:r>
      </w:hyperlink>
      <w:r>
        <w:rPr>
          <w:rtl/>
        </w:rPr>
        <w:t xml:space="preserve"> </w:t>
      </w:r>
      <w:r w:rsidRPr="009A1AAC">
        <w:rPr>
          <w:b/>
          <w:bCs/>
          <w:rtl/>
        </w:rPr>
        <w:t>דגן נ' מדינת ישראל</w:t>
      </w:r>
      <w:r>
        <w:rPr>
          <w:rtl/>
        </w:rPr>
        <w:t xml:space="preserve"> (30.11.2014)</w:t>
      </w:r>
      <w:r>
        <w:rPr>
          <w:rFonts w:hint="cs"/>
          <w:rtl/>
        </w:rPr>
        <w:t xml:space="preserve">, גידל המבקש </w:t>
      </w:r>
      <w:r>
        <w:rPr>
          <w:rtl/>
        </w:rPr>
        <w:t>קנאב</w:t>
      </w:r>
      <w:r>
        <w:rPr>
          <w:rFonts w:hint="cs"/>
          <w:rtl/>
        </w:rPr>
        <w:t>י</w:t>
      </w:r>
      <w:r>
        <w:rPr>
          <w:rtl/>
        </w:rPr>
        <w:t>ס במשקל של 2,721 גרם</w:t>
      </w:r>
      <w:r>
        <w:rPr>
          <w:rFonts w:hint="cs"/>
          <w:rtl/>
        </w:rPr>
        <w:t xml:space="preserve"> ו</w:t>
      </w:r>
      <w:r>
        <w:rPr>
          <w:rtl/>
        </w:rPr>
        <w:t>החזיק בביתו 3.3 גרם לצריכה עצמית</w:t>
      </w:r>
      <w:r>
        <w:rPr>
          <w:rFonts w:hint="cs"/>
          <w:rtl/>
        </w:rPr>
        <w:t xml:space="preserve">, </w:t>
      </w:r>
      <w:r>
        <w:rPr>
          <w:rtl/>
        </w:rPr>
        <w:t>ציוד וכלי עזר לגידול הסם</w:t>
      </w:r>
      <w:r>
        <w:rPr>
          <w:rFonts w:hint="cs"/>
          <w:rtl/>
        </w:rPr>
        <w:t xml:space="preserve"> ו</w:t>
      </w:r>
      <w:r>
        <w:rPr>
          <w:rtl/>
        </w:rPr>
        <w:t>הורשע במסגרת הסדר טיעון</w:t>
      </w:r>
      <w:r>
        <w:rPr>
          <w:rFonts w:hint="cs"/>
          <w:rtl/>
        </w:rPr>
        <w:t xml:space="preserve">. על המבקש שהתסקיר שהתקבל בעניינו שלילי והוא בעל עבר פלילי </w:t>
      </w:r>
      <w:r>
        <w:rPr>
          <w:rtl/>
        </w:rPr>
        <w:t xml:space="preserve">נגזרו 10 חודשי מאסר בפועל, מע"ת וקנס בסך 3,000 ₪. </w:t>
      </w:r>
      <w:r>
        <w:rPr>
          <w:rFonts w:hint="cs"/>
          <w:rtl/>
        </w:rPr>
        <w:t>ערעור המבקש לבית המשפט המחוזי ובקשת רשות הערעור לבית המשפט העליון נדחו.</w:t>
      </w:r>
    </w:p>
    <w:p w14:paraId="42729C9D" w14:textId="77777777" w:rsidR="00FC67B1" w:rsidRDefault="00FC67B1" w:rsidP="00FC67B1">
      <w:pPr>
        <w:pStyle w:val="1"/>
        <w:spacing w:line="360" w:lineRule="auto"/>
        <w:ind w:left="0"/>
        <w:jc w:val="both"/>
      </w:pPr>
    </w:p>
    <w:p w14:paraId="41EF1A5D" w14:textId="77777777" w:rsidR="00FC67B1" w:rsidRDefault="00FC67B1" w:rsidP="00FC67B1">
      <w:pPr>
        <w:pStyle w:val="1"/>
        <w:numPr>
          <w:ilvl w:val="0"/>
          <w:numId w:val="2"/>
        </w:numPr>
        <w:spacing w:line="360" w:lineRule="auto"/>
        <w:ind w:left="0"/>
        <w:jc w:val="both"/>
      </w:pPr>
      <w:r>
        <w:rPr>
          <w:rFonts w:hint="cs"/>
          <w:rtl/>
        </w:rPr>
        <w:t>ב</w:t>
      </w:r>
      <w:hyperlink r:id="rId43" w:history="1">
        <w:r w:rsidR="006775F9" w:rsidRPr="006775F9">
          <w:rPr>
            <w:color w:val="0000FF"/>
            <w:u w:val="single"/>
            <w:rtl/>
          </w:rPr>
          <w:t>ת"פ (ת"א) 29879-10-16</w:t>
        </w:r>
      </w:hyperlink>
      <w:r>
        <w:rPr>
          <w:rtl/>
        </w:rPr>
        <w:t xml:space="preserve"> </w:t>
      </w:r>
      <w:r w:rsidRPr="003432AE">
        <w:rPr>
          <w:b/>
          <w:bCs/>
          <w:rtl/>
        </w:rPr>
        <w:t>מדינת ישראל נ' בנין</w:t>
      </w:r>
      <w:r>
        <w:rPr>
          <w:rtl/>
        </w:rPr>
        <w:t xml:space="preserve"> (11.9.2017)</w:t>
      </w:r>
      <w:r>
        <w:rPr>
          <w:rFonts w:hint="cs"/>
          <w:rtl/>
        </w:rPr>
        <w:t xml:space="preserve">  הורשע הנאשם על יסוד הודייתו במסגרת הסדר דיוני </w:t>
      </w:r>
      <w:r>
        <w:rPr>
          <w:rtl/>
        </w:rPr>
        <w:t>בעבירה של גידול סם מסוכן</w:t>
      </w:r>
      <w:r>
        <w:rPr>
          <w:rFonts w:hint="cs"/>
          <w:rtl/>
        </w:rPr>
        <w:t>, בכך ש</w:t>
      </w:r>
      <w:r>
        <w:rPr>
          <w:rtl/>
        </w:rPr>
        <w:t>גידל שני שתילי קנאב</w:t>
      </w:r>
      <w:r>
        <w:rPr>
          <w:rFonts w:hint="cs"/>
          <w:rtl/>
        </w:rPr>
        <w:t>י</w:t>
      </w:r>
      <w:r>
        <w:rPr>
          <w:rtl/>
        </w:rPr>
        <w:t>ס במשקל 1,206.71 גרם ו</w:t>
      </w:r>
      <w:r>
        <w:rPr>
          <w:rFonts w:hint="cs"/>
          <w:rtl/>
        </w:rPr>
        <w:t>ב</w:t>
      </w:r>
      <w:r>
        <w:rPr>
          <w:rtl/>
        </w:rPr>
        <w:t>משקל 27.42 גרם</w:t>
      </w:r>
      <w:r>
        <w:rPr>
          <w:rFonts w:hint="cs"/>
          <w:rtl/>
        </w:rPr>
        <w:t xml:space="preserve">, </w:t>
      </w:r>
      <w:r>
        <w:rPr>
          <w:rtl/>
        </w:rPr>
        <w:t xml:space="preserve">בתוך אוהל ובו מנורות ומאוורר. מתחם </w:t>
      </w:r>
      <w:r>
        <w:rPr>
          <w:rFonts w:hint="cs"/>
          <w:rtl/>
        </w:rPr>
        <w:t>הענישה נקבע</w:t>
      </w:r>
      <w:r>
        <w:rPr>
          <w:rtl/>
        </w:rPr>
        <w:t xml:space="preserve"> בין מספר חודשי </w:t>
      </w:r>
      <w:r>
        <w:rPr>
          <w:rFonts w:hint="cs"/>
          <w:rtl/>
        </w:rPr>
        <w:t xml:space="preserve">מאסר אותם ניתן לרצות בעבודות שירות ועד </w:t>
      </w:r>
      <w:r>
        <w:rPr>
          <w:rtl/>
        </w:rPr>
        <w:t xml:space="preserve">לעשרה חודשי מאסר בפועל. </w:t>
      </w:r>
      <w:r>
        <w:rPr>
          <w:rFonts w:hint="cs"/>
          <w:rtl/>
        </w:rPr>
        <w:t>על הנאשם שלא שיתף פעולה עם הליך שיקומי ו</w:t>
      </w:r>
      <w:r>
        <w:rPr>
          <w:rtl/>
        </w:rPr>
        <w:t xml:space="preserve">בעל עבר פלילי </w:t>
      </w:r>
      <w:r>
        <w:rPr>
          <w:rFonts w:hint="cs"/>
          <w:rtl/>
        </w:rPr>
        <w:t xml:space="preserve">בעבירה של </w:t>
      </w:r>
      <w:r>
        <w:rPr>
          <w:rtl/>
        </w:rPr>
        <w:t>החזקת סם שלא לצריכה עצמית</w:t>
      </w:r>
      <w:r>
        <w:rPr>
          <w:rFonts w:hint="cs"/>
          <w:rtl/>
        </w:rPr>
        <w:t xml:space="preserve"> </w:t>
      </w:r>
      <w:r>
        <w:rPr>
          <w:rtl/>
        </w:rPr>
        <w:t>נגזרו חמישה חודשי מאסר</w:t>
      </w:r>
      <w:r>
        <w:rPr>
          <w:rFonts w:hint="cs"/>
          <w:rtl/>
        </w:rPr>
        <w:t xml:space="preserve"> בעבודות שירות</w:t>
      </w:r>
      <w:r>
        <w:rPr>
          <w:rtl/>
        </w:rPr>
        <w:t xml:space="preserve">, </w:t>
      </w:r>
      <w:r>
        <w:rPr>
          <w:rFonts w:hint="cs"/>
          <w:rtl/>
        </w:rPr>
        <w:t>מאסר על תנאי</w:t>
      </w:r>
      <w:r>
        <w:rPr>
          <w:rtl/>
        </w:rPr>
        <w:t xml:space="preserve">, קנס 1,000 ₪, </w:t>
      </w:r>
      <w:r>
        <w:rPr>
          <w:rFonts w:hint="cs"/>
          <w:rtl/>
        </w:rPr>
        <w:t xml:space="preserve">התחייבות, </w:t>
      </w:r>
      <w:r>
        <w:rPr>
          <w:rtl/>
        </w:rPr>
        <w:t>פסילת רישיון נהיגה ופסילה על תנאי</w:t>
      </w:r>
      <w:r>
        <w:rPr>
          <w:rFonts w:hint="cs"/>
          <w:rtl/>
        </w:rPr>
        <w:t>.</w:t>
      </w:r>
    </w:p>
    <w:p w14:paraId="0CD327C6" w14:textId="77777777" w:rsidR="00FC67B1" w:rsidRDefault="00FC67B1" w:rsidP="00FC67B1">
      <w:pPr>
        <w:pStyle w:val="1"/>
        <w:spacing w:line="360" w:lineRule="auto"/>
        <w:ind w:left="0"/>
        <w:jc w:val="both"/>
      </w:pPr>
    </w:p>
    <w:p w14:paraId="1BA97D12" w14:textId="77777777" w:rsidR="00FC67B1" w:rsidRDefault="00FC67B1" w:rsidP="00FC67B1">
      <w:pPr>
        <w:pStyle w:val="1"/>
        <w:numPr>
          <w:ilvl w:val="0"/>
          <w:numId w:val="2"/>
        </w:numPr>
        <w:spacing w:line="360" w:lineRule="auto"/>
        <w:ind w:left="0"/>
        <w:jc w:val="both"/>
      </w:pPr>
      <w:r>
        <w:rPr>
          <w:rFonts w:hint="cs"/>
          <w:rtl/>
        </w:rPr>
        <w:t>ב</w:t>
      </w:r>
      <w:hyperlink r:id="rId44" w:history="1">
        <w:r w:rsidR="006775F9" w:rsidRPr="006775F9">
          <w:rPr>
            <w:color w:val="0000FF"/>
            <w:u w:val="single"/>
            <w:rtl/>
          </w:rPr>
          <w:t>ת"פ (ת"א) 56678-03-17</w:t>
        </w:r>
      </w:hyperlink>
      <w:r>
        <w:rPr>
          <w:rtl/>
        </w:rPr>
        <w:t xml:space="preserve"> </w:t>
      </w:r>
      <w:r w:rsidRPr="00E81B04">
        <w:rPr>
          <w:b/>
          <w:bCs/>
          <w:rtl/>
        </w:rPr>
        <w:t>מדינת ישראל נ' יוסף</w:t>
      </w:r>
      <w:r>
        <w:rPr>
          <w:rtl/>
        </w:rPr>
        <w:t xml:space="preserve"> (2.1.2019)</w:t>
      </w:r>
      <w:r>
        <w:rPr>
          <w:rFonts w:hint="cs"/>
          <w:rtl/>
        </w:rPr>
        <w:t xml:space="preserve"> הורשע </w:t>
      </w:r>
      <w:r>
        <w:rPr>
          <w:rtl/>
        </w:rPr>
        <w:t xml:space="preserve">הנאשם </w:t>
      </w:r>
      <w:r>
        <w:rPr>
          <w:rFonts w:hint="cs"/>
          <w:rtl/>
        </w:rPr>
        <w:t>על יסוד הודייתו</w:t>
      </w:r>
      <w:r>
        <w:rPr>
          <w:rtl/>
        </w:rPr>
        <w:t xml:space="preserve"> </w:t>
      </w:r>
      <w:r>
        <w:rPr>
          <w:rFonts w:hint="cs"/>
          <w:rtl/>
        </w:rPr>
        <w:t>ב</w:t>
      </w:r>
      <w:r>
        <w:rPr>
          <w:rtl/>
        </w:rPr>
        <w:t>גידול סם</w:t>
      </w:r>
      <w:r>
        <w:rPr>
          <w:rFonts w:hint="cs"/>
          <w:rtl/>
        </w:rPr>
        <w:t xml:space="preserve">, </w:t>
      </w:r>
      <w:r>
        <w:rPr>
          <w:rtl/>
        </w:rPr>
        <w:t xml:space="preserve">החזקת סם שלא לצריכה עצמית והחזקת כלים להכנת סם שלא לצריכה עצמית. מתחם </w:t>
      </w:r>
      <w:r>
        <w:rPr>
          <w:rFonts w:hint="cs"/>
          <w:rtl/>
        </w:rPr>
        <w:t xml:space="preserve"> הענישה נקבע </w:t>
      </w:r>
      <w:r>
        <w:rPr>
          <w:rtl/>
        </w:rPr>
        <w:t xml:space="preserve">בין מספר חודשי </w:t>
      </w:r>
      <w:r>
        <w:rPr>
          <w:rFonts w:hint="cs"/>
          <w:rtl/>
        </w:rPr>
        <w:t>מאסר אותם ניתן לרצות ב</w:t>
      </w:r>
      <w:r>
        <w:rPr>
          <w:rtl/>
        </w:rPr>
        <w:t>עבודות שירות ועד 18 חודשי מאסר. הנאשם בן 43 ד"ר למתמטיקה ופיזיקה, ללא עבר פלילי</w:t>
      </w:r>
      <w:r>
        <w:rPr>
          <w:rFonts w:hint="cs"/>
          <w:rtl/>
        </w:rPr>
        <w:t xml:space="preserve">, </w:t>
      </w:r>
      <w:r>
        <w:rPr>
          <w:rtl/>
        </w:rPr>
        <w:t xml:space="preserve">לא שיתף פעולה עם </w:t>
      </w:r>
      <w:r>
        <w:rPr>
          <w:rFonts w:hint="cs"/>
          <w:rtl/>
        </w:rPr>
        <w:t>הליך טיפולי ו</w:t>
      </w:r>
      <w:r>
        <w:rPr>
          <w:rtl/>
        </w:rPr>
        <w:t xml:space="preserve">נמצא לא כשיר לביצוע עבודות שירות. </w:t>
      </w:r>
      <w:r>
        <w:rPr>
          <w:rFonts w:hint="cs"/>
          <w:rtl/>
        </w:rPr>
        <w:t>עתירתו לביטול הרשעה נדחתה</w:t>
      </w:r>
      <w:r>
        <w:rPr>
          <w:rtl/>
        </w:rPr>
        <w:t>. עונשו נקבע בתחתית המתחם</w:t>
      </w:r>
      <w:r>
        <w:rPr>
          <w:rFonts w:hint="cs"/>
          <w:rtl/>
        </w:rPr>
        <w:t xml:space="preserve"> ל</w:t>
      </w:r>
      <w:r>
        <w:rPr>
          <w:rtl/>
        </w:rPr>
        <w:t>מאסר בפועל ל</w:t>
      </w:r>
      <w:r>
        <w:rPr>
          <w:rFonts w:hint="cs"/>
          <w:rtl/>
        </w:rPr>
        <w:t xml:space="preserve">משך </w:t>
      </w:r>
      <w:r>
        <w:rPr>
          <w:rtl/>
        </w:rPr>
        <w:t>שלושה חודשים</w:t>
      </w:r>
      <w:r>
        <w:rPr>
          <w:rFonts w:hint="cs"/>
          <w:rtl/>
        </w:rPr>
        <w:t xml:space="preserve"> ויום</w:t>
      </w:r>
      <w:r>
        <w:rPr>
          <w:rtl/>
        </w:rPr>
        <w:t>,</w:t>
      </w:r>
      <w:r>
        <w:rPr>
          <w:rFonts w:hint="cs"/>
          <w:rtl/>
        </w:rPr>
        <w:t xml:space="preserve"> (משלא מצא מתאים לריצוי עבודות שירות)</w:t>
      </w:r>
      <w:r>
        <w:rPr>
          <w:rtl/>
        </w:rPr>
        <w:t xml:space="preserve"> </w:t>
      </w:r>
      <w:r>
        <w:rPr>
          <w:rFonts w:hint="cs"/>
          <w:rtl/>
        </w:rPr>
        <w:t>מאסר על תנאי</w:t>
      </w:r>
      <w:r>
        <w:rPr>
          <w:rtl/>
        </w:rPr>
        <w:t>, קנס 2,000 ₪, התחייבות 1,000 ₪ ופסילת רישיון.</w:t>
      </w:r>
      <w:r>
        <w:rPr>
          <w:rFonts w:hint="cs"/>
          <w:rtl/>
        </w:rPr>
        <w:t xml:space="preserve"> בערעור, לאחר שנמצא כשיר לבצע עבודות שירות, הומר עונש המאסר של הנאשם לשלושה חודשי מאסר בעבודות שירות (</w:t>
      </w:r>
      <w:hyperlink r:id="rId45" w:history="1">
        <w:r w:rsidR="006775F9" w:rsidRPr="006775F9">
          <w:rPr>
            <w:color w:val="0000FF"/>
            <w:u w:val="single"/>
            <w:rtl/>
          </w:rPr>
          <w:t>עפ"ג (ת"א) 30085-01-19</w:t>
        </w:r>
      </w:hyperlink>
      <w:r>
        <w:rPr>
          <w:rFonts w:hint="cs"/>
          <w:rtl/>
        </w:rPr>
        <w:t xml:space="preserve"> </w:t>
      </w:r>
      <w:r w:rsidRPr="00A5674E">
        <w:rPr>
          <w:rFonts w:hint="cs"/>
          <w:b/>
          <w:bCs/>
          <w:rtl/>
        </w:rPr>
        <w:t>יוסף נ' מדינת ישראל</w:t>
      </w:r>
      <w:r>
        <w:rPr>
          <w:rFonts w:hint="cs"/>
          <w:rtl/>
        </w:rPr>
        <w:t xml:space="preserve"> (17.7.2019). </w:t>
      </w:r>
    </w:p>
    <w:p w14:paraId="502FE079" w14:textId="77777777" w:rsidR="00FC67B1" w:rsidRPr="00A5674E" w:rsidRDefault="00FC67B1" w:rsidP="00FC67B1">
      <w:pPr>
        <w:pStyle w:val="1"/>
        <w:spacing w:line="360" w:lineRule="auto"/>
        <w:ind w:left="0"/>
        <w:jc w:val="both"/>
        <w:rPr>
          <w:rtl/>
        </w:rPr>
      </w:pPr>
    </w:p>
    <w:p w14:paraId="57C35FFE" w14:textId="77777777" w:rsidR="00FC67B1" w:rsidRDefault="00FC67B1" w:rsidP="00FC67B1">
      <w:pPr>
        <w:pStyle w:val="1"/>
        <w:numPr>
          <w:ilvl w:val="0"/>
          <w:numId w:val="2"/>
        </w:numPr>
        <w:spacing w:line="360" w:lineRule="auto"/>
        <w:ind w:left="0"/>
        <w:jc w:val="both"/>
      </w:pPr>
      <w:r>
        <w:rPr>
          <w:rFonts w:hint="cs"/>
          <w:rtl/>
        </w:rPr>
        <w:t>ב</w:t>
      </w:r>
      <w:hyperlink r:id="rId46" w:history="1">
        <w:r w:rsidR="006775F9" w:rsidRPr="006775F9">
          <w:rPr>
            <w:color w:val="0000FF"/>
            <w:u w:val="single"/>
            <w:rtl/>
          </w:rPr>
          <w:t>ת"פ (ת"א) 10430-03-15</w:t>
        </w:r>
      </w:hyperlink>
      <w:r>
        <w:rPr>
          <w:rtl/>
        </w:rPr>
        <w:t xml:space="preserve"> </w:t>
      </w:r>
      <w:r>
        <w:rPr>
          <w:b/>
          <w:bCs/>
          <w:rtl/>
        </w:rPr>
        <w:t>מדינת ישראל נ' אברהם</w:t>
      </w:r>
      <w:r>
        <w:rPr>
          <w:rtl/>
        </w:rPr>
        <w:t xml:space="preserve"> (23.11.2016)</w:t>
      </w:r>
      <w:r>
        <w:rPr>
          <w:rFonts w:hint="cs"/>
          <w:rtl/>
        </w:rPr>
        <w:t xml:space="preserve"> הורשע הנאשם על יסוד הודייתו במסגרת הסדר טיעון </w:t>
      </w:r>
      <w:r>
        <w:rPr>
          <w:rtl/>
        </w:rPr>
        <w:t>בעביר</w:t>
      </w:r>
      <w:r>
        <w:rPr>
          <w:rFonts w:hint="cs"/>
          <w:rtl/>
        </w:rPr>
        <w:t xml:space="preserve">ות </w:t>
      </w:r>
      <w:r>
        <w:rPr>
          <w:rtl/>
        </w:rPr>
        <w:t>של גידול 4 שתילים</w:t>
      </w:r>
      <w:r>
        <w:rPr>
          <w:rFonts w:hint="cs"/>
          <w:rtl/>
        </w:rPr>
        <w:t xml:space="preserve"> ב</w:t>
      </w:r>
      <w:r>
        <w:rPr>
          <w:rtl/>
        </w:rPr>
        <w:t>משקל של 799.21 גרם</w:t>
      </w:r>
      <w:r>
        <w:rPr>
          <w:rFonts w:hint="cs"/>
          <w:rtl/>
        </w:rPr>
        <w:t>, והחזקת סם שלא לצריכה עצמית הכולל</w:t>
      </w:r>
      <w:r>
        <w:rPr>
          <w:rtl/>
        </w:rPr>
        <w:t xml:space="preserve"> חשיש במשקל 12.42</w:t>
      </w:r>
      <w:r>
        <w:rPr>
          <w:rFonts w:hint="cs"/>
          <w:rtl/>
        </w:rPr>
        <w:t xml:space="preserve">, </w:t>
      </w:r>
      <w:r>
        <w:rPr>
          <w:rtl/>
        </w:rPr>
        <w:t>פרחי קנבוס במשקל 9.49 גרם</w:t>
      </w:r>
      <w:r>
        <w:rPr>
          <w:rFonts w:hint="cs"/>
          <w:rtl/>
        </w:rPr>
        <w:t xml:space="preserve"> ו</w:t>
      </w:r>
      <w:r>
        <w:rPr>
          <w:rtl/>
        </w:rPr>
        <w:t xml:space="preserve">שלושה בולי </w:t>
      </w:r>
      <w:r w:rsidRPr="00E47DD8">
        <w:rPr>
          <w:sz w:val="22"/>
          <w:szCs w:val="22"/>
        </w:rPr>
        <w:t>LSD</w:t>
      </w:r>
      <w:r w:rsidRPr="00E47DD8">
        <w:rPr>
          <w:sz w:val="22"/>
          <w:szCs w:val="22"/>
          <w:rtl/>
        </w:rPr>
        <w:t xml:space="preserve"> .</w:t>
      </w:r>
      <w:r>
        <w:rPr>
          <w:rtl/>
        </w:rPr>
        <w:t xml:space="preserve"> מתחם </w:t>
      </w:r>
      <w:r>
        <w:rPr>
          <w:rFonts w:hint="cs"/>
          <w:rtl/>
        </w:rPr>
        <w:t>ענישה נקבע בין מספר חודשי מאסר אותם ניתן לרצות ב</w:t>
      </w:r>
      <w:r>
        <w:rPr>
          <w:rtl/>
        </w:rPr>
        <w:t xml:space="preserve">עבודות שירות ועד מאסר למשך 18 חודשים. לנאשם מאסר בר הפעלה </w:t>
      </w:r>
      <w:r>
        <w:rPr>
          <w:rFonts w:hint="cs"/>
          <w:rtl/>
        </w:rPr>
        <w:t>ב</w:t>
      </w:r>
      <w:r>
        <w:rPr>
          <w:rtl/>
        </w:rPr>
        <w:t>עבירת סמים. נקבע כי גידל סמים בכמות גדולה. התסקיר העיד על היעדר מוטיבציה שיקומית מצד הנאשם. בית המשפט לא האמין כי מדובר בגידול לצריכה עצמית. בבדיקות שתן נמצאו שרידי סמים. נגזרו 9 חודשי מאסר. הופעל עונש מאסר על תנאי של חודש במצטבר</w:t>
      </w:r>
      <w:r>
        <w:rPr>
          <w:rFonts w:hint="cs"/>
          <w:rtl/>
        </w:rPr>
        <w:t xml:space="preserve"> לצד מאסר על תנאי </w:t>
      </w:r>
      <w:r>
        <w:rPr>
          <w:rtl/>
        </w:rPr>
        <w:t>וקנס</w:t>
      </w:r>
      <w:r>
        <w:rPr>
          <w:rFonts w:hint="cs"/>
          <w:rtl/>
        </w:rPr>
        <w:t xml:space="preserve"> בסך</w:t>
      </w:r>
      <w:r>
        <w:rPr>
          <w:rtl/>
        </w:rPr>
        <w:t xml:space="preserve"> 1,500 ₪. </w:t>
      </w:r>
      <w:r>
        <w:rPr>
          <w:rFonts w:hint="cs"/>
          <w:rtl/>
        </w:rPr>
        <w:t>ערעור על העונש שהגיש הנאשם נדחה בהסכמה (</w:t>
      </w:r>
      <w:hyperlink r:id="rId47" w:history="1">
        <w:r w:rsidR="006775F9" w:rsidRPr="006775F9">
          <w:rPr>
            <w:color w:val="0000FF"/>
            <w:u w:val="single"/>
            <w:rtl/>
          </w:rPr>
          <w:t>עפ"ג (ת"א) 32073-12-16</w:t>
        </w:r>
      </w:hyperlink>
      <w:r>
        <w:rPr>
          <w:rFonts w:hint="cs"/>
          <w:rtl/>
        </w:rPr>
        <w:t xml:space="preserve"> </w:t>
      </w:r>
      <w:r w:rsidRPr="00B04B50">
        <w:rPr>
          <w:rFonts w:hint="cs"/>
          <w:b/>
          <w:bCs/>
          <w:rtl/>
        </w:rPr>
        <w:t>אברהם נ' מדינת ישראל</w:t>
      </w:r>
      <w:r>
        <w:rPr>
          <w:rFonts w:hint="cs"/>
          <w:rtl/>
        </w:rPr>
        <w:t xml:space="preserve"> (19.4.2017). </w:t>
      </w:r>
    </w:p>
    <w:p w14:paraId="7D466B89" w14:textId="77777777" w:rsidR="00FC67B1" w:rsidRDefault="00FC67B1" w:rsidP="00FC67B1">
      <w:pPr>
        <w:pStyle w:val="1"/>
        <w:spacing w:line="360" w:lineRule="auto"/>
        <w:ind w:left="0"/>
        <w:jc w:val="both"/>
      </w:pPr>
    </w:p>
    <w:p w14:paraId="119865ED" w14:textId="77777777" w:rsidR="00FC67B1" w:rsidRDefault="00FC67B1" w:rsidP="00FC67B1">
      <w:pPr>
        <w:pStyle w:val="1"/>
        <w:numPr>
          <w:ilvl w:val="0"/>
          <w:numId w:val="1"/>
        </w:numPr>
        <w:spacing w:line="360" w:lineRule="auto"/>
        <w:ind w:left="0" w:firstLine="0"/>
        <w:jc w:val="both"/>
        <w:rPr>
          <w:u w:val="single"/>
          <w:rtl/>
        </w:rPr>
      </w:pPr>
      <w:r>
        <w:rPr>
          <w:rtl/>
        </w:rPr>
        <w:t>לאחר סקירת המפורט לעיל, בראי מדיניות הענישה הנוהגת, נסיבות ביצוע העבירה, הערכים המוגנים שנפגעו ומידת הפגיעה בהם</w:t>
      </w:r>
      <w:r>
        <w:rPr>
          <w:rFonts w:hint="cs"/>
          <w:rtl/>
        </w:rPr>
        <w:t>,</w:t>
      </w:r>
      <w:r>
        <w:rPr>
          <w:rtl/>
        </w:rPr>
        <w:t xml:space="preserve"> מצאתי להעמיד את מתחם העונש ההולם</w:t>
      </w:r>
      <w:r>
        <w:rPr>
          <w:rFonts w:hint="cs"/>
          <w:rtl/>
        </w:rPr>
        <w:t xml:space="preserve"> לשתי העבירות בהן הורשע הנאשם כאירוע,</w:t>
      </w:r>
      <w:r>
        <w:rPr>
          <w:rtl/>
        </w:rPr>
        <w:t xml:space="preserve"> בין מאסר</w:t>
      </w:r>
      <w:r>
        <w:rPr>
          <w:rFonts w:hint="cs"/>
          <w:rtl/>
        </w:rPr>
        <w:t xml:space="preserve"> בן מספר חודשים אותו ניתן לרצות בעבודות שירות</w:t>
      </w:r>
      <w:r>
        <w:rPr>
          <w:rtl/>
        </w:rPr>
        <w:t xml:space="preserve"> </w:t>
      </w:r>
      <w:r>
        <w:rPr>
          <w:rFonts w:hint="cs"/>
          <w:rtl/>
        </w:rPr>
        <w:t>לבין 12</w:t>
      </w:r>
      <w:r>
        <w:rPr>
          <w:rtl/>
        </w:rPr>
        <w:t xml:space="preserve"> חודשי מאסר בפועל,</w:t>
      </w:r>
      <w:r>
        <w:rPr>
          <w:rFonts w:hint="cs"/>
          <w:rtl/>
        </w:rPr>
        <w:t xml:space="preserve"> כעתירת המאשימה, </w:t>
      </w:r>
      <w:r>
        <w:rPr>
          <w:rtl/>
        </w:rPr>
        <w:t>לצד ענישה נלוות הכוללת מ</w:t>
      </w:r>
      <w:r>
        <w:rPr>
          <w:rFonts w:hint="cs"/>
          <w:rtl/>
        </w:rPr>
        <w:t xml:space="preserve">אסר על תנאי, </w:t>
      </w:r>
      <w:r>
        <w:rPr>
          <w:rtl/>
        </w:rPr>
        <w:t>קנ</w:t>
      </w:r>
      <w:r>
        <w:rPr>
          <w:rFonts w:hint="cs"/>
          <w:rtl/>
        </w:rPr>
        <w:t>ס ופסילה על תנאי.</w:t>
      </w:r>
      <w:r w:rsidRPr="0009170C">
        <w:rPr>
          <w:u w:val="single"/>
          <w:rtl/>
        </w:rPr>
        <w:t xml:space="preserve"> </w:t>
      </w:r>
    </w:p>
    <w:p w14:paraId="1E8AF204" w14:textId="77777777" w:rsidR="00FC67B1" w:rsidRDefault="00FC67B1" w:rsidP="00FC67B1">
      <w:pPr>
        <w:pStyle w:val="1"/>
        <w:spacing w:line="360" w:lineRule="auto"/>
        <w:ind w:left="4"/>
        <w:jc w:val="both"/>
        <w:rPr>
          <w:u w:val="single"/>
          <w:rtl/>
        </w:rPr>
      </w:pPr>
    </w:p>
    <w:p w14:paraId="537350C7" w14:textId="77777777" w:rsidR="00FC67B1" w:rsidRPr="0009170C" w:rsidRDefault="00FC67B1" w:rsidP="00FC67B1">
      <w:pPr>
        <w:pStyle w:val="1"/>
        <w:spacing w:line="360" w:lineRule="auto"/>
        <w:ind w:left="4"/>
        <w:jc w:val="both"/>
        <w:rPr>
          <w:rFonts w:ascii="David" w:hAnsi="David"/>
          <w:b/>
          <w:bCs/>
        </w:rPr>
      </w:pPr>
      <w:r w:rsidRPr="0009170C">
        <w:rPr>
          <w:b/>
          <w:bCs/>
          <w:u w:val="single"/>
          <w:rtl/>
        </w:rPr>
        <w:t xml:space="preserve">גזירת העונש של הנאשם </w:t>
      </w:r>
    </w:p>
    <w:p w14:paraId="09EECD85" w14:textId="77777777" w:rsidR="00FC67B1" w:rsidRDefault="00FC67B1" w:rsidP="00FC67B1">
      <w:pPr>
        <w:pStyle w:val="1"/>
        <w:numPr>
          <w:ilvl w:val="0"/>
          <w:numId w:val="1"/>
        </w:numPr>
        <w:spacing w:line="360" w:lineRule="auto"/>
        <w:ind w:left="0" w:firstLine="0"/>
        <w:jc w:val="both"/>
        <w:rPr>
          <w:rFonts w:ascii="David" w:hAnsi="David"/>
        </w:rPr>
      </w:pPr>
      <w:r>
        <w:rPr>
          <w:rFonts w:hint="cs"/>
          <w:rtl/>
        </w:rPr>
        <w:t xml:space="preserve">הנאשם, יליד שנת 1995, צעיר ונעדר עבר פלילי, ועל פי דבריו גדל בסביבה מורכבת, סיים שירות צבאי מלא ואף אוחז במכתב המלצה ממפקדו (נ/2). לטענתו, ביצע את העבירות על רקע תאונת דרכים שעבר ופציעתו בה, בעקבותיה אף התמכר לשימוש בקנאביס. בסיוע שירות המבחן משולב הנאשם משך מספר לא מבוטל של חודשים בהליך טיפולי המטיב עמו. על פי התסקיר המשלים הנאשם משתף פעולה עם הטיפול, מביע רצון להיעזר ולהעמיק בדפוסיו הבעייתיים, מוסר בדיקות שתן נקיות משרידי סם, מגלה רצון לנהל אורח חיים נורמטיבי וכן אחריות ורצון להחזיר חובות כספיים. כפי שמציין שירות המבחן, הטיפול אותו עובר הנאשם מביא להפחתה מרמת הסיכון במצבו. </w:t>
      </w:r>
      <w:r w:rsidRPr="002D47E4">
        <w:rPr>
          <w:rFonts w:ascii="David" w:hAnsi="David" w:hint="cs"/>
          <w:rtl/>
        </w:rPr>
        <w:t>הנאשם נוטל אחריות לביצוע העבירות,</w:t>
      </w:r>
      <w:r>
        <w:rPr>
          <w:rFonts w:ascii="David" w:hAnsi="David" w:hint="cs"/>
          <w:rtl/>
        </w:rPr>
        <w:t xml:space="preserve"> הודה וחסך זמן שיפוטי </w:t>
      </w:r>
      <w:r>
        <w:rPr>
          <w:rFonts w:ascii="David" w:hAnsi="David"/>
          <w:rtl/>
        </w:rPr>
        <w:t>–</w:t>
      </w:r>
      <w:r>
        <w:rPr>
          <w:rFonts w:ascii="David" w:hAnsi="David" w:hint="cs"/>
          <w:rtl/>
        </w:rPr>
        <w:t xml:space="preserve"> כל אלה יזקפו לזכותו.</w:t>
      </w:r>
    </w:p>
    <w:p w14:paraId="294F1806" w14:textId="77777777" w:rsidR="00FC67B1" w:rsidRPr="00B04B50" w:rsidRDefault="00FC67B1" w:rsidP="00FC67B1">
      <w:pPr>
        <w:pStyle w:val="1"/>
        <w:spacing w:line="360" w:lineRule="auto"/>
        <w:ind w:left="0"/>
        <w:jc w:val="both"/>
        <w:rPr>
          <w:rFonts w:ascii="David" w:hAnsi="David"/>
          <w:rtl/>
        </w:rPr>
      </w:pPr>
    </w:p>
    <w:p w14:paraId="5A595434" w14:textId="77777777" w:rsidR="00FC67B1" w:rsidRPr="006122D5" w:rsidRDefault="00FC67B1" w:rsidP="00FC67B1">
      <w:pPr>
        <w:pStyle w:val="1"/>
        <w:numPr>
          <w:ilvl w:val="0"/>
          <w:numId w:val="1"/>
        </w:numPr>
        <w:spacing w:line="360" w:lineRule="auto"/>
        <w:ind w:left="0" w:firstLine="0"/>
        <w:jc w:val="both"/>
      </w:pPr>
      <w:r w:rsidRPr="006122D5">
        <w:rPr>
          <w:rtl/>
        </w:rPr>
        <w:t xml:space="preserve">על פי </w:t>
      </w:r>
      <w:r w:rsidRPr="006775F9">
        <w:rPr>
          <w:color w:val="000000"/>
          <w:rtl/>
        </w:rPr>
        <w:t xml:space="preserve">סעיף </w:t>
      </w:r>
      <w:hyperlink r:id="rId48" w:history="1">
        <w:r w:rsidR="00CF5EC3" w:rsidRPr="00CF5EC3">
          <w:rPr>
            <w:color w:val="0000FF"/>
            <w:u w:val="single"/>
            <w:rtl/>
          </w:rPr>
          <w:t>40 ד(א)</w:t>
        </w:r>
      </w:hyperlink>
      <w:r w:rsidRPr="006122D5">
        <w:rPr>
          <w:rtl/>
        </w:rPr>
        <w:t xml:space="preserve"> ל</w:t>
      </w:r>
      <w:hyperlink r:id="rId49" w:history="1">
        <w:r w:rsidR="006775F9" w:rsidRPr="006775F9">
          <w:rPr>
            <w:color w:val="0000FF"/>
            <w:u w:val="single"/>
            <w:rtl/>
          </w:rPr>
          <w:t>חוק העונשין</w:t>
        </w:r>
      </w:hyperlink>
      <w:r w:rsidRPr="006122D5">
        <w:rPr>
          <w:rtl/>
        </w:rPr>
        <w:t xml:space="preserve">: </w:t>
      </w:r>
    </w:p>
    <w:p w14:paraId="3000274F" w14:textId="77777777" w:rsidR="00FC67B1" w:rsidRPr="006122D5" w:rsidRDefault="00FC67B1" w:rsidP="00FC67B1">
      <w:pPr>
        <w:pStyle w:val="a9"/>
        <w:rPr>
          <w:rtl/>
        </w:rPr>
      </w:pPr>
    </w:p>
    <w:p w14:paraId="10F0C211" w14:textId="77777777" w:rsidR="00FC67B1" w:rsidRDefault="00FC67B1" w:rsidP="00FC67B1">
      <w:pPr>
        <w:pStyle w:val="1"/>
        <w:ind w:left="737" w:right="737"/>
        <w:jc w:val="both"/>
        <w:rPr>
          <w:rFonts w:ascii="David" w:hAnsi="David"/>
          <w:b/>
          <w:bCs/>
        </w:rPr>
      </w:pPr>
      <w:r>
        <w:rPr>
          <w:rFonts w:ascii="David" w:hAnsi="David"/>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w:t>
      </w:r>
      <w:r w:rsidRPr="006122D5">
        <w:rPr>
          <w:rFonts w:ascii="David" w:hAnsi="David"/>
          <w:b/>
          <w:bCs/>
          <w:rtl/>
        </w:rPr>
        <w:t xml:space="preserve">או לפי </w:t>
      </w:r>
      <w:hyperlink r:id="rId50" w:history="1">
        <w:r w:rsidR="006775F9" w:rsidRPr="006775F9">
          <w:rPr>
            <w:b/>
            <w:bCs/>
            <w:color w:val="0000FF"/>
            <w:u w:val="single"/>
            <w:rtl/>
          </w:rPr>
          <w:t>פקודת המבחן</w:t>
        </w:r>
      </w:hyperlink>
      <w:r>
        <w:rPr>
          <w:rFonts w:ascii="David" w:hAnsi="David"/>
          <w:b/>
          <w:bCs/>
          <w:rtl/>
        </w:rPr>
        <w:t xml:space="preserve"> [נוסח חדש], התשכ"ט-1969."</w:t>
      </w:r>
    </w:p>
    <w:p w14:paraId="7F51BAC6" w14:textId="77777777" w:rsidR="00FC67B1" w:rsidRDefault="00FC67B1" w:rsidP="00FC67B1">
      <w:pPr>
        <w:pStyle w:val="1"/>
        <w:spacing w:line="360" w:lineRule="auto"/>
        <w:ind w:left="4"/>
        <w:jc w:val="both"/>
        <w:rPr>
          <w:rFonts w:ascii="David" w:hAnsi="David"/>
          <w:rtl/>
        </w:rPr>
      </w:pPr>
    </w:p>
    <w:p w14:paraId="7D772B66" w14:textId="77777777" w:rsidR="00FC67B1" w:rsidRDefault="00FC67B1" w:rsidP="00FC67B1">
      <w:pPr>
        <w:pStyle w:val="1"/>
        <w:numPr>
          <w:ilvl w:val="0"/>
          <w:numId w:val="1"/>
        </w:numPr>
        <w:spacing w:line="360" w:lineRule="auto"/>
        <w:ind w:left="0" w:firstLine="0"/>
        <w:jc w:val="both"/>
        <w:rPr>
          <w:rFonts w:ascii="Calibri" w:hAnsi="Calibri"/>
        </w:rPr>
      </w:pPr>
      <w:r w:rsidRPr="00F46908">
        <w:rPr>
          <w:rFonts w:ascii="Calibri" w:hAnsi="Calibri"/>
          <w:rtl/>
        </w:rPr>
        <w:t>ב</w:t>
      </w:r>
      <w:hyperlink r:id="rId51" w:history="1">
        <w:r w:rsidR="006775F9" w:rsidRPr="006775F9">
          <w:rPr>
            <w:rFonts w:ascii="Calibri" w:hAnsi="Calibri" w:hint="eastAsia"/>
            <w:color w:val="0000FF"/>
            <w:u w:val="single"/>
            <w:rtl/>
          </w:rPr>
          <w:t>ע</w:t>
        </w:r>
        <w:r w:rsidR="006775F9" w:rsidRPr="006775F9">
          <w:rPr>
            <w:rFonts w:ascii="Calibri" w:hAnsi="Calibri"/>
            <w:color w:val="0000FF"/>
            <w:u w:val="single"/>
            <w:rtl/>
          </w:rPr>
          <w:t>"</w:t>
        </w:r>
        <w:r w:rsidR="006775F9" w:rsidRPr="006775F9">
          <w:rPr>
            <w:rFonts w:ascii="Calibri" w:hAnsi="Calibri" w:hint="eastAsia"/>
            <w:color w:val="0000FF"/>
            <w:u w:val="single"/>
            <w:rtl/>
          </w:rPr>
          <w:t>פ</w:t>
        </w:r>
        <w:r w:rsidR="006775F9" w:rsidRPr="006775F9">
          <w:rPr>
            <w:rFonts w:ascii="Calibri" w:hAnsi="Calibri"/>
            <w:color w:val="0000FF"/>
            <w:u w:val="single"/>
            <w:rtl/>
          </w:rPr>
          <w:t xml:space="preserve"> 6637/17</w:t>
        </w:r>
      </w:hyperlink>
      <w:r w:rsidRPr="00F46908">
        <w:rPr>
          <w:rFonts w:ascii="Calibri" w:hAnsi="Calibri"/>
          <w:rtl/>
        </w:rPr>
        <w:t xml:space="preserve"> </w:t>
      </w:r>
      <w:r w:rsidRPr="00F46908">
        <w:rPr>
          <w:rFonts w:ascii="Calibri" w:hAnsi="Calibri"/>
          <w:b/>
          <w:bCs/>
          <w:rtl/>
        </w:rPr>
        <w:t>קרנדל נ</w:t>
      </w:r>
      <w:r w:rsidRPr="00F46908">
        <w:rPr>
          <w:rFonts w:ascii="Calibri" w:hAnsi="Calibri"/>
          <w:b/>
          <w:bCs/>
          <w:rtl/>
          <w:lang w:bidi="ar-SA"/>
        </w:rPr>
        <w:t xml:space="preserve">' </w:t>
      </w:r>
      <w:r w:rsidRPr="00F46908">
        <w:rPr>
          <w:rFonts w:ascii="Calibri" w:hAnsi="Calibri"/>
          <w:b/>
          <w:bCs/>
          <w:rtl/>
        </w:rPr>
        <w:t>מדינת ישראל</w:t>
      </w:r>
      <w:r w:rsidRPr="00F46908">
        <w:rPr>
          <w:rFonts w:ascii="Calibri" w:hAnsi="Calibri"/>
          <w:rtl/>
          <w:lang w:bidi="ar-SA"/>
        </w:rPr>
        <w:t xml:space="preserve"> (</w:t>
      </w:r>
      <w:r w:rsidRPr="00F46908">
        <w:rPr>
          <w:rFonts w:ascii="Calibri" w:hAnsi="Calibri"/>
          <w:rtl/>
        </w:rPr>
        <w:t>18.4.2018</w:t>
      </w:r>
      <w:r w:rsidRPr="00F46908">
        <w:rPr>
          <w:rFonts w:ascii="Calibri" w:hAnsi="Calibri"/>
          <w:rtl/>
          <w:lang w:bidi="ar-SA"/>
        </w:rPr>
        <w:t xml:space="preserve">) </w:t>
      </w:r>
      <w:r w:rsidRPr="00F46908">
        <w:rPr>
          <w:rFonts w:ascii="Calibri" w:hAnsi="Calibri"/>
          <w:rtl/>
        </w:rPr>
        <w:t xml:space="preserve">הבהירה כב' השופטת ברק ארז כי את </w:t>
      </w:r>
      <w:hyperlink r:id="rId52" w:history="1">
        <w:r w:rsidR="00CF5EC3" w:rsidRPr="00CF5EC3">
          <w:rPr>
            <w:rFonts w:ascii="Calibri" w:hAnsi="Calibri" w:hint="eastAsia"/>
            <w:color w:val="0000FF"/>
            <w:u w:val="single"/>
            <w:rtl/>
          </w:rPr>
          <w:t>סעיף</w:t>
        </w:r>
        <w:r w:rsidR="00CF5EC3" w:rsidRPr="00CF5EC3">
          <w:rPr>
            <w:rFonts w:ascii="Calibri" w:hAnsi="Calibri"/>
            <w:color w:val="0000FF"/>
            <w:u w:val="single"/>
            <w:rtl/>
          </w:rPr>
          <w:t xml:space="preserve"> 40</w:t>
        </w:r>
        <w:r w:rsidR="00CF5EC3" w:rsidRPr="00CF5EC3">
          <w:rPr>
            <w:rFonts w:ascii="Calibri" w:hAnsi="Calibri" w:hint="eastAsia"/>
            <w:color w:val="0000FF"/>
            <w:u w:val="single"/>
            <w:rtl/>
          </w:rPr>
          <w:t>ד</w:t>
        </w:r>
        <w:r w:rsidR="00CF5EC3" w:rsidRPr="00CF5EC3">
          <w:rPr>
            <w:rFonts w:ascii="Calibri" w:hAnsi="Calibri"/>
            <w:color w:val="0000FF"/>
            <w:u w:val="single"/>
            <w:rtl/>
          </w:rPr>
          <w:t>(</w:t>
        </w:r>
        <w:r w:rsidR="00CF5EC3" w:rsidRPr="00CF5EC3">
          <w:rPr>
            <w:rFonts w:ascii="Calibri" w:hAnsi="Calibri" w:hint="eastAsia"/>
            <w:color w:val="0000FF"/>
            <w:u w:val="single"/>
            <w:rtl/>
          </w:rPr>
          <w:t>א</w:t>
        </w:r>
        <w:r w:rsidR="00CF5EC3" w:rsidRPr="00CF5EC3">
          <w:rPr>
            <w:rFonts w:ascii="Calibri" w:hAnsi="Calibri"/>
            <w:color w:val="0000FF"/>
            <w:u w:val="single"/>
            <w:rtl/>
          </w:rPr>
          <w:t>)</w:t>
        </w:r>
      </w:hyperlink>
      <w:r w:rsidRPr="00F46908">
        <w:rPr>
          <w:rFonts w:ascii="Calibri" w:hAnsi="Calibri"/>
          <w:rtl/>
        </w:rPr>
        <w:t xml:space="preserve"> ל</w:t>
      </w:r>
      <w:hyperlink r:id="rId53" w:history="1">
        <w:r w:rsidR="006775F9" w:rsidRPr="006775F9">
          <w:rPr>
            <w:rFonts w:ascii="Calibri" w:hAnsi="Calibri" w:hint="eastAsia"/>
            <w:color w:val="0000FF"/>
            <w:u w:val="single"/>
            <w:rtl/>
          </w:rPr>
          <w:t>חוק</w:t>
        </w:r>
        <w:r w:rsidR="006775F9" w:rsidRPr="006775F9">
          <w:rPr>
            <w:rFonts w:ascii="Calibri" w:hAnsi="Calibri"/>
            <w:color w:val="0000FF"/>
            <w:u w:val="single"/>
            <w:rtl/>
          </w:rPr>
          <w:t xml:space="preserve"> </w:t>
        </w:r>
        <w:r w:rsidR="006775F9" w:rsidRPr="006775F9">
          <w:rPr>
            <w:rFonts w:ascii="Calibri" w:hAnsi="Calibri" w:hint="eastAsia"/>
            <w:color w:val="0000FF"/>
            <w:u w:val="single"/>
            <w:rtl/>
          </w:rPr>
          <w:t>העונשין</w:t>
        </w:r>
      </w:hyperlink>
      <w:r w:rsidRPr="00F46908">
        <w:rPr>
          <w:rFonts w:ascii="Calibri" w:hAnsi="Calibri"/>
          <w:rtl/>
        </w:rPr>
        <w:t xml:space="preserve"> יש ליישם בזהירות, אך לתת לו משמעות מעשית. לדבריה: </w:t>
      </w:r>
    </w:p>
    <w:p w14:paraId="5FC8D06E" w14:textId="77777777" w:rsidR="00FC67B1" w:rsidRDefault="00FC67B1" w:rsidP="00FC67B1">
      <w:pPr>
        <w:pStyle w:val="1"/>
        <w:spacing w:line="360" w:lineRule="auto"/>
        <w:ind w:left="4"/>
        <w:jc w:val="both"/>
        <w:rPr>
          <w:rFonts w:ascii="Calibri" w:hAnsi="Calibri"/>
          <w:rtl/>
        </w:rPr>
      </w:pPr>
    </w:p>
    <w:p w14:paraId="35F0E6DA" w14:textId="77777777" w:rsidR="00FC67B1" w:rsidRPr="00561B28" w:rsidRDefault="00FC67B1" w:rsidP="00FC67B1">
      <w:pPr>
        <w:pStyle w:val="1"/>
        <w:ind w:left="737" w:right="737"/>
        <w:jc w:val="both"/>
        <w:rPr>
          <w:rFonts w:ascii="Calibri" w:hAnsi="Calibri"/>
        </w:rPr>
      </w:pPr>
      <w:r w:rsidRPr="00561B28">
        <w:rPr>
          <w:rFonts w:ascii="David" w:hAnsi="David"/>
          <w:b/>
          <w:bCs/>
          <w:rtl/>
        </w:rPr>
        <w:t xml:space="preserve">"חשוב לשים לב כי המחוקק הקנה שיקול דעת רחב לבית המשפט ביישומו של הסעיף וכי נקודת המוצא בהפעלתו היא העדפתם של שיקולי שיקום (ראו: אורן </w:t>
      </w:r>
      <w:hyperlink r:id="rId54" w:history="1">
        <w:r w:rsidR="006775F9" w:rsidRPr="006775F9">
          <w:rPr>
            <w:rFonts w:ascii="David" w:hAnsi="David"/>
            <w:b/>
            <w:bCs/>
            <w:color w:val="0000FF"/>
            <w:u w:val="single"/>
            <w:rtl/>
          </w:rPr>
          <w:t>גזל-אייל "חריגה ממתחם העונש ההולם"</w:t>
        </w:r>
      </w:hyperlink>
      <w:r w:rsidRPr="00561B28">
        <w:rPr>
          <w:rFonts w:ascii="David" w:hAnsi="David"/>
          <w:b/>
          <w:bCs/>
          <w:rtl/>
        </w:rPr>
        <w:t xml:space="preserve"> ספר דורית ביניש 539, 546 (קרן אזולאי ואחרים עורכים, 2018) (להלן: גזל-אייל)). אכן, לא מתפוגגים מאליהם שיקולי ההלימה גם כאשר חלים שיקולי השיקום. אולם, יש להקפיד על כך שהבחירה בעונש לא תפגע באופן ממשי בסיכויי השיקום (שם, בעמ' 551-550)." </w:t>
      </w:r>
    </w:p>
    <w:p w14:paraId="75D4F955" w14:textId="77777777" w:rsidR="00FC67B1" w:rsidRDefault="00FC67B1" w:rsidP="00FC67B1">
      <w:pPr>
        <w:spacing w:after="160" w:line="360" w:lineRule="auto"/>
        <w:jc w:val="both"/>
        <w:rPr>
          <w:rFonts w:ascii="Calibri" w:hAnsi="Calibri"/>
          <w:rtl/>
        </w:rPr>
      </w:pPr>
    </w:p>
    <w:p w14:paraId="066E1E4E" w14:textId="77777777" w:rsidR="00FC67B1" w:rsidRDefault="00FC67B1" w:rsidP="00FC67B1">
      <w:pPr>
        <w:pStyle w:val="1"/>
        <w:spacing w:line="360" w:lineRule="auto"/>
        <w:ind w:left="4" w:firstLine="716"/>
        <w:jc w:val="both"/>
        <w:rPr>
          <w:rFonts w:ascii="David" w:hAnsi="David"/>
        </w:rPr>
      </w:pPr>
      <w:r w:rsidRPr="00561B28">
        <w:rPr>
          <w:rFonts w:ascii="David" w:hAnsi="David"/>
          <w:rtl/>
        </w:rPr>
        <w:t>באשר לתנאי שעניינו סיכוי של ממש שהנאשם ישתקם הבהירה</w:t>
      </w:r>
      <w:r>
        <w:rPr>
          <w:rFonts w:ascii="David" w:hAnsi="David" w:hint="cs"/>
          <w:rtl/>
        </w:rPr>
        <w:t xml:space="preserve"> כב' השופטת ברק ארז</w:t>
      </w:r>
      <w:r w:rsidRPr="00561B28">
        <w:rPr>
          <w:rFonts w:ascii="David" w:hAnsi="David"/>
          <w:rtl/>
        </w:rPr>
        <w:t xml:space="preserve"> כי על הנאשם הנטל להציג עובדות וראיות לסיכויי שיקום, שבראשם תסקיר שירות המבחן, להבדיל מטענות בעלמא. ראו גם </w:t>
      </w:r>
      <w:hyperlink r:id="rId55" w:history="1">
        <w:r w:rsidR="006775F9" w:rsidRPr="006775F9">
          <w:rPr>
            <w:rFonts w:ascii="David" w:hAnsi="David"/>
            <w:color w:val="0000FF"/>
            <w:u w:val="single"/>
            <w:rtl/>
          </w:rPr>
          <w:t>ת"פ (מחוזי – ח"י) 48024-03-17</w:t>
        </w:r>
      </w:hyperlink>
      <w:r w:rsidRPr="00561B28">
        <w:rPr>
          <w:rFonts w:ascii="David" w:hAnsi="David"/>
          <w:rtl/>
          <w:lang w:bidi="ar-SA"/>
        </w:rPr>
        <w:t xml:space="preserve"> </w:t>
      </w:r>
      <w:r w:rsidRPr="00561B28">
        <w:rPr>
          <w:rFonts w:ascii="David" w:hAnsi="David"/>
          <w:b/>
          <w:bCs/>
          <w:rtl/>
        </w:rPr>
        <w:t>מדינת ישראל נ</w:t>
      </w:r>
      <w:r w:rsidRPr="00561B28">
        <w:rPr>
          <w:rFonts w:ascii="David" w:hAnsi="David"/>
          <w:b/>
          <w:bCs/>
          <w:rtl/>
          <w:lang w:bidi="ar-SA"/>
        </w:rPr>
        <w:t xml:space="preserve">' </w:t>
      </w:r>
      <w:r w:rsidRPr="00561B28">
        <w:rPr>
          <w:rFonts w:ascii="David" w:hAnsi="David"/>
          <w:b/>
          <w:bCs/>
          <w:rtl/>
        </w:rPr>
        <w:t>פייבושנקו</w:t>
      </w:r>
      <w:r w:rsidRPr="00561B28">
        <w:rPr>
          <w:rFonts w:ascii="David" w:hAnsi="David"/>
          <w:rtl/>
          <w:lang w:bidi="ar-SA"/>
        </w:rPr>
        <w:t xml:space="preserve"> (14.6.2018)</w:t>
      </w:r>
      <w:r>
        <w:rPr>
          <w:rFonts w:ascii="David" w:hAnsi="David" w:hint="cs"/>
          <w:rtl/>
        </w:rPr>
        <w:t xml:space="preserve"> שם </w:t>
      </w:r>
      <w:r w:rsidRPr="00561B28">
        <w:rPr>
          <w:rFonts w:ascii="David" w:hAnsi="David"/>
          <w:rtl/>
        </w:rPr>
        <w:t xml:space="preserve">הבהיר בית המשפט כי יישום </w:t>
      </w:r>
      <w:hyperlink r:id="rId56" w:history="1">
        <w:r w:rsidR="00CF5EC3" w:rsidRPr="00CF5EC3">
          <w:rPr>
            <w:rFonts w:ascii="David" w:hAnsi="David"/>
            <w:color w:val="0000FF"/>
            <w:u w:val="single"/>
            <w:rtl/>
          </w:rPr>
          <w:t>סעיף 40ד(א)</w:t>
        </w:r>
      </w:hyperlink>
      <w:r w:rsidRPr="00561B28">
        <w:rPr>
          <w:rFonts w:ascii="David" w:hAnsi="David"/>
          <w:rtl/>
        </w:rPr>
        <w:t xml:space="preserve"> ל</w:t>
      </w:r>
      <w:hyperlink r:id="rId57" w:history="1">
        <w:r w:rsidR="006775F9" w:rsidRPr="006775F9">
          <w:rPr>
            <w:rFonts w:ascii="David" w:hAnsi="David"/>
            <w:color w:val="0000FF"/>
            <w:u w:val="single"/>
            <w:rtl/>
          </w:rPr>
          <w:t>חוק העונשין</w:t>
        </w:r>
      </w:hyperlink>
      <w:r w:rsidRPr="00561B28">
        <w:rPr>
          <w:rFonts w:ascii="David" w:hAnsi="David"/>
          <w:rtl/>
        </w:rPr>
        <w:t xml:space="preserve"> נתון במידה רבה לשיקול דעתה של הערכאה הדיונית, המתרשמת מסיכויי השיקום ומעריכה אותם. עוד נקבע כי במקרים מסוג זה הקו המנחה הוא שימור סיכויי השיקום גם תוך פגיעה מסוימת בשיקולי ההלימה</w:t>
      </w:r>
      <w:r>
        <w:rPr>
          <w:rFonts w:ascii="David" w:hAnsi="David" w:hint="cs"/>
          <w:rtl/>
        </w:rPr>
        <w:t>.</w:t>
      </w:r>
    </w:p>
    <w:p w14:paraId="498D4384" w14:textId="77777777" w:rsidR="00FC67B1" w:rsidRDefault="00FC67B1" w:rsidP="00FC67B1">
      <w:pPr>
        <w:pStyle w:val="1"/>
        <w:spacing w:line="360" w:lineRule="auto"/>
        <w:ind w:left="4"/>
        <w:jc w:val="both"/>
        <w:rPr>
          <w:rFonts w:ascii="David" w:hAnsi="David"/>
        </w:rPr>
      </w:pPr>
    </w:p>
    <w:p w14:paraId="4B640D19" w14:textId="77777777" w:rsidR="00FC67B1" w:rsidRDefault="00FC67B1" w:rsidP="00FC67B1">
      <w:pPr>
        <w:pStyle w:val="1"/>
        <w:numPr>
          <w:ilvl w:val="0"/>
          <w:numId w:val="1"/>
        </w:numPr>
        <w:spacing w:line="360" w:lineRule="auto"/>
        <w:ind w:left="0" w:firstLine="0"/>
        <w:jc w:val="both"/>
      </w:pPr>
      <w:r w:rsidRPr="00564624">
        <w:rPr>
          <w:rFonts w:ascii="David" w:hAnsi="David" w:hint="cs"/>
          <w:rtl/>
        </w:rPr>
        <w:t xml:space="preserve">במקרה דנא, אין ספק כי תסקירו המשלים של שירות המבחן מלמד על דרך ממשית לשיקום אותה עשה ועושה הנאשם. שירות המבחן אינו מתעלם מחומרת העבירות בביצוען הורשע </w:t>
      </w:r>
      <w:r>
        <w:rPr>
          <w:rFonts w:ascii="David" w:hAnsi="David" w:hint="cs"/>
          <w:rtl/>
        </w:rPr>
        <w:t>ומהצורך</w:t>
      </w:r>
      <w:r w:rsidRPr="00564624">
        <w:rPr>
          <w:rFonts w:ascii="David" w:hAnsi="David" w:hint="cs"/>
          <w:rtl/>
        </w:rPr>
        <w:t xml:space="preserve"> בענישה </w:t>
      </w:r>
      <w:r>
        <w:rPr>
          <w:rFonts w:ascii="David" w:hAnsi="David" w:hint="cs"/>
          <w:rtl/>
        </w:rPr>
        <w:t>ממשית</w:t>
      </w:r>
      <w:r w:rsidRPr="00564624">
        <w:rPr>
          <w:rFonts w:ascii="David" w:hAnsi="David" w:hint="cs"/>
          <w:rtl/>
        </w:rPr>
        <w:t>. לצד זאת</w:t>
      </w:r>
      <w:r>
        <w:rPr>
          <w:rFonts w:ascii="David" w:hAnsi="David" w:hint="cs"/>
          <w:rtl/>
        </w:rPr>
        <w:t>,</w:t>
      </w:r>
      <w:r w:rsidRPr="00564624">
        <w:rPr>
          <w:rFonts w:ascii="David" w:hAnsi="David" w:hint="cs"/>
          <w:rtl/>
        </w:rPr>
        <w:t xml:space="preserve"> לאור ההליך השיקומי</w:t>
      </w:r>
      <w:r>
        <w:rPr>
          <w:rFonts w:ascii="David" w:hAnsi="David" w:hint="cs"/>
          <w:rtl/>
        </w:rPr>
        <w:t xml:space="preserve">, </w:t>
      </w:r>
      <w:r w:rsidRPr="00564624">
        <w:rPr>
          <w:rFonts w:ascii="David" w:hAnsi="David" w:hint="cs"/>
          <w:rtl/>
        </w:rPr>
        <w:t>סבור שירות המבחן כי יש לעודד את מאמציו</w:t>
      </w:r>
      <w:r>
        <w:rPr>
          <w:rFonts w:ascii="David" w:hAnsi="David" w:hint="cs"/>
          <w:rtl/>
        </w:rPr>
        <w:t xml:space="preserve"> של הנאשם</w:t>
      </w:r>
      <w:r w:rsidRPr="00564624">
        <w:rPr>
          <w:rFonts w:ascii="David" w:hAnsi="David" w:hint="cs"/>
          <w:rtl/>
        </w:rPr>
        <w:t xml:space="preserve"> לערוך שינוי חיובי בחייו. על כן ממליץ על ענישה שיקומית</w:t>
      </w:r>
      <w:r>
        <w:rPr>
          <w:rFonts w:ascii="David" w:hAnsi="David" w:hint="cs"/>
          <w:rtl/>
        </w:rPr>
        <w:t>,</w:t>
      </w:r>
      <w:r w:rsidRPr="00564624">
        <w:rPr>
          <w:rFonts w:ascii="David" w:hAnsi="David" w:hint="cs"/>
          <w:rtl/>
        </w:rPr>
        <w:t xml:space="preserve"> תוך הדגשת חשיבות המשך מעורבות השירות במסגרת צו מבחן, והמשך טיפול, על מנת לתרום להפחתה מרמת הסיכון במצבו</w:t>
      </w:r>
      <w:r>
        <w:rPr>
          <w:rFonts w:ascii="David" w:hAnsi="David" w:hint="cs"/>
          <w:rtl/>
        </w:rPr>
        <w:t xml:space="preserve"> של הנאשם</w:t>
      </w:r>
      <w:r w:rsidRPr="00564624">
        <w:rPr>
          <w:rFonts w:ascii="David" w:hAnsi="David" w:hint="cs"/>
          <w:rtl/>
        </w:rPr>
        <w:t xml:space="preserve">. שירות המבחן ממליץ כי יושת על הנאשם עונש קונקרטי בדמות של"צ, אשר לא יפגע במאמציו השיקומיים ובכללם בעבודתו לשם החזרת חובות כספיים. אמנם </w:t>
      </w:r>
      <w:r w:rsidRPr="00564624">
        <w:rPr>
          <w:rFonts w:ascii="David" w:hAnsi="David"/>
          <w:rtl/>
        </w:rPr>
        <w:t>המלצת שירות המבחן איננה מחייבת את בית המשפט, ושיקולי בית המשפט רחבים מאלה הנשקלים על ידי שירות המבחן</w:t>
      </w:r>
      <w:r w:rsidRPr="00564624">
        <w:rPr>
          <w:rFonts w:ascii="David" w:hAnsi="David" w:hint="cs"/>
          <w:rtl/>
        </w:rPr>
        <w:t xml:space="preserve"> בתסקיר</w:t>
      </w:r>
      <w:r w:rsidRPr="00564624">
        <w:rPr>
          <w:rFonts w:ascii="David" w:hAnsi="David"/>
          <w:rtl/>
        </w:rPr>
        <w:t xml:space="preserve">. יחד עם זאת, יש משמעות רבה </w:t>
      </w:r>
      <w:r>
        <w:rPr>
          <w:rFonts w:ascii="David" w:hAnsi="David" w:hint="cs"/>
          <w:rtl/>
        </w:rPr>
        <w:t xml:space="preserve">להמלצתו </w:t>
      </w:r>
      <w:r w:rsidRPr="00564624">
        <w:rPr>
          <w:rFonts w:ascii="David" w:hAnsi="David"/>
          <w:rtl/>
        </w:rPr>
        <w:t xml:space="preserve">כגורם מקצועי אשר מלווה את הנאשם מזה תקופה, להתרשמותו </w:t>
      </w:r>
      <w:r>
        <w:rPr>
          <w:rFonts w:ascii="David" w:hAnsi="David" w:hint="cs"/>
          <w:rtl/>
        </w:rPr>
        <w:t>ממנו,</w:t>
      </w:r>
      <w:r w:rsidRPr="00564624">
        <w:rPr>
          <w:rFonts w:ascii="David" w:hAnsi="David"/>
          <w:rtl/>
        </w:rPr>
        <w:t xml:space="preserve"> </w:t>
      </w:r>
      <w:r w:rsidRPr="00564624">
        <w:rPr>
          <w:rFonts w:ascii="David" w:hAnsi="David" w:hint="cs"/>
          <w:rtl/>
        </w:rPr>
        <w:t xml:space="preserve">מהפחתת הסיכון במצבו ומנזקקותו הטיפולית. </w:t>
      </w:r>
      <w:r w:rsidRPr="00564624">
        <w:rPr>
          <w:rFonts w:ascii="David" w:hAnsi="David"/>
          <w:rtl/>
        </w:rPr>
        <w:t xml:space="preserve"> </w:t>
      </w:r>
    </w:p>
    <w:p w14:paraId="5857525F" w14:textId="77777777" w:rsidR="00FC67B1" w:rsidRDefault="00FC67B1" w:rsidP="00FC67B1">
      <w:pPr>
        <w:pStyle w:val="a9"/>
        <w:rPr>
          <w:rtl/>
        </w:rPr>
      </w:pPr>
    </w:p>
    <w:p w14:paraId="28FFDBA2" w14:textId="77777777" w:rsidR="00FC67B1" w:rsidRDefault="00FC67B1" w:rsidP="00FC67B1">
      <w:pPr>
        <w:pStyle w:val="1"/>
        <w:numPr>
          <w:ilvl w:val="0"/>
          <w:numId w:val="1"/>
        </w:numPr>
        <w:spacing w:line="360" w:lineRule="auto"/>
        <w:ind w:left="0" w:firstLine="0"/>
        <w:jc w:val="both"/>
      </w:pPr>
      <w:r>
        <w:rPr>
          <w:rFonts w:hint="cs"/>
          <w:rtl/>
        </w:rPr>
        <w:t>בנסיבות המתוארות, בשים לב לכך שהנאשם התגייס לטפל בהתמכרותו הנמצאת ברקע לביצוע העבירות ומצליח להשתקם, ועל מנת לאפשר לו להמשיך בדרכו הטובה בגילו הצעיר, ממנה יצא נשכר גם האינטרס הציבורי בכללותו, מצאתי לסטות בעניינו של הנאשם ממתחם העונש ההולם. יש לתת את הדעת לכך שקביעת עונשו של הנאשם למאסר ולו בעבודות שירות עלולה לגדוע את מסלול תעסוקתו של הנאשם, המאפשר לו לפעול באופן אחראי לתשלום חובותיו ומהווה נדבך משמעותי בהליך שיקומו. עוד יש לזכור כי הנאשם אף שהה במעצר משך כשבוע בקשר לעבירות בתיק הנדון, ולאחר מכן משך תקופה די ממושכת תחת תנאים מגבילים.</w:t>
      </w:r>
    </w:p>
    <w:p w14:paraId="7A999683" w14:textId="77777777" w:rsidR="00FC67B1" w:rsidRDefault="00FC67B1" w:rsidP="00FC67B1">
      <w:pPr>
        <w:pStyle w:val="a9"/>
        <w:rPr>
          <w:rtl/>
        </w:rPr>
      </w:pPr>
    </w:p>
    <w:p w14:paraId="7130166C" w14:textId="77777777" w:rsidR="00FC67B1" w:rsidRDefault="00FC67B1" w:rsidP="00FC67B1">
      <w:pPr>
        <w:pStyle w:val="1"/>
        <w:numPr>
          <w:ilvl w:val="0"/>
          <w:numId w:val="1"/>
        </w:numPr>
        <w:spacing w:line="360" w:lineRule="auto"/>
        <w:ind w:left="0" w:firstLine="0"/>
        <w:jc w:val="both"/>
      </w:pPr>
      <w:r>
        <w:rPr>
          <w:rFonts w:hint="cs"/>
          <w:rtl/>
        </w:rPr>
        <w:t>בנוסף, ובשים לב לעונש שנקבע בתחתית מתחם הענישה במקרה דנן, כעתירת המאשימה, לתקופת מאסר בת מספר חודשים לריצוי בעבודות שירות, אף אין בסטייה ממתחם הענישה והשתת עונש בדמות של"צ (בהיקף גדול מהמומלץ על ידי שירות המבחן) לצד ענישה נלוות, ובכללה מאסר על תנאי מרתיע, כדי לפגוע באופן בלתי מידתי בשיקולי ההלימה. בנסיבות אלה, הרווח מהמשך השיקום לנאשם ולאינטרס הציבורי עולה על הנזק (ככל שכזה קיים) מהפגיעה בשיקולי ההלימה בעשרות מונים. משכך, על הנאשם יגזרו עונשים אשר מהווים ענישה קונקרטית ומרתיעה, ולצד זאת תינתן לו ההזדמנות להמשיך בשיקום ולבנות חיים בוגרים נורמטיביי</w:t>
      </w:r>
      <w:r>
        <w:rPr>
          <w:rFonts w:hint="eastAsia"/>
          <w:rtl/>
        </w:rPr>
        <w:t>ם</w:t>
      </w:r>
      <w:r>
        <w:rPr>
          <w:rFonts w:hint="cs"/>
          <w:rtl/>
        </w:rPr>
        <w:t>, תוך שמירה על שיגרת יומו בעבודתו ובטיפול בליווי שירות המבחן, כמפורט להלן:</w:t>
      </w:r>
    </w:p>
    <w:p w14:paraId="5CD930BB" w14:textId="77777777" w:rsidR="00FC67B1" w:rsidRDefault="00FC67B1" w:rsidP="00FC67B1">
      <w:pPr>
        <w:pStyle w:val="a9"/>
        <w:rPr>
          <w:rtl/>
        </w:rPr>
      </w:pPr>
    </w:p>
    <w:p w14:paraId="132F6DBF" w14:textId="77777777" w:rsidR="00FC67B1" w:rsidRDefault="00FC67B1" w:rsidP="00FC67B1">
      <w:pPr>
        <w:pStyle w:val="1"/>
        <w:numPr>
          <w:ilvl w:val="0"/>
          <w:numId w:val="3"/>
        </w:numPr>
        <w:spacing w:line="360" w:lineRule="auto"/>
        <w:jc w:val="both"/>
      </w:pPr>
      <w:r>
        <w:rPr>
          <w:rFonts w:hint="cs"/>
          <w:rtl/>
        </w:rPr>
        <w:t>של"צ בהיקף של 220 שעות לפי תוכנית של"צ שתיבנה על ידי שירות מבחן ותוגש לאישור בית המשפט תוך 30 יום.</w:t>
      </w:r>
    </w:p>
    <w:p w14:paraId="1D91FCE0" w14:textId="77777777" w:rsidR="00FC67B1" w:rsidRDefault="00FC67B1" w:rsidP="00FC67B1">
      <w:pPr>
        <w:pStyle w:val="a9"/>
        <w:numPr>
          <w:ilvl w:val="0"/>
          <w:numId w:val="3"/>
        </w:numPr>
        <w:spacing w:line="360" w:lineRule="auto"/>
        <w:jc w:val="both"/>
        <w:rPr>
          <w:rFonts w:ascii="Calibri" w:hAnsi="Calibri"/>
        </w:rPr>
      </w:pPr>
      <w:r w:rsidRPr="005B3D0E">
        <w:rPr>
          <w:rFonts w:ascii="Calibri" w:hAnsi="Calibri"/>
          <w:rtl/>
        </w:rPr>
        <w:t xml:space="preserve">מאסר על תנאי למשך 9 חודשים, לתקופה של 3 שנים והתנאי שהנאשם לא יעבור עבירה </w:t>
      </w:r>
      <w:r>
        <w:rPr>
          <w:rFonts w:ascii="Calibri" w:hAnsi="Calibri" w:hint="cs"/>
          <w:rtl/>
        </w:rPr>
        <w:t xml:space="preserve">בה הורשע </w:t>
      </w:r>
      <w:r w:rsidRPr="005B3D0E">
        <w:rPr>
          <w:rFonts w:ascii="Calibri" w:hAnsi="Calibri"/>
          <w:rtl/>
        </w:rPr>
        <w:t>על פי פקודת הסמים.</w:t>
      </w:r>
    </w:p>
    <w:p w14:paraId="049ED19B" w14:textId="77777777" w:rsidR="00FC67B1" w:rsidRPr="00D7439F" w:rsidRDefault="00FC67B1" w:rsidP="00FC67B1">
      <w:pPr>
        <w:pStyle w:val="1"/>
        <w:numPr>
          <w:ilvl w:val="0"/>
          <w:numId w:val="3"/>
        </w:numPr>
        <w:spacing w:line="360" w:lineRule="auto"/>
        <w:jc w:val="both"/>
      </w:pPr>
      <w:r w:rsidRPr="00D7439F">
        <w:rPr>
          <w:rFonts w:ascii="Calibri" w:hAnsi="Calibri"/>
          <w:rtl/>
        </w:rPr>
        <w:t>קנס בסך</w:t>
      </w:r>
      <w:r>
        <w:rPr>
          <w:rFonts w:ascii="Calibri" w:hAnsi="Calibri" w:hint="cs"/>
          <w:rtl/>
        </w:rPr>
        <w:t xml:space="preserve"> 2,000 ₪ </w:t>
      </w:r>
      <w:r w:rsidRPr="00D7439F">
        <w:rPr>
          <w:rFonts w:ascii="Calibri" w:hAnsi="Calibri"/>
          <w:rtl/>
        </w:rPr>
        <w:t xml:space="preserve"> או 20 ימי מאסר תמורתו. הקנס ישולם ב-10 תשלומים חודשיים, שווים ורציפים, כשהראשון בהם </w:t>
      </w:r>
      <w:r>
        <w:rPr>
          <w:rFonts w:ascii="Calibri" w:hAnsi="Calibri" w:hint="cs"/>
          <w:rtl/>
        </w:rPr>
        <w:t xml:space="preserve">ביום 23/10/19 </w:t>
      </w:r>
      <w:r w:rsidRPr="00D7439F">
        <w:rPr>
          <w:rFonts w:ascii="Calibri" w:hAnsi="Calibri"/>
          <w:rtl/>
        </w:rPr>
        <w:t>לא ישולם תשלום – תעמוד יתרת הקנס לפירעון מיידי</w:t>
      </w:r>
      <w:r>
        <w:rPr>
          <w:rFonts w:hint="cs"/>
          <w:rtl/>
        </w:rPr>
        <w:t>.</w:t>
      </w:r>
    </w:p>
    <w:p w14:paraId="5BDBCB93" w14:textId="77777777" w:rsidR="00FC67B1" w:rsidRDefault="00FC67B1" w:rsidP="00FC67B1">
      <w:pPr>
        <w:pStyle w:val="1"/>
        <w:numPr>
          <w:ilvl w:val="0"/>
          <w:numId w:val="3"/>
        </w:numPr>
        <w:spacing w:line="360" w:lineRule="auto"/>
        <w:jc w:val="both"/>
      </w:pPr>
      <w:r>
        <w:rPr>
          <w:rtl/>
        </w:rPr>
        <w:t>ניתן בזה צו מבחן למשך שנה מהיום. שירות המבחן יגיש לבית המשפט דו"ח ביניים בתום ששת חודשי המבחן הראשונים</w:t>
      </w:r>
      <w:r>
        <w:rPr>
          <w:rFonts w:hint="cs"/>
          <w:rtl/>
        </w:rPr>
        <w:t>.</w:t>
      </w:r>
    </w:p>
    <w:p w14:paraId="1A1D9CF2" w14:textId="77777777" w:rsidR="00FC67B1" w:rsidRDefault="00FC67B1" w:rsidP="00FC67B1">
      <w:pPr>
        <w:pStyle w:val="1"/>
        <w:numPr>
          <w:ilvl w:val="0"/>
          <w:numId w:val="3"/>
        </w:numPr>
        <w:spacing w:line="360" w:lineRule="auto"/>
        <w:jc w:val="both"/>
      </w:pPr>
      <w:r>
        <w:rPr>
          <w:rtl/>
        </w:rPr>
        <w:t>אני פוסלת את הנאשם מלקבל ומלהחזיק רישיון נהיגה למשך 4 חודשים, אולם הנאשם לא יישא עונש זה, אלא אם תוך שנתיים מיום מתן גזר הדין הסופי, יעבור עבירה על פי פקודת הסמים</w:t>
      </w:r>
      <w:r>
        <w:rPr>
          <w:rFonts w:hint="cs"/>
          <w:rtl/>
        </w:rPr>
        <w:t>.</w:t>
      </w:r>
    </w:p>
    <w:p w14:paraId="7D1AC1E2" w14:textId="77777777" w:rsidR="00FC67B1" w:rsidRDefault="00FC67B1" w:rsidP="00FC67B1">
      <w:pPr>
        <w:pStyle w:val="1"/>
        <w:numPr>
          <w:ilvl w:val="0"/>
          <w:numId w:val="3"/>
        </w:numPr>
        <w:spacing w:line="360" w:lineRule="auto"/>
        <w:jc w:val="both"/>
      </w:pPr>
      <w:r>
        <w:rPr>
          <w:rtl/>
        </w:rPr>
        <w:t>הנאשם יחתום על התחייבות בסך  5,000 ₪ להימנע במשך שנתיים מהיום מביצוע העביר</w:t>
      </w:r>
      <w:r>
        <w:rPr>
          <w:rFonts w:hint="cs"/>
          <w:rtl/>
        </w:rPr>
        <w:t>ות בהן</w:t>
      </w:r>
      <w:r>
        <w:rPr>
          <w:rtl/>
        </w:rPr>
        <w:t xml:space="preserve"> הורשע. הנאשם יחתום על התחייבות עד השעה </w:t>
      </w:r>
      <w:r>
        <w:rPr>
          <w:rFonts w:hint="cs"/>
          <w:rtl/>
        </w:rPr>
        <w:t xml:space="preserve">12:00 </w:t>
      </w:r>
      <w:r>
        <w:rPr>
          <w:rtl/>
        </w:rPr>
        <w:t>בצהרים היום. לא יחתום הנאשם, ייאסר לתקופה של 14 ימים</w:t>
      </w:r>
      <w:r>
        <w:rPr>
          <w:rFonts w:hint="cs"/>
          <w:rtl/>
        </w:rPr>
        <w:t>.</w:t>
      </w:r>
    </w:p>
    <w:p w14:paraId="068CF05E" w14:textId="77777777" w:rsidR="00FC67B1" w:rsidRDefault="00FC67B1" w:rsidP="00FC67B1">
      <w:pPr>
        <w:pStyle w:val="1"/>
        <w:spacing w:line="360" w:lineRule="auto"/>
        <w:ind w:left="724"/>
        <w:jc w:val="both"/>
        <w:rPr>
          <w:b/>
          <w:bCs/>
          <w:rtl/>
        </w:rPr>
      </w:pPr>
    </w:p>
    <w:p w14:paraId="67EE03F6" w14:textId="77777777" w:rsidR="00FC67B1" w:rsidRPr="007B689D" w:rsidRDefault="00FC67B1" w:rsidP="00FC67B1">
      <w:pPr>
        <w:pStyle w:val="1"/>
        <w:spacing w:line="360" w:lineRule="auto"/>
        <w:ind w:left="724"/>
        <w:jc w:val="both"/>
      </w:pPr>
      <w:r w:rsidRPr="007B689D">
        <w:rPr>
          <w:b/>
          <w:bCs/>
          <w:rtl/>
        </w:rPr>
        <w:t xml:space="preserve">ניתן צו להשמדת הסמים בתום </w:t>
      </w:r>
      <w:r>
        <w:rPr>
          <w:b/>
          <w:bCs/>
          <w:rtl/>
        </w:rPr>
        <w:t>50 יום מהיום, ככל שלא יוגש ערעו</w:t>
      </w:r>
      <w:r>
        <w:rPr>
          <w:rFonts w:hint="cs"/>
          <w:b/>
          <w:bCs/>
          <w:rtl/>
        </w:rPr>
        <w:t>ר.</w:t>
      </w:r>
    </w:p>
    <w:p w14:paraId="311AEEF3" w14:textId="77777777" w:rsidR="00FC67B1" w:rsidRDefault="00FC67B1" w:rsidP="00FC67B1">
      <w:pPr>
        <w:pStyle w:val="1"/>
        <w:spacing w:line="360" w:lineRule="auto"/>
        <w:ind w:left="724"/>
        <w:jc w:val="both"/>
        <w:rPr>
          <w:rFonts w:ascii="David" w:hAnsi="David"/>
          <w:b/>
          <w:bCs/>
          <w:rtl/>
        </w:rPr>
      </w:pPr>
    </w:p>
    <w:p w14:paraId="714DC068" w14:textId="77777777" w:rsidR="00FC67B1" w:rsidRPr="002F1DF7" w:rsidRDefault="00FC67B1" w:rsidP="00FC67B1">
      <w:pPr>
        <w:pStyle w:val="1"/>
        <w:spacing w:line="360" w:lineRule="auto"/>
        <w:ind w:left="724"/>
        <w:jc w:val="both"/>
        <w:rPr>
          <w:rFonts w:ascii="David" w:hAnsi="David"/>
          <w:b/>
          <w:bCs/>
          <w:rtl/>
        </w:rPr>
      </w:pPr>
      <w:r w:rsidRPr="002F1DF7">
        <w:rPr>
          <w:rFonts w:ascii="David" w:hAnsi="David"/>
          <w:b/>
          <w:bCs/>
          <w:rtl/>
        </w:rPr>
        <w:t>ככל שהופקד פיקדון במסגרת תיק זה – יושב הפיקדון למפקידו, בכפוף לכל מניעה על פי דין</w:t>
      </w:r>
      <w:r w:rsidRPr="002F1DF7">
        <w:rPr>
          <w:rFonts w:ascii="David" w:hAnsi="David" w:hint="cs"/>
          <w:b/>
          <w:bCs/>
          <w:rtl/>
        </w:rPr>
        <w:t>.</w:t>
      </w:r>
    </w:p>
    <w:p w14:paraId="4EDB57B5" w14:textId="77777777" w:rsidR="00FC67B1" w:rsidRDefault="00FC67B1" w:rsidP="00FC67B1">
      <w:pPr>
        <w:pStyle w:val="1"/>
        <w:spacing w:line="360" w:lineRule="auto"/>
        <w:jc w:val="both"/>
        <w:rPr>
          <w:b/>
          <w:bCs/>
          <w:rtl/>
        </w:rPr>
      </w:pPr>
    </w:p>
    <w:p w14:paraId="4FC09365" w14:textId="77777777" w:rsidR="00FC67B1" w:rsidRDefault="00FC67B1" w:rsidP="00FC67B1">
      <w:pPr>
        <w:pStyle w:val="1"/>
        <w:spacing w:line="360" w:lineRule="auto"/>
        <w:jc w:val="both"/>
        <w:rPr>
          <w:b/>
          <w:bCs/>
          <w:u w:val="single"/>
          <w:rtl/>
        </w:rPr>
      </w:pPr>
      <w:r>
        <w:rPr>
          <w:rFonts w:ascii="David" w:hAnsi="David"/>
          <w:b/>
          <w:bCs/>
          <w:rtl/>
        </w:rPr>
        <w:t>הנאשם מוזהר כי אם יפר את תנאי המבחן או צו השל"צ, תימסר הודעה על כך לבית המשפט, אשר מוסמך לדון בעניינו מחדש</w:t>
      </w:r>
      <w:r>
        <w:rPr>
          <w:rFonts w:ascii="David" w:hAnsi="David" w:hint="cs"/>
          <w:b/>
          <w:bCs/>
          <w:rtl/>
        </w:rPr>
        <w:t xml:space="preserve"> במישור</w:t>
      </w:r>
      <w:r>
        <w:rPr>
          <w:rFonts w:ascii="David" w:hAnsi="David"/>
          <w:b/>
          <w:bCs/>
          <w:rtl/>
        </w:rPr>
        <w:t xml:space="preserve"> העונש. </w:t>
      </w:r>
    </w:p>
    <w:p w14:paraId="29E35EF6" w14:textId="77777777" w:rsidR="00FC67B1" w:rsidRDefault="00FC67B1" w:rsidP="00FC67B1">
      <w:pPr>
        <w:pStyle w:val="1"/>
        <w:spacing w:line="360" w:lineRule="auto"/>
        <w:jc w:val="both"/>
        <w:rPr>
          <w:b/>
          <w:bCs/>
          <w:u w:val="single"/>
          <w:rtl/>
        </w:rPr>
      </w:pPr>
    </w:p>
    <w:p w14:paraId="12BED1F8" w14:textId="77777777" w:rsidR="00FC67B1" w:rsidRPr="007B689D" w:rsidRDefault="00FC67B1" w:rsidP="00FC67B1">
      <w:pPr>
        <w:pStyle w:val="1"/>
        <w:spacing w:line="360" w:lineRule="auto"/>
        <w:jc w:val="both"/>
        <w:rPr>
          <w:rtl/>
        </w:rPr>
      </w:pPr>
      <w:r w:rsidRPr="007B689D">
        <w:rPr>
          <w:b/>
          <w:bCs/>
          <w:u w:val="single"/>
          <w:rtl/>
        </w:rPr>
        <w:t xml:space="preserve">המזכירות תעביר עותק מגזר הדין לשירות המבחן </w:t>
      </w:r>
      <w:r>
        <w:rPr>
          <w:rFonts w:hint="cs"/>
          <w:b/>
          <w:bCs/>
          <w:u w:val="single"/>
          <w:rtl/>
        </w:rPr>
        <w:t>אשר יואיל להכין תוכנית של"צ ולהעבירה לאישורי תוך 30 יום .</w:t>
      </w:r>
    </w:p>
    <w:p w14:paraId="3D89DF53" w14:textId="77777777" w:rsidR="00FC67B1" w:rsidRDefault="00FC67B1" w:rsidP="00FC67B1">
      <w:pPr>
        <w:spacing w:line="360" w:lineRule="auto"/>
        <w:jc w:val="both"/>
        <w:rPr>
          <w:rFonts w:ascii="David" w:hAnsi="David"/>
          <w:b/>
          <w:bCs/>
          <w:rtl/>
        </w:rPr>
      </w:pPr>
    </w:p>
    <w:p w14:paraId="6D4950E3" w14:textId="77777777" w:rsidR="00FC67B1" w:rsidRPr="00AA2CC9" w:rsidRDefault="00FC67B1" w:rsidP="00FC67B1">
      <w:pPr>
        <w:spacing w:line="360" w:lineRule="auto"/>
        <w:jc w:val="both"/>
        <w:rPr>
          <w:rFonts w:ascii="David" w:hAnsi="David"/>
          <w:b/>
          <w:bCs/>
          <w:u w:val="single"/>
        </w:rPr>
      </w:pPr>
      <w:r w:rsidRPr="00AA2CC9">
        <w:rPr>
          <w:rFonts w:ascii="David" w:hAnsi="David" w:hint="cs"/>
          <w:b/>
          <w:bCs/>
          <w:u w:val="single"/>
          <w:rtl/>
        </w:rPr>
        <w:t>תז"פ ליום 23/10/19.</w:t>
      </w:r>
    </w:p>
    <w:p w14:paraId="30B0F739" w14:textId="77777777" w:rsidR="00FC67B1" w:rsidRDefault="00FC67B1" w:rsidP="00FC67B1">
      <w:pPr>
        <w:spacing w:line="360" w:lineRule="auto"/>
        <w:jc w:val="both"/>
        <w:rPr>
          <w:rtl/>
        </w:rPr>
      </w:pPr>
    </w:p>
    <w:p w14:paraId="100908C5" w14:textId="77777777" w:rsidR="00FC67B1" w:rsidRDefault="00FC67B1" w:rsidP="00FC67B1">
      <w:pPr>
        <w:spacing w:line="360" w:lineRule="auto"/>
        <w:jc w:val="both"/>
        <w:rPr>
          <w:rtl/>
        </w:rPr>
      </w:pPr>
      <w:r>
        <w:rPr>
          <w:rtl/>
        </w:rPr>
        <w:t>זכות ערעור לבית המשפט המחוזי תוך 45 יום מהיום.</w:t>
      </w:r>
    </w:p>
    <w:p w14:paraId="45A236D9" w14:textId="77777777" w:rsidR="00FC67B1" w:rsidRDefault="00FC67B1" w:rsidP="00FC67B1">
      <w:pPr>
        <w:pStyle w:val="a9"/>
        <w:rPr>
          <w:rtl/>
        </w:rPr>
      </w:pPr>
    </w:p>
    <w:p w14:paraId="7B1EEF08" w14:textId="77777777" w:rsidR="00FC67B1" w:rsidRPr="00B05847" w:rsidRDefault="00FC67B1" w:rsidP="00FC67B1">
      <w:pPr>
        <w:pStyle w:val="1"/>
        <w:spacing w:line="360" w:lineRule="auto"/>
        <w:ind w:left="0"/>
        <w:jc w:val="both"/>
        <w:rPr>
          <w:rtl/>
        </w:rPr>
      </w:pPr>
      <w:r>
        <w:rPr>
          <w:rtl/>
        </w:rPr>
        <w:t xml:space="preserve"> </w:t>
      </w:r>
    </w:p>
    <w:p w14:paraId="6CC4FBB1" w14:textId="77777777" w:rsidR="00FC67B1" w:rsidRPr="006775F9" w:rsidRDefault="006775F9" w:rsidP="00FC67B1">
      <w:pPr>
        <w:rPr>
          <w:color w:val="FFFFFF"/>
          <w:sz w:val="2"/>
          <w:szCs w:val="2"/>
          <w:rtl/>
        </w:rPr>
      </w:pPr>
      <w:r w:rsidRPr="006775F9">
        <w:rPr>
          <w:color w:val="FFFFFF"/>
          <w:sz w:val="2"/>
          <w:szCs w:val="2"/>
          <w:rtl/>
        </w:rPr>
        <w:t>5129371</w:t>
      </w:r>
    </w:p>
    <w:p w14:paraId="5BF8A3D2" w14:textId="77777777" w:rsidR="00FC67B1" w:rsidRPr="00250B83" w:rsidRDefault="006775F9" w:rsidP="00FC67B1">
      <w:pPr>
        <w:rPr>
          <w:rtl/>
        </w:rPr>
      </w:pPr>
      <w:bookmarkStart w:id="10" w:name="Nitan"/>
      <w:r w:rsidRPr="006775F9">
        <w:rPr>
          <w:rFonts w:ascii="Arial" w:hAnsi="Arial"/>
          <w:color w:val="FFFFFF"/>
          <w:sz w:val="2"/>
          <w:szCs w:val="2"/>
          <w:rtl/>
        </w:rPr>
        <w:t>54678313</w:t>
      </w:r>
      <w:r>
        <w:rPr>
          <w:rFonts w:ascii="Arial" w:hAnsi="Arial"/>
          <w:rtl/>
        </w:rPr>
        <w:t xml:space="preserve">ניתן היום,  ט"ז אלול תשע"ט, 16 ספטמבר 2019, במעמד הצדדים. </w:t>
      </w:r>
      <w:bookmarkEnd w:id="10"/>
    </w:p>
    <w:p w14:paraId="6CB18621" w14:textId="77777777" w:rsidR="00FC67B1" w:rsidRPr="00250B83" w:rsidRDefault="00FC67B1" w:rsidP="006775F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1738DD5" w14:textId="77777777" w:rsidR="00FC67B1" w:rsidRPr="00250B83" w:rsidRDefault="00FC67B1" w:rsidP="00FC67B1">
      <w:pPr>
        <w:jc w:val="center"/>
        <w:rPr>
          <w:rFonts w:ascii="Arial" w:hAnsi="Arial"/>
          <w:rtl/>
        </w:rPr>
      </w:pPr>
    </w:p>
    <w:p w14:paraId="7915094E" w14:textId="77777777" w:rsidR="00FC67B1" w:rsidRPr="00250B83" w:rsidRDefault="00FC67B1" w:rsidP="00FC67B1">
      <w:pPr>
        <w:rPr>
          <w:rtl/>
        </w:rPr>
      </w:pPr>
    </w:p>
    <w:p w14:paraId="3712E8F3" w14:textId="77777777" w:rsidR="00FC67B1" w:rsidRDefault="00FC67B1" w:rsidP="00FC67B1">
      <w:pPr>
        <w:pStyle w:val="a3"/>
        <w:jc w:val="center"/>
        <w:rPr>
          <w:rtl/>
        </w:rPr>
      </w:pPr>
    </w:p>
    <w:p w14:paraId="6B7F969B" w14:textId="77777777" w:rsidR="00191829" w:rsidRPr="006775F9" w:rsidRDefault="00191829" w:rsidP="006775F9">
      <w:pPr>
        <w:keepNext/>
        <w:rPr>
          <w:rFonts w:ascii="David" w:hAnsi="David"/>
          <w:color w:val="000000"/>
          <w:sz w:val="22"/>
          <w:szCs w:val="22"/>
          <w:rtl/>
        </w:rPr>
      </w:pPr>
    </w:p>
    <w:p w14:paraId="18C19A78" w14:textId="77777777" w:rsidR="006775F9" w:rsidRPr="006775F9" w:rsidRDefault="006775F9" w:rsidP="006775F9">
      <w:pPr>
        <w:keepNext/>
        <w:rPr>
          <w:rFonts w:ascii="David" w:hAnsi="David"/>
          <w:color w:val="000000"/>
          <w:sz w:val="22"/>
          <w:szCs w:val="22"/>
          <w:rtl/>
        </w:rPr>
      </w:pPr>
      <w:r w:rsidRPr="006775F9">
        <w:rPr>
          <w:rFonts w:ascii="David" w:hAnsi="David"/>
          <w:color w:val="000000"/>
          <w:sz w:val="22"/>
          <w:szCs w:val="22"/>
          <w:rtl/>
        </w:rPr>
        <w:t>דנה אמיר 54678313</w:t>
      </w:r>
    </w:p>
    <w:p w14:paraId="564F9F45" w14:textId="77777777" w:rsidR="006775F9" w:rsidRDefault="006775F9" w:rsidP="006775F9">
      <w:r w:rsidRPr="006775F9">
        <w:rPr>
          <w:color w:val="000000"/>
          <w:rtl/>
        </w:rPr>
        <w:t>נוסח מסמך זה כפוף לשינויי ניסוח ועריכה</w:t>
      </w:r>
    </w:p>
    <w:p w14:paraId="479E0451" w14:textId="77777777" w:rsidR="006775F9" w:rsidRDefault="006775F9" w:rsidP="006775F9">
      <w:pPr>
        <w:rPr>
          <w:rtl/>
        </w:rPr>
      </w:pPr>
    </w:p>
    <w:p w14:paraId="141860A2" w14:textId="77777777" w:rsidR="006775F9" w:rsidRDefault="006775F9" w:rsidP="006775F9">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063FEC17" w14:textId="77777777" w:rsidR="006775F9" w:rsidRPr="006775F9" w:rsidRDefault="006775F9" w:rsidP="006775F9">
      <w:pPr>
        <w:jc w:val="center"/>
        <w:rPr>
          <w:color w:val="0000FF"/>
          <w:u w:val="single"/>
        </w:rPr>
      </w:pPr>
    </w:p>
    <w:sectPr w:rsidR="006775F9" w:rsidRPr="006775F9" w:rsidSect="006775F9">
      <w:headerReference w:type="even" r:id="rId59"/>
      <w:headerReference w:type="default" r:id="rId60"/>
      <w:footerReference w:type="even" r:id="rId61"/>
      <w:footerReference w:type="default" r:id="rId6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FF759" w14:textId="77777777" w:rsidR="00F22EEF" w:rsidRDefault="00F22EEF" w:rsidP="00D802A9">
      <w:r>
        <w:separator/>
      </w:r>
    </w:p>
  </w:endnote>
  <w:endnote w:type="continuationSeparator" w:id="0">
    <w:p w14:paraId="5222DF96" w14:textId="77777777" w:rsidR="00F22EEF" w:rsidRDefault="00F22EEF" w:rsidP="00D8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4F47B" w14:textId="77777777" w:rsidR="006775F9" w:rsidRDefault="006775F9" w:rsidP="006775F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F3B707" w14:textId="77777777" w:rsidR="00D45BC2" w:rsidRPr="006775F9" w:rsidRDefault="006775F9" w:rsidP="006775F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EDA28" w14:textId="77777777" w:rsidR="006775F9" w:rsidRDefault="006775F9" w:rsidP="006775F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47DCA">
      <w:rPr>
        <w:rFonts w:ascii="FrankRuehl" w:hAnsi="FrankRuehl" w:cs="FrankRuehl"/>
        <w:noProof/>
        <w:rtl/>
      </w:rPr>
      <w:t>1</w:t>
    </w:r>
    <w:r>
      <w:rPr>
        <w:rFonts w:ascii="FrankRuehl" w:hAnsi="FrankRuehl" w:cs="FrankRuehl"/>
        <w:rtl/>
      </w:rPr>
      <w:fldChar w:fldCharType="end"/>
    </w:r>
  </w:p>
  <w:p w14:paraId="3153D985" w14:textId="77777777" w:rsidR="00D45BC2" w:rsidRPr="006775F9" w:rsidRDefault="006775F9" w:rsidP="006775F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DC6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304EB" w14:textId="77777777" w:rsidR="00F22EEF" w:rsidRDefault="00F22EEF" w:rsidP="00D802A9">
      <w:r>
        <w:separator/>
      </w:r>
    </w:p>
  </w:footnote>
  <w:footnote w:type="continuationSeparator" w:id="0">
    <w:p w14:paraId="62B4BBBA" w14:textId="77777777" w:rsidR="00F22EEF" w:rsidRDefault="00F22EEF" w:rsidP="00D80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015E4" w14:textId="77777777" w:rsidR="006775F9" w:rsidRPr="006775F9" w:rsidRDefault="006775F9" w:rsidP="006775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59939-11-17</w:t>
    </w:r>
    <w:r>
      <w:rPr>
        <w:rFonts w:ascii="David" w:hAnsi="David"/>
        <w:color w:val="000000"/>
        <w:sz w:val="22"/>
        <w:szCs w:val="22"/>
        <w:rtl/>
      </w:rPr>
      <w:tab/>
      <w:t xml:space="preserve"> מדינת ישראל נ' אורן גרבלי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FF714" w14:textId="77777777" w:rsidR="006775F9" w:rsidRPr="006775F9" w:rsidRDefault="006775F9" w:rsidP="006775F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59939-11-17</w:t>
    </w:r>
    <w:r>
      <w:rPr>
        <w:rFonts w:ascii="David" w:hAnsi="David"/>
        <w:color w:val="000000"/>
        <w:sz w:val="22"/>
        <w:szCs w:val="22"/>
        <w:rtl/>
      </w:rPr>
      <w:tab/>
      <w:t xml:space="preserve"> מדינת ישראל נ' אורן גרבלי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816E8"/>
    <w:multiLevelType w:val="hybridMultilevel"/>
    <w:tmpl w:val="F384B868"/>
    <w:lvl w:ilvl="0" w:tplc="04090013">
      <w:start w:val="1"/>
      <w:numFmt w:val="hebrew1"/>
      <w:lvlText w:val="%1."/>
      <w:lvlJc w:val="center"/>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 w15:restartNumberingAfterBreak="0">
    <w:nsid w:val="34FB3AAB"/>
    <w:multiLevelType w:val="hybridMultilevel"/>
    <w:tmpl w:val="8286BD12"/>
    <w:lvl w:ilvl="0" w:tplc="9EBACCB2">
      <w:start w:val="1"/>
      <w:numFmt w:val="decimal"/>
      <w:lvlText w:val="%1."/>
      <w:lvlJc w:val="left"/>
      <w:pPr>
        <w:ind w:left="502" w:hanging="360"/>
      </w:pPr>
      <w:rPr>
        <w:rFonts w:cs="David"/>
        <w:b w:val="0"/>
        <w:bCs w:val="0"/>
        <w:i w:val="0"/>
        <w:iCs w:val="0"/>
        <w:lang w:val="en-US"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34907F0"/>
    <w:multiLevelType w:val="hybridMultilevel"/>
    <w:tmpl w:val="6658B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1157039145">
    <w:abstractNumId w:val="1"/>
  </w:num>
  <w:num w:numId="2" w16cid:durableId="1271860869">
    <w:abstractNumId w:val="2"/>
  </w:num>
  <w:num w:numId="3" w16cid:durableId="117345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C67B1"/>
    <w:rsid w:val="00191829"/>
    <w:rsid w:val="00381020"/>
    <w:rsid w:val="003F092A"/>
    <w:rsid w:val="006775F9"/>
    <w:rsid w:val="00A47DCA"/>
    <w:rsid w:val="00CF5EC3"/>
    <w:rsid w:val="00D45BC2"/>
    <w:rsid w:val="00D802A9"/>
    <w:rsid w:val="00F22EEF"/>
    <w:rsid w:val="00F92A43"/>
    <w:rsid w:val="00FC67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52D55D8"/>
  <w15:chartTrackingRefBased/>
  <w15:docId w15:val="{7BB6D418-03CC-453D-9403-FA3BF00C5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C67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C67B1"/>
    <w:pPr>
      <w:tabs>
        <w:tab w:val="center" w:pos="4153"/>
        <w:tab w:val="right" w:pos="8306"/>
      </w:tabs>
    </w:pPr>
  </w:style>
  <w:style w:type="character" w:customStyle="1" w:styleId="a4">
    <w:name w:val="כותרת עליונה תו"/>
    <w:link w:val="a3"/>
    <w:rsid w:val="00FC67B1"/>
    <w:rPr>
      <w:rFonts w:ascii="Times New Roman" w:eastAsia="Times New Roman" w:hAnsi="Times New Roman" w:cs="David"/>
      <w:sz w:val="24"/>
      <w:szCs w:val="24"/>
    </w:rPr>
  </w:style>
  <w:style w:type="paragraph" w:styleId="a5">
    <w:name w:val="footer"/>
    <w:basedOn w:val="a"/>
    <w:link w:val="a6"/>
    <w:rsid w:val="00FC67B1"/>
    <w:pPr>
      <w:tabs>
        <w:tab w:val="center" w:pos="4153"/>
        <w:tab w:val="right" w:pos="8306"/>
      </w:tabs>
    </w:pPr>
  </w:style>
  <w:style w:type="character" w:customStyle="1" w:styleId="a6">
    <w:name w:val="כותרת תחתונה תו"/>
    <w:link w:val="a5"/>
    <w:rsid w:val="00FC67B1"/>
    <w:rPr>
      <w:rFonts w:ascii="Times New Roman" w:eastAsia="Times New Roman" w:hAnsi="Times New Roman" w:cs="David"/>
      <w:sz w:val="24"/>
      <w:szCs w:val="24"/>
    </w:rPr>
  </w:style>
  <w:style w:type="table" w:styleId="a7">
    <w:name w:val="Table Grid"/>
    <w:basedOn w:val="a1"/>
    <w:rsid w:val="00FC67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C67B1"/>
  </w:style>
  <w:style w:type="paragraph" w:styleId="a9">
    <w:name w:val="List Paragraph"/>
    <w:basedOn w:val="a"/>
    <w:qFormat/>
    <w:rsid w:val="00FC67B1"/>
    <w:pPr>
      <w:ind w:left="720"/>
      <w:contextualSpacing/>
    </w:pPr>
  </w:style>
  <w:style w:type="paragraph" w:customStyle="1" w:styleId="1">
    <w:name w:val="פיסקת רשימה1"/>
    <w:basedOn w:val="a"/>
    <w:rsid w:val="00FC67B1"/>
    <w:pPr>
      <w:ind w:left="720"/>
      <w:contextualSpacing/>
    </w:pPr>
  </w:style>
  <w:style w:type="character" w:styleId="Hyperlink">
    <w:name w:val="Hyperlink"/>
    <w:rsid w:val="006775F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2326235" TargetMode="External"/><Relationship Id="rId39" Type="http://schemas.openxmlformats.org/officeDocument/2006/relationships/hyperlink" Target="http://www.nevo.co.il/case/6161385" TargetMode="External"/><Relationship Id="rId21" Type="http://schemas.openxmlformats.org/officeDocument/2006/relationships/hyperlink" Target="http://www.nevo.co.il/case/7980179" TargetMode="External"/><Relationship Id="rId34" Type="http://schemas.openxmlformats.org/officeDocument/2006/relationships/hyperlink" Target="http://www.nevo.co.il/case/23299070" TargetMode="External"/><Relationship Id="rId42" Type="http://schemas.openxmlformats.org/officeDocument/2006/relationships/hyperlink" Target="http://www.nevo.co.il/case/18107527" TargetMode="External"/><Relationship Id="rId47" Type="http://schemas.openxmlformats.org/officeDocument/2006/relationships/hyperlink" Target="http://www.nevo.co.il/case/21777779" TargetMode="External"/><Relationship Id="rId50" Type="http://schemas.openxmlformats.org/officeDocument/2006/relationships/hyperlink" Target="http://www.nevo.co.il/law/71553" TargetMode="External"/><Relationship Id="rId55" Type="http://schemas.openxmlformats.org/officeDocument/2006/relationships/hyperlink" Target="http://www.nevo.co.il/case/22346615" TargetMode="External"/><Relationship Id="rId63" Type="http://schemas.openxmlformats.org/officeDocument/2006/relationships/fontTable" Target="fontTable.xml"/><Relationship Id="rId7" Type="http://schemas.openxmlformats.org/officeDocument/2006/relationships/hyperlink" Target="http://www.nevo.co.il/safrut/book/15850"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law/74903" TargetMode="External"/><Relationship Id="rId11" Type="http://schemas.openxmlformats.org/officeDocument/2006/relationships/hyperlink" Target="http://www.nevo.co.il/law/4216/7.c" TargetMode="External"/><Relationship Id="rId24" Type="http://schemas.openxmlformats.org/officeDocument/2006/relationships/hyperlink" Target="http://www.nevo.co.il/case/16941543" TargetMode="External"/><Relationship Id="rId32" Type="http://schemas.openxmlformats.org/officeDocument/2006/relationships/hyperlink" Target="http://www.nevo.co.il/case/21776318" TargetMode="External"/><Relationship Id="rId37" Type="http://schemas.openxmlformats.org/officeDocument/2006/relationships/hyperlink" Target="http://www.nevo.co.il/case/25975844" TargetMode="External"/><Relationship Id="rId40" Type="http://schemas.openxmlformats.org/officeDocument/2006/relationships/hyperlink" Target="http://www.nevo.co.il/case/20114120" TargetMode="External"/><Relationship Id="rId45" Type="http://schemas.openxmlformats.org/officeDocument/2006/relationships/hyperlink" Target="http://www.nevo.co.il/case/25312776" TargetMode="External"/><Relationship Id="rId53"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case/8478043" TargetMode="External"/><Relationship Id="rId14" Type="http://schemas.openxmlformats.org/officeDocument/2006/relationships/hyperlink" Target="http://www.nevo.co.il/law/74903" TargetMode="External"/><Relationship Id="rId22" Type="http://schemas.openxmlformats.org/officeDocument/2006/relationships/hyperlink" Target="http://www.nevo.co.il/case/16975164" TargetMode="External"/><Relationship Id="rId27" Type="http://schemas.openxmlformats.org/officeDocument/2006/relationships/hyperlink" Target="http://www.nevo.co.il/case/25685411" TargetMode="External"/><Relationship Id="rId30" Type="http://schemas.openxmlformats.org/officeDocument/2006/relationships/hyperlink" Target="http://www.nevo.co.il/safrut/book/15850" TargetMode="External"/><Relationship Id="rId35" Type="http://schemas.openxmlformats.org/officeDocument/2006/relationships/hyperlink" Target="http://www.nevo.co.il/case/20395358" TargetMode="External"/><Relationship Id="rId43" Type="http://schemas.openxmlformats.org/officeDocument/2006/relationships/hyperlink" Target="http://www.nevo.co.il/case/21939622" TargetMode="External"/><Relationship Id="rId48" Type="http://schemas.openxmlformats.org/officeDocument/2006/relationships/hyperlink" Target="http://www.nevo.co.il/law/70301/40d.a" TargetMode="External"/><Relationship Id="rId56" Type="http://schemas.openxmlformats.org/officeDocument/2006/relationships/hyperlink" Target="http://www.nevo.co.il/law/70301/40d.a" TargetMode="External"/><Relationship Id="rId64" Type="http://schemas.openxmlformats.org/officeDocument/2006/relationships/theme" Target="theme/theme1.xml"/><Relationship Id="rId8" Type="http://schemas.openxmlformats.org/officeDocument/2006/relationships/hyperlink" Target="http://www.nevo.co.il/law/4216" TargetMode="External"/><Relationship Id="rId51" Type="http://schemas.openxmlformats.org/officeDocument/2006/relationships/hyperlink" Target="http://www.nevo.co.il/case/22938500"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3575417" TargetMode="External"/><Relationship Id="rId33" Type="http://schemas.openxmlformats.org/officeDocument/2006/relationships/hyperlink" Target="http://www.nevo.co.il/case/13049328" TargetMode="External"/><Relationship Id="rId38" Type="http://schemas.openxmlformats.org/officeDocument/2006/relationships/hyperlink" Target="http://www.nevo.co.il/case/21702902" TargetMode="External"/><Relationship Id="rId46" Type="http://schemas.openxmlformats.org/officeDocument/2006/relationships/hyperlink" Target="http://www.nevo.co.il/case/20163834" TargetMode="External"/><Relationship Id="rId59" Type="http://schemas.openxmlformats.org/officeDocument/2006/relationships/header" Target="header1.xml"/><Relationship Id="rId20" Type="http://schemas.openxmlformats.org/officeDocument/2006/relationships/hyperlink" Target="http://www.nevo.co.il/case/5810781" TargetMode="External"/><Relationship Id="rId41" Type="http://schemas.openxmlformats.org/officeDocument/2006/relationships/hyperlink" Target="http://www.nevo.co.il/case/24324740" TargetMode="External"/><Relationship Id="rId54" Type="http://schemas.openxmlformats.org/officeDocument/2006/relationships/hyperlink" Target="http://www.nevo.co.il/safrut/book/30035"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1553" TargetMode="External"/><Relationship Id="rId23" Type="http://schemas.openxmlformats.org/officeDocument/2006/relationships/hyperlink" Target="http://www.nevo.co.il/case/16910789"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2267098"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7.a.+" TargetMode="External"/><Relationship Id="rId31" Type="http://schemas.openxmlformats.org/officeDocument/2006/relationships/hyperlink" Target="http://www.nevo.co.il/case/20508472" TargetMode="External"/><Relationship Id="rId44" Type="http://schemas.openxmlformats.org/officeDocument/2006/relationships/hyperlink" Target="http://www.nevo.co.il/case/22357462" TargetMode="External"/><Relationship Id="rId52" Type="http://schemas.openxmlformats.org/officeDocument/2006/relationships/hyperlink" Target="http://www.nevo.co.il/law/70301/40d.a"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4903</Words>
  <Characters>24520</Characters>
  <Application>Microsoft Office Word</Application>
  <DocSecurity>0</DocSecurity>
  <Lines>204</Lines>
  <Paragraphs>58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29365</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4915205</vt:i4>
      </vt:variant>
      <vt:variant>
        <vt:i4>150</vt:i4>
      </vt:variant>
      <vt:variant>
        <vt:i4>0</vt:i4>
      </vt:variant>
      <vt:variant>
        <vt:i4>5</vt:i4>
      </vt:variant>
      <vt:variant>
        <vt:lpwstr>http://www.nevo.co.il/law/70301/40d.a</vt:lpwstr>
      </vt:variant>
      <vt:variant>
        <vt:lpwstr/>
      </vt:variant>
      <vt:variant>
        <vt:i4>3539060</vt:i4>
      </vt:variant>
      <vt:variant>
        <vt:i4>147</vt:i4>
      </vt:variant>
      <vt:variant>
        <vt:i4>0</vt:i4>
      </vt:variant>
      <vt:variant>
        <vt:i4>5</vt:i4>
      </vt:variant>
      <vt:variant>
        <vt:lpwstr>http://www.nevo.co.il/case/22346615</vt:lpwstr>
      </vt:variant>
      <vt:variant>
        <vt:lpwstr/>
      </vt:variant>
      <vt:variant>
        <vt:i4>7471155</vt:i4>
      </vt:variant>
      <vt:variant>
        <vt:i4>144</vt:i4>
      </vt:variant>
      <vt:variant>
        <vt:i4>0</vt:i4>
      </vt:variant>
      <vt:variant>
        <vt:i4>5</vt:i4>
      </vt:variant>
      <vt:variant>
        <vt:lpwstr>http://www.nevo.co.il/safrut/book/30035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3342448</vt:i4>
      </vt:variant>
      <vt:variant>
        <vt:i4>135</vt:i4>
      </vt:variant>
      <vt:variant>
        <vt:i4>0</vt:i4>
      </vt:variant>
      <vt:variant>
        <vt:i4>5</vt:i4>
      </vt:variant>
      <vt:variant>
        <vt:lpwstr>http://www.nevo.co.il/case/22938500</vt:lpwstr>
      </vt:variant>
      <vt:variant>
        <vt:lpwstr/>
      </vt:variant>
      <vt:variant>
        <vt:i4>8257634</vt:i4>
      </vt:variant>
      <vt:variant>
        <vt:i4>132</vt:i4>
      </vt:variant>
      <vt:variant>
        <vt:i4>0</vt:i4>
      </vt:variant>
      <vt:variant>
        <vt:i4>5</vt:i4>
      </vt:variant>
      <vt:variant>
        <vt:lpwstr>http://www.nevo.co.il/law/71553</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4915205</vt:i4>
      </vt:variant>
      <vt:variant>
        <vt:i4>126</vt:i4>
      </vt:variant>
      <vt:variant>
        <vt:i4>0</vt:i4>
      </vt:variant>
      <vt:variant>
        <vt:i4>5</vt:i4>
      </vt:variant>
      <vt:variant>
        <vt:lpwstr>http://www.nevo.co.il/law/70301/40d.a</vt:lpwstr>
      </vt:variant>
      <vt:variant>
        <vt:lpwstr/>
      </vt:variant>
      <vt:variant>
        <vt:i4>3473525</vt:i4>
      </vt:variant>
      <vt:variant>
        <vt:i4>123</vt:i4>
      </vt:variant>
      <vt:variant>
        <vt:i4>0</vt:i4>
      </vt:variant>
      <vt:variant>
        <vt:i4>5</vt:i4>
      </vt:variant>
      <vt:variant>
        <vt:lpwstr>http://www.nevo.co.il/case/21777779</vt:lpwstr>
      </vt:variant>
      <vt:variant>
        <vt:lpwstr/>
      </vt:variant>
      <vt:variant>
        <vt:i4>3342458</vt:i4>
      </vt:variant>
      <vt:variant>
        <vt:i4>120</vt:i4>
      </vt:variant>
      <vt:variant>
        <vt:i4>0</vt:i4>
      </vt:variant>
      <vt:variant>
        <vt:i4>5</vt:i4>
      </vt:variant>
      <vt:variant>
        <vt:lpwstr>http://www.nevo.co.il/case/20163834</vt:lpwstr>
      </vt:variant>
      <vt:variant>
        <vt:lpwstr/>
      </vt:variant>
      <vt:variant>
        <vt:i4>3407991</vt:i4>
      </vt:variant>
      <vt:variant>
        <vt:i4>117</vt:i4>
      </vt:variant>
      <vt:variant>
        <vt:i4>0</vt:i4>
      </vt:variant>
      <vt:variant>
        <vt:i4>5</vt:i4>
      </vt:variant>
      <vt:variant>
        <vt:lpwstr>http://www.nevo.co.il/case/25312776</vt:lpwstr>
      </vt:variant>
      <vt:variant>
        <vt:lpwstr/>
      </vt:variant>
      <vt:variant>
        <vt:i4>3145847</vt:i4>
      </vt:variant>
      <vt:variant>
        <vt:i4>114</vt:i4>
      </vt:variant>
      <vt:variant>
        <vt:i4>0</vt:i4>
      </vt:variant>
      <vt:variant>
        <vt:i4>5</vt:i4>
      </vt:variant>
      <vt:variant>
        <vt:lpwstr>http://www.nevo.co.il/case/22357462</vt:lpwstr>
      </vt:variant>
      <vt:variant>
        <vt:lpwstr/>
      </vt:variant>
      <vt:variant>
        <vt:i4>3145840</vt:i4>
      </vt:variant>
      <vt:variant>
        <vt:i4>111</vt:i4>
      </vt:variant>
      <vt:variant>
        <vt:i4>0</vt:i4>
      </vt:variant>
      <vt:variant>
        <vt:i4>5</vt:i4>
      </vt:variant>
      <vt:variant>
        <vt:lpwstr>http://www.nevo.co.il/case/21939622</vt:lpwstr>
      </vt:variant>
      <vt:variant>
        <vt:lpwstr/>
      </vt:variant>
      <vt:variant>
        <vt:i4>3473529</vt:i4>
      </vt:variant>
      <vt:variant>
        <vt:i4>108</vt:i4>
      </vt:variant>
      <vt:variant>
        <vt:i4>0</vt:i4>
      </vt:variant>
      <vt:variant>
        <vt:i4>5</vt:i4>
      </vt:variant>
      <vt:variant>
        <vt:lpwstr>http://www.nevo.co.il/case/18107527</vt:lpwstr>
      </vt:variant>
      <vt:variant>
        <vt:lpwstr/>
      </vt:variant>
      <vt:variant>
        <vt:i4>3211381</vt:i4>
      </vt:variant>
      <vt:variant>
        <vt:i4>105</vt:i4>
      </vt:variant>
      <vt:variant>
        <vt:i4>0</vt:i4>
      </vt:variant>
      <vt:variant>
        <vt:i4>5</vt:i4>
      </vt:variant>
      <vt:variant>
        <vt:lpwstr>http://www.nevo.co.il/case/24324740</vt:lpwstr>
      </vt:variant>
      <vt:variant>
        <vt:lpwstr/>
      </vt:variant>
      <vt:variant>
        <vt:i4>3473524</vt:i4>
      </vt:variant>
      <vt:variant>
        <vt:i4>102</vt:i4>
      </vt:variant>
      <vt:variant>
        <vt:i4>0</vt:i4>
      </vt:variant>
      <vt:variant>
        <vt:i4>5</vt:i4>
      </vt:variant>
      <vt:variant>
        <vt:lpwstr>http://www.nevo.co.il/case/20114120</vt:lpwstr>
      </vt:variant>
      <vt:variant>
        <vt:lpwstr/>
      </vt:variant>
      <vt:variant>
        <vt:i4>3539068</vt:i4>
      </vt:variant>
      <vt:variant>
        <vt:i4>99</vt:i4>
      </vt:variant>
      <vt:variant>
        <vt:i4>0</vt:i4>
      </vt:variant>
      <vt:variant>
        <vt:i4>5</vt:i4>
      </vt:variant>
      <vt:variant>
        <vt:lpwstr>http://www.nevo.co.il/case/6161385</vt:lpwstr>
      </vt:variant>
      <vt:variant>
        <vt:lpwstr/>
      </vt:variant>
      <vt:variant>
        <vt:i4>3604604</vt:i4>
      </vt:variant>
      <vt:variant>
        <vt:i4>96</vt:i4>
      </vt:variant>
      <vt:variant>
        <vt:i4>0</vt:i4>
      </vt:variant>
      <vt:variant>
        <vt:i4>5</vt:i4>
      </vt:variant>
      <vt:variant>
        <vt:lpwstr>http://www.nevo.co.il/case/21702902</vt:lpwstr>
      </vt:variant>
      <vt:variant>
        <vt:lpwstr/>
      </vt:variant>
      <vt:variant>
        <vt:i4>3801214</vt:i4>
      </vt:variant>
      <vt:variant>
        <vt:i4>93</vt:i4>
      </vt:variant>
      <vt:variant>
        <vt:i4>0</vt:i4>
      </vt:variant>
      <vt:variant>
        <vt:i4>5</vt:i4>
      </vt:variant>
      <vt:variant>
        <vt:lpwstr>http://www.nevo.co.il/case/25975844</vt:lpwstr>
      </vt:variant>
      <vt:variant>
        <vt:lpwstr/>
      </vt:variant>
      <vt:variant>
        <vt:i4>4063344</vt:i4>
      </vt:variant>
      <vt:variant>
        <vt:i4>90</vt:i4>
      </vt:variant>
      <vt:variant>
        <vt:i4>0</vt:i4>
      </vt:variant>
      <vt:variant>
        <vt:i4>5</vt:i4>
      </vt:variant>
      <vt:variant>
        <vt:lpwstr>http://www.nevo.co.il/case/22267098</vt:lpwstr>
      </vt:variant>
      <vt:variant>
        <vt:lpwstr/>
      </vt:variant>
      <vt:variant>
        <vt:i4>3211390</vt:i4>
      </vt:variant>
      <vt:variant>
        <vt:i4>87</vt:i4>
      </vt:variant>
      <vt:variant>
        <vt:i4>0</vt:i4>
      </vt:variant>
      <vt:variant>
        <vt:i4>5</vt:i4>
      </vt:variant>
      <vt:variant>
        <vt:lpwstr>http://www.nevo.co.il/case/20395358</vt:lpwstr>
      </vt:variant>
      <vt:variant>
        <vt:lpwstr/>
      </vt:variant>
      <vt:variant>
        <vt:i4>4063358</vt:i4>
      </vt:variant>
      <vt:variant>
        <vt:i4>84</vt:i4>
      </vt:variant>
      <vt:variant>
        <vt:i4>0</vt:i4>
      </vt:variant>
      <vt:variant>
        <vt:i4>5</vt:i4>
      </vt:variant>
      <vt:variant>
        <vt:lpwstr>http://www.nevo.co.il/case/23299070</vt:lpwstr>
      </vt:variant>
      <vt:variant>
        <vt:lpwstr/>
      </vt:variant>
      <vt:variant>
        <vt:i4>3801200</vt:i4>
      </vt:variant>
      <vt:variant>
        <vt:i4>81</vt:i4>
      </vt:variant>
      <vt:variant>
        <vt:i4>0</vt:i4>
      </vt:variant>
      <vt:variant>
        <vt:i4>5</vt:i4>
      </vt:variant>
      <vt:variant>
        <vt:lpwstr>http://www.nevo.co.il/case/13049328</vt:lpwstr>
      </vt:variant>
      <vt:variant>
        <vt:lpwstr/>
      </vt:variant>
      <vt:variant>
        <vt:i4>3276913</vt:i4>
      </vt:variant>
      <vt:variant>
        <vt:i4>78</vt:i4>
      </vt:variant>
      <vt:variant>
        <vt:i4>0</vt:i4>
      </vt:variant>
      <vt:variant>
        <vt:i4>5</vt:i4>
      </vt:variant>
      <vt:variant>
        <vt:lpwstr>http://www.nevo.co.il/case/21776318</vt:lpwstr>
      </vt:variant>
      <vt:variant>
        <vt:lpwstr/>
      </vt:variant>
      <vt:variant>
        <vt:i4>3670128</vt:i4>
      </vt:variant>
      <vt:variant>
        <vt:i4>75</vt:i4>
      </vt:variant>
      <vt:variant>
        <vt:i4>0</vt:i4>
      </vt:variant>
      <vt:variant>
        <vt:i4>5</vt:i4>
      </vt:variant>
      <vt:variant>
        <vt:lpwstr>http://www.nevo.co.il/case/20508472</vt:lpwstr>
      </vt:variant>
      <vt:variant>
        <vt:lpwstr/>
      </vt:variant>
      <vt:variant>
        <vt:i4>7405625</vt:i4>
      </vt:variant>
      <vt:variant>
        <vt:i4>72</vt:i4>
      </vt:variant>
      <vt:variant>
        <vt:i4>0</vt:i4>
      </vt:variant>
      <vt:variant>
        <vt:i4>5</vt:i4>
      </vt:variant>
      <vt:variant>
        <vt:lpwstr>http://www.nevo.co.il/safrut/book/15850</vt:lpwstr>
      </vt:variant>
      <vt:variant>
        <vt:lpwstr/>
      </vt:variant>
      <vt:variant>
        <vt:i4>8257646</vt:i4>
      </vt:variant>
      <vt:variant>
        <vt:i4>69</vt:i4>
      </vt:variant>
      <vt:variant>
        <vt:i4>0</vt:i4>
      </vt:variant>
      <vt:variant>
        <vt:i4>5</vt:i4>
      </vt:variant>
      <vt:variant>
        <vt:lpwstr>http://www.nevo.co.il/law/74903</vt:lpwstr>
      </vt:variant>
      <vt:variant>
        <vt:lpwstr/>
      </vt:variant>
      <vt:variant>
        <vt:i4>7995492</vt:i4>
      </vt:variant>
      <vt:variant>
        <vt:i4>66</vt:i4>
      </vt:variant>
      <vt:variant>
        <vt:i4>0</vt:i4>
      </vt:variant>
      <vt:variant>
        <vt:i4>5</vt:i4>
      </vt:variant>
      <vt:variant>
        <vt:lpwstr>http://www.nevo.co.il/law/70301</vt:lpwstr>
      </vt:variant>
      <vt:variant>
        <vt:lpwstr/>
      </vt:variant>
      <vt:variant>
        <vt:i4>3145853</vt:i4>
      </vt:variant>
      <vt:variant>
        <vt:i4>63</vt:i4>
      </vt:variant>
      <vt:variant>
        <vt:i4>0</vt:i4>
      </vt:variant>
      <vt:variant>
        <vt:i4>5</vt:i4>
      </vt:variant>
      <vt:variant>
        <vt:lpwstr>http://www.nevo.co.il/case/25685411</vt:lpwstr>
      </vt:variant>
      <vt:variant>
        <vt:lpwstr/>
      </vt:variant>
      <vt:variant>
        <vt:i4>3407990</vt:i4>
      </vt:variant>
      <vt:variant>
        <vt:i4>60</vt:i4>
      </vt:variant>
      <vt:variant>
        <vt:i4>0</vt:i4>
      </vt:variant>
      <vt:variant>
        <vt:i4>5</vt:i4>
      </vt:variant>
      <vt:variant>
        <vt:lpwstr>http://www.nevo.co.il/case/22326235</vt:lpwstr>
      </vt:variant>
      <vt:variant>
        <vt:lpwstr/>
      </vt:variant>
      <vt:variant>
        <vt:i4>3342452</vt:i4>
      </vt:variant>
      <vt:variant>
        <vt:i4>57</vt:i4>
      </vt:variant>
      <vt:variant>
        <vt:i4>0</vt:i4>
      </vt:variant>
      <vt:variant>
        <vt:i4>5</vt:i4>
      </vt:variant>
      <vt:variant>
        <vt:lpwstr>http://www.nevo.co.il/case/23575417</vt:lpwstr>
      </vt:variant>
      <vt:variant>
        <vt:lpwstr/>
      </vt:variant>
      <vt:variant>
        <vt:i4>3997811</vt:i4>
      </vt:variant>
      <vt:variant>
        <vt:i4>54</vt:i4>
      </vt:variant>
      <vt:variant>
        <vt:i4>0</vt:i4>
      </vt:variant>
      <vt:variant>
        <vt:i4>5</vt:i4>
      </vt:variant>
      <vt:variant>
        <vt:lpwstr>http://www.nevo.co.il/case/16941543</vt:lpwstr>
      </vt:variant>
      <vt:variant>
        <vt:lpwstr/>
      </vt:variant>
      <vt:variant>
        <vt:i4>3145844</vt:i4>
      </vt:variant>
      <vt:variant>
        <vt:i4>51</vt:i4>
      </vt:variant>
      <vt:variant>
        <vt:i4>0</vt:i4>
      </vt:variant>
      <vt:variant>
        <vt:i4>5</vt:i4>
      </vt:variant>
      <vt:variant>
        <vt:lpwstr>http://www.nevo.co.il/case/16910789</vt:lpwstr>
      </vt:variant>
      <vt:variant>
        <vt:lpwstr/>
      </vt:variant>
      <vt:variant>
        <vt:i4>3866740</vt:i4>
      </vt:variant>
      <vt:variant>
        <vt:i4>48</vt:i4>
      </vt:variant>
      <vt:variant>
        <vt:i4>0</vt:i4>
      </vt:variant>
      <vt:variant>
        <vt:i4>5</vt:i4>
      </vt:variant>
      <vt:variant>
        <vt:lpwstr>http://www.nevo.co.il/case/16975164</vt:lpwstr>
      </vt:variant>
      <vt:variant>
        <vt:lpwstr/>
      </vt:variant>
      <vt:variant>
        <vt:i4>3604602</vt:i4>
      </vt:variant>
      <vt:variant>
        <vt:i4>45</vt:i4>
      </vt:variant>
      <vt:variant>
        <vt:i4>0</vt:i4>
      </vt:variant>
      <vt:variant>
        <vt:i4>5</vt:i4>
      </vt:variant>
      <vt:variant>
        <vt:lpwstr>http://www.nevo.co.il/case/7980179</vt:lpwstr>
      </vt:variant>
      <vt:variant>
        <vt:lpwstr/>
      </vt:variant>
      <vt:variant>
        <vt:i4>3276916</vt:i4>
      </vt:variant>
      <vt:variant>
        <vt:i4>42</vt:i4>
      </vt:variant>
      <vt:variant>
        <vt:i4>0</vt:i4>
      </vt:variant>
      <vt:variant>
        <vt:i4>5</vt:i4>
      </vt:variant>
      <vt:variant>
        <vt:lpwstr>http://www.nevo.co.il/case/5810781</vt:lpwstr>
      </vt:variant>
      <vt:variant>
        <vt:lpwstr/>
      </vt:variant>
      <vt:variant>
        <vt:i4>3932284</vt:i4>
      </vt:variant>
      <vt:variant>
        <vt:i4>39</vt:i4>
      </vt:variant>
      <vt:variant>
        <vt:i4>0</vt:i4>
      </vt:variant>
      <vt:variant>
        <vt:i4>5</vt:i4>
      </vt:variant>
      <vt:variant>
        <vt:lpwstr>http://www.nevo.co.il/case/8478043</vt:lpwstr>
      </vt:variant>
      <vt:variant>
        <vt:lpwstr/>
      </vt:variant>
      <vt:variant>
        <vt:i4>5701727</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8257634</vt:i4>
      </vt:variant>
      <vt:variant>
        <vt:i4>27</vt:i4>
      </vt:variant>
      <vt:variant>
        <vt:i4>0</vt:i4>
      </vt:variant>
      <vt:variant>
        <vt:i4>5</vt:i4>
      </vt:variant>
      <vt:variant>
        <vt:lpwstr>http://www.nevo.co.il/law/71553</vt:lpwstr>
      </vt:variant>
      <vt:variant>
        <vt:lpwstr/>
      </vt:variant>
      <vt:variant>
        <vt:i4>8257646</vt:i4>
      </vt:variant>
      <vt:variant>
        <vt:i4>24</vt:i4>
      </vt:variant>
      <vt:variant>
        <vt:i4>0</vt:i4>
      </vt:variant>
      <vt:variant>
        <vt:i4>5</vt:i4>
      </vt:variant>
      <vt:variant>
        <vt:lpwstr>http://www.nevo.co.il/law/74903</vt:lpwstr>
      </vt:variant>
      <vt:variant>
        <vt:lpwstr/>
      </vt:variant>
      <vt:variant>
        <vt:i4>4915205</vt:i4>
      </vt:variant>
      <vt:variant>
        <vt:i4>21</vt:i4>
      </vt:variant>
      <vt:variant>
        <vt:i4>0</vt:i4>
      </vt:variant>
      <vt:variant>
        <vt:i4>5</vt:i4>
      </vt:variant>
      <vt:variant>
        <vt:lpwstr>http://www.nevo.co.il/law/70301/40d.a</vt:lpwstr>
      </vt:variant>
      <vt:variant>
        <vt:lpwstr/>
      </vt:variant>
      <vt:variant>
        <vt:i4>7995492</vt:i4>
      </vt:variant>
      <vt:variant>
        <vt:i4>18</vt:i4>
      </vt:variant>
      <vt:variant>
        <vt:i4>0</vt:i4>
      </vt:variant>
      <vt:variant>
        <vt:i4>5</vt:i4>
      </vt:variant>
      <vt:variant>
        <vt:lpwstr>http://www.nevo.co.il/law/70301</vt:lpwstr>
      </vt:variant>
      <vt:variant>
        <vt:lpwstr/>
      </vt:variant>
      <vt:variant>
        <vt:i4>2752612</vt:i4>
      </vt:variant>
      <vt:variant>
        <vt:i4>15</vt:i4>
      </vt:variant>
      <vt:variant>
        <vt:i4>0</vt:i4>
      </vt:variant>
      <vt:variant>
        <vt:i4>5</vt:i4>
      </vt:variant>
      <vt:variant>
        <vt:lpwstr>http://www.nevo.co.il/law/4216/7.c</vt:lpwstr>
      </vt:variant>
      <vt:variant>
        <vt:lpwstr/>
      </vt:variant>
      <vt:variant>
        <vt:i4>196682</vt:i4>
      </vt:variant>
      <vt:variant>
        <vt:i4>12</vt:i4>
      </vt:variant>
      <vt:variant>
        <vt:i4>0</vt:i4>
      </vt:variant>
      <vt:variant>
        <vt:i4>5</vt:i4>
      </vt:variant>
      <vt:variant>
        <vt:lpwstr>http://www.nevo.co.il/law/4216/7.a.+</vt:lpwstr>
      </vt:variant>
      <vt:variant>
        <vt:lpwstr/>
      </vt:variant>
      <vt:variant>
        <vt:i4>4718666</vt:i4>
      </vt:variant>
      <vt:variant>
        <vt:i4>9</vt:i4>
      </vt:variant>
      <vt:variant>
        <vt:i4>0</vt:i4>
      </vt:variant>
      <vt:variant>
        <vt:i4>5</vt:i4>
      </vt:variant>
      <vt:variant>
        <vt:lpwstr>http://www.nevo.co.il/law/4216/6</vt:lpwstr>
      </vt:variant>
      <vt:variant>
        <vt:lpwstr/>
      </vt:variant>
      <vt:variant>
        <vt:i4>8257637</vt:i4>
      </vt:variant>
      <vt:variant>
        <vt:i4>6</vt:i4>
      </vt:variant>
      <vt:variant>
        <vt:i4>0</vt:i4>
      </vt:variant>
      <vt:variant>
        <vt:i4>5</vt:i4>
      </vt:variant>
      <vt:variant>
        <vt:lpwstr>http://www.nevo.co.il/law/4216</vt:lpwstr>
      </vt:variant>
      <vt:variant>
        <vt:lpwstr/>
      </vt:variant>
      <vt:variant>
        <vt:i4>7405625</vt:i4>
      </vt:variant>
      <vt:variant>
        <vt:i4>3</vt:i4>
      </vt:variant>
      <vt:variant>
        <vt:i4>0</vt:i4>
      </vt:variant>
      <vt:variant>
        <vt:i4>5</vt:i4>
      </vt:variant>
      <vt:variant>
        <vt:lpwstr>http://www.nevo.co.il/safrut/book/15850</vt:lpwstr>
      </vt:variant>
      <vt:variant>
        <vt:lpwstr/>
      </vt:variant>
      <vt:variant>
        <vt:i4>7471155</vt:i4>
      </vt:variant>
      <vt:variant>
        <vt:i4>0</vt:i4>
      </vt:variant>
      <vt:variant>
        <vt:i4>0</vt:i4>
      </vt:variant>
      <vt:variant>
        <vt:i4>5</vt:i4>
      </vt:variant>
      <vt:variant>
        <vt:lpwstr>http://www.nevo.co.il/safrut/book/30035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59939</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אורן גרבלי</vt:lpwstr>
  </property>
  <property fmtid="{D5CDD505-2E9C-101B-9397-08002B2CF9AE}" pid="10" name="LAWYER">
    <vt:lpwstr>מיכל כהן סתיו;איתמר פלג ממשרד שרון נהרי</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20190916</vt:lpwstr>
  </property>
  <property fmtid="{D5CDD505-2E9C-101B-9397-08002B2CF9AE}" pid="14" name="TYPE_N_DATE">
    <vt:lpwstr>38020190916</vt:lpwstr>
  </property>
  <property fmtid="{D5CDD505-2E9C-101B-9397-08002B2CF9AE}" pid="15" name="CASESLISTTMP1">
    <vt:lpwstr>8478043;5810781;7980179;16975164;16910789;16941543;23575417;22326235;25685411;20508472;21776318;13049328;23299070;20395358;22267098;25975844;21702902;6161385;20114120;24324740;18107527;21939622;22357462;25312776;20163834;21777779;22938500;22346615</vt:lpwstr>
  </property>
  <property fmtid="{D5CDD505-2E9C-101B-9397-08002B2CF9AE}" pid="16" name="CASENOTES1">
    <vt:lpwstr>ProcID=174&amp;PartA=722&amp;PartC=14</vt:lpwstr>
  </property>
  <property fmtid="{D5CDD505-2E9C-101B-9397-08002B2CF9AE}" pid="17" name="BOOKLISTTMP1">
    <vt:lpwstr>30035;15850</vt:lpwstr>
  </property>
  <property fmtid="{D5CDD505-2E9C-101B-9397-08002B2CF9AE}" pid="18" name="WORDNUMPAGES">
    <vt:lpwstr>12</vt:lpwstr>
  </property>
  <property fmtid="{D5CDD505-2E9C-101B-9397-08002B2CF9AE}" pid="19" name="TYPE_ABS_DATE">
    <vt:lpwstr>380020190916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4216/006;007.a.+;007.c</vt:lpwstr>
  </property>
  <property fmtid="{D5CDD505-2E9C-101B-9397-08002B2CF9AE}" pid="39" name="LAWLISTTMP2">
    <vt:lpwstr>70301/040d.a:3</vt:lpwstr>
  </property>
  <property fmtid="{D5CDD505-2E9C-101B-9397-08002B2CF9AE}" pid="40" name="LAWLISTTMP3">
    <vt:lpwstr>74903</vt:lpwstr>
  </property>
  <property fmtid="{D5CDD505-2E9C-101B-9397-08002B2CF9AE}" pid="41" name="LAWLISTTMP4">
    <vt:lpwstr>71553</vt:lpwstr>
  </property>
</Properties>
</file>