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4A1E7E" w:rsidRPr="00E35858" w14:paraId="71277447" w14:textId="77777777" w:rsidTr="008B7A1A">
        <w:trPr>
          <w:trHeight w:hRule="exact" w:val="418"/>
          <w:jc w:val="center"/>
        </w:trPr>
        <w:tc>
          <w:tcPr>
            <w:tcW w:w="8721" w:type="dxa"/>
            <w:gridSpan w:val="2"/>
          </w:tcPr>
          <w:p w14:paraId="6AC3B5EF" w14:textId="77777777" w:rsidR="004A1E7E" w:rsidRPr="00E35858" w:rsidRDefault="004A1E7E" w:rsidP="00D6076A">
            <w:pPr>
              <w:pStyle w:val="a3"/>
              <w:jc w:val="center"/>
              <w:rPr>
                <w:rFonts w:ascii="Tahoma" w:hAnsi="Tahoma" w:cs="Tahoma"/>
                <w:color w:val="000080"/>
                <w:rtl/>
              </w:rPr>
            </w:pPr>
            <w:bookmarkStart w:id="0" w:name="LastJudge"/>
            <w:r w:rsidRPr="00E35858">
              <w:rPr>
                <w:rFonts w:ascii="Tahoma" w:hAnsi="Tahoma" w:cs="Tahoma"/>
                <w:b/>
                <w:bCs/>
                <w:color w:val="000080"/>
                <w:rtl/>
              </w:rPr>
              <w:t>בית משפט השלום ברמלה</w:t>
            </w:r>
          </w:p>
        </w:tc>
      </w:tr>
      <w:tr w:rsidR="004A1E7E" w:rsidRPr="00E35858" w14:paraId="009BC3D1" w14:textId="77777777" w:rsidTr="008B7A1A">
        <w:trPr>
          <w:trHeight w:val="337"/>
          <w:jc w:val="center"/>
        </w:trPr>
        <w:tc>
          <w:tcPr>
            <w:tcW w:w="5054" w:type="dxa"/>
          </w:tcPr>
          <w:p w14:paraId="11A4BB8F" w14:textId="77777777" w:rsidR="004A1E7E" w:rsidRPr="00E35858" w:rsidRDefault="004A1E7E" w:rsidP="00D6076A">
            <w:pPr>
              <w:rPr>
                <w:rFonts w:cs="FrankRuehl"/>
                <w:sz w:val="28"/>
                <w:szCs w:val="28"/>
                <w:rtl/>
              </w:rPr>
            </w:pPr>
            <w:r w:rsidRPr="00E35858">
              <w:rPr>
                <w:rFonts w:cs="FrankRuehl"/>
                <w:sz w:val="28"/>
                <w:szCs w:val="28"/>
                <w:rtl/>
              </w:rPr>
              <w:t>ת"פ</w:t>
            </w:r>
            <w:r w:rsidRPr="00E35858">
              <w:rPr>
                <w:rFonts w:cs="FrankRuehl" w:hint="cs"/>
                <w:sz w:val="28"/>
                <w:szCs w:val="28"/>
                <w:rtl/>
              </w:rPr>
              <w:t xml:space="preserve"> </w:t>
            </w:r>
            <w:hyperlink r:id="rId7" w:history="1">
              <w:r w:rsidR="00D17A24" w:rsidRPr="00D17A24">
                <w:rPr>
                  <w:rFonts w:cs="FrankRuehl"/>
                  <w:color w:val="0000FF"/>
                  <w:sz w:val="28"/>
                  <w:szCs w:val="28"/>
                  <w:u w:val="single"/>
                  <w:rtl/>
                </w:rPr>
                <w:t xml:space="preserve">62426-11-17 </w:t>
              </w:r>
            </w:hyperlink>
            <w:r w:rsidRPr="00E35858">
              <w:rPr>
                <w:rFonts w:cs="FrankRuehl" w:hint="cs"/>
                <w:sz w:val="28"/>
                <w:szCs w:val="28"/>
                <w:rtl/>
              </w:rPr>
              <w:t xml:space="preserve"> </w:t>
            </w:r>
            <w:r w:rsidRPr="00E35858">
              <w:rPr>
                <w:rFonts w:cs="FrankRuehl"/>
                <w:sz w:val="28"/>
                <w:szCs w:val="28"/>
                <w:rtl/>
              </w:rPr>
              <w:t>מדינת ישראל נ' עבד אל קאדר</w:t>
            </w:r>
          </w:p>
          <w:p w14:paraId="77BC28D9" w14:textId="77777777" w:rsidR="004A1E7E" w:rsidRPr="00E35858" w:rsidRDefault="004A1E7E" w:rsidP="00D6076A">
            <w:pPr>
              <w:pStyle w:val="a3"/>
              <w:rPr>
                <w:rFonts w:cs="FrankRuehl"/>
                <w:sz w:val="28"/>
                <w:szCs w:val="28"/>
                <w:rtl/>
              </w:rPr>
            </w:pPr>
          </w:p>
        </w:tc>
        <w:tc>
          <w:tcPr>
            <w:tcW w:w="3667" w:type="dxa"/>
          </w:tcPr>
          <w:p w14:paraId="08780D1D" w14:textId="77777777" w:rsidR="004A1E7E" w:rsidRPr="00E35858" w:rsidRDefault="004A1E7E" w:rsidP="00D6076A">
            <w:pPr>
              <w:pStyle w:val="a3"/>
              <w:jc w:val="right"/>
              <w:rPr>
                <w:rFonts w:cs="FrankRuehl"/>
                <w:sz w:val="28"/>
                <w:szCs w:val="28"/>
                <w:rtl/>
              </w:rPr>
            </w:pPr>
          </w:p>
        </w:tc>
      </w:tr>
    </w:tbl>
    <w:p w14:paraId="72B3D7D4" w14:textId="77777777" w:rsidR="004A1E7E" w:rsidRPr="00E35858" w:rsidRDefault="004A1E7E" w:rsidP="004A1E7E">
      <w:pPr>
        <w:pStyle w:val="a3"/>
        <w:rPr>
          <w:rtl/>
        </w:rPr>
      </w:pPr>
      <w:r w:rsidRPr="00E35858">
        <w:rPr>
          <w:rFonts w:hint="cs"/>
          <w:rtl/>
        </w:rPr>
        <w:t xml:space="preserve"> </w:t>
      </w:r>
    </w:p>
    <w:p w14:paraId="786BD4FA" w14:textId="77777777" w:rsidR="004A1E7E" w:rsidRPr="00E35858" w:rsidRDefault="004A1E7E" w:rsidP="004A1E7E">
      <w:pPr>
        <w:rPr>
          <w:rtl/>
        </w:rPr>
      </w:pPr>
    </w:p>
    <w:p w14:paraId="5BD67507" w14:textId="77777777" w:rsidR="004A1E7E" w:rsidRPr="00E35858" w:rsidRDefault="004A1E7E" w:rsidP="004A1E7E"/>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A1E7E" w:rsidRPr="00E35858" w14:paraId="70043069" w14:textId="77777777" w:rsidTr="004A1E7E">
        <w:trPr>
          <w:trHeight w:val="295"/>
          <w:jc w:val="center"/>
        </w:trPr>
        <w:tc>
          <w:tcPr>
            <w:tcW w:w="923" w:type="dxa"/>
            <w:tcBorders>
              <w:top w:val="nil"/>
              <w:left w:val="nil"/>
              <w:bottom w:val="nil"/>
              <w:right w:val="nil"/>
            </w:tcBorders>
            <w:shd w:val="clear" w:color="auto" w:fill="auto"/>
          </w:tcPr>
          <w:p w14:paraId="4D547146" w14:textId="77777777" w:rsidR="004A1E7E" w:rsidRPr="00E35858" w:rsidRDefault="004A1E7E" w:rsidP="004A1E7E">
            <w:pPr>
              <w:jc w:val="both"/>
              <w:rPr>
                <w:rFonts w:ascii="David" w:hAnsi="David"/>
                <w:sz w:val="26"/>
                <w:szCs w:val="26"/>
              </w:rPr>
            </w:pPr>
            <w:r w:rsidRPr="00E35858">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B8A5B34" w14:textId="77777777" w:rsidR="004A1E7E" w:rsidRPr="00E35858" w:rsidRDefault="004A1E7E" w:rsidP="00D6076A">
            <w:pPr>
              <w:rPr>
                <w:rFonts w:ascii="David" w:hAnsi="David"/>
                <w:b/>
                <w:bCs/>
                <w:sz w:val="26"/>
                <w:szCs w:val="26"/>
                <w:rtl/>
              </w:rPr>
            </w:pPr>
            <w:r w:rsidRPr="00E35858">
              <w:rPr>
                <w:rFonts w:ascii="David" w:hAnsi="David"/>
                <w:b/>
                <w:bCs/>
                <w:sz w:val="26"/>
                <w:szCs w:val="26"/>
                <w:rtl/>
              </w:rPr>
              <w:t>כבוד השופטת  רבקה גלט</w:t>
            </w:r>
          </w:p>
          <w:p w14:paraId="45D9AC63" w14:textId="77777777" w:rsidR="004A1E7E" w:rsidRPr="00E35858" w:rsidRDefault="004A1E7E" w:rsidP="00D6076A">
            <w:pPr>
              <w:rPr>
                <w:rFonts w:ascii="David" w:hAnsi="David"/>
                <w:sz w:val="26"/>
                <w:szCs w:val="26"/>
                <w:rtl/>
              </w:rPr>
            </w:pPr>
          </w:p>
          <w:p w14:paraId="4AB72B47" w14:textId="77777777" w:rsidR="004A1E7E" w:rsidRPr="00E35858" w:rsidRDefault="004A1E7E" w:rsidP="004A1E7E">
            <w:pPr>
              <w:jc w:val="both"/>
              <w:rPr>
                <w:rFonts w:ascii="David" w:hAnsi="David"/>
                <w:sz w:val="26"/>
                <w:szCs w:val="26"/>
              </w:rPr>
            </w:pPr>
          </w:p>
        </w:tc>
      </w:tr>
      <w:tr w:rsidR="004A1E7E" w:rsidRPr="00E35858" w14:paraId="02E2AA07" w14:textId="77777777" w:rsidTr="004A1E7E">
        <w:trPr>
          <w:trHeight w:val="355"/>
          <w:jc w:val="center"/>
        </w:trPr>
        <w:tc>
          <w:tcPr>
            <w:tcW w:w="923" w:type="dxa"/>
            <w:tcBorders>
              <w:top w:val="nil"/>
              <w:left w:val="nil"/>
              <w:bottom w:val="nil"/>
              <w:right w:val="nil"/>
            </w:tcBorders>
            <w:shd w:val="clear" w:color="auto" w:fill="auto"/>
          </w:tcPr>
          <w:p w14:paraId="6BC22261" w14:textId="77777777" w:rsidR="004A1E7E" w:rsidRPr="00E35858" w:rsidRDefault="004A1E7E" w:rsidP="004A1E7E">
            <w:pPr>
              <w:jc w:val="both"/>
              <w:rPr>
                <w:rFonts w:ascii="David" w:hAnsi="David"/>
                <w:b/>
                <w:bCs/>
                <w:sz w:val="26"/>
                <w:szCs w:val="26"/>
              </w:rPr>
            </w:pPr>
            <w:bookmarkStart w:id="1" w:name="FirstAppellant"/>
            <w:r w:rsidRPr="00E35858">
              <w:rPr>
                <w:rFonts w:ascii="David" w:hAnsi="David"/>
                <w:b/>
                <w:bCs/>
                <w:sz w:val="26"/>
                <w:szCs w:val="26"/>
                <w:rtl/>
              </w:rPr>
              <w:t>בעניין:</w:t>
            </w:r>
          </w:p>
        </w:tc>
        <w:tc>
          <w:tcPr>
            <w:tcW w:w="4126" w:type="dxa"/>
            <w:tcBorders>
              <w:top w:val="nil"/>
              <w:left w:val="nil"/>
              <w:bottom w:val="nil"/>
              <w:right w:val="nil"/>
            </w:tcBorders>
            <w:shd w:val="clear" w:color="auto" w:fill="auto"/>
          </w:tcPr>
          <w:p w14:paraId="11ADD55B" w14:textId="77777777" w:rsidR="004A1E7E" w:rsidRPr="00E35858" w:rsidRDefault="004A1E7E" w:rsidP="00D6076A">
            <w:pPr>
              <w:rPr>
                <w:rFonts w:ascii="David" w:hAnsi="David"/>
                <w:b/>
                <w:bCs/>
                <w:sz w:val="26"/>
                <w:szCs w:val="26"/>
              </w:rPr>
            </w:pPr>
            <w:r w:rsidRPr="00E35858">
              <w:rPr>
                <w:rFonts w:ascii="David" w:hAnsi="David"/>
                <w:b/>
                <w:bCs/>
                <w:sz w:val="26"/>
                <w:szCs w:val="26"/>
                <w:rtl/>
              </w:rPr>
              <w:t>מדינת ישראל</w:t>
            </w:r>
          </w:p>
        </w:tc>
        <w:tc>
          <w:tcPr>
            <w:tcW w:w="3771" w:type="dxa"/>
            <w:tcBorders>
              <w:top w:val="nil"/>
              <w:left w:val="nil"/>
              <w:bottom w:val="nil"/>
              <w:right w:val="nil"/>
            </w:tcBorders>
            <w:shd w:val="clear" w:color="auto" w:fill="auto"/>
          </w:tcPr>
          <w:p w14:paraId="54DED01C" w14:textId="77777777" w:rsidR="004A1E7E" w:rsidRPr="00E35858" w:rsidRDefault="004A1E7E" w:rsidP="004A1E7E">
            <w:pPr>
              <w:jc w:val="both"/>
              <w:rPr>
                <w:rFonts w:ascii="David" w:hAnsi="David"/>
                <w:b/>
                <w:bCs/>
                <w:sz w:val="26"/>
                <w:szCs w:val="26"/>
              </w:rPr>
            </w:pPr>
          </w:p>
        </w:tc>
      </w:tr>
      <w:tr w:rsidR="004A1E7E" w:rsidRPr="00E35858" w14:paraId="4CEAAC72" w14:textId="77777777" w:rsidTr="004A1E7E">
        <w:trPr>
          <w:trHeight w:val="355"/>
          <w:jc w:val="center"/>
        </w:trPr>
        <w:tc>
          <w:tcPr>
            <w:tcW w:w="923" w:type="dxa"/>
            <w:tcBorders>
              <w:top w:val="nil"/>
              <w:left w:val="nil"/>
              <w:bottom w:val="nil"/>
              <w:right w:val="nil"/>
            </w:tcBorders>
            <w:shd w:val="clear" w:color="auto" w:fill="auto"/>
          </w:tcPr>
          <w:p w14:paraId="4CA17894" w14:textId="77777777" w:rsidR="004A1E7E" w:rsidRPr="00E35858" w:rsidRDefault="004A1E7E" w:rsidP="004A1E7E">
            <w:pPr>
              <w:jc w:val="both"/>
              <w:rPr>
                <w:rFonts w:ascii="David" w:hAnsi="David"/>
                <w:b/>
                <w:bCs/>
                <w:sz w:val="26"/>
                <w:szCs w:val="26"/>
                <w:rtl/>
              </w:rPr>
            </w:pPr>
            <w:bookmarkStart w:id="2" w:name="FirstLawyer"/>
            <w:bookmarkEnd w:id="1"/>
          </w:p>
        </w:tc>
        <w:tc>
          <w:tcPr>
            <w:tcW w:w="4126" w:type="dxa"/>
            <w:tcBorders>
              <w:top w:val="nil"/>
              <w:left w:val="nil"/>
              <w:bottom w:val="nil"/>
              <w:right w:val="nil"/>
            </w:tcBorders>
            <w:shd w:val="clear" w:color="auto" w:fill="auto"/>
          </w:tcPr>
          <w:p w14:paraId="699B9BC9" w14:textId="77777777" w:rsidR="004A1E7E" w:rsidRPr="00E35858" w:rsidRDefault="004A1E7E" w:rsidP="004A1E7E">
            <w:pPr>
              <w:jc w:val="both"/>
              <w:rPr>
                <w:rFonts w:ascii="David" w:hAnsi="David"/>
                <w:b/>
                <w:bCs/>
                <w:sz w:val="26"/>
                <w:szCs w:val="26"/>
                <w:rtl/>
              </w:rPr>
            </w:pPr>
            <w:r w:rsidRPr="00E35858">
              <w:rPr>
                <w:rFonts w:ascii="David" w:hAnsi="David" w:hint="cs"/>
                <w:b/>
                <w:bCs/>
                <w:sz w:val="26"/>
                <w:szCs w:val="26"/>
                <w:rtl/>
              </w:rPr>
              <w:t>ע"י ב"כ עו"ד גינגולד ואלימלך</w:t>
            </w:r>
          </w:p>
        </w:tc>
        <w:tc>
          <w:tcPr>
            <w:tcW w:w="3771" w:type="dxa"/>
            <w:tcBorders>
              <w:top w:val="nil"/>
              <w:left w:val="nil"/>
              <w:bottom w:val="nil"/>
              <w:right w:val="nil"/>
            </w:tcBorders>
            <w:shd w:val="clear" w:color="auto" w:fill="auto"/>
          </w:tcPr>
          <w:p w14:paraId="11B44C95" w14:textId="77777777" w:rsidR="004A1E7E" w:rsidRPr="00E35858" w:rsidRDefault="004A1E7E" w:rsidP="004A1E7E">
            <w:pPr>
              <w:jc w:val="right"/>
              <w:rPr>
                <w:rFonts w:ascii="David" w:hAnsi="David"/>
                <w:b/>
                <w:bCs/>
                <w:sz w:val="26"/>
                <w:szCs w:val="26"/>
                <w:rtl/>
              </w:rPr>
            </w:pPr>
            <w:r w:rsidRPr="00E35858">
              <w:rPr>
                <w:rFonts w:ascii="David" w:hAnsi="David"/>
                <w:b/>
                <w:bCs/>
                <w:sz w:val="26"/>
                <w:szCs w:val="26"/>
                <w:rtl/>
              </w:rPr>
              <w:t>המאשימה</w:t>
            </w:r>
          </w:p>
        </w:tc>
      </w:tr>
      <w:bookmarkEnd w:id="2"/>
      <w:tr w:rsidR="004A1E7E" w:rsidRPr="00E35858" w14:paraId="50381676" w14:textId="77777777" w:rsidTr="004A1E7E">
        <w:trPr>
          <w:trHeight w:val="355"/>
          <w:jc w:val="center"/>
        </w:trPr>
        <w:tc>
          <w:tcPr>
            <w:tcW w:w="923" w:type="dxa"/>
            <w:tcBorders>
              <w:top w:val="nil"/>
              <w:left w:val="nil"/>
              <w:bottom w:val="nil"/>
              <w:right w:val="nil"/>
            </w:tcBorders>
            <w:shd w:val="clear" w:color="auto" w:fill="auto"/>
          </w:tcPr>
          <w:p w14:paraId="61E673B8" w14:textId="77777777" w:rsidR="004A1E7E" w:rsidRPr="00E35858" w:rsidRDefault="004A1E7E" w:rsidP="004A1E7E">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60F23FAB" w14:textId="77777777" w:rsidR="004A1E7E" w:rsidRPr="00E35858" w:rsidRDefault="004A1E7E" w:rsidP="004A1E7E">
            <w:pPr>
              <w:jc w:val="center"/>
              <w:rPr>
                <w:rFonts w:ascii="David" w:hAnsi="David"/>
                <w:b/>
                <w:bCs/>
                <w:sz w:val="26"/>
                <w:szCs w:val="26"/>
                <w:rtl/>
              </w:rPr>
            </w:pPr>
          </w:p>
          <w:p w14:paraId="48817D8E" w14:textId="77777777" w:rsidR="004A1E7E" w:rsidRPr="00E35858" w:rsidRDefault="004A1E7E" w:rsidP="004A1E7E">
            <w:pPr>
              <w:jc w:val="center"/>
              <w:rPr>
                <w:rFonts w:ascii="David" w:hAnsi="David"/>
                <w:b/>
                <w:bCs/>
                <w:sz w:val="26"/>
                <w:szCs w:val="26"/>
                <w:rtl/>
              </w:rPr>
            </w:pPr>
            <w:r w:rsidRPr="00E35858">
              <w:rPr>
                <w:rFonts w:ascii="David" w:hAnsi="David"/>
                <w:b/>
                <w:bCs/>
                <w:sz w:val="26"/>
                <w:szCs w:val="26"/>
                <w:rtl/>
              </w:rPr>
              <w:t>נגד</w:t>
            </w:r>
          </w:p>
          <w:p w14:paraId="2ABA82C9" w14:textId="77777777" w:rsidR="004A1E7E" w:rsidRPr="00E35858" w:rsidRDefault="004A1E7E" w:rsidP="004A1E7E">
            <w:pPr>
              <w:jc w:val="both"/>
              <w:rPr>
                <w:rFonts w:ascii="David" w:hAnsi="David"/>
                <w:b/>
                <w:bCs/>
                <w:sz w:val="26"/>
                <w:szCs w:val="26"/>
              </w:rPr>
            </w:pPr>
          </w:p>
        </w:tc>
      </w:tr>
      <w:tr w:rsidR="004A1E7E" w:rsidRPr="00E35858" w14:paraId="540D7F75" w14:textId="77777777" w:rsidTr="004A1E7E">
        <w:trPr>
          <w:trHeight w:val="355"/>
          <w:jc w:val="center"/>
        </w:trPr>
        <w:tc>
          <w:tcPr>
            <w:tcW w:w="923" w:type="dxa"/>
            <w:tcBorders>
              <w:top w:val="nil"/>
              <w:left w:val="nil"/>
              <w:bottom w:val="nil"/>
              <w:right w:val="nil"/>
            </w:tcBorders>
            <w:shd w:val="clear" w:color="auto" w:fill="auto"/>
          </w:tcPr>
          <w:p w14:paraId="12C2849C" w14:textId="77777777" w:rsidR="004A1E7E" w:rsidRPr="00E35858" w:rsidRDefault="004A1E7E" w:rsidP="00D6076A">
            <w:pPr>
              <w:rPr>
                <w:rFonts w:ascii="David" w:hAnsi="David"/>
                <w:b/>
                <w:bCs/>
                <w:sz w:val="26"/>
                <w:szCs w:val="26"/>
                <w:rtl/>
              </w:rPr>
            </w:pPr>
          </w:p>
        </w:tc>
        <w:tc>
          <w:tcPr>
            <w:tcW w:w="4126" w:type="dxa"/>
            <w:tcBorders>
              <w:top w:val="nil"/>
              <w:left w:val="nil"/>
              <w:bottom w:val="nil"/>
              <w:right w:val="nil"/>
            </w:tcBorders>
            <w:shd w:val="clear" w:color="auto" w:fill="auto"/>
          </w:tcPr>
          <w:p w14:paraId="4B66230C" w14:textId="77777777" w:rsidR="004A1E7E" w:rsidRPr="00E35858" w:rsidRDefault="004A1E7E" w:rsidP="00D6076A">
            <w:pPr>
              <w:rPr>
                <w:rFonts w:ascii="David" w:hAnsi="David"/>
                <w:b/>
                <w:bCs/>
                <w:sz w:val="26"/>
                <w:szCs w:val="26"/>
                <w:rtl/>
              </w:rPr>
            </w:pPr>
            <w:r w:rsidRPr="00E35858">
              <w:rPr>
                <w:rFonts w:ascii="David" w:hAnsi="David"/>
                <w:b/>
                <w:bCs/>
                <w:sz w:val="26"/>
                <w:szCs w:val="26"/>
                <w:rtl/>
              </w:rPr>
              <w:t>אוסמה עבד אל קאדר</w:t>
            </w:r>
          </w:p>
        </w:tc>
        <w:tc>
          <w:tcPr>
            <w:tcW w:w="3771" w:type="dxa"/>
            <w:tcBorders>
              <w:top w:val="nil"/>
              <w:left w:val="nil"/>
              <w:bottom w:val="nil"/>
              <w:right w:val="nil"/>
            </w:tcBorders>
            <w:shd w:val="clear" w:color="auto" w:fill="auto"/>
          </w:tcPr>
          <w:p w14:paraId="285B5D0D" w14:textId="77777777" w:rsidR="004A1E7E" w:rsidRPr="00E35858" w:rsidRDefault="004A1E7E" w:rsidP="004A1E7E">
            <w:pPr>
              <w:jc w:val="right"/>
              <w:rPr>
                <w:rFonts w:ascii="David" w:hAnsi="David"/>
                <w:b/>
                <w:bCs/>
                <w:sz w:val="26"/>
                <w:szCs w:val="26"/>
              </w:rPr>
            </w:pPr>
          </w:p>
        </w:tc>
      </w:tr>
      <w:tr w:rsidR="004A1E7E" w:rsidRPr="00E35858" w14:paraId="0D402B69" w14:textId="77777777" w:rsidTr="004A1E7E">
        <w:trPr>
          <w:trHeight w:val="355"/>
          <w:jc w:val="center"/>
        </w:trPr>
        <w:tc>
          <w:tcPr>
            <w:tcW w:w="923" w:type="dxa"/>
            <w:tcBorders>
              <w:top w:val="nil"/>
              <w:left w:val="nil"/>
              <w:bottom w:val="nil"/>
              <w:right w:val="nil"/>
            </w:tcBorders>
            <w:shd w:val="clear" w:color="auto" w:fill="auto"/>
          </w:tcPr>
          <w:p w14:paraId="24DF8D23" w14:textId="77777777" w:rsidR="004A1E7E" w:rsidRPr="00E35858" w:rsidRDefault="004A1E7E" w:rsidP="004A1E7E">
            <w:pPr>
              <w:jc w:val="both"/>
              <w:rPr>
                <w:rFonts w:ascii="David" w:hAnsi="David"/>
                <w:b/>
                <w:bCs/>
                <w:sz w:val="26"/>
                <w:szCs w:val="26"/>
                <w:rtl/>
              </w:rPr>
            </w:pPr>
          </w:p>
        </w:tc>
        <w:tc>
          <w:tcPr>
            <w:tcW w:w="4126" w:type="dxa"/>
            <w:tcBorders>
              <w:top w:val="nil"/>
              <w:left w:val="nil"/>
              <w:bottom w:val="nil"/>
              <w:right w:val="nil"/>
            </w:tcBorders>
            <w:shd w:val="clear" w:color="auto" w:fill="auto"/>
          </w:tcPr>
          <w:p w14:paraId="2F364531" w14:textId="77777777" w:rsidR="004A1E7E" w:rsidRPr="00E35858" w:rsidRDefault="004A1E7E" w:rsidP="004A1E7E">
            <w:pPr>
              <w:jc w:val="both"/>
              <w:rPr>
                <w:rFonts w:ascii="David" w:hAnsi="David"/>
                <w:b/>
                <w:bCs/>
                <w:sz w:val="26"/>
                <w:szCs w:val="26"/>
                <w:rtl/>
              </w:rPr>
            </w:pPr>
            <w:r w:rsidRPr="00E35858">
              <w:rPr>
                <w:rFonts w:ascii="David" w:hAnsi="David" w:hint="cs"/>
                <w:b/>
                <w:bCs/>
                <w:sz w:val="26"/>
                <w:szCs w:val="26"/>
                <w:rtl/>
              </w:rPr>
              <w:t>ע"י ב"כ עו"ד כבהא</w:t>
            </w:r>
          </w:p>
        </w:tc>
        <w:tc>
          <w:tcPr>
            <w:tcW w:w="3771" w:type="dxa"/>
            <w:tcBorders>
              <w:top w:val="nil"/>
              <w:left w:val="nil"/>
              <w:bottom w:val="nil"/>
              <w:right w:val="nil"/>
            </w:tcBorders>
            <w:shd w:val="clear" w:color="auto" w:fill="auto"/>
          </w:tcPr>
          <w:p w14:paraId="50093B99" w14:textId="77777777" w:rsidR="004A1E7E" w:rsidRPr="00E35858" w:rsidRDefault="004A1E7E" w:rsidP="004A1E7E">
            <w:pPr>
              <w:jc w:val="right"/>
              <w:rPr>
                <w:rFonts w:ascii="David" w:hAnsi="David"/>
                <w:b/>
                <w:bCs/>
                <w:sz w:val="26"/>
                <w:szCs w:val="26"/>
              </w:rPr>
            </w:pPr>
            <w:r w:rsidRPr="00E35858">
              <w:rPr>
                <w:rFonts w:ascii="David" w:hAnsi="David"/>
                <w:b/>
                <w:bCs/>
                <w:sz w:val="26"/>
                <w:szCs w:val="26"/>
                <w:rtl/>
              </w:rPr>
              <w:t>הנאשם</w:t>
            </w:r>
          </w:p>
        </w:tc>
      </w:tr>
    </w:tbl>
    <w:p w14:paraId="71CE11EA" w14:textId="77777777" w:rsidR="004A1E7E" w:rsidRPr="00E35858" w:rsidRDefault="004A1E7E" w:rsidP="004A1E7E">
      <w:pPr>
        <w:rPr>
          <w:b/>
          <w:bCs/>
          <w:sz w:val="26"/>
          <w:szCs w:val="26"/>
          <w:rtl/>
        </w:rPr>
      </w:pPr>
    </w:p>
    <w:p w14:paraId="099235BF" w14:textId="77777777" w:rsidR="004A1E7E" w:rsidRPr="00E35858" w:rsidRDefault="004A1E7E" w:rsidP="004A1E7E">
      <w:pPr>
        <w:rPr>
          <w:b/>
          <w:bCs/>
          <w:sz w:val="26"/>
          <w:szCs w:val="26"/>
          <w:rtl/>
        </w:rPr>
      </w:pPr>
    </w:p>
    <w:p w14:paraId="49249E0D" w14:textId="77777777" w:rsidR="004A1E7E" w:rsidRPr="00E35858" w:rsidRDefault="004A1E7E" w:rsidP="004A1E7E">
      <w:pPr>
        <w:rPr>
          <w:b/>
          <w:bCs/>
          <w:sz w:val="26"/>
          <w:szCs w:val="26"/>
          <w:rtl/>
        </w:rPr>
      </w:pPr>
      <w:r w:rsidRPr="00E35858">
        <w:rPr>
          <w:rFonts w:hint="cs"/>
          <w:b/>
          <w:bCs/>
          <w:sz w:val="26"/>
          <w:szCs w:val="26"/>
          <w:rtl/>
        </w:rPr>
        <w:t>נוכחים:</w:t>
      </w:r>
    </w:p>
    <w:p w14:paraId="1CD0455F" w14:textId="77777777" w:rsidR="004A1E7E" w:rsidRPr="00E35858" w:rsidRDefault="004A1E7E" w:rsidP="004A1E7E">
      <w:pPr>
        <w:rPr>
          <w:rtl/>
        </w:rPr>
      </w:pPr>
      <w:r w:rsidRPr="00E35858">
        <w:rPr>
          <w:rFonts w:hint="cs"/>
          <w:rtl/>
        </w:rPr>
        <w:t>ב"כ התביעה עוה"ד בן חיים ואלימלך</w:t>
      </w:r>
    </w:p>
    <w:p w14:paraId="7D020F85" w14:textId="77777777" w:rsidR="004A1E7E" w:rsidRPr="00E35858" w:rsidRDefault="004A1E7E" w:rsidP="004A1E7E">
      <w:pPr>
        <w:rPr>
          <w:rtl/>
        </w:rPr>
      </w:pPr>
      <w:r w:rsidRPr="00E35858">
        <w:rPr>
          <w:rFonts w:hint="cs"/>
          <w:rtl/>
        </w:rPr>
        <w:t>ב"כ הנאשם עו"ד חילו</w:t>
      </w:r>
    </w:p>
    <w:p w14:paraId="531A627E" w14:textId="77777777" w:rsidR="008B7A1A" w:rsidRDefault="004A1E7E" w:rsidP="00E35858">
      <w:pPr>
        <w:spacing w:before="120" w:after="120" w:line="240" w:lineRule="exact"/>
        <w:ind w:left="283" w:hanging="283"/>
        <w:jc w:val="both"/>
        <w:rPr>
          <w:rtl/>
        </w:rPr>
      </w:pPr>
      <w:r w:rsidRPr="00E35858">
        <w:rPr>
          <w:rFonts w:hint="cs"/>
          <w:rtl/>
        </w:rPr>
        <w:t>הנאשם בעצמ</w:t>
      </w:r>
      <w:r w:rsidR="008B7A1A">
        <w:rPr>
          <w:rFonts w:hint="cs"/>
          <w:rtl/>
        </w:rPr>
        <w:t>ו</w:t>
      </w:r>
    </w:p>
    <w:p w14:paraId="36415B4F" w14:textId="77777777" w:rsidR="008B7A1A" w:rsidRPr="008B7A1A" w:rsidRDefault="008B7A1A" w:rsidP="008B7A1A">
      <w:pPr>
        <w:spacing w:before="120" w:after="120" w:line="240" w:lineRule="exact"/>
        <w:ind w:left="283" w:hanging="283"/>
        <w:jc w:val="both"/>
        <w:rPr>
          <w:rFonts w:ascii="FrankRuehl" w:hAnsi="FrankRuehl" w:cs="FrankRuehl"/>
          <w:rtl/>
        </w:rPr>
      </w:pPr>
    </w:p>
    <w:p w14:paraId="0458AFE2" w14:textId="77777777" w:rsidR="00D17A24" w:rsidRPr="00D17A24" w:rsidRDefault="00D17A24" w:rsidP="00D17A24">
      <w:pPr>
        <w:spacing w:before="120" w:after="120" w:line="240" w:lineRule="exact"/>
        <w:ind w:left="283" w:hanging="283"/>
        <w:jc w:val="both"/>
        <w:rPr>
          <w:rFonts w:ascii="FrankRuehl" w:hAnsi="FrankRuehl" w:cs="FrankRuehl"/>
          <w:rtl/>
        </w:rPr>
      </w:pPr>
    </w:p>
    <w:p w14:paraId="59601DD5" w14:textId="77777777" w:rsidR="000A4BBB" w:rsidRDefault="000A4BBB" w:rsidP="000A4BBB">
      <w:pPr>
        <w:rPr>
          <w:rtl/>
        </w:rPr>
      </w:pPr>
      <w:bookmarkStart w:id="3" w:name="LawTable"/>
      <w:bookmarkEnd w:id="3"/>
    </w:p>
    <w:p w14:paraId="57655F13" w14:textId="77777777" w:rsidR="000A4BBB" w:rsidRPr="000A4BBB" w:rsidRDefault="000A4BBB" w:rsidP="000A4BBB">
      <w:pPr>
        <w:spacing w:before="120" w:after="120" w:line="240" w:lineRule="exact"/>
        <w:ind w:left="283" w:hanging="283"/>
        <w:jc w:val="both"/>
        <w:rPr>
          <w:rFonts w:ascii="FrankRuehl" w:hAnsi="FrankRuehl" w:cs="FrankRuehl"/>
          <w:rtl/>
        </w:rPr>
      </w:pPr>
    </w:p>
    <w:p w14:paraId="66FD4EEA" w14:textId="77777777" w:rsidR="000A4BBB" w:rsidRPr="000A4BBB" w:rsidRDefault="000A4BBB" w:rsidP="000A4BBB">
      <w:pPr>
        <w:spacing w:before="120" w:after="120" w:line="240" w:lineRule="exact"/>
        <w:ind w:left="283" w:hanging="283"/>
        <w:jc w:val="both"/>
        <w:rPr>
          <w:rFonts w:ascii="FrankRuehl" w:hAnsi="FrankRuehl" w:cs="FrankRuehl"/>
          <w:rtl/>
        </w:rPr>
      </w:pPr>
    </w:p>
    <w:p w14:paraId="1EC9603E" w14:textId="77777777" w:rsidR="000A4BBB" w:rsidRPr="000A4BBB" w:rsidRDefault="000A4BBB" w:rsidP="000A4BBB">
      <w:pPr>
        <w:spacing w:before="120" w:after="120" w:line="240" w:lineRule="exact"/>
        <w:ind w:left="283" w:hanging="283"/>
        <w:jc w:val="both"/>
        <w:rPr>
          <w:rFonts w:ascii="FrankRuehl" w:hAnsi="FrankRuehl" w:cs="FrankRuehl"/>
          <w:rtl/>
        </w:rPr>
      </w:pPr>
      <w:r w:rsidRPr="000A4BBB">
        <w:rPr>
          <w:rFonts w:ascii="FrankRuehl" w:hAnsi="FrankRuehl" w:cs="FrankRuehl"/>
          <w:rtl/>
        </w:rPr>
        <w:t xml:space="preserve">חקיקה שאוזכרה: </w:t>
      </w:r>
    </w:p>
    <w:p w14:paraId="2E7E0051" w14:textId="77777777" w:rsidR="000A4BBB" w:rsidRPr="000A4BBB" w:rsidRDefault="000A4BBB" w:rsidP="000A4BBB">
      <w:pPr>
        <w:spacing w:before="120" w:after="120" w:line="240" w:lineRule="exact"/>
        <w:ind w:left="283" w:hanging="283"/>
        <w:jc w:val="both"/>
        <w:rPr>
          <w:rFonts w:ascii="FrankRuehl" w:hAnsi="FrankRuehl" w:cs="FrankRuehl"/>
          <w:rtl/>
        </w:rPr>
      </w:pPr>
      <w:hyperlink r:id="rId8" w:history="1">
        <w:r w:rsidRPr="000A4BBB">
          <w:rPr>
            <w:rFonts w:ascii="FrankRuehl" w:hAnsi="FrankRuehl" w:cs="FrankRuehl"/>
            <w:color w:val="0000FF"/>
            <w:rtl/>
          </w:rPr>
          <w:t>פקודת הסמים המסוכנים [נוסח חדש], תשל"ג-1973</w:t>
        </w:r>
      </w:hyperlink>
      <w:r w:rsidRPr="000A4BBB">
        <w:rPr>
          <w:rFonts w:ascii="FrankRuehl" w:hAnsi="FrankRuehl" w:cs="FrankRuehl"/>
          <w:rtl/>
        </w:rPr>
        <w:t xml:space="preserve">: סע'  </w:t>
      </w:r>
      <w:hyperlink r:id="rId9" w:history="1">
        <w:r w:rsidRPr="000A4BBB">
          <w:rPr>
            <w:rFonts w:ascii="FrankRuehl" w:hAnsi="FrankRuehl" w:cs="FrankRuehl"/>
            <w:color w:val="0000FF"/>
            <w:rtl/>
          </w:rPr>
          <w:t>6</w:t>
        </w:r>
      </w:hyperlink>
      <w:r w:rsidRPr="000A4BBB">
        <w:rPr>
          <w:rFonts w:ascii="FrankRuehl" w:hAnsi="FrankRuehl" w:cs="FrankRuehl"/>
          <w:rtl/>
        </w:rPr>
        <w:t xml:space="preserve">, </w:t>
      </w:r>
      <w:hyperlink r:id="rId10" w:history="1">
        <w:r w:rsidRPr="000A4BBB">
          <w:rPr>
            <w:rFonts w:ascii="FrankRuehl" w:hAnsi="FrankRuehl" w:cs="FrankRuehl"/>
            <w:color w:val="0000FF"/>
            <w:rtl/>
          </w:rPr>
          <w:t>7</w:t>
        </w:r>
      </w:hyperlink>
      <w:r w:rsidRPr="000A4BBB">
        <w:rPr>
          <w:rFonts w:ascii="FrankRuehl" w:hAnsi="FrankRuehl" w:cs="FrankRuehl"/>
          <w:rtl/>
        </w:rPr>
        <w:t xml:space="preserve">, </w:t>
      </w:r>
      <w:hyperlink r:id="rId11" w:history="1">
        <w:r w:rsidRPr="000A4BBB">
          <w:rPr>
            <w:rFonts w:ascii="FrankRuehl" w:hAnsi="FrankRuehl" w:cs="FrankRuehl"/>
            <w:color w:val="0000FF"/>
            <w:rtl/>
          </w:rPr>
          <w:t>10</w:t>
        </w:r>
      </w:hyperlink>
    </w:p>
    <w:p w14:paraId="32DEFC71" w14:textId="77777777" w:rsidR="000A4BBB" w:rsidRPr="000A4BBB" w:rsidRDefault="000A4BBB" w:rsidP="000A4BBB">
      <w:pPr>
        <w:spacing w:before="120" w:after="120" w:line="240" w:lineRule="exact"/>
        <w:ind w:left="283" w:hanging="283"/>
        <w:jc w:val="both"/>
        <w:rPr>
          <w:rFonts w:ascii="FrankRuehl" w:hAnsi="FrankRuehl" w:cs="FrankRuehl"/>
          <w:rtl/>
        </w:rPr>
      </w:pPr>
      <w:hyperlink r:id="rId12" w:history="1">
        <w:r w:rsidRPr="000A4BBB">
          <w:rPr>
            <w:rFonts w:ascii="FrankRuehl" w:hAnsi="FrankRuehl" w:cs="FrankRuehl"/>
            <w:color w:val="0000FF"/>
            <w:rtl/>
          </w:rPr>
          <w:t>חוק העונשין, תשל"ז-1977</w:t>
        </w:r>
      </w:hyperlink>
      <w:r w:rsidRPr="000A4BBB">
        <w:rPr>
          <w:rFonts w:ascii="FrankRuehl" w:hAnsi="FrankRuehl" w:cs="FrankRuehl"/>
          <w:rtl/>
        </w:rPr>
        <w:t xml:space="preserve">: סע'  </w:t>
      </w:r>
      <w:hyperlink r:id="rId13" w:history="1">
        <w:r w:rsidRPr="000A4BBB">
          <w:rPr>
            <w:rFonts w:ascii="FrankRuehl" w:hAnsi="FrankRuehl" w:cs="FrankRuehl"/>
            <w:color w:val="0000FF"/>
            <w:rtl/>
          </w:rPr>
          <w:t>244</w:t>
        </w:r>
      </w:hyperlink>
      <w:r w:rsidRPr="000A4BBB">
        <w:rPr>
          <w:rFonts w:ascii="FrankRuehl" w:hAnsi="FrankRuehl" w:cs="FrankRuehl"/>
          <w:rtl/>
        </w:rPr>
        <w:t xml:space="preserve">, </w:t>
      </w:r>
      <w:hyperlink r:id="rId14" w:history="1">
        <w:r w:rsidRPr="000A4BBB">
          <w:rPr>
            <w:rFonts w:ascii="FrankRuehl" w:hAnsi="FrankRuehl" w:cs="FrankRuehl"/>
            <w:color w:val="0000FF"/>
            <w:rtl/>
          </w:rPr>
          <w:t>273</w:t>
        </w:r>
      </w:hyperlink>
    </w:p>
    <w:p w14:paraId="2F874CCD" w14:textId="77777777" w:rsidR="000A4BBB" w:rsidRPr="000A4BBB" w:rsidRDefault="000A4BBB" w:rsidP="000A4BBB">
      <w:pPr>
        <w:rPr>
          <w:rtl/>
        </w:rPr>
      </w:pPr>
      <w:bookmarkStart w:id="4" w:name="LawTable_End"/>
      <w:bookmarkEnd w:id="4"/>
    </w:p>
    <w:p w14:paraId="749A0E77" w14:textId="77777777" w:rsidR="004A1E7E" w:rsidRPr="00D17A24" w:rsidRDefault="004A1E7E" w:rsidP="00D17A2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1E7E" w14:paraId="03A05CDD" w14:textId="77777777" w:rsidTr="004A1E7E">
        <w:trPr>
          <w:trHeight w:val="355"/>
          <w:jc w:val="center"/>
        </w:trPr>
        <w:tc>
          <w:tcPr>
            <w:tcW w:w="8820" w:type="dxa"/>
            <w:tcBorders>
              <w:top w:val="nil"/>
              <w:left w:val="nil"/>
              <w:bottom w:val="nil"/>
              <w:right w:val="nil"/>
            </w:tcBorders>
            <w:shd w:val="clear" w:color="auto" w:fill="auto"/>
          </w:tcPr>
          <w:p w14:paraId="5529DBB2" w14:textId="77777777" w:rsidR="00E35858" w:rsidRPr="00E35858" w:rsidRDefault="00E35858" w:rsidP="00E35858">
            <w:pPr>
              <w:jc w:val="center"/>
              <w:rPr>
                <w:rFonts w:ascii="David" w:hAnsi="David"/>
                <w:b/>
                <w:bCs/>
                <w:sz w:val="28"/>
                <w:szCs w:val="28"/>
                <w:u w:val="single"/>
                <w:rtl/>
              </w:rPr>
            </w:pPr>
            <w:bookmarkStart w:id="5" w:name="PsakDin" w:colFirst="0" w:colLast="0"/>
            <w:bookmarkEnd w:id="0"/>
            <w:r w:rsidRPr="00E35858">
              <w:rPr>
                <w:rFonts w:ascii="David" w:hAnsi="David"/>
                <w:b/>
                <w:bCs/>
                <w:sz w:val="28"/>
                <w:szCs w:val="28"/>
                <w:u w:val="single"/>
                <w:rtl/>
              </w:rPr>
              <w:t>גזר דין</w:t>
            </w:r>
          </w:p>
          <w:p w14:paraId="41DE2E3B" w14:textId="77777777" w:rsidR="004A1E7E" w:rsidRPr="00E35858" w:rsidRDefault="004A1E7E" w:rsidP="00E35858">
            <w:pPr>
              <w:jc w:val="center"/>
              <w:rPr>
                <w:rFonts w:ascii="David" w:hAnsi="David"/>
                <w:bCs/>
                <w:sz w:val="28"/>
                <w:szCs w:val="28"/>
                <w:u w:val="single"/>
                <w:rtl/>
              </w:rPr>
            </w:pPr>
          </w:p>
        </w:tc>
      </w:tr>
      <w:bookmarkEnd w:id="5"/>
    </w:tbl>
    <w:p w14:paraId="3A172C14" w14:textId="77777777" w:rsidR="004A1E7E" w:rsidRDefault="004A1E7E" w:rsidP="004A1E7E">
      <w:pPr>
        <w:spacing w:line="360" w:lineRule="auto"/>
        <w:ind w:left="-58"/>
        <w:jc w:val="both"/>
        <w:rPr>
          <w:rFonts w:ascii="David" w:hAnsi="David"/>
          <w:b/>
          <w:bCs/>
          <w:u w:val="single"/>
          <w:rtl/>
        </w:rPr>
      </w:pPr>
    </w:p>
    <w:p w14:paraId="2602D209" w14:textId="77777777" w:rsidR="004A1E7E" w:rsidRDefault="004A1E7E" w:rsidP="004A1E7E">
      <w:pPr>
        <w:spacing w:line="360" w:lineRule="auto"/>
        <w:ind w:left="-58"/>
        <w:jc w:val="both"/>
        <w:rPr>
          <w:rFonts w:ascii="David" w:hAnsi="David"/>
          <w:b/>
          <w:bCs/>
          <w:u w:val="single"/>
          <w:rtl/>
        </w:rPr>
      </w:pPr>
      <w:r>
        <w:rPr>
          <w:rFonts w:ascii="David" w:hAnsi="David"/>
          <w:b/>
          <w:bCs/>
          <w:u w:val="single"/>
          <w:rtl/>
        </w:rPr>
        <w:t>העבירות</w:t>
      </w:r>
    </w:p>
    <w:p w14:paraId="554063C8" w14:textId="77777777" w:rsidR="004A1E7E" w:rsidRDefault="004A1E7E" w:rsidP="004A1E7E">
      <w:pPr>
        <w:spacing w:line="360" w:lineRule="auto"/>
        <w:ind w:left="-58"/>
        <w:jc w:val="both"/>
        <w:rPr>
          <w:rFonts w:ascii="David" w:hAnsi="David"/>
          <w:rtl/>
        </w:rPr>
      </w:pPr>
    </w:p>
    <w:p w14:paraId="2240D88F" w14:textId="77777777" w:rsidR="004A1E7E" w:rsidRDefault="004A1E7E" w:rsidP="004A1E7E">
      <w:pPr>
        <w:spacing w:line="360" w:lineRule="auto"/>
        <w:ind w:left="-58"/>
        <w:jc w:val="both"/>
        <w:rPr>
          <w:rFonts w:ascii="David" w:hAnsi="David"/>
          <w:rtl/>
        </w:rPr>
      </w:pPr>
      <w:bookmarkStart w:id="6" w:name="ABSTRACT_START"/>
      <w:bookmarkEnd w:id="6"/>
      <w:r>
        <w:rPr>
          <w:rFonts w:ascii="David" w:hAnsi="David"/>
          <w:rtl/>
        </w:rPr>
        <w:t xml:space="preserve">הנאשם, כבן 38 שנים, הורשע במסגרת של הסדר דיוני, בעבירות הבאות: גידול סמים, לפי </w:t>
      </w:r>
      <w:hyperlink r:id="rId15" w:history="1">
        <w:r w:rsidR="008B7A1A" w:rsidRPr="008B7A1A">
          <w:rPr>
            <w:rStyle w:val="Hyperlink"/>
            <w:rFonts w:ascii="David" w:hAnsi="David"/>
            <w:rtl/>
          </w:rPr>
          <w:t>סעיף 6</w:t>
        </w:r>
      </w:hyperlink>
      <w:r>
        <w:rPr>
          <w:rFonts w:ascii="David" w:hAnsi="David"/>
          <w:rtl/>
        </w:rPr>
        <w:t xml:space="preserve"> ל</w:t>
      </w:r>
      <w:hyperlink r:id="rId16" w:history="1">
        <w:r w:rsidR="00E35858" w:rsidRPr="00E35858">
          <w:rPr>
            <w:rFonts w:ascii="David" w:hAnsi="David"/>
            <w:color w:val="0000FF"/>
            <w:u w:val="single"/>
            <w:rtl/>
          </w:rPr>
          <w:t>פקודת הסמים המסוכנים</w:t>
        </w:r>
      </w:hyperlink>
      <w:r>
        <w:rPr>
          <w:rFonts w:ascii="David" w:hAnsi="David"/>
          <w:rtl/>
        </w:rPr>
        <w:t xml:space="preserve"> [נוסח חדש] תשל"ג-1973 (להלן: הפקודה); החזקת כלים לפי </w:t>
      </w:r>
      <w:hyperlink r:id="rId17" w:history="1">
        <w:r w:rsidR="008B7A1A" w:rsidRPr="008B7A1A">
          <w:rPr>
            <w:rStyle w:val="Hyperlink"/>
            <w:rFonts w:ascii="David" w:hAnsi="David"/>
            <w:rtl/>
          </w:rPr>
          <w:t>סעיף 10</w:t>
        </w:r>
      </w:hyperlink>
      <w:r>
        <w:rPr>
          <w:rFonts w:ascii="David" w:hAnsi="David"/>
          <w:rtl/>
        </w:rPr>
        <w:t xml:space="preserve"> רישא לפקודה; החזקה שלא לצריכה עצמית לפי </w:t>
      </w:r>
      <w:hyperlink r:id="rId18" w:history="1">
        <w:r w:rsidR="008B7A1A" w:rsidRPr="008B7A1A">
          <w:rPr>
            <w:rStyle w:val="Hyperlink"/>
            <w:rFonts w:ascii="David" w:hAnsi="David"/>
            <w:rtl/>
          </w:rPr>
          <w:t>סעיף 7</w:t>
        </w:r>
      </w:hyperlink>
      <w:r>
        <w:rPr>
          <w:rFonts w:ascii="David" w:hAnsi="David"/>
          <w:rtl/>
        </w:rPr>
        <w:t xml:space="preserve"> רישא לפקודה; שיבוש הליכי משפט לפי </w:t>
      </w:r>
      <w:hyperlink r:id="rId19" w:history="1">
        <w:r w:rsidR="008B7A1A" w:rsidRPr="008B7A1A">
          <w:rPr>
            <w:rStyle w:val="Hyperlink"/>
            <w:rFonts w:ascii="David" w:hAnsi="David"/>
            <w:rtl/>
          </w:rPr>
          <w:t>סעיף 244</w:t>
        </w:r>
      </w:hyperlink>
      <w:r>
        <w:rPr>
          <w:rFonts w:ascii="David" w:hAnsi="David"/>
          <w:rtl/>
        </w:rPr>
        <w:t xml:space="preserve"> ל</w:t>
      </w:r>
      <w:hyperlink r:id="rId20" w:history="1">
        <w:r w:rsidR="00E35858" w:rsidRPr="00E35858">
          <w:rPr>
            <w:rFonts w:ascii="David" w:hAnsi="David"/>
            <w:color w:val="0000FF"/>
            <w:u w:val="single"/>
            <w:rtl/>
          </w:rPr>
          <w:t>חוק העונשין</w:t>
        </w:r>
      </w:hyperlink>
      <w:r>
        <w:rPr>
          <w:rFonts w:ascii="David" w:hAnsi="David"/>
          <w:rtl/>
        </w:rPr>
        <w:t xml:space="preserve">, התשל"ז-1977 (להלן: "החוק''); תקיפת שוטר בעת מילוי תפקידו, עבירה לפי </w:t>
      </w:r>
      <w:hyperlink r:id="rId21" w:history="1">
        <w:r w:rsidR="008B7A1A" w:rsidRPr="008B7A1A">
          <w:rPr>
            <w:rStyle w:val="Hyperlink"/>
            <w:rFonts w:ascii="David" w:hAnsi="David"/>
            <w:rtl/>
          </w:rPr>
          <w:t>סעיף 273</w:t>
        </w:r>
      </w:hyperlink>
      <w:r>
        <w:rPr>
          <w:rFonts w:ascii="David" w:hAnsi="David"/>
          <w:rtl/>
        </w:rPr>
        <w:t xml:space="preserve"> לחוק.</w:t>
      </w:r>
    </w:p>
    <w:p w14:paraId="2CC0A4D1" w14:textId="77777777" w:rsidR="004A1E7E" w:rsidRDefault="004A1E7E" w:rsidP="004A1E7E">
      <w:pPr>
        <w:spacing w:line="360" w:lineRule="auto"/>
        <w:ind w:left="-58"/>
        <w:jc w:val="both"/>
        <w:rPr>
          <w:rFonts w:ascii="David" w:hAnsi="David"/>
          <w:rtl/>
        </w:rPr>
      </w:pPr>
    </w:p>
    <w:p w14:paraId="757FA89C" w14:textId="77777777" w:rsidR="004A1E7E" w:rsidRDefault="004A1E7E" w:rsidP="004A1E7E">
      <w:pPr>
        <w:spacing w:line="360" w:lineRule="auto"/>
        <w:ind w:left="-58"/>
        <w:jc w:val="both"/>
        <w:rPr>
          <w:rFonts w:ascii="David" w:hAnsi="David"/>
          <w:rtl/>
        </w:rPr>
      </w:pPr>
      <w:bookmarkStart w:id="7" w:name="ABSTRACT_END"/>
      <w:bookmarkEnd w:id="7"/>
      <w:r>
        <w:rPr>
          <w:rFonts w:ascii="David" w:hAnsi="David"/>
          <w:rtl/>
        </w:rPr>
        <w:t xml:space="preserve">תיאור  העובדות הוא כי ביום 23.11.17 הגיעו שוטרים לדירת הנאשם, שם הקים מעבדה לגידול מריחואנה. הנאשם נמצא מחזיק בחדר השינה שלו בציוד שהושם והותקן לצורך הקמת המעבדה: אוהל מסתור, גוף תאורה, מערכת איוורור ומד טמפרטורה. כמו כן, נתפסו 4 עציצי סם במשקל כולל של כ-336 גרם נטו. כשהודיע השוטר בוטקו לנאשם על עיכובו, החל לקרוע את שתילי הסם, לכן הודע לו על מעצרו. הנאשם התנגד למעצר בכך שדחף את השוטר ושוטרת נוספת, עד שנאזק בסיוע כוחות נוספים. הנאשם סירב להיכנס לתחנת המשטרה, ודחף את השוטרים. כמו כן, נשך את השוטר בוטקו וגרם לו פצע עם דימום בכף יד ימין, שהצריך טיפול רפואי. </w:t>
      </w:r>
    </w:p>
    <w:p w14:paraId="3D745BD6" w14:textId="77777777" w:rsidR="004A1E7E" w:rsidRDefault="004A1E7E" w:rsidP="004A1E7E">
      <w:pPr>
        <w:spacing w:line="360" w:lineRule="auto"/>
        <w:ind w:left="-58"/>
        <w:jc w:val="both"/>
        <w:rPr>
          <w:rFonts w:ascii="David" w:hAnsi="David"/>
          <w:rtl/>
        </w:rPr>
      </w:pPr>
    </w:p>
    <w:p w14:paraId="33F401A0" w14:textId="77777777" w:rsidR="004A1E7E" w:rsidRDefault="004A1E7E" w:rsidP="004A1E7E">
      <w:pPr>
        <w:spacing w:line="360" w:lineRule="auto"/>
        <w:ind w:left="-58"/>
        <w:jc w:val="both"/>
        <w:rPr>
          <w:rFonts w:ascii="David" w:hAnsi="David"/>
          <w:rtl/>
        </w:rPr>
      </w:pPr>
      <w:r>
        <w:rPr>
          <w:rFonts w:ascii="David" w:hAnsi="David"/>
          <w:rtl/>
        </w:rPr>
        <w:t>בין הצדדים לא גובש הסדר עונשי אך הוסכם כי יינתן תסקיר. כמו כן, הוסכם כי הנאשם יטען שהעבירות כלפי השוטר בוצעו בשל כך שחש מחנק.</w:t>
      </w:r>
    </w:p>
    <w:p w14:paraId="32EF2BA5" w14:textId="77777777" w:rsidR="004A1E7E" w:rsidRDefault="004A1E7E" w:rsidP="004A1E7E">
      <w:pPr>
        <w:spacing w:line="360" w:lineRule="auto"/>
        <w:ind w:left="-58"/>
        <w:jc w:val="both"/>
        <w:rPr>
          <w:rFonts w:ascii="David" w:hAnsi="David"/>
          <w:rtl/>
        </w:rPr>
      </w:pPr>
      <w:r>
        <w:rPr>
          <w:rFonts w:ascii="David" w:hAnsi="David" w:hint="cs"/>
          <w:rtl/>
        </w:rPr>
        <w:t>כבר עתה יש לציין כי המשפט התנהל בצל מחלת האפילפסיה ממנה סובל הנאשם, כפי שיובהר בהמשך.</w:t>
      </w:r>
    </w:p>
    <w:p w14:paraId="1C6A2E96" w14:textId="77777777" w:rsidR="004A1E7E" w:rsidRDefault="004A1E7E" w:rsidP="004A1E7E">
      <w:pPr>
        <w:spacing w:line="360" w:lineRule="auto"/>
        <w:ind w:left="-58"/>
        <w:jc w:val="both"/>
        <w:rPr>
          <w:rFonts w:ascii="David" w:hAnsi="David"/>
          <w:b/>
          <w:bCs/>
          <w:u w:val="single"/>
          <w:rtl/>
        </w:rPr>
      </w:pPr>
    </w:p>
    <w:p w14:paraId="3089FB92" w14:textId="77777777" w:rsidR="004A1E7E" w:rsidRDefault="004A1E7E" w:rsidP="004A1E7E">
      <w:pPr>
        <w:spacing w:line="360" w:lineRule="auto"/>
        <w:ind w:left="-58"/>
        <w:jc w:val="both"/>
        <w:rPr>
          <w:rFonts w:ascii="David" w:hAnsi="David"/>
          <w:b/>
          <w:bCs/>
          <w:u w:val="single"/>
          <w:rtl/>
        </w:rPr>
      </w:pPr>
      <w:r>
        <w:rPr>
          <w:rFonts w:ascii="David" w:hAnsi="David"/>
          <w:b/>
          <w:bCs/>
          <w:u w:val="single"/>
          <w:rtl/>
        </w:rPr>
        <w:t>התסקירים וחוות הדעת</w:t>
      </w:r>
    </w:p>
    <w:p w14:paraId="3884EA07" w14:textId="77777777" w:rsidR="004A1E7E" w:rsidRDefault="004A1E7E" w:rsidP="004A1E7E">
      <w:pPr>
        <w:spacing w:line="360" w:lineRule="auto"/>
        <w:jc w:val="both"/>
        <w:rPr>
          <w:rFonts w:ascii="David" w:hAnsi="David"/>
          <w:rtl/>
        </w:rPr>
      </w:pPr>
    </w:p>
    <w:p w14:paraId="5E12EE26" w14:textId="77777777" w:rsidR="004A1E7E" w:rsidRDefault="004A1E7E" w:rsidP="004A1E7E">
      <w:pPr>
        <w:spacing w:line="360" w:lineRule="auto"/>
        <w:jc w:val="both"/>
        <w:rPr>
          <w:rFonts w:ascii="David" w:hAnsi="David"/>
          <w:rtl/>
        </w:rPr>
      </w:pPr>
      <w:r>
        <w:rPr>
          <w:rFonts w:ascii="David" w:hAnsi="David"/>
          <w:rtl/>
        </w:rPr>
        <w:t>המפגש בין הנאשם לקצין המבחן התעכב זמן רב, בשל מחדלים מצד הנאשם ואי יצירת קשר עם קצין המבחן. ביום 24.11.20 הוגש תסקיר מהותי ראשון. נכתב כי תהליך האבחון היה מורכב מאד, היות שהנאשם הפסיק פעמים מרובות, נטה להירדם ולהתגרד בכל גופו ללא הרף, לטענתו בשל מצבו הרפואי, הכולל התמודדות עם תרופות. הנאשם התקשה להתרכז וההתרשמות היא כי הוא מוצף, אסוציאטיבי, ובעל יכולת מוגבלת להעמיק. דיבורו היה שטחי ומבולבל. עלה כי הנאשם אב ל-7 ילדים קטינים, ואשתו הרה. הנאשם מתגורר בדירת עמידר, אינו עובד, ומתקיים מקצבת ביטוח לאומי, וקצבת נכות כללית בשיעור76%. הנאשם סובל ממחלת אפילפסיה ואושר לו רישיון לקנביס רפואי החל מיום 27.9.20. לנאשם עבר פלילי, ואף ריצה מאסר, אך שלל מעורבות פלילית וטען כי היה קרבן. בשנת 2007 עבר תאונת דרכים בה נפגע כהולך רגל, והעלתה את תכיפות ההתקפים האפילפטיים. כמו כן, אובחן כסובל מפוסט טראומה. אשת הנאשם אף היא סובלת מדיכאון, ונוטלת טיפול תרופתי. ביחס לעבירות, הנאשם מסר כי גידל את הסם לצורך טיפול עצמי</w:t>
      </w:r>
      <w:r>
        <w:rPr>
          <w:rFonts w:ascii="David" w:hAnsi="David" w:hint="cs"/>
          <w:rtl/>
        </w:rPr>
        <w:t xml:space="preserve">, </w:t>
      </w:r>
      <w:r>
        <w:rPr>
          <w:rFonts w:ascii="David" w:hAnsi="David"/>
          <w:rtl/>
        </w:rPr>
        <w:t xml:space="preserve">כיוון שחל עיכוב של 8 חודשים במתן הרישיון הרפואי, אם כי החזיק ברישיון עוד בשנת 2018. עלה מדבריו כי פיתח תלות בשימוש בסם כתנאי לתפקודו, והשימוש גובר. ביחס לתקיפת השוטר, טען כי פעל בתגובה לאגרסיביות שהופעלה מולו. נכתב עוד כי בשל דפוסי האישיות לא ניתן היה לפתח שיח מעמיק עם הנאשם, וקיים ספק לגבי יכולתו להשתלב בטיפול. מצד שני, קיים סיכון להישנות עבירות בשל מעורבות עבריינית בעבר, העדר תעסוקה, ותפיסה קורבנית. בסיכום, התסקיר מתאר </w:t>
      </w:r>
      <w:r>
        <w:rPr>
          <w:rFonts w:ascii="David" w:hAnsi="David"/>
          <w:rtl/>
        </w:rPr>
        <w:lastRenderedPageBreak/>
        <w:t>את הנאשם כמנהל אורח חיים שולי ועברייני, ובעל מודעות נמוכה למצבו. בשל ההתרשמות מנזקקות, עתר שירות המבחן לדחייה, על מנת לנסות ולשלב את הנאשם בטיפול.</w:t>
      </w:r>
    </w:p>
    <w:p w14:paraId="17471F51" w14:textId="77777777" w:rsidR="004A1E7E" w:rsidRDefault="004A1E7E" w:rsidP="004A1E7E">
      <w:pPr>
        <w:spacing w:line="360" w:lineRule="auto"/>
        <w:jc w:val="both"/>
        <w:rPr>
          <w:rFonts w:ascii="David" w:hAnsi="David"/>
          <w:rtl/>
        </w:rPr>
      </w:pPr>
    </w:p>
    <w:p w14:paraId="1E893567" w14:textId="77777777" w:rsidR="004A1E7E" w:rsidRDefault="004A1E7E" w:rsidP="004A1E7E">
      <w:pPr>
        <w:spacing w:line="360" w:lineRule="auto"/>
        <w:jc w:val="both"/>
        <w:rPr>
          <w:rFonts w:ascii="David" w:hAnsi="David"/>
          <w:rtl/>
        </w:rPr>
      </w:pPr>
      <w:r>
        <w:rPr>
          <w:rFonts w:ascii="David" w:hAnsi="David"/>
          <w:rtl/>
        </w:rPr>
        <w:t>ביום 18.3.21 הוגש תסקיר שני, בו נכתב כי נערכו ניסיונות ליצור קשר עם הנאשם בדרכים שונות, אך ללא הצלחה. אשת הנאשם מסרה כי מצבו הרפואי ירוד, שכן לקה בדלקת ריאות, אך גם בחלוף זמן הוא לא יצר קשר. נכתב כי נוכח התנהלותו נראה שאינו מגויס להשתלבות בטיפול, לכן אין המלצה.</w:t>
      </w:r>
    </w:p>
    <w:p w14:paraId="10D27521" w14:textId="77777777" w:rsidR="004A1E7E" w:rsidRDefault="004A1E7E" w:rsidP="004A1E7E">
      <w:pPr>
        <w:spacing w:line="360" w:lineRule="auto"/>
        <w:jc w:val="both"/>
        <w:rPr>
          <w:rFonts w:ascii="David" w:hAnsi="David"/>
          <w:rtl/>
        </w:rPr>
      </w:pPr>
    </w:p>
    <w:p w14:paraId="74E43C1E" w14:textId="77777777" w:rsidR="004A1E7E" w:rsidRDefault="004A1E7E" w:rsidP="004A1E7E">
      <w:pPr>
        <w:spacing w:line="360" w:lineRule="auto"/>
        <w:jc w:val="both"/>
        <w:rPr>
          <w:rFonts w:ascii="David" w:hAnsi="David"/>
          <w:rtl/>
        </w:rPr>
      </w:pPr>
      <w:r>
        <w:rPr>
          <w:rFonts w:ascii="David" w:hAnsi="David"/>
          <w:rtl/>
        </w:rPr>
        <w:t>נוכח טיב האישום והתסקירים הראשוניים שהוגשו, הוריתי כי תינתן חוות דעת מטעם הממונה על עבודות השירות. בתחילה, הנאשם לא התייצב כנדרש, אך לאחר שניתנה הזדמנות חוזרת, ניתנה חוות דעת ביום 11.4.21. הממונה מצא כי הנאשם אינו מתאים לריצוי מאסר בעבודות שירות, בשל מצבו הרפואי, כיוון שהוא סובל מאפילפסיה קשה, ללא שליטה, ובעיות נלוות.</w:t>
      </w:r>
    </w:p>
    <w:p w14:paraId="72E32F86" w14:textId="77777777" w:rsidR="004A1E7E" w:rsidRDefault="004A1E7E" w:rsidP="004A1E7E">
      <w:pPr>
        <w:spacing w:line="360" w:lineRule="auto"/>
        <w:jc w:val="both"/>
        <w:rPr>
          <w:rFonts w:ascii="David" w:hAnsi="David"/>
          <w:rtl/>
        </w:rPr>
      </w:pPr>
    </w:p>
    <w:p w14:paraId="10A325CA" w14:textId="77777777" w:rsidR="004A1E7E" w:rsidRDefault="004A1E7E" w:rsidP="004A1E7E">
      <w:pPr>
        <w:spacing w:line="360" w:lineRule="auto"/>
        <w:jc w:val="both"/>
        <w:rPr>
          <w:rFonts w:ascii="David" w:hAnsi="David"/>
          <w:rtl/>
        </w:rPr>
      </w:pPr>
      <w:r>
        <w:rPr>
          <w:rFonts w:ascii="David" w:hAnsi="David"/>
          <w:rtl/>
        </w:rPr>
        <w:t>מטעם ב"כ הנאשם הוגש סיכום ביקור של הנאשם במרפאה לבריאות הנפש באר יעקב, ממנו עולה התרשמות כי הוא בעל תסמינים דיכאוניים כרוניים לרקע קשיי הסתגלות למחלת האפילפסיה ולרקע דפוסי אישיות.</w:t>
      </w:r>
    </w:p>
    <w:p w14:paraId="5DED5E78" w14:textId="77777777" w:rsidR="004A1E7E" w:rsidRDefault="004A1E7E" w:rsidP="004A1E7E">
      <w:pPr>
        <w:spacing w:line="360" w:lineRule="auto"/>
        <w:jc w:val="both"/>
        <w:rPr>
          <w:rFonts w:ascii="David" w:hAnsi="David"/>
          <w:rtl/>
        </w:rPr>
      </w:pPr>
    </w:p>
    <w:p w14:paraId="764E0240" w14:textId="77777777" w:rsidR="004A1E7E" w:rsidRDefault="004A1E7E" w:rsidP="004A1E7E">
      <w:pPr>
        <w:spacing w:line="360" w:lineRule="auto"/>
        <w:jc w:val="both"/>
        <w:rPr>
          <w:rFonts w:ascii="David" w:hAnsi="David"/>
          <w:b/>
          <w:bCs/>
          <w:u w:val="single"/>
          <w:rtl/>
        </w:rPr>
      </w:pPr>
    </w:p>
    <w:p w14:paraId="29B9373B" w14:textId="77777777" w:rsidR="004A1E7E" w:rsidRDefault="004A1E7E" w:rsidP="004A1E7E">
      <w:pPr>
        <w:spacing w:line="360" w:lineRule="auto"/>
        <w:jc w:val="both"/>
        <w:rPr>
          <w:rFonts w:ascii="David" w:hAnsi="David"/>
          <w:b/>
          <w:bCs/>
          <w:u w:val="single"/>
          <w:rtl/>
        </w:rPr>
      </w:pPr>
      <w:r>
        <w:rPr>
          <w:rFonts w:ascii="David" w:hAnsi="David"/>
          <w:b/>
          <w:bCs/>
          <w:u w:val="single"/>
          <w:rtl/>
        </w:rPr>
        <w:t>טיעוני הצדדים</w:t>
      </w:r>
    </w:p>
    <w:p w14:paraId="41888E27" w14:textId="77777777" w:rsidR="004A1E7E" w:rsidRDefault="004A1E7E" w:rsidP="004A1E7E">
      <w:pPr>
        <w:spacing w:line="360" w:lineRule="auto"/>
        <w:jc w:val="both"/>
        <w:rPr>
          <w:rFonts w:ascii="David" w:hAnsi="David"/>
          <w:rtl/>
        </w:rPr>
      </w:pPr>
    </w:p>
    <w:p w14:paraId="2EC23F18" w14:textId="77777777" w:rsidR="004A1E7E" w:rsidRDefault="004A1E7E" w:rsidP="004A1E7E">
      <w:pPr>
        <w:spacing w:line="360" w:lineRule="auto"/>
        <w:jc w:val="both"/>
        <w:rPr>
          <w:rFonts w:ascii="David" w:hAnsi="David"/>
          <w:rtl/>
        </w:rPr>
      </w:pPr>
      <w:r>
        <w:rPr>
          <w:rFonts w:ascii="David" w:hAnsi="David"/>
          <w:rtl/>
        </w:rPr>
        <w:t xml:space="preserve">ב"כ התביעה טען כי העבירות חמורות. בייחוד מייחסת התביעה חומרה לעבירה של תקיפת השוטר בנשיכה, באופן שהותיר על כף ידו צלקת, אותה הציג בפני בית המשפט בעדותו. נטען כי הנאשם נהג באופן חמור כשהתנגד למעצר, וניסה לשבש את החקירה על ידי השמדת הסמים. לנאשם עבר פלילי, וריצה 21 חודשי מאסר בגין עבירות רכוש ואלימות. לדעת התביעה מתחם העונש ההולם נע בין 10 ל-24 חודשי מאסר, ולא קיימים שיקולי שיקום, שכן הנאשם לא שיתף פעולה עם שרות המבחן. התביעה ערה לכך שכיום הנאשם אוחז ברישיון לקנביס רפואי אך טענה כי האירוע התרחש זמן רב קודם לקבלת הרישיון, כך שאין ברישיון כדי להוות נסיבה לקולא. בעניין מחלת הנאשם נטען כי הוא מתמודד עמה מילדותו, ולא היה בכך כדי למנוע ממנו ביצוע עבירות לפיכך אין להתחשב בו. התביעה עתרה להטיל מאסר שלא יפחת מ-15 חודשים לצד ענישה נלווית, לרבות קנס כספי משמעותי ופיצוי גבוה  שלא יפחת מ- 10,000 ₪ לשוטר. </w:t>
      </w:r>
    </w:p>
    <w:p w14:paraId="6CFB35C9" w14:textId="77777777" w:rsidR="004A1E7E" w:rsidRDefault="004A1E7E" w:rsidP="004A1E7E">
      <w:pPr>
        <w:spacing w:line="360" w:lineRule="auto"/>
        <w:jc w:val="both"/>
        <w:rPr>
          <w:rFonts w:ascii="David" w:hAnsi="David"/>
          <w:rtl/>
        </w:rPr>
      </w:pPr>
    </w:p>
    <w:p w14:paraId="7C4B5774" w14:textId="77777777" w:rsidR="004A1E7E" w:rsidRDefault="004A1E7E" w:rsidP="004A1E7E">
      <w:pPr>
        <w:spacing w:line="360" w:lineRule="auto"/>
        <w:jc w:val="both"/>
        <w:rPr>
          <w:rFonts w:ascii="David" w:hAnsi="David"/>
          <w:rtl/>
        </w:rPr>
      </w:pPr>
      <w:r>
        <w:rPr>
          <w:rFonts w:ascii="David" w:hAnsi="David"/>
          <w:rtl/>
        </w:rPr>
        <w:t xml:space="preserve">ב"כ הנאשם טען כי לצד העבירות, על בית המשפט להתרשם מנסיבות המקרה. נטען כי נסיבותיו הרפואיות של הנאשם חריגות, הוא אמנם החזיק בסמים והפריע לשוטרים, אך יש להתחשב בכך שמדובר באדם חולה, שהיה תחת טיפול תרופתי, ובמצבו זה אירעה הנשיכה כלפי השוטר. בעניין הקשר עם שרות המבחן, נטען כי הנאשם התקשה בכך בשל מצבו המיוחד, המחייב מלווה צמוד מחשש להתקפים פתאומיים. ב"כ הנאשם טען כי מאז האירוע חלפו 3.5 שנים, הנאשם כיום בן 38, אב ל-8 ילדים, ואינו מסוגל לצאת לבדו מביתו. בשל מצבו, עתר לחריגה לקולא ממתחם העונש, בהתאם להלכת לופליאנסקי. עוד נטען כי הנאשם יסבול במאסר מעל ומעבר לסבלו של כל אסיר. בעניין נסיבות העבירות, נטען כי תקיפת השוטר היא מינורית יחסית, ונגרמה בשל תחושת המחנק של הנאשם, למול השוטר שתפס אותו. כמו כן, כמות הסם שגידל הנאשם קטנה, בשים לב לכך שרק 20% מהמשקל הוא חומר פעיל. כיום הנאשם אוחז ברישיון לקנביס רפואי, מה שמלמד כי הסם היה נחוץ לו. ב"כ הנאשם הפנה לכך שהוא נמצא בלתי מתאים לריצוי עבודות שירות, בשל מחלתו. לפיכך, נטען כי המתחם ההולם נע בין עונש הצופה פני עתיד, ועד מספר חודשי מאסר. בשים לב לכך שהנאשם היה עצור 5 ימים, וכן שהה במעצר בית על פני שנה תמימה, עתירתו היא להסתפק בכך ולהטיל מאסר על תנאי. </w:t>
      </w:r>
    </w:p>
    <w:p w14:paraId="7166EBA8" w14:textId="77777777" w:rsidR="004A1E7E" w:rsidRDefault="004A1E7E" w:rsidP="004A1E7E">
      <w:pPr>
        <w:spacing w:line="360" w:lineRule="auto"/>
        <w:jc w:val="both"/>
        <w:rPr>
          <w:rFonts w:ascii="David" w:hAnsi="David"/>
          <w:rtl/>
        </w:rPr>
      </w:pPr>
    </w:p>
    <w:p w14:paraId="146B893D" w14:textId="77777777" w:rsidR="004A1E7E" w:rsidRDefault="004A1E7E" w:rsidP="004A1E7E">
      <w:pPr>
        <w:spacing w:line="360" w:lineRule="auto"/>
        <w:jc w:val="both"/>
        <w:rPr>
          <w:rFonts w:ascii="David" w:hAnsi="David"/>
        </w:rPr>
      </w:pPr>
      <w:r>
        <w:rPr>
          <w:rFonts w:ascii="David" w:hAnsi="David"/>
          <w:rtl/>
        </w:rPr>
        <w:t xml:space="preserve">הנאשם בדברו האחרון אמר כי הוא נוטל טיפול תרופתי שמרדים אותו ומקשה עליו להתנועע. בעניין העבירה אמר כי אינו יודע כיצד הגיע למצב שבו נשך את השוטר, מעולם לא נשך אדם קודם לכן, והדבר נבע מהתרופות. הנאשם הביע צער, ביקש סליחתו של השוטר ואמר כי מאז שהתחתן ניתק עצמו מן העבריינות ולא היה במשטרה.  </w:t>
      </w:r>
    </w:p>
    <w:p w14:paraId="7C7CB0B7" w14:textId="77777777" w:rsidR="004A1E7E" w:rsidRDefault="004A1E7E" w:rsidP="004A1E7E">
      <w:pPr>
        <w:spacing w:line="360" w:lineRule="auto"/>
        <w:jc w:val="both"/>
        <w:rPr>
          <w:rFonts w:ascii="David" w:hAnsi="David"/>
          <w:b/>
          <w:bCs/>
          <w:u w:val="single"/>
          <w:rtl/>
        </w:rPr>
      </w:pPr>
    </w:p>
    <w:p w14:paraId="5694483A" w14:textId="77777777" w:rsidR="004A1E7E" w:rsidRDefault="004A1E7E" w:rsidP="004A1E7E">
      <w:pPr>
        <w:spacing w:line="360" w:lineRule="auto"/>
        <w:jc w:val="both"/>
        <w:rPr>
          <w:rFonts w:ascii="David" w:hAnsi="David"/>
          <w:b/>
          <w:bCs/>
          <w:u w:val="single"/>
          <w:rtl/>
        </w:rPr>
      </w:pPr>
    </w:p>
    <w:p w14:paraId="11A3BAB4" w14:textId="77777777" w:rsidR="004A1E7E" w:rsidRDefault="004A1E7E" w:rsidP="004A1E7E">
      <w:pPr>
        <w:spacing w:line="360" w:lineRule="auto"/>
        <w:jc w:val="both"/>
        <w:rPr>
          <w:rFonts w:ascii="David" w:hAnsi="David"/>
          <w:b/>
          <w:bCs/>
          <w:u w:val="single"/>
          <w:rtl/>
        </w:rPr>
      </w:pPr>
      <w:r>
        <w:rPr>
          <w:rFonts w:ascii="David" w:hAnsi="David"/>
          <w:b/>
          <w:bCs/>
          <w:u w:val="single"/>
          <w:rtl/>
        </w:rPr>
        <w:t>מתחם העונש ההולם</w:t>
      </w:r>
    </w:p>
    <w:p w14:paraId="513E58DE" w14:textId="77777777" w:rsidR="004A1E7E" w:rsidRDefault="004A1E7E" w:rsidP="004A1E7E">
      <w:pPr>
        <w:spacing w:line="360" w:lineRule="auto"/>
        <w:jc w:val="both"/>
        <w:rPr>
          <w:rFonts w:ascii="David" w:hAnsi="David"/>
          <w:rtl/>
        </w:rPr>
      </w:pPr>
    </w:p>
    <w:p w14:paraId="5FE40F71" w14:textId="77777777" w:rsidR="004A1E7E" w:rsidRDefault="004A1E7E" w:rsidP="004A1E7E">
      <w:pPr>
        <w:spacing w:line="360" w:lineRule="auto"/>
        <w:jc w:val="both"/>
        <w:rPr>
          <w:rFonts w:ascii="David" w:hAnsi="David"/>
          <w:rtl/>
        </w:rPr>
      </w:pPr>
      <w:r>
        <w:rPr>
          <w:rFonts w:ascii="David" w:hAnsi="David"/>
          <w:rtl/>
        </w:rPr>
        <w:t>האירוע שלפניי כלל עבירה של גידול קנביס, לצד תקיפת שוטר ושיבוש מהלכי משפט. לפיכך אבחן את המדיניות הנוהגת לגבי כל אחת מן העבירות הללו, ולאחר מכן, ייקבע מתחם הולם מאוחד לאירוע כולו.</w:t>
      </w:r>
    </w:p>
    <w:p w14:paraId="4B31573D" w14:textId="77777777" w:rsidR="004A1E7E" w:rsidRDefault="004A1E7E" w:rsidP="004A1E7E">
      <w:pPr>
        <w:spacing w:line="360" w:lineRule="auto"/>
        <w:jc w:val="both"/>
        <w:rPr>
          <w:rFonts w:ascii="David" w:hAnsi="David"/>
          <w:rtl/>
        </w:rPr>
      </w:pPr>
    </w:p>
    <w:p w14:paraId="3EEC9C4C" w14:textId="77777777" w:rsidR="004A1E7E" w:rsidRDefault="004A1E7E" w:rsidP="004A1E7E">
      <w:pPr>
        <w:spacing w:line="360" w:lineRule="auto"/>
        <w:jc w:val="both"/>
        <w:rPr>
          <w:rFonts w:ascii="David" w:hAnsi="David"/>
          <w:b/>
          <w:bCs/>
          <w:u w:val="single"/>
          <w:rtl/>
        </w:rPr>
      </w:pPr>
      <w:r>
        <w:rPr>
          <w:rFonts w:ascii="David" w:hAnsi="David"/>
          <w:b/>
          <w:bCs/>
          <w:u w:val="single"/>
          <w:rtl/>
        </w:rPr>
        <w:t>גידול הסמים</w:t>
      </w:r>
    </w:p>
    <w:p w14:paraId="1634E0FC" w14:textId="77777777" w:rsidR="004A1E7E" w:rsidRDefault="004A1E7E" w:rsidP="004A1E7E">
      <w:pPr>
        <w:spacing w:line="360" w:lineRule="auto"/>
        <w:jc w:val="both"/>
        <w:rPr>
          <w:rFonts w:ascii="David" w:hAnsi="David"/>
          <w:rtl/>
        </w:rPr>
      </w:pPr>
      <w:r>
        <w:rPr>
          <w:rFonts w:ascii="David" w:hAnsi="David"/>
          <w:rtl/>
        </w:rPr>
        <w:t>אין צורך להכביר מילים אודות העניין הציבורי הרב באכיפה נגד עבירות סמים. בעניין זה אמר בית המשפט העליון ב</w:t>
      </w:r>
      <w:hyperlink r:id="rId22" w:history="1">
        <w:r w:rsidR="00E35858" w:rsidRPr="00E35858">
          <w:rPr>
            <w:rFonts w:ascii="David" w:hAnsi="David"/>
            <w:color w:val="0000FF"/>
            <w:u w:val="single"/>
            <w:rtl/>
          </w:rPr>
          <w:t>רע"פ 4512/15</w:t>
        </w:r>
      </w:hyperlink>
      <w:r>
        <w:rPr>
          <w:rFonts w:ascii="David" w:hAnsi="David"/>
          <w:rtl/>
        </w:rPr>
        <w:t xml:space="preserve"> </w:t>
      </w:r>
      <w:r>
        <w:rPr>
          <w:rFonts w:ascii="David" w:hAnsi="David" w:hint="cs"/>
          <w:b/>
          <w:bCs/>
          <w:rtl/>
        </w:rPr>
        <w:t>הרוש נ' מד"י</w:t>
      </w:r>
      <w:r>
        <w:rPr>
          <w:rFonts w:ascii="David" w:hAnsi="David"/>
        </w:rPr>
        <w:t xml:space="preserve"> </w:t>
      </w:r>
      <w:r>
        <w:rPr>
          <w:rFonts w:ascii="David" w:hAnsi="David"/>
          <w:rtl/>
        </w:rPr>
        <w:t>(6/7/15), שם נדון עניינו של מי שהקים מעבדה לגידול קנבוס:</w:t>
      </w:r>
    </w:p>
    <w:p w14:paraId="05A7E111" w14:textId="77777777" w:rsidR="004A1E7E" w:rsidRPr="00D02785" w:rsidRDefault="004A1E7E" w:rsidP="004A1E7E">
      <w:pPr>
        <w:tabs>
          <w:tab w:val="left" w:pos="720"/>
        </w:tabs>
        <w:overflowPunct w:val="0"/>
        <w:autoSpaceDE w:val="0"/>
        <w:autoSpaceDN w:val="0"/>
        <w:ind w:left="793" w:right="1276"/>
        <w:jc w:val="both"/>
        <w:rPr>
          <w:rFonts w:ascii="David" w:hAnsi="David"/>
          <w:b/>
          <w:bCs/>
          <w:rtl/>
        </w:rPr>
      </w:pPr>
      <w:r w:rsidRPr="00D02785">
        <w:rPr>
          <w:rFonts w:ascii="David" w:hAnsi="David"/>
          <w:b/>
          <w:bCs/>
          <w:rtl/>
        </w:rPr>
        <w:t>ועוד ראוי להזכיר, כי כאשר בעבירות סמים עסקינן, על בית המשפט לנקוט ביד קשה כדי להרתיע עבריינים פוטנציאליים מפני ביצוען. כפי שנאמר ב</w:t>
      </w:r>
      <w:hyperlink r:id="rId23" w:history="1">
        <w:r w:rsidR="00E35858" w:rsidRPr="00E35858">
          <w:rPr>
            <w:b/>
            <w:bCs/>
            <w:color w:val="0000FF"/>
            <w:u w:val="single"/>
            <w:rtl/>
          </w:rPr>
          <w:t>ע"פ 211/09</w:t>
        </w:r>
      </w:hyperlink>
      <w:r w:rsidRPr="00D02785">
        <w:rPr>
          <w:rFonts w:ascii="David" w:hAnsi="David"/>
          <w:b/>
          <w:bCs/>
          <w:rtl/>
        </w:rPr>
        <w:t xml:space="preserve"> אזולאי נ' מדינת ישראל [פורסם בנבו] (22.6.2010):</w:t>
      </w:r>
    </w:p>
    <w:p w14:paraId="14720186" w14:textId="77777777" w:rsidR="004A1E7E" w:rsidRPr="00D02785" w:rsidRDefault="004A1E7E" w:rsidP="004A1E7E">
      <w:pPr>
        <w:overflowPunct w:val="0"/>
        <w:autoSpaceDE w:val="0"/>
        <w:autoSpaceDN w:val="0"/>
        <w:adjustRightInd w:val="0"/>
        <w:ind w:left="793" w:right="1276"/>
        <w:jc w:val="both"/>
        <w:rPr>
          <w:rFonts w:ascii="David" w:hAnsi="David"/>
          <w:b/>
          <w:bCs/>
          <w:rtl/>
        </w:rPr>
      </w:pPr>
      <w:r w:rsidRPr="00D02785">
        <w:rPr>
          <w:rFonts w:ascii="David" w:hAnsi="David"/>
          <w:b/>
          <w:bCs/>
          <w:rtl/>
        </w:rPr>
        <w:t>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74B13BEE" w14:textId="77777777" w:rsidR="004A1E7E" w:rsidRPr="00D02785" w:rsidRDefault="004A1E7E" w:rsidP="004A1E7E">
      <w:pPr>
        <w:ind w:left="793" w:right="1276"/>
        <w:jc w:val="both"/>
        <w:rPr>
          <w:rFonts w:ascii="David" w:hAnsi="David"/>
          <w:b/>
          <w:bCs/>
          <w:rtl/>
        </w:rPr>
      </w:pPr>
    </w:p>
    <w:p w14:paraId="4E5519E3" w14:textId="77777777" w:rsidR="004A1E7E" w:rsidRDefault="004A1E7E" w:rsidP="004A1E7E">
      <w:pPr>
        <w:spacing w:line="360" w:lineRule="auto"/>
        <w:jc w:val="both"/>
        <w:rPr>
          <w:rFonts w:ascii="David" w:hAnsi="David"/>
          <w:rtl/>
        </w:rPr>
      </w:pPr>
      <w:r>
        <w:rPr>
          <w:rFonts w:ascii="David" w:hAnsi="David"/>
          <w:rtl/>
        </w:rPr>
        <w:t xml:space="preserve">במקרים לא מועטים, אליהם הפנתה התביעה, נקבע כי מתחם העונש ההולם בגין עבירה של גידול סמים, מרקיע עד לעונשי מאסר משמעותיים, וזאת גם בעניינם של נאשמים ללא עבר פלילי. עם זאת, עולה כי עונשי מאסר שכאלה הוטלו בעיקר במקרים בהם התקיימו נסיבות חמורות. בעניין </w:t>
      </w:r>
      <w:r>
        <w:rPr>
          <w:rFonts w:ascii="David" w:hAnsi="David"/>
          <w:b/>
          <w:bCs/>
          <w:rtl/>
        </w:rPr>
        <w:t>הרוש</w:t>
      </w:r>
      <w:r>
        <w:rPr>
          <w:rFonts w:ascii="David" w:hAnsi="David"/>
          <w:rtl/>
        </w:rPr>
        <w:t>, הפנה בית המשפט העליון לסוג השיקולים, שיש בהם כדי ללמד על מידת החומרה שנלוותה לעבירת הגידול:</w:t>
      </w:r>
    </w:p>
    <w:p w14:paraId="31CF0031" w14:textId="77777777" w:rsidR="004A1E7E" w:rsidRDefault="004A1E7E" w:rsidP="004A1E7E">
      <w:pPr>
        <w:overflowPunct w:val="0"/>
        <w:autoSpaceDE w:val="0"/>
        <w:autoSpaceDN w:val="0"/>
        <w:adjustRightInd w:val="0"/>
        <w:ind w:left="793" w:right="1276"/>
        <w:jc w:val="both"/>
        <w:rPr>
          <w:rFonts w:ascii="David" w:hAnsi="David"/>
          <w:b/>
          <w:bCs/>
          <w:spacing w:val="10"/>
          <w:rtl/>
        </w:rPr>
      </w:pPr>
    </w:p>
    <w:p w14:paraId="6D4732C3" w14:textId="77777777" w:rsidR="004A1E7E" w:rsidRDefault="004A1E7E" w:rsidP="004A1E7E">
      <w:pPr>
        <w:overflowPunct w:val="0"/>
        <w:autoSpaceDE w:val="0"/>
        <w:autoSpaceDN w:val="0"/>
        <w:adjustRightInd w:val="0"/>
        <w:ind w:left="793" w:right="1276"/>
        <w:jc w:val="both"/>
        <w:rPr>
          <w:rFonts w:ascii="David" w:hAnsi="David"/>
          <w:b/>
          <w:bCs/>
          <w:spacing w:val="10"/>
          <w:rtl/>
        </w:rPr>
      </w:pPr>
      <w:r>
        <w:rPr>
          <w:rFonts w:ascii="David" w:hAnsi="David"/>
          <w:b/>
          <w:bCs/>
          <w:spacing w:val="10"/>
          <w:rtl/>
        </w:rPr>
        <w:t>ניתן לקבוע, אפוא, כי עונשו של המבקש נגזר, בסופו של יום, על בסיס כלל נסיבות המקרה, ובכללן, אופן הקמת המעבדה; אבזורה של המעבדה; שטחה ...; היקף הייצור; כמות השתילים ומשקל הסם.</w:t>
      </w:r>
    </w:p>
    <w:p w14:paraId="5F73504F" w14:textId="77777777" w:rsidR="004A1E7E" w:rsidRDefault="004A1E7E" w:rsidP="004A1E7E">
      <w:pPr>
        <w:spacing w:line="360" w:lineRule="auto"/>
        <w:jc w:val="both"/>
        <w:rPr>
          <w:rFonts w:ascii="David" w:hAnsi="David"/>
          <w:rtl/>
        </w:rPr>
      </w:pPr>
    </w:p>
    <w:p w14:paraId="65DCCF13" w14:textId="77777777" w:rsidR="004A1E7E" w:rsidRPr="00D02785" w:rsidRDefault="004A1E7E" w:rsidP="004A1E7E">
      <w:pPr>
        <w:spacing w:line="360" w:lineRule="auto"/>
        <w:jc w:val="both"/>
        <w:rPr>
          <w:rFonts w:ascii="David" w:hAnsi="David"/>
          <w:rtl/>
        </w:rPr>
      </w:pPr>
      <w:r>
        <w:rPr>
          <w:rFonts w:ascii="David" w:hAnsi="David"/>
          <w:rtl/>
        </w:rPr>
        <w:t xml:space="preserve">ברוח זו, מקום בו נתפס קנביס במשקל של קלוגרמים רבים, משמשת נסיבה זו כנימוק מרכזי לענישה מחמירה, גם בהעדר עבר </w:t>
      </w:r>
      <w:hyperlink r:id="rId24" w:history="1">
        <w:r w:rsidR="00E35858" w:rsidRPr="00E35858">
          <w:rPr>
            <w:rFonts w:ascii="David" w:hAnsi="David"/>
            <w:color w:val="0000FF"/>
            <w:u w:val="single"/>
            <w:rtl/>
          </w:rPr>
          <w:t>פלילי (ת"פ (מח' ב"ש) 69278-05-18</w:t>
        </w:r>
      </w:hyperlink>
      <w:r>
        <w:rPr>
          <w:rFonts w:ascii="David" w:hAnsi="David"/>
          <w:rtl/>
        </w:rPr>
        <w:t xml:space="preserve"> </w:t>
      </w:r>
      <w:r>
        <w:rPr>
          <w:rFonts w:ascii="David" w:hAnsi="David" w:hint="cs"/>
          <w:b/>
          <w:bCs/>
          <w:rtl/>
        </w:rPr>
        <w:t>מד"י נ' אלוכילי</w:t>
      </w:r>
      <w:r>
        <w:rPr>
          <w:rFonts w:ascii="David" w:hAnsi="David" w:hint="cs"/>
          <w:rtl/>
        </w:rPr>
        <w:t xml:space="preserve"> (24.11.19); </w:t>
      </w:r>
      <w:hyperlink r:id="rId25" w:history="1">
        <w:r w:rsidR="00E35858" w:rsidRPr="00E35858">
          <w:rPr>
            <w:rFonts w:ascii="David" w:hAnsi="David"/>
            <w:color w:val="0000FF"/>
            <w:u w:val="single"/>
            <w:rtl/>
          </w:rPr>
          <w:t>ע"פ 5103/17</w:t>
        </w:r>
      </w:hyperlink>
      <w:r>
        <w:rPr>
          <w:rFonts w:ascii="David" w:hAnsi="David" w:hint="cs"/>
          <w:rtl/>
        </w:rPr>
        <w:t xml:space="preserve"> </w:t>
      </w:r>
      <w:r>
        <w:rPr>
          <w:rFonts w:ascii="David" w:hAnsi="David" w:hint="cs"/>
          <w:b/>
          <w:bCs/>
          <w:rtl/>
        </w:rPr>
        <w:t>אליספוב נ' מד"י</w:t>
      </w:r>
      <w:r>
        <w:rPr>
          <w:rFonts w:ascii="David" w:hAnsi="David" w:hint="cs"/>
          <w:rtl/>
        </w:rPr>
        <w:t xml:space="preserve"> (1.1.18); </w:t>
      </w:r>
      <w:hyperlink r:id="rId26" w:history="1">
        <w:r w:rsidR="00E35858" w:rsidRPr="00E35858">
          <w:rPr>
            <w:rFonts w:ascii="David" w:hAnsi="David"/>
            <w:color w:val="0000FF"/>
            <w:u w:val="single"/>
            <w:rtl/>
          </w:rPr>
          <w:t>ת"פ 25458-11-18</w:t>
        </w:r>
      </w:hyperlink>
      <w:r>
        <w:rPr>
          <w:rFonts w:ascii="David" w:hAnsi="David"/>
          <w:rtl/>
        </w:rPr>
        <w:t xml:space="preserve"> (מח' מרכז) </w:t>
      </w:r>
      <w:r>
        <w:rPr>
          <w:rFonts w:ascii="David" w:hAnsi="David"/>
          <w:b/>
          <w:bCs/>
          <w:rtl/>
        </w:rPr>
        <w:t>מד"י נ' אליאב</w:t>
      </w:r>
      <w:r>
        <w:rPr>
          <w:rFonts w:ascii="David" w:hAnsi="David"/>
          <w:rtl/>
        </w:rPr>
        <w:t xml:space="preserve"> (19.9.19); </w:t>
      </w:r>
      <w:hyperlink r:id="rId27" w:history="1">
        <w:r w:rsidR="00E35858" w:rsidRPr="00E35858">
          <w:rPr>
            <w:rFonts w:ascii="David" w:hAnsi="David"/>
            <w:color w:val="0000FF"/>
            <w:u w:val="single"/>
            <w:rtl/>
          </w:rPr>
          <w:t>רע"פ 513/21</w:t>
        </w:r>
      </w:hyperlink>
      <w:r w:rsidRPr="00D02785">
        <w:rPr>
          <w:rFonts w:ascii="David" w:hAnsi="David"/>
          <w:rtl/>
        </w:rPr>
        <w:t xml:space="preserve"> יהושע נ' מד"י (4.3.21)). כמו כן, ננקטת מדיניות ענישה מחמירה ביותר, כלפי מי שהשקיע כספים לצורך הקמת מקום הגידול, אם בשכירת המקום, ואם ברכישת ציוד יקר ערך, מערכות השקיה וחימום, וכלים להכנה וחלוקה של מנות סם (</w:t>
      </w:r>
      <w:hyperlink r:id="rId28" w:history="1">
        <w:r w:rsidR="00E35858" w:rsidRPr="00E35858">
          <w:rPr>
            <w:rFonts w:ascii="David" w:hAnsi="David"/>
            <w:color w:val="0000FF"/>
            <w:u w:val="single"/>
            <w:rtl/>
          </w:rPr>
          <w:t>רע"פ 666/20</w:t>
        </w:r>
      </w:hyperlink>
      <w:r w:rsidRPr="00D02785">
        <w:rPr>
          <w:rFonts w:ascii="David" w:hAnsi="David"/>
          <w:rtl/>
        </w:rPr>
        <w:t xml:space="preserve"> </w:t>
      </w:r>
      <w:r w:rsidRPr="00D02785">
        <w:rPr>
          <w:rFonts w:ascii="David" w:hAnsi="David"/>
          <w:b/>
          <w:bCs/>
          <w:rtl/>
        </w:rPr>
        <w:t>עמרם נ' מד"י</w:t>
      </w:r>
      <w:r w:rsidRPr="00D02785">
        <w:rPr>
          <w:rFonts w:ascii="David" w:hAnsi="David"/>
          <w:rtl/>
        </w:rPr>
        <w:t xml:space="preserve"> (3.2.20);  </w:t>
      </w:r>
      <w:hyperlink r:id="rId29" w:history="1">
        <w:r w:rsidR="00E35858" w:rsidRPr="00E35858">
          <w:rPr>
            <w:rFonts w:ascii="David" w:hAnsi="David"/>
            <w:color w:val="0000FF"/>
            <w:u w:val="single"/>
            <w:rtl/>
          </w:rPr>
          <w:t>עפ"ג 55495-03-18</w:t>
        </w:r>
      </w:hyperlink>
      <w:r w:rsidRPr="00D02785">
        <w:rPr>
          <w:rFonts w:ascii="David" w:hAnsi="David"/>
          <w:rtl/>
        </w:rPr>
        <w:t xml:space="preserve"> (מח' מרכז) </w:t>
      </w:r>
      <w:r w:rsidRPr="00D02785">
        <w:rPr>
          <w:rFonts w:ascii="David" w:hAnsi="David"/>
          <w:b/>
          <w:bCs/>
          <w:rtl/>
        </w:rPr>
        <w:t>מד"י נ' כהן</w:t>
      </w:r>
      <w:r w:rsidRPr="00D02785">
        <w:rPr>
          <w:rFonts w:ascii="David" w:hAnsi="David"/>
          <w:rtl/>
        </w:rPr>
        <w:t xml:space="preserve"> (8.5.18); </w:t>
      </w:r>
      <w:hyperlink r:id="rId30" w:history="1">
        <w:r w:rsidR="00E35858" w:rsidRPr="00E35858">
          <w:rPr>
            <w:rFonts w:ascii="David" w:hAnsi="David"/>
            <w:color w:val="0000FF"/>
            <w:u w:val="single"/>
            <w:rtl/>
          </w:rPr>
          <w:t>עפ"ג 76025-01-19</w:t>
        </w:r>
      </w:hyperlink>
      <w:r w:rsidRPr="00D02785">
        <w:rPr>
          <w:rFonts w:ascii="David" w:hAnsi="David"/>
          <w:rtl/>
        </w:rPr>
        <w:t xml:space="preserve"> </w:t>
      </w:r>
      <w:r w:rsidRPr="00D02785">
        <w:rPr>
          <w:rFonts w:ascii="David" w:hAnsi="David"/>
          <w:b/>
          <w:bCs/>
          <w:rtl/>
        </w:rPr>
        <w:t>שובל נ' מד"י</w:t>
      </w:r>
      <w:r w:rsidRPr="00D02785">
        <w:rPr>
          <w:rFonts w:ascii="David" w:hAnsi="David"/>
          <w:rtl/>
        </w:rPr>
        <w:t xml:space="preserve"> (15.7.19)). גידול שנועד למטרה מסחרית מובהקת, הוביל כמובן לענישה מחמירה במיוחד (</w:t>
      </w:r>
      <w:hyperlink r:id="rId31" w:history="1">
        <w:r w:rsidR="00E35858" w:rsidRPr="00E35858">
          <w:rPr>
            <w:rFonts w:ascii="David" w:hAnsi="David"/>
            <w:color w:val="0000FF"/>
            <w:u w:val="single"/>
            <w:rtl/>
          </w:rPr>
          <w:t>רע"פ 2870/18</w:t>
        </w:r>
      </w:hyperlink>
      <w:r w:rsidRPr="00D02785">
        <w:rPr>
          <w:rFonts w:ascii="David" w:hAnsi="David"/>
          <w:rtl/>
        </w:rPr>
        <w:t xml:space="preserve"> </w:t>
      </w:r>
      <w:r w:rsidRPr="00D02785">
        <w:rPr>
          <w:rFonts w:ascii="David" w:hAnsi="David"/>
          <w:b/>
          <w:bCs/>
          <w:rtl/>
        </w:rPr>
        <w:t>ניר כהן נ' מד"י</w:t>
      </w:r>
      <w:r w:rsidRPr="00D02785">
        <w:rPr>
          <w:rFonts w:ascii="David" w:hAnsi="David"/>
          <w:rtl/>
        </w:rPr>
        <w:t xml:space="preserve"> (11.6.18)), וכן נשקל לחומרא העדר שיתוף פעולה עם שרות המבחן (</w:t>
      </w:r>
      <w:hyperlink r:id="rId32" w:history="1">
        <w:r w:rsidR="00E35858" w:rsidRPr="00E35858">
          <w:rPr>
            <w:rFonts w:ascii="David" w:hAnsi="David"/>
            <w:color w:val="0000FF"/>
            <w:u w:val="single"/>
            <w:rtl/>
          </w:rPr>
          <w:t>רע"פ 314/16</w:t>
        </w:r>
      </w:hyperlink>
      <w:r w:rsidRPr="00D02785">
        <w:rPr>
          <w:rFonts w:ascii="David" w:hAnsi="David"/>
          <w:rtl/>
        </w:rPr>
        <w:t xml:space="preserve"> בן צבי נ' מד"י (22.2.16); </w:t>
      </w:r>
      <w:hyperlink r:id="rId33" w:history="1">
        <w:r w:rsidR="00E35858" w:rsidRPr="00E35858">
          <w:rPr>
            <w:rFonts w:ascii="David" w:hAnsi="David"/>
            <w:color w:val="0000FF"/>
            <w:u w:val="single"/>
            <w:rtl/>
          </w:rPr>
          <w:t>עפ"ג 8693-09-18</w:t>
        </w:r>
      </w:hyperlink>
      <w:r w:rsidRPr="00D02785">
        <w:rPr>
          <w:rFonts w:ascii="David" w:hAnsi="David"/>
          <w:rtl/>
        </w:rPr>
        <w:t xml:space="preserve"> </w:t>
      </w:r>
      <w:r w:rsidRPr="00D02785">
        <w:rPr>
          <w:rFonts w:ascii="David" w:hAnsi="David" w:hint="cs"/>
          <w:b/>
          <w:bCs/>
          <w:rtl/>
        </w:rPr>
        <w:t>לירון כהן נ' מד"י</w:t>
      </w:r>
      <w:r w:rsidRPr="00D02785">
        <w:rPr>
          <w:rFonts w:ascii="David" w:hAnsi="David" w:hint="cs"/>
          <w:rtl/>
        </w:rPr>
        <w:t xml:space="preserve"> (11.3.19)). </w:t>
      </w:r>
    </w:p>
    <w:p w14:paraId="6300E6B7" w14:textId="77777777" w:rsidR="004A1E7E" w:rsidRDefault="004A1E7E" w:rsidP="004A1E7E">
      <w:pPr>
        <w:spacing w:line="360" w:lineRule="auto"/>
        <w:jc w:val="both"/>
        <w:rPr>
          <w:rFonts w:ascii="David" w:hAnsi="David"/>
          <w:rtl/>
        </w:rPr>
      </w:pPr>
    </w:p>
    <w:p w14:paraId="349FDA04" w14:textId="77777777" w:rsidR="004A1E7E" w:rsidRDefault="004A1E7E" w:rsidP="004A1E7E">
      <w:pPr>
        <w:spacing w:line="360" w:lineRule="auto"/>
        <w:jc w:val="both"/>
        <w:rPr>
          <w:rFonts w:ascii="David" w:hAnsi="David"/>
          <w:rtl/>
        </w:rPr>
      </w:pPr>
      <w:r>
        <w:rPr>
          <w:rFonts w:ascii="David" w:hAnsi="David"/>
          <w:rtl/>
        </w:rPr>
        <w:t xml:space="preserve">לצד האמור, ניתן למצוא מקרים לא מועטים בהם הסתפק בית המשפט בעונשים של מאסר בעבודות שירות, זאת בהתקיים נסיבות שיקומיות, או אחרות חריגות (למשל: </w:t>
      </w:r>
      <w:hyperlink r:id="rId34" w:history="1">
        <w:r w:rsidR="00E35858" w:rsidRPr="00E35858">
          <w:rPr>
            <w:rFonts w:ascii="David" w:hAnsi="David"/>
            <w:color w:val="0000FF"/>
            <w:u w:val="single"/>
            <w:rtl/>
          </w:rPr>
          <w:t>רע"פ 5293/18</w:t>
        </w:r>
      </w:hyperlink>
      <w:r>
        <w:rPr>
          <w:rFonts w:ascii="David" w:hAnsi="David"/>
          <w:rtl/>
        </w:rPr>
        <w:t xml:space="preserve"> </w:t>
      </w:r>
      <w:r>
        <w:rPr>
          <w:rFonts w:ascii="David" w:hAnsi="David"/>
          <w:b/>
          <w:bCs/>
          <w:rtl/>
        </w:rPr>
        <w:t>חכים נ' מד"י</w:t>
      </w:r>
      <w:r>
        <w:rPr>
          <w:rFonts w:ascii="David" w:hAnsi="David"/>
          <w:rtl/>
        </w:rPr>
        <w:t xml:space="preserve"> (12.7.18); </w:t>
      </w:r>
      <w:hyperlink r:id="rId35" w:history="1">
        <w:r w:rsidR="00E35858" w:rsidRPr="00E35858">
          <w:rPr>
            <w:rFonts w:ascii="David" w:hAnsi="David"/>
            <w:color w:val="0000FF"/>
            <w:u w:val="single"/>
            <w:rtl/>
          </w:rPr>
          <w:t>ת"פ (י-ם) 52785-01-20</w:t>
        </w:r>
      </w:hyperlink>
      <w:r>
        <w:rPr>
          <w:rFonts w:ascii="David" w:hAnsi="David"/>
          <w:rtl/>
        </w:rPr>
        <w:t xml:space="preserve"> </w:t>
      </w:r>
      <w:r>
        <w:rPr>
          <w:rFonts w:ascii="David" w:hAnsi="David"/>
          <w:b/>
          <w:bCs/>
          <w:rtl/>
        </w:rPr>
        <w:t>מד"י נ' דלגו</w:t>
      </w:r>
      <w:r>
        <w:rPr>
          <w:rFonts w:ascii="David" w:hAnsi="David"/>
          <w:rtl/>
        </w:rPr>
        <w:t xml:space="preserve"> (21.6.21); </w:t>
      </w:r>
      <w:hyperlink r:id="rId36" w:history="1">
        <w:r w:rsidR="00E35858" w:rsidRPr="00E35858">
          <w:rPr>
            <w:rFonts w:ascii="David" w:hAnsi="David"/>
            <w:color w:val="0000FF"/>
            <w:u w:val="single"/>
            <w:rtl/>
          </w:rPr>
          <w:t>עפ"ג (מרכז) 14676-04-19</w:t>
        </w:r>
      </w:hyperlink>
      <w:r>
        <w:rPr>
          <w:rFonts w:ascii="David" w:hAnsi="David"/>
          <w:rtl/>
        </w:rPr>
        <w:t xml:space="preserve"> </w:t>
      </w:r>
      <w:r>
        <w:rPr>
          <w:rFonts w:ascii="David" w:hAnsi="David"/>
          <w:b/>
          <w:bCs/>
          <w:rtl/>
        </w:rPr>
        <w:t>מד"י נ' אלקיים</w:t>
      </w:r>
      <w:r>
        <w:rPr>
          <w:rFonts w:ascii="David" w:hAnsi="David"/>
          <w:rtl/>
        </w:rPr>
        <w:t xml:space="preserve"> (24.9.19); </w:t>
      </w:r>
      <w:hyperlink r:id="rId37" w:history="1">
        <w:r w:rsidR="00E35858" w:rsidRPr="00E35858">
          <w:rPr>
            <w:rFonts w:ascii="David" w:hAnsi="David"/>
            <w:color w:val="0000FF"/>
            <w:u w:val="single"/>
            <w:rtl/>
          </w:rPr>
          <w:t>ת"פ (י-ם) 38574-12-18</w:t>
        </w:r>
      </w:hyperlink>
      <w:r>
        <w:rPr>
          <w:rFonts w:ascii="David" w:hAnsi="David"/>
          <w:rtl/>
        </w:rPr>
        <w:t xml:space="preserve"> </w:t>
      </w:r>
      <w:r>
        <w:rPr>
          <w:rFonts w:ascii="David" w:hAnsi="David"/>
          <w:b/>
          <w:bCs/>
          <w:rtl/>
        </w:rPr>
        <w:t>מד"י נ' מנשרוב</w:t>
      </w:r>
      <w:r>
        <w:rPr>
          <w:rFonts w:ascii="David" w:hAnsi="David"/>
          <w:rtl/>
        </w:rPr>
        <w:t xml:space="preserve"> (14.1.20); </w:t>
      </w:r>
      <w:hyperlink r:id="rId38" w:history="1">
        <w:r w:rsidR="00E35858" w:rsidRPr="00E35858">
          <w:rPr>
            <w:rFonts w:ascii="David" w:hAnsi="David"/>
            <w:color w:val="0000FF"/>
            <w:u w:val="single"/>
            <w:rtl/>
          </w:rPr>
          <w:t>ת"פ (מרכז) 58591-08-18</w:t>
        </w:r>
      </w:hyperlink>
      <w:r>
        <w:rPr>
          <w:rFonts w:ascii="David" w:hAnsi="David"/>
          <w:rtl/>
        </w:rPr>
        <w:t xml:space="preserve"> </w:t>
      </w:r>
      <w:r>
        <w:rPr>
          <w:rFonts w:ascii="David" w:hAnsi="David"/>
          <w:b/>
          <w:bCs/>
          <w:rtl/>
        </w:rPr>
        <w:t>מד"י נ' גרייף</w:t>
      </w:r>
      <w:r>
        <w:rPr>
          <w:rFonts w:ascii="David" w:hAnsi="David"/>
          <w:rtl/>
        </w:rPr>
        <w:t xml:space="preserve"> (10.8.20); </w:t>
      </w:r>
      <w:hyperlink r:id="rId39" w:history="1">
        <w:r w:rsidR="00E35858" w:rsidRPr="00E35858">
          <w:rPr>
            <w:rFonts w:ascii="David" w:hAnsi="David"/>
            <w:color w:val="0000FF"/>
            <w:u w:val="single"/>
            <w:rtl/>
          </w:rPr>
          <w:t>ת"פ 28811-02-18</w:t>
        </w:r>
      </w:hyperlink>
      <w:r>
        <w:rPr>
          <w:rFonts w:ascii="David" w:hAnsi="David"/>
          <w:rtl/>
        </w:rPr>
        <w:t xml:space="preserve"> </w:t>
      </w:r>
      <w:r>
        <w:rPr>
          <w:rFonts w:ascii="David" w:hAnsi="David"/>
          <w:b/>
          <w:bCs/>
          <w:rtl/>
        </w:rPr>
        <w:t>מד"י נ' הלוי</w:t>
      </w:r>
      <w:r>
        <w:rPr>
          <w:rFonts w:ascii="David" w:hAnsi="David"/>
          <w:rtl/>
        </w:rPr>
        <w:t xml:space="preserve"> (4.12.19); </w:t>
      </w:r>
      <w:hyperlink r:id="rId40" w:history="1">
        <w:r w:rsidR="00E35858" w:rsidRPr="00E35858">
          <w:rPr>
            <w:rFonts w:ascii="David" w:hAnsi="David"/>
            <w:color w:val="0000FF"/>
            <w:u w:val="single"/>
            <w:rtl/>
          </w:rPr>
          <w:t>ת"פ (מרכז) 2679-03-18</w:t>
        </w:r>
      </w:hyperlink>
      <w:r>
        <w:rPr>
          <w:rFonts w:ascii="David" w:hAnsi="David"/>
          <w:rtl/>
        </w:rPr>
        <w:t xml:space="preserve"> </w:t>
      </w:r>
      <w:r>
        <w:rPr>
          <w:rFonts w:ascii="David" w:hAnsi="David"/>
          <w:b/>
          <w:bCs/>
          <w:rtl/>
        </w:rPr>
        <w:t>מד"י נ' בכור</w:t>
      </w:r>
      <w:r>
        <w:rPr>
          <w:rFonts w:ascii="David" w:hAnsi="David"/>
          <w:rtl/>
        </w:rPr>
        <w:t xml:space="preserve"> (13.6.19); </w:t>
      </w:r>
      <w:hyperlink r:id="rId41" w:history="1">
        <w:r w:rsidR="00E35858" w:rsidRPr="00E35858">
          <w:rPr>
            <w:rFonts w:ascii="David" w:hAnsi="David"/>
            <w:color w:val="0000FF"/>
            <w:u w:val="single"/>
            <w:rtl/>
          </w:rPr>
          <w:t>ת"פ 69011-07-17</w:t>
        </w:r>
      </w:hyperlink>
      <w:r>
        <w:rPr>
          <w:rFonts w:ascii="David" w:hAnsi="David"/>
          <w:rtl/>
        </w:rPr>
        <w:t xml:space="preserve"> </w:t>
      </w:r>
      <w:r>
        <w:rPr>
          <w:rFonts w:ascii="David" w:hAnsi="David"/>
          <w:b/>
          <w:bCs/>
          <w:rtl/>
        </w:rPr>
        <w:t>מד"י נ' סנדס</w:t>
      </w:r>
      <w:r>
        <w:rPr>
          <w:rFonts w:ascii="David" w:hAnsi="David"/>
          <w:rtl/>
        </w:rPr>
        <w:t xml:space="preserve"> (24.12.19); </w:t>
      </w:r>
      <w:hyperlink r:id="rId42" w:history="1">
        <w:r w:rsidR="00E35858" w:rsidRPr="00E35858">
          <w:rPr>
            <w:rFonts w:ascii="David" w:hAnsi="David"/>
            <w:color w:val="0000FF"/>
            <w:u w:val="single"/>
            <w:rtl/>
          </w:rPr>
          <w:t>ת"פ 38680-05-20</w:t>
        </w:r>
      </w:hyperlink>
      <w:r>
        <w:rPr>
          <w:rFonts w:ascii="David" w:hAnsi="David"/>
          <w:rtl/>
        </w:rPr>
        <w:t xml:space="preserve"> מד"י נ' גבאי (18.4.21)</w:t>
      </w:r>
    </w:p>
    <w:p w14:paraId="737B95A1" w14:textId="77777777" w:rsidR="004A1E7E" w:rsidRDefault="004A1E7E" w:rsidP="004A1E7E">
      <w:pPr>
        <w:spacing w:line="360" w:lineRule="auto"/>
        <w:jc w:val="both"/>
        <w:rPr>
          <w:rFonts w:ascii="David" w:hAnsi="David"/>
          <w:rtl/>
        </w:rPr>
      </w:pPr>
    </w:p>
    <w:p w14:paraId="67283AF2" w14:textId="77777777" w:rsidR="004A1E7E" w:rsidRDefault="004A1E7E" w:rsidP="004A1E7E">
      <w:pPr>
        <w:spacing w:line="360" w:lineRule="auto"/>
        <w:jc w:val="both"/>
        <w:rPr>
          <w:rFonts w:ascii="David" w:hAnsi="David"/>
          <w:rtl/>
        </w:rPr>
      </w:pPr>
      <w:r>
        <w:rPr>
          <w:rFonts w:ascii="David" w:hAnsi="David"/>
          <w:rtl/>
        </w:rPr>
        <w:t>בנוסף, ישנה חשיבות לכך שבשנים האחרונות חלו שינויים בעמדות הציבור לגבי מהלך לגליזציה של סם הקנביס, אשר מצאו ביטוי בהחלטות בית המשפט העליון. ב</w:t>
      </w:r>
      <w:hyperlink r:id="rId43" w:history="1">
        <w:r w:rsidR="00E35858" w:rsidRPr="00E35858">
          <w:rPr>
            <w:rFonts w:ascii="David" w:hAnsi="David"/>
            <w:color w:val="0000FF"/>
            <w:u w:val="single"/>
            <w:rtl/>
          </w:rPr>
          <w:t>בש"פ 8640/20</w:t>
        </w:r>
      </w:hyperlink>
      <w:r>
        <w:rPr>
          <w:rFonts w:ascii="David" w:hAnsi="David"/>
          <w:rtl/>
        </w:rPr>
        <w:t xml:space="preserve"> </w:t>
      </w:r>
      <w:r>
        <w:rPr>
          <w:rFonts w:ascii="David" w:hAnsi="David"/>
          <w:b/>
          <w:bCs/>
          <w:rtl/>
        </w:rPr>
        <w:t>אבו קרינאת נ' מד"י</w:t>
      </w:r>
      <w:r>
        <w:rPr>
          <w:rFonts w:ascii="David" w:hAnsi="David"/>
          <w:rtl/>
        </w:rPr>
        <w:t xml:space="preserve"> (23.12.20), התייחס כב' השופט גרוסקופף לשאלת קיומה של עילת מעצר בנוגע לנאשמים שביצעו עבירת גידול קנביס, ויש בדבריו כדי ללמד מעט על הגישה המשתנה אף לגבי עבירת הגידול עצמה:</w:t>
      </w:r>
    </w:p>
    <w:p w14:paraId="0D6A40B1" w14:textId="77777777" w:rsidR="004A1E7E" w:rsidRDefault="004A1E7E" w:rsidP="004A1E7E">
      <w:pPr>
        <w:spacing w:line="360" w:lineRule="auto"/>
        <w:jc w:val="both"/>
        <w:rPr>
          <w:rFonts w:ascii="David" w:hAnsi="David"/>
          <w:rtl/>
        </w:rPr>
      </w:pPr>
    </w:p>
    <w:p w14:paraId="4040738F" w14:textId="77777777" w:rsidR="004A1E7E" w:rsidRDefault="004A1E7E" w:rsidP="004A1E7E">
      <w:pPr>
        <w:pStyle w:val="Ruller4"/>
        <w:numPr>
          <w:ilvl w:val="0"/>
          <w:numId w:val="0"/>
        </w:numPr>
        <w:spacing w:line="240" w:lineRule="auto"/>
        <w:ind w:left="935" w:right="993"/>
        <w:rPr>
          <w:rFonts w:ascii="David" w:hAnsi="David" w:cs="David"/>
          <w:bCs/>
          <w:szCs w:val="24"/>
          <w:rtl/>
        </w:rPr>
      </w:pPr>
      <w:r>
        <w:rPr>
          <w:rFonts w:ascii="David" w:hAnsi="David" w:cs="David"/>
          <w:bCs/>
          <w:spacing w:val="0"/>
          <w:szCs w:val="24"/>
          <w:rtl/>
        </w:rPr>
        <w:t xml:space="preserve">... </w:t>
      </w:r>
      <w:r>
        <w:rPr>
          <w:rFonts w:ascii="David" w:hAnsi="David" w:cs="David"/>
          <w:bCs/>
          <w:szCs w:val="24"/>
          <w:rtl/>
        </w:rPr>
        <w:t xml:space="preserve">הגם שכמצוות המחוקק קנאביס מוגדר עדיין כסם מסוכן, על כל המשתמע מכך, לא ניתן להתעלם מכך שהיחס החברתי והמשפטי לשימוש בקנאביס, ואף לייצורו, מצוי בתהליכי שינוי. האפשרות לבטל את ההפללה של השימוש בקנאביס מצויה מזה זמן על שולחן הממשלה והכנסת, ויש לה תמיכה ציבורית ופוליטית לא מבוטלת (ראו </w:t>
      </w:r>
      <w:hyperlink r:id="rId44" w:history="1">
        <w:r w:rsidR="00E35858" w:rsidRPr="00E35858">
          <w:rPr>
            <w:rFonts w:ascii="David" w:hAnsi="David" w:cs="David"/>
            <w:bCs/>
            <w:color w:val="0000FF"/>
            <w:szCs w:val="24"/>
            <w:u w:val="single"/>
            <w:rtl/>
          </w:rPr>
          <w:t>בג"ץ 1589/19</w:t>
        </w:r>
      </w:hyperlink>
      <w:r>
        <w:rPr>
          <w:rFonts w:ascii="David" w:hAnsi="David" w:cs="David"/>
          <w:bCs/>
          <w:szCs w:val="24"/>
          <w:rtl/>
        </w:rPr>
        <w:t xml:space="preserve"> </w:t>
      </w:r>
      <w:r>
        <w:rPr>
          <w:rFonts w:ascii="David" w:hAnsi="David" w:cs="David"/>
          <w:bCs/>
          <w:spacing w:val="0"/>
          <w:szCs w:val="24"/>
          <w:rtl/>
        </w:rPr>
        <w:t>לבוביץ נ' כנסת ישראל</w:t>
      </w:r>
      <w:r>
        <w:rPr>
          <w:rFonts w:ascii="David" w:hAnsi="David" w:cs="David"/>
          <w:bCs/>
          <w:szCs w:val="24"/>
          <w:rtl/>
        </w:rPr>
        <w:t xml:space="preserve"> </w:t>
      </w:r>
      <w:r>
        <w:rPr>
          <w:rFonts w:ascii="David" w:hAnsi="David" w:cs="David"/>
          <w:bCs/>
          <w:spacing w:val="0"/>
          <w:szCs w:val="24"/>
          <w:rtl/>
        </w:rPr>
        <w:t xml:space="preserve">[פורסם בנבו] </w:t>
      </w:r>
      <w:r>
        <w:rPr>
          <w:rFonts w:ascii="David" w:hAnsi="David" w:cs="David"/>
          <w:bCs/>
          <w:szCs w:val="24"/>
          <w:rtl/>
        </w:rPr>
        <w:t xml:space="preserve">(17.6.2020)); חברות העוסקות בייצור קנאביס ברישיון ("קנאביס רפואי") מתרבות וצומחות, והיחס אליהן הוא כפעילות כלכלית לגיטימית ומבורכת (השוו, למשל, </w:t>
      </w:r>
      <w:hyperlink r:id="rId45" w:history="1">
        <w:r w:rsidR="00E35858" w:rsidRPr="00E35858">
          <w:rPr>
            <w:rFonts w:ascii="David" w:hAnsi="David" w:cs="David"/>
            <w:bCs/>
            <w:color w:val="0000FF"/>
            <w:szCs w:val="24"/>
            <w:u w:val="single"/>
            <w:rtl/>
          </w:rPr>
          <w:t>בג"ץ 4072/20</w:t>
        </w:r>
      </w:hyperlink>
      <w:r>
        <w:rPr>
          <w:rFonts w:ascii="David" w:hAnsi="David" w:cs="David"/>
          <w:bCs/>
          <w:szCs w:val="24"/>
          <w:rtl/>
        </w:rPr>
        <w:t xml:space="preserve"> </w:t>
      </w:r>
      <w:r>
        <w:rPr>
          <w:rFonts w:ascii="David" w:hAnsi="David" w:cs="David"/>
          <w:bCs/>
          <w:spacing w:val="0"/>
          <w:szCs w:val="24"/>
          <w:rtl/>
        </w:rPr>
        <w:t>בזלת נחושתן בע"מ נ' שר הבריאות</w:t>
      </w:r>
      <w:r>
        <w:rPr>
          <w:rFonts w:ascii="David" w:hAnsi="David" w:cs="David"/>
          <w:bCs/>
          <w:szCs w:val="24"/>
          <w:rtl/>
        </w:rPr>
        <w:t xml:space="preserve"> (טרם נידון) </w:t>
      </w:r>
      <w:r>
        <w:rPr>
          <w:rFonts w:ascii="David" w:hAnsi="David" w:cs="David"/>
          <w:bCs/>
          <w:spacing w:val="0"/>
          <w:szCs w:val="24"/>
          <w:rtl/>
        </w:rPr>
        <w:t xml:space="preserve">[פורסם בנבו] </w:t>
      </w:r>
      <w:r>
        <w:rPr>
          <w:rFonts w:ascii="David" w:hAnsi="David" w:cs="David"/>
          <w:bCs/>
          <w:szCs w:val="24"/>
          <w:rtl/>
        </w:rPr>
        <w:t xml:space="preserve">בו מתבקש בית משפט זה להורות למשרד הבריאות להוציא אישור </w:t>
      </w:r>
      <w:r>
        <w:rPr>
          <w:rFonts w:ascii="David" w:hAnsi="David" w:cs="David"/>
          <w:bCs/>
          <w:szCs w:val="24"/>
        </w:rPr>
        <w:t>GMP</w:t>
      </w:r>
      <w:r>
        <w:rPr>
          <w:rFonts w:ascii="David" w:hAnsi="David" w:cs="David"/>
          <w:bCs/>
          <w:szCs w:val="24"/>
          <w:rtl/>
        </w:rPr>
        <w:t xml:space="preserve"> (</w:t>
      </w:r>
      <w:r>
        <w:rPr>
          <w:rFonts w:ascii="David" w:hAnsi="David" w:cs="David"/>
          <w:bCs/>
          <w:szCs w:val="24"/>
        </w:rPr>
        <w:t>Good Manufacturing Practice</w:t>
      </w:r>
      <w:r>
        <w:rPr>
          <w:rFonts w:ascii="David" w:hAnsi="David" w:cs="David"/>
          <w:bCs/>
          <w:szCs w:val="24"/>
          <w:rtl/>
        </w:rPr>
        <w:t xml:space="preserve">) לחברה העוסקת בייצור קנאביס רפואי). במצב דברים זה, גם כאשר אנו יוצאים מנקודת מוצא לפיה גידול והפקה של קנאביס שלא ברישיון הן פעולות בלתי חוקיות, קשה להוסיף ולהתייחס אליהן כ"רעה חולה" מאותה דרגת חומרה כמו הכנה, יצור והפקה של סמים מסוכנים אחרים. </w:t>
      </w:r>
    </w:p>
    <w:p w14:paraId="039E03B4" w14:textId="77777777" w:rsidR="004A1E7E" w:rsidRDefault="004A1E7E" w:rsidP="004A1E7E">
      <w:pPr>
        <w:ind w:left="935" w:right="993"/>
        <w:jc w:val="both"/>
        <w:rPr>
          <w:rFonts w:ascii="David" w:hAnsi="David"/>
          <w:bCs/>
        </w:rPr>
      </w:pPr>
    </w:p>
    <w:p w14:paraId="6000C031" w14:textId="77777777" w:rsidR="004A1E7E" w:rsidRDefault="004A1E7E" w:rsidP="004A1E7E">
      <w:pPr>
        <w:spacing w:line="360" w:lineRule="auto"/>
        <w:jc w:val="both"/>
        <w:rPr>
          <w:rFonts w:ascii="David" w:hAnsi="David"/>
          <w:rtl/>
        </w:rPr>
      </w:pPr>
      <w:r>
        <w:rPr>
          <w:rFonts w:ascii="David" w:hAnsi="David"/>
          <w:rtl/>
        </w:rPr>
        <w:t>דברים אלה, עומדים כמובן, לצד קביעתו הברורה של בית המשפט העליון, לפיה גם כיום "סחר בסמים הוא סחר בסמים" (</w:t>
      </w:r>
      <w:hyperlink r:id="rId46" w:history="1">
        <w:r w:rsidR="00E35858" w:rsidRPr="00E35858">
          <w:rPr>
            <w:rFonts w:ascii="David" w:hAnsi="David"/>
            <w:color w:val="0000FF"/>
            <w:u w:val="single"/>
            <w:rtl/>
          </w:rPr>
          <w:t>ע"פ 6299/20</w:t>
        </w:r>
      </w:hyperlink>
      <w:r>
        <w:rPr>
          <w:rFonts w:ascii="David" w:hAnsi="David"/>
          <w:rtl/>
        </w:rPr>
        <w:t xml:space="preserve"> </w:t>
      </w:r>
      <w:r>
        <w:rPr>
          <w:rFonts w:ascii="David" w:hAnsi="David"/>
          <w:b/>
          <w:bCs/>
          <w:rtl/>
        </w:rPr>
        <w:t>חן נ' מד"י</w:t>
      </w:r>
      <w:r>
        <w:rPr>
          <w:rFonts w:ascii="David" w:hAnsi="David"/>
          <w:rtl/>
        </w:rPr>
        <w:t xml:space="preserve"> (4.2.21)), אך חשיבותם בצדם.</w:t>
      </w:r>
    </w:p>
    <w:p w14:paraId="17DA13A9" w14:textId="77777777" w:rsidR="004A1E7E" w:rsidRDefault="004A1E7E" w:rsidP="004A1E7E">
      <w:pPr>
        <w:spacing w:line="360" w:lineRule="auto"/>
        <w:jc w:val="both"/>
        <w:rPr>
          <w:rFonts w:ascii="David" w:hAnsi="David"/>
          <w:rtl/>
        </w:rPr>
      </w:pPr>
    </w:p>
    <w:p w14:paraId="2430F78A" w14:textId="77777777" w:rsidR="004A1E7E" w:rsidRDefault="004A1E7E" w:rsidP="004A1E7E">
      <w:pPr>
        <w:spacing w:line="360" w:lineRule="auto"/>
        <w:jc w:val="both"/>
        <w:rPr>
          <w:rFonts w:ascii="David" w:hAnsi="David"/>
          <w:rtl/>
        </w:rPr>
      </w:pPr>
      <w:r>
        <w:rPr>
          <w:rFonts w:ascii="David" w:hAnsi="David"/>
          <w:rtl/>
        </w:rPr>
        <w:t>בענייננו, הנאשם גידל בביתו קנביס, וכן החזיק אוהל מסתור, גוף תאורה, מערכת איוורור ומד טמפרטורה. לצד זה, נתפסו רק 336 גרם נטו בדמות 4 עציצים בודדים, אשר כמות החומר הפעיל בהם מועטה יחסית, שכן משקלם מורכב מאחוז גבוה של נוזלים בצמח החי.</w:t>
      </w:r>
    </w:p>
    <w:p w14:paraId="05952501" w14:textId="77777777" w:rsidR="004A1E7E" w:rsidRDefault="004A1E7E" w:rsidP="004A1E7E">
      <w:pPr>
        <w:spacing w:line="360" w:lineRule="auto"/>
        <w:jc w:val="both"/>
        <w:rPr>
          <w:rFonts w:ascii="David" w:hAnsi="David"/>
          <w:rtl/>
        </w:rPr>
      </w:pPr>
    </w:p>
    <w:p w14:paraId="45B94FDC" w14:textId="77777777" w:rsidR="004A1E7E" w:rsidRDefault="004A1E7E" w:rsidP="004A1E7E">
      <w:pPr>
        <w:spacing w:line="360" w:lineRule="auto"/>
        <w:jc w:val="both"/>
        <w:rPr>
          <w:rFonts w:ascii="David" w:hAnsi="David"/>
          <w:rtl/>
        </w:rPr>
      </w:pPr>
      <w:r>
        <w:rPr>
          <w:rFonts w:ascii="David" w:hAnsi="David"/>
          <w:rtl/>
        </w:rPr>
        <w:t>בשונה ממקרים אחרים בהם ניתן היה להתרשם מהקמת מעבדת גידול מסודרת ומאובזרת, בענייננו ניתן להתרשם מן הראיות שהוגשו (ת/2-6), כי הנאשם העמיד אוהל מסתור קטן מאולתר בתוך חדר השינה שלו, ועל פי התמונות נתפסו 4 עציצים בודדים, שאינם נראים מלבלבים. בחקירתו הודה מיד כי גידל את הצמחים לשימושו העצמי, וכי הוא חולה אפילפסיה. לדבריו השקיע 2,050 ₪ בהקמת המעבדה. אין מחלוקת על כך שלפני תקופת האירוע ואף לאחר התרחשותו, החזיק הנאשם ברישיון להחזקת קנביס רפואי, וכך גם כיום. כמו כן, אין מחלוקת על כך שמצבו הרפואי אינו בכי טוב. באלה יש כדי ללמד על מהימנות גרסתו, לפיה לא היתה כל מטרה להפיץ את הסם.</w:t>
      </w:r>
    </w:p>
    <w:p w14:paraId="7139831C" w14:textId="77777777" w:rsidR="004A1E7E" w:rsidRDefault="004A1E7E" w:rsidP="004A1E7E">
      <w:pPr>
        <w:spacing w:line="360" w:lineRule="auto"/>
        <w:jc w:val="both"/>
        <w:rPr>
          <w:rFonts w:ascii="David" w:hAnsi="David"/>
          <w:rtl/>
        </w:rPr>
      </w:pPr>
    </w:p>
    <w:p w14:paraId="4667C15B" w14:textId="77777777" w:rsidR="004A1E7E" w:rsidRDefault="004A1E7E" w:rsidP="004A1E7E">
      <w:pPr>
        <w:spacing w:line="360" w:lineRule="auto"/>
        <w:jc w:val="both"/>
        <w:rPr>
          <w:rFonts w:ascii="David" w:hAnsi="David"/>
          <w:rtl/>
        </w:rPr>
      </w:pPr>
      <w:r>
        <w:rPr>
          <w:rFonts w:ascii="David" w:hAnsi="David"/>
          <w:rtl/>
        </w:rPr>
        <w:t xml:space="preserve">ההתרשמות היא כי לצד חומרת העבירה כשלעצמה, מדובר בנסיבות שיש בהן עליבות, לא פחות מפליליות. </w:t>
      </w:r>
    </w:p>
    <w:p w14:paraId="1571A763" w14:textId="77777777" w:rsidR="004A1E7E" w:rsidRDefault="004A1E7E" w:rsidP="004A1E7E">
      <w:pPr>
        <w:spacing w:line="360" w:lineRule="auto"/>
        <w:jc w:val="both"/>
        <w:rPr>
          <w:rFonts w:ascii="David" w:hAnsi="David"/>
          <w:rtl/>
        </w:rPr>
      </w:pPr>
    </w:p>
    <w:p w14:paraId="442F46F3" w14:textId="77777777" w:rsidR="004A1E7E" w:rsidRDefault="004A1E7E" w:rsidP="004A1E7E">
      <w:pPr>
        <w:spacing w:line="360" w:lineRule="auto"/>
        <w:jc w:val="both"/>
        <w:rPr>
          <w:rFonts w:ascii="David" w:hAnsi="David"/>
          <w:rtl/>
        </w:rPr>
      </w:pPr>
      <w:r>
        <w:rPr>
          <w:rFonts w:ascii="David" w:hAnsi="David"/>
          <w:rtl/>
        </w:rPr>
        <w:t>לפיכך, במקרה ייחודי זה, אני קובעת כי נסיבות העבירה אינן מן החמורות.</w:t>
      </w:r>
    </w:p>
    <w:p w14:paraId="64C1A4C7" w14:textId="77777777" w:rsidR="004A1E7E" w:rsidRDefault="004A1E7E" w:rsidP="004A1E7E">
      <w:pPr>
        <w:spacing w:line="360" w:lineRule="auto"/>
        <w:jc w:val="both"/>
        <w:rPr>
          <w:rFonts w:ascii="David" w:hAnsi="David"/>
          <w:b/>
          <w:bCs/>
          <w:u w:val="single"/>
          <w:rtl/>
        </w:rPr>
      </w:pPr>
    </w:p>
    <w:p w14:paraId="73DB5196" w14:textId="77777777" w:rsidR="004A1E7E" w:rsidRDefault="004A1E7E" w:rsidP="004A1E7E">
      <w:pPr>
        <w:spacing w:line="360" w:lineRule="auto"/>
        <w:jc w:val="both"/>
        <w:rPr>
          <w:rFonts w:ascii="David" w:hAnsi="David"/>
          <w:b/>
          <w:bCs/>
          <w:u w:val="single"/>
          <w:rtl/>
        </w:rPr>
      </w:pPr>
      <w:r>
        <w:rPr>
          <w:rFonts w:ascii="David" w:hAnsi="David"/>
          <w:b/>
          <w:bCs/>
          <w:u w:val="single"/>
          <w:rtl/>
        </w:rPr>
        <w:t xml:space="preserve">שיבוש מהלכי משפט </w:t>
      </w:r>
    </w:p>
    <w:p w14:paraId="3FD5EBE4" w14:textId="77777777" w:rsidR="004A1E7E" w:rsidRPr="004A1E7E" w:rsidRDefault="004A1E7E" w:rsidP="004A1E7E">
      <w:pPr>
        <w:spacing w:line="360" w:lineRule="atLeast"/>
        <w:jc w:val="both"/>
        <w:rPr>
          <w:rFonts w:ascii="Calibri" w:hAnsi="Calibri" w:cs="Arial"/>
          <w:color w:val="000000"/>
          <w:rtl/>
        </w:rPr>
      </w:pPr>
      <w:bookmarkStart w:id="8" w:name="casename_body"/>
      <w:r>
        <w:rPr>
          <w:rFonts w:ascii="David" w:hAnsi="David"/>
          <w:color w:val="000000"/>
          <w:rtl/>
        </w:rPr>
        <w:t xml:space="preserve">בית המשפט העליון עמד לא פעם, על חשיבות שמירת טוהר ההליך המשפטי וכפועל יוצא מכך, על חשיבות האכיפה בגין עבירות של פגיעה בערך זה. </w:t>
      </w:r>
      <w:r>
        <w:rPr>
          <w:rFonts w:ascii="David" w:hAnsi="David"/>
          <w:rtl/>
        </w:rPr>
        <w:t>ב</w:t>
      </w:r>
      <w:hyperlink r:id="rId47" w:history="1">
        <w:r w:rsidR="00E35858" w:rsidRPr="00E35858">
          <w:rPr>
            <w:rFonts w:ascii="David" w:hAnsi="David"/>
            <w:color w:val="0000FF"/>
            <w:u w:val="single"/>
            <w:rtl/>
          </w:rPr>
          <w:t>ע"פ 8721/04</w:t>
        </w:r>
      </w:hyperlink>
      <w:r w:rsidR="00E35858">
        <w:rPr>
          <w:rFonts w:ascii="David" w:hAnsi="David"/>
          <w:rtl/>
        </w:rPr>
        <w:t xml:space="preserve"> </w:t>
      </w:r>
      <w:r>
        <w:rPr>
          <w:rFonts w:ascii="David" w:hAnsi="David"/>
          <w:rtl/>
        </w:rPr>
        <w:t xml:space="preserve">אוחנה נ' </w:t>
      </w:r>
      <w:r>
        <w:rPr>
          <w:rFonts w:ascii="David" w:hAnsi="David"/>
          <w:color w:val="000000"/>
          <w:rtl/>
        </w:rPr>
        <w:t>מד"י</w:t>
      </w:r>
      <w:r w:rsidR="00E35858">
        <w:rPr>
          <w:rFonts w:ascii="David" w:hAnsi="David"/>
          <w:color w:val="000000"/>
          <w:rtl/>
        </w:rPr>
        <w:t xml:space="preserve"> </w:t>
      </w:r>
      <w:r>
        <w:rPr>
          <w:rFonts w:ascii="David" w:hAnsi="David"/>
          <w:color w:val="000000"/>
          <w:rtl/>
        </w:rPr>
        <w:t>(17.6.2007)</w:t>
      </w:r>
      <w:r w:rsidR="00E35858">
        <w:rPr>
          <w:rFonts w:ascii="David" w:hAnsi="David"/>
          <w:color w:val="000000"/>
          <w:rtl/>
        </w:rPr>
        <w:t xml:space="preserve"> </w:t>
      </w:r>
      <w:r>
        <w:rPr>
          <w:rFonts w:ascii="David" w:hAnsi="David"/>
          <w:color w:val="000000"/>
          <w:rtl/>
        </w:rPr>
        <w:t>נאמר:</w:t>
      </w:r>
    </w:p>
    <w:p w14:paraId="0CC7622C" w14:textId="77777777" w:rsidR="004A1E7E" w:rsidRDefault="004A1E7E" w:rsidP="004A1E7E">
      <w:pPr>
        <w:overflowPunct w:val="0"/>
        <w:autoSpaceDE w:val="0"/>
        <w:autoSpaceDN w:val="0"/>
        <w:adjustRightInd w:val="0"/>
        <w:ind w:left="793" w:right="1276"/>
        <w:jc w:val="both"/>
        <w:rPr>
          <w:rFonts w:ascii="David" w:hAnsi="David"/>
          <w:b/>
          <w:bCs/>
          <w:color w:val="000000"/>
          <w:rtl/>
        </w:rPr>
      </w:pPr>
    </w:p>
    <w:p w14:paraId="580DEB61" w14:textId="77777777" w:rsidR="004A1E7E" w:rsidRDefault="004A1E7E" w:rsidP="004A1E7E">
      <w:pPr>
        <w:overflowPunct w:val="0"/>
        <w:autoSpaceDE w:val="0"/>
        <w:autoSpaceDN w:val="0"/>
        <w:adjustRightInd w:val="0"/>
        <w:ind w:left="793" w:right="1276"/>
        <w:jc w:val="both"/>
        <w:rPr>
          <w:rFonts w:ascii="David" w:hAnsi="David"/>
          <w:b/>
          <w:bCs/>
          <w:color w:val="000000"/>
          <w:rtl/>
        </w:rPr>
      </w:pPr>
      <w:r>
        <w:rPr>
          <w:rFonts w:ascii="David" w:hAnsi="David"/>
          <w:b/>
          <w:bCs/>
          <w:color w:val="000000"/>
          <w:rtl/>
        </w:rPr>
        <w:t xml:space="preserve">מערכת משפט ראויה ותקינה, המכוונת לחשיפת האמת ולעשיית צדק, והזוכה לאמון הציבור, היא מאושיות יסוד של חברה דמוקרטית. חברה הפועלת בלא מערכת משפט צדק שהציבור שם בה את מבטחו, היא חברה הנשלטת על ידי אלימות, אשר בה כבוד האדם </w:t>
      </w:r>
      <w:r>
        <w:rPr>
          <w:rFonts w:ascii="David" w:hAnsi="David"/>
          <w:b/>
          <w:bCs/>
          <w:spacing w:val="10"/>
          <w:rtl/>
        </w:rPr>
        <w:t>ובטחונו</w:t>
      </w:r>
      <w:r>
        <w:rPr>
          <w:rFonts w:ascii="David" w:hAnsi="David"/>
          <w:b/>
          <w:bCs/>
          <w:color w:val="000000"/>
          <w:rtl/>
        </w:rPr>
        <w:t xml:space="preserve"> עומדים בסכנה. על רקע זה, נקבעו נורמות פליליות האוסרות </w:t>
      </w:r>
      <w:r>
        <w:rPr>
          <w:rFonts w:ascii="David" w:hAnsi="David"/>
          <w:b/>
          <w:bCs/>
          <w:rtl/>
        </w:rPr>
        <w:t>פגיעה בסדרי השלטון והמשפט, ובכלל זה שיבוש עשיית משפט (סימן א' בפרק ט' ל</w:t>
      </w:r>
      <w:hyperlink r:id="rId48" w:history="1">
        <w:r w:rsidR="00E35858" w:rsidRPr="00E35858">
          <w:rPr>
            <w:rFonts w:ascii="David" w:hAnsi="David"/>
            <w:b/>
            <w:bCs/>
            <w:color w:val="0000FF"/>
            <w:u w:val="single"/>
            <w:rtl/>
          </w:rPr>
          <w:t>חוק העונשין</w:t>
        </w:r>
      </w:hyperlink>
      <w:r>
        <w:rPr>
          <w:rFonts w:ascii="David" w:hAnsi="David"/>
          <w:b/>
          <w:bCs/>
          <w:rtl/>
        </w:rPr>
        <w:t xml:space="preserve">). בגדר נורמות אלה האיסור על עדות שקר, על בידוי ראיות, על </w:t>
      </w:r>
      <w:r>
        <w:rPr>
          <w:rFonts w:ascii="David" w:hAnsi="David"/>
          <w:b/>
          <w:bCs/>
          <w:color w:val="000000"/>
          <w:rtl/>
        </w:rPr>
        <w:t>השמדת ראיה, על הדחה בחקירה ובעדות, על הטרדת עד ועל שיבוש מהלכי משפט. תכליתן המרכזית של נורמות אלה, והאיסור על שיבוש מהלכי המשפט בכלל זה – הינה להגן על טוהר ההליך השיפוטי ועל תקינותם של הליכים משפטיים, ולהבטיח קיומה של מערכת תקינה של עשיית משפט צדק, הראויה לאמון הציבור.</w:t>
      </w:r>
    </w:p>
    <w:p w14:paraId="290BC753" w14:textId="77777777" w:rsidR="004A1E7E" w:rsidRDefault="004A1E7E" w:rsidP="004A1E7E">
      <w:pPr>
        <w:spacing w:line="360" w:lineRule="atLeast"/>
        <w:jc w:val="both"/>
        <w:rPr>
          <w:rFonts w:ascii="David" w:hAnsi="David"/>
          <w:color w:val="000000"/>
          <w:rtl/>
        </w:rPr>
      </w:pPr>
    </w:p>
    <w:p w14:paraId="43EA81E2" w14:textId="77777777" w:rsidR="004A1E7E" w:rsidRDefault="004A1E7E" w:rsidP="004A1E7E">
      <w:pPr>
        <w:spacing w:line="360" w:lineRule="atLeast"/>
        <w:jc w:val="both"/>
        <w:rPr>
          <w:rFonts w:ascii="David" w:hAnsi="David"/>
          <w:color w:val="000000"/>
          <w:rtl/>
        </w:rPr>
      </w:pPr>
      <w:r>
        <w:rPr>
          <w:rFonts w:ascii="David" w:hAnsi="David"/>
          <w:color w:val="000000"/>
          <w:rtl/>
        </w:rPr>
        <w:t>עם זאת, יש חשיבות ראשונה במעלה לנסיבות המקרה לגופן, ומהן יש ללמוד על מידת עוצמת השיבוש שנעשה.</w:t>
      </w:r>
    </w:p>
    <w:p w14:paraId="1685A6ED" w14:textId="77777777" w:rsidR="004A1E7E" w:rsidRDefault="004A1E7E" w:rsidP="004A1E7E">
      <w:pPr>
        <w:spacing w:line="360" w:lineRule="atLeast"/>
        <w:jc w:val="both"/>
        <w:rPr>
          <w:rFonts w:ascii="David" w:hAnsi="David"/>
          <w:color w:val="000000"/>
          <w:rtl/>
        </w:rPr>
      </w:pPr>
    </w:p>
    <w:p w14:paraId="20619430" w14:textId="77777777" w:rsidR="004A1E7E" w:rsidRDefault="004A1E7E" w:rsidP="004A1E7E">
      <w:pPr>
        <w:spacing w:line="360" w:lineRule="atLeast"/>
        <w:jc w:val="both"/>
        <w:rPr>
          <w:rFonts w:ascii="David" w:hAnsi="David"/>
          <w:rtl/>
        </w:rPr>
      </w:pPr>
      <w:r>
        <w:rPr>
          <w:rFonts w:ascii="David" w:hAnsi="David"/>
          <w:color w:val="000000"/>
          <w:rtl/>
        </w:rPr>
        <w:t xml:space="preserve">בענייננו, משראה הנאשם כי השוטרים חשפו את שתילי הסם ואוהל המסתור, </w:t>
      </w:r>
      <w:r>
        <w:rPr>
          <w:rFonts w:ascii="David" w:hAnsi="David"/>
          <w:rtl/>
        </w:rPr>
        <w:t xml:space="preserve">החל לקרוע את השתילים, וכן התנגד למעצר בכך שדחף את השוטר ושוטרת נוספת, עד שנאזק בסיוע כוחות נוספים. התנהגותו זו, ראויה לגינוי, </w:t>
      </w:r>
      <w:r>
        <w:rPr>
          <w:rFonts w:ascii="David" w:hAnsi="David" w:hint="cs"/>
          <w:rtl/>
        </w:rPr>
        <w:t xml:space="preserve">שכן </w:t>
      </w:r>
      <w:r>
        <w:rPr>
          <w:rFonts w:ascii="David" w:hAnsi="David"/>
          <w:rtl/>
        </w:rPr>
        <w:t>היה עליו לשתף פעולה עם השוטרים ולהימנע מפגיעה בראיות.</w:t>
      </w:r>
    </w:p>
    <w:p w14:paraId="5A7EB0DB" w14:textId="77777777" w:rsidR="004A1E7E" w:rsidRDefault="004A1E7E" w:rsidP="004A1E7E">
      <w:pPr>
        <w:spacing w:line="360" w:lineRule="atLeast"/>
        <w:jc w:val="both"/>
        <w:rPr>
          <w:rFonts w:ascii="David" w:hAnsi="David"/>
          <w:rtl/>
        </w:rPr>
      </w:pPr>
    </w:p>
    <w:p w14:paraId="49539CF9" w14:textId="77777777" w:rsidR="004A1E7E" w:rsidRDefault="004A1E7E" w:rsidP="004A1E7E">
      <w:pPr>
        <w:spacing w:line="360" w:lineRule="atLeast"/>
        <w:jc w:val="both"/>
        <w:rPr>
          <w:rFonts w:ascii="David" w:hAnsi="David"/>
          <w:rtl/>
        </w:rPr>
      </w:pPr>
      <w:r>
        <w:rPr>
          <w:rFonts w:ascii="David" w:hAnsi="David"/>
          <w:rtl/>
        </w:rPr>
        <w:t>עם זאת, עולה בבירור מדו"חות הפעולה והראיות ששמעתי, כי מעשי הנאשם הנואלים, נבעו מדחף אימפולסיבי לנוכח החיפוש בביתו, ולא היה להם כל סיכוי להביא באמת ובתמים לשיבוש, או השמדת הראיות. לא נטען ולא הוכח כי הנאשם ניסה להעלים את הסמים, אלא רק החל לקרוע את השתילים. משכך, הרי בין אם השתילים היו נתפסים כשהם שלמים ובין קרועים, ניתן היה לשקלם ולהפלילו בהסתמך עליהם כמוצג.</w:t>
      </w:r>
    </w:p>
    <w:p w14:paraId="27B9C703" w14:textId="77777777" w:rsidR="004A1E7E" w:rsidRDefault="004A1E7E" w:rsidP="004A1E7E">
      <w:pPr>
        <w:spacing w:line="360" w:lineRule="atLeast"/>
        <w:jc w:val="both"/>
        <w:rPr>
          <w:rFonts w:ascii="David" w:hAnsi="David"/>
          <w:rtl/>
        </w:rPr>
      </w:pPr>
    </w:p>
    <w:p w14:paraId="1D148DAB" w14:textId="77777777" w:rsidR="004A1E7E" w:rsidRDefault="004A1E7E" w:rsidP="004A1E7E">
      <w:pPr>
        <w:spacing w:line="360" w:lineRule="atLeast"/>
        <w:jc w:val="both"/>
        <w:rPr>
          <w:rFonts w:ascii="David" w:hAnsi="David"/>
          <w:rtl/>
        </w:rPr>
      </w:pPr>
      <w:r>
        <w:rPr>
          <w:rFonts w:ascii="David" w:hAnsi="David"/>
          <w:rtl/>
        </w:rPr>
        <w:t>צירופן של עובדות המקרה יחד עם מחלת הנאשם, מלמד לדעתי כי הוא פעל מתוך תסכולו,  באופן בלתי שקול, ועל כך הוא נותן את הדין. עם זאת, המדובר בנסיבות שאינן מן החמורות.</w:t>
      </w:r>
    </w:p>
    <w:p w14:paraId="388B88DA" w14:textId="77777777" w:rsidR="004A1E7E" w:rsidRDefault="004A1E7E" w:rsidP="004A1E7E">
      <w:pPr>
        <w:spacing w:line="360" w:lineRule="atLeast"/>
        <w:jc w:val="both"/>
        <w:rPr>
          <w:rFonts w:ascii="David" w:hAnsi="David"/>
          <w:rtl/>
        </w:rPr>
      </w:pPr>
    </w:p>
    <w:p w14:paraId="5C0DE1B8" w14:textId="77777777" w:rsidR="004A1E7E" w:rsidRDefault="004A1E7E" w:rsidP="004A1E7E">
      <w:pPr>
        <w:spacing w:line="360" w:lineRule="auto"/>
        <w:jc w:val="both"/>
        <w:rPr>
          <w:rFonts w:ascii="David" w:hAnsi="David"/>
          <w:b/>
          <w:bCs/>
          <w:u w:val="single"/>
          <w:rtl/>
        </w:rPr>
      </w:pPr>
      <w:r>
        <w:rPr>
          <w:rFonts w:ascii="David" w:hAnsi="David"/>
          <w:b/>
          <w:bCs/>
          <w:u w:val="single"/>
          <w:rtl/>
        </w:rPr>
        <w:t>תקיפת השוטר</w:t>
      </w:r>
    </w:p>
    <w:bookmarkEnd w:id="8"/>
    <w:p w14:paraId="1B993779" w14:textId="77777777" w:rsidR="004A1E7E" w:rsidRDefault="004A1E7E" w:rsidP="004A1E7E">
      <w:pPr>
        <w:spacing w:line="360" w:lineRule="auto"/>
        <w:jc w:val="both"/>
        <w:rPr>
          <w:rFonts w:ascii="David" w:hAnsi="David"/>
          <w:color w:val="000000"/>
          <w:rtl/>
        </w:rPr>
      </w:pPr>
      <w:r>
        <w:rPr>
          <w:rFonts w:ascii="David" w:hAnsi="David"/>
          <w:rtl/>
        </w:rPr>
        <w:t>ב</w:t>
      </w:r>
      <w:hyperlink r:id="rId49" w:history="1">
        <w:r w:rsidR="00E35858" w:rsidRPr="00E35858">
          <w:rPr>
            <w:rFonts w:ascii="David" w:hAnsi="David"/>
            <w:color w:val="0000FF"/>
            <w:u w:val="single"/>
            <w:rtl/>
          </w:rPr>
          <w:t>רע"פ  1922/11</w:t>
        </w:r>
      </w:hyperlink>
      <w:r>
        <w:rPr>
          <w:rFonts w:ascii="David" w:hAnsi="David"/>
          <w:rtl/>
        </w:rPr>
        <w:t xml:space="preserve"> רחמימוב נ' מד"י (17.3.11), אמר בית המשפט העליון:</w:t>
      </w:r>
    </w:p>
    <w:p w14:paraId="5FF1D873" w14:textId="77777777" w:rsidR="004A1E7E" w:rsidRDefault="004A1E7E" w:rsidP="004A1E7E">
      <w:pPr>
        <w:spacing w:line="360" w:lineRule="auto"/>
        <w:jc w:val="both"/>
        <w:rPr>
          <w:rFonts w:ascii="David" w:hAnsi="David"/>
          <w:color w:val="000000"/>
          <w:rtl/>
        </w:rPr>
      </w:pPr>
    </w:p>
    <w:p w14:paraId="5C099628" w14:textId="77777777" w:rsidR="004A1E7E" w:rsidRDefault="004A1E7E" w:rsidP="004A1E7E">
      <w:pPr>
        <w:tabs>
          <w:tab w:val="left" w:pos="7412"/>
        </w:tabs>
        <w:spacing w:after="120" w:line="276" w:lineRule="auto"/>
        <w:ind w:left="1317" w:right="1134"/>
        <w:jc w:val="both"/>
        <w:rPr>
          <w:rFonts w:ascii="David" w:hAnsi="David"/>
          <w:b/>
          <w:bCs/>
          <w:color w:val="000000"/>
          <w:rtl/>
        </w:rPr>
      </w:pPr>
      <w:r>
        <w:rPr>
          <w:rFonts w:ascii="David" w:hAnsi="David"/>
          <w:b/>
          <w:bCs/>
          <w:color w:val="000000"/>
          <w:rtl/>
        </w:rPr>
        <w:t>"הציבור נותן את מבטחו בעובדי הציבור ונציגי החוק, וטובת הציבור מחייבת כי יובטח להם שיוכלו למלא את תפקידם ללא מורא וללא פחד מבעלי אגרוף, מתוקפנים ומאיימים. לכן הכרח להטיל ענישה של ממש, גם למען ישמעו וייראו... בתקופה המתאפיינת בגלי אלימות פיזית ומילולית כלפי עובדי ציבור, שומה להגן על השירות הציבורי ועל עובדי הציבור מפני פגיעה בלתי ראויה בכבודם ובמעמדם... על כן בתי המשפט מחויבים להכביד את ידם ולתת עונשים מרתיעים".</w:t>
      </w:r>
    </w:p>
    <w:p w14:paraId="76D26953" w14:textId="77777777" w:rsidR="004A1E7E" w:rsidRDefault="004A1E7E" w:rsidP="004A1E7E">
      <w:pPr>
        <w:tabs>
          <w:tab w:val="left" w:pos="7412"/>
        </w:tabs>
        <w:spacing w:after="120" w:line="276" w:lineRule="auto"/>
        <w:ind w:left="1317" w:right="1134"/>
        <w:jc w:val="both"/>
        <w:rPr>
          <w:rFonts w:ascii="David" w:hAnsi="David"/>
          <w:b/>
          <w:bCs/>
          <w:color w:val="000000"/>
        </w:rPr>
      </w:pPr>
    </w:p>
    <w:p w14:paraId="011F8B78" w14:textId="77777777" w:rsidR="004A1E7E" w:rsidRDefault="004A1E7E" w:rsidP="004A1E7E">
      <w:pPr>
        <w:spacing w:line="360" w:lineRule="auto"/>
        <w:jc w:val="both"/>
        <w:rPr>
          <w:rFonts w:ascii="David" w:hAnsi="David"/>
          <w:rtl/>
        </w:rPr>
      </w:pPr>
      <w:r>
        <w:rPr>
          <w:rFonts w:ascii="David" w:hAnsi="David"/>
          <w:rtl/>
        </w:rPr>
        <w:t>כמו כן, נאמר ב</w:t>
      </w:r>
      <w:hyperlink r:id="rId50" w:history="1">
        <w:r w:rsidR="00E35858" w:rsidRPr="00E35858">
          <w:rPr>
            <w:rFonts w:ascii="David" w:hAnsi="David"/>
            <w:color w:val="0000FF"/>
            <w:u w:val="single"/>
            <w:rtl/>
          </w:rPr>
          <w:t>ע"פ 5214/13</w:t>
        </w:r>
      </w:hyperlink>
      <w:r>
        <w:rPr>
          <w:rFonts w:ascii="David" w:hAnsi="David"/>
          <w:rtl/>
        </w:rPr>
        <w:t xml:space="preserve"> ‏ מחמוד סירחאן נ' מד"י (30.12.2013):</w:t>
      </w:r>
    </w:p>
    <w:p w14:paraId="323626E1" w14:textId="77777777" w:rsidR="004A1E7E" w:rsidRDefault="004A1E7E" w:rsidP="004A1E7E">
      <w:pPr>
        <w:spacing w:line="360" w:lineRule="auto"/>
        <w:jc w:val="both"/>
        <w:rPr>
          <w:rFonts w:ascii="David" w:hAnsi="David"/>
          <w:rtl/>
        </w:rPr>
      </w:pPr>
    </w:p>
    <w:p w14:paraId="627E46A0" w14:textId="77777777" w:rsidR="004A1E7E" w:rsidRDefault="004A1E7E" w:rsidP="004A1E7E">
      <w:pPr>
        <w:spacing w:line="276" w:lineRule="auto"/>
        <w:ind w:left="1459" w:right="1134"/>
        <w:jc w:val="both"/>
        <w:rPr>
          <w:rFonts w:ascii="David" w:hAnsi="David"/>
        </w:rPr>
      </w:pPr>
      <w:r>
        <w:rPr>
          <w:rFonts w:ascii="David" w:hAnsi="David"/>
          <w:rtl/>
        </w:rPr>
        <w:t>"</w:t>
      </w:r>
      <w:r>
        <w:rPr>
          <w:rFonts w:ascii="David" w:hAnsi="David"/>
          <w:b/>
          <w:bCs/>
          <w:rtl/>
        </w:rPr>
        <w:t>...אכן, יש להביע סלידה ושאט נפש ממעשי תקיפה המכוונים כלפי העוסקים במלאכת השמירה על בטחונו של הציבור ועל אכיפת החוק. "מעשי תקיפה ואיומים כלפי שוטרי משטרת ישראל, רק מפני שהם ממלאים את תפקידם כחוק, מערערים את המוסכמות הבסיסיות ביותר של החברה הדמוקרטית בה אנו חיים. חברה המכבדת את שלטון החוק ואת זכויותיו של הזולת לא תאפשר פגיעה בנציגי החוק, וכל פגיעה שכזו צריכה להיתקל בקיר ברזל של אפס סובלנות... אינטרס הציבור מחייב אפוא ששוטרים יוכלו למלא את תפקידם ללא מורא ופחד... מדיניות של ענישה מכבידה ומרתיעה בגין עבירות אלימות נגד שוטרים משרתת אינטרס זה ועל כן היא ראויה</w:t>
      </w:r>
      <w:r>
        <w:rPr>
          <w:rFonts w:ascii="David" w:hAnsi="David"/>
          <w:rtl/>
        </w:rPr>
        <w:t>".</w:t>
      </w:r>
    </w:p>
    <w:p w14:paraId="21685902" w14:textId="77777777" w:rsidR="004A1E7E" w:rsidRDefault="004A1E7E" w:rsidP="004A1E7E">
      <w:pPr>
        <w:spacing w:line="360" w:lineRule="auto"/>
        <w:ind w:left="41"/>
        <w:contextualSpacing/>
        <w:jc w:val="both"/>
        <w:rPr>
          <w:rFonts w:ascii="David" w:hAnsi="David"/>
        </w:rPr>
      </w:pPr>
    </w:p>
    <w:p w14:paraId="3B2B5AAC" w14:textId="77777777" w:rsidR="004A1E7E" w:rsidRPr="00D9730C" w:rsidRDefault="004A1E7E" w:rsidP="004A1E7E">
      <w:pPr>
        <w:spacing w:line="360" w:lineRule="auto"/>
        <w:ind w:left="41"/>
        <w:contextualSpacing/>
        <w:jc w:val="both"/>
        <w:rPr>
          <w:rFonts w:ascii="David" w:hAnsi="David"/>
          <w:rtl/>
        </w:rPr>
      </w:pPr>
      <w:r>
        <w:rPr>
          <w:rFonts w:ascii="David" w:hAnsi="David"/>
          <w:rtl/>
        </w:rPr>
        <w:t xml:space="preserve">ואמנם, במקרים חמורים, בהם בוצעה עבירת תקיפה אלימה כלפי סוהרים או שוטרים, נוהגים בתי המשפט להטיל עונשי מאסר </w:t>
      </w:r>
      <w:r w:rsidRPr="00D9730C">
        <w:rPr>
          <w:rFonts w:ascii="David" w:hAnsi="David"/>
          <w:rtl/>
        </w:rPr>
        <w:t>מכבידים (</w:t>
      </w:r>
      <w:hyperlink r:id="rId51" w:history="1">
        <w:r w:rsidR="00E35858" w:rsidRPr="00E35858">
          <w:rPr>
            <w:rFonts w:ascii="David" w:hAnsi="David"/>
            <w:color w:val="0000FF"/>
            <w:u w:val="single"/>
            <w:rtl/>
          </w:rPr>
          <w:t>ת"פ 19369-12-17</w:t>
        </w:r>
      </w:hyperlink>
      <w:r w:rsidRPr="00D9730C">
        <w:rPr>
          <w:rFonts w:ascii="David" w:hAnsi="David"/>
          <w:rtl/>
        </w:rPr>
        <w:t xml:space="preserve"> </w:t>
      </w:r>
      <w:r w:rsidRPr="00D9730C">
        <w:rPr>
          <w:rFonts w:ascii="David" w:hAnsi="David" w:hint="cs"/>
          <w:b/>
          <w:bCs/>
          <w:rtl/>
        </w:rPr>
        <w:t>מד"י נ' חמאמרה</w:t>
      </w:r>
      <w:r w:rsidRPr="00D9730C">
        <w:rPr>
          <w:rFonts w:ascii="David" w:hAnsi="David" w:hint="cs"/>
          <w:rtl/>
        </w:rPr>
        <w:t xml:space="preserve"> (18.6.20); </w:t>
      </w:r>
      <w:hyperlink r:id="rId52" w:history="1">
        <w:r w:rsidR="00E35858" w:rsidRPr="00E35858">
          <w:rPr>
            <w:rFonts w:ascii="David" w:hAnsi="David"/>
            <w:color w:val="0000FF"/>
            <w:u w:val="single"/>
            <w:rtl/>
          </w:rPr>
          <w:t>ת"פ 57226-03-19</w:t>
        </w:r>
      </w:hyperlink>
      <w:r w:rsidRPr="00D9730C">
        <w:rPr>
          <w:rFonts w:ascii="David" w:hAnsi="David"/>
          <w:rtl/>
        </w:rPr>
        <w:t xml:space="preserve"> </w:t>
      </w:r>
      <w:r w:rsidRPr="00D9730C">
        <w:rPr>
          <w:rFonts w:ascii="David" w:hAnsi="David" w:hint="cs"/>
          <w:b/>
          <w:bCs/>
          <w:rtl/>
        </w:rPr>
        <w:t>מד"י נ' כוטייר</w:t>
      </w:r>
      <w:r w:rsidRPr="00D9730C">
        <w:rPr>
          <w:rFonts w:ascii="David" w:hAnsi="David" w:hint="cs"/>
          <w:rtl/>
        </w:rPr>
        <w:t xml:space="preserve"> (31.12.19)), וכך בייחוד כשמדובר בעבירות אלימות קשות שלעיתים הותירו חבלות (למשל: </w:t>
      </w:r>
      <w:hyperlink r:id="rId53" w:history="1">
        <w:r w:rsidR="00E35858" w:rsidRPr="00E35858">
          <w:rPr>
            <w:rFonts w:ascii="David" w:hAnsi="David"/>
            <w:color w:val="0000FF"/>
            <w:u w:val="single"/>
            <w:rtl/>
          </w:rPr>
          <w:t>רע"פ 2065/14</w:t>
        </w:r>
      </w:hyperlink>
      <w:r w:rsidRPr="00D9730C">
        <w:rPr>
          <w:rFonts w:ascii="David" w:hAnsi="David"/>
          <w:rtl/>
        </w:rPr>
        <w:t xml:space="preserve"> </w:t>
      </w:r>
      <w:r w:rsidRPr="00D9730C">
        <w:rPr>
          <w:rFonts w:ascii="David" w:hAnsi="David" w:hint="cs"/>
          <w:b/>
          <w:bCs/>
          <w:rtl/>
        </w:rPr>
        <w:t xml:space="preserve">אבו מדיע'ם נ' מד"י </w:t>
      </w:r>
      <w:r w:rsidRPr="00D9730C">
        <w:rPr>
          <w:rFonts w:ascii="David" w:hAnsi="David" w:hint="cs"/>
          <w:rtl/>
        </w:rPr>
        <w:t xml:space="preserve">(9.6.2014); </w:t>
      </w:r>
      <w:hyperlink r:id="rId54" w:history="1">
        <w:r w:rsidR="00E35858" w:rsidRPr="00E35858">
          <w:rPr>
            <w:rFonts w:ascii="David" w:hAnsi="David"/>
            <w:color w:val="0000FF"/>
            <w:u w:val="single"/>
            <w:rtl/>
          </w:rPr>
          <w:t>רע"פ 8172/10</w:t>
        </w:r>
      </w:hyperlink>
      <w:r w:rsidRPr="00D9730C">
        <w:rPr>
          <w:rFonts w:ascii="David" w:hAnsi="David"/>
          <w:rtl/>
        </w:rPr>
        <w:t xml:space="preserve"> </w:t>
      </w:r>
      <w:r w:rsidRPr="00D9730C">
        <w:rPr>
          <w:rFonts w:ascii="David" w:hAnsi="David" w:hint="cs"/>
          <w:b/>
          <w:bCs/>
          <w:rtl/>
        </w:rPr>
        <w:t>גזאוי נ' מד"י</w:t>
      </w:r>
      <w:r w:rsidRPr="00D9730C">
        <w:rPr>
          <w:rFonts w:ascii="David" w:hAnsi="David" w:hint="cs"/>
          <w:rtl/>
        </w:rPr>
        <w:t xml:space="preserve"> (18.11.10); ע"פ </w:t>
      </w:r>
      <w:hyperlink r:id="rId55" w:history="1">
        <w:r w:rsidR="00D17A24" w:rsidRPr="00D17A24">
          <w:rPr>
            <w:rFonts w:ascii="David" w:hAnsi="David"/>
            <w:color w:val="0000FF"/>
            <w:u w:val="single"/>
            <w:rtl/>
          </w:rPr>
          <w:t xml:space="preserve">1860/07 </w:t>
        </w:r>
      </w:hyperlink>
      <w:r w:rsidRPr="00D9730C">
        <w:rPr>
          <w:rFonts w:ascii="David" w:hAnsi="David" w:hint="cs"/>
          <w:rtl/>
        </w:rPr>
        <w:t xml:space="preserve"> </w:t>
      </w:r>
      <w:r w:rsidRPr="00D9730C">
        <w:rPr>
          <w:rFonts w:ascii="David" w:hAnsi="David" w:hint="cs"/>
          <w:b/>
          <w:bCs/>
          <w:rtl/>
        </w:rPr>
        <w:t>נחמני נ' מד"י</w:t>
      </w:r>
      <w:r w:rsidRPr="00D9730C">
        <w:rPr>
          <w:rFonts w:ascii="David" w:hAnsi="David" w:hint="cs"/>
          <w:rtl/>
        </w:rPr>
        <w:t xml:space="preserve"> (14.6.2007); </w:t>
      </w:r>
      <w:hyperlink r:id="rId56" w:history="1">
        <w:r w:rsidR="00E35858" w:rsidRPr="00E35858">
          <w:rPr>
            <w:rFonts w:ascii="David" w:hAnsi="David"/>
            <w:color w:val="0000FF"/>
            <w:u w:val="single"/>
            <w:rtl/>
          </w:rPr>
          <w:t>ע"פ 3287/08</w:t>
        </w:r>
      </w:hyperlink>
      <w:r w:rsidRPr="00D9730C">
        <w:rPr>
          <w:rFonts w:ascii="David" w:hAnsi="David"/>
          <w:rtl/>
        </w:rPr>
        <w:t xml:space="preserve"> </w:t>
      </w:r>
      <w:r w:rsidRPr="00D9730C">
        <w:rPr>
          <w:rFonts w:ascii="David" w:hAnsi="David" w:hint="cs"/>
          <w:b/>
          <w:bCs/>
          <w:rtl/>
        </w:rPr>
        <w:t xml:space="preserve">מד"י נ' ברדוגו </w:t>
      </w:r>
      <w:r w:rsidRPr="00D9730C">
        <w:rPr>
          <w:rFonts w:ascii="David" w:hAnsi="David" w:hint="cs"/>
          <w:rtl/>
        </w:rPr>
        <w:t xml:space="preserve">(10.7.08) </w:t>
      </w:r>
      <w:hyperlink r:id="rId57" w:history="1">
        <w:r w:rsidR="00E35858" w:rsidRPr="00E35858">
          <w:rPr>
            <w:rFonts w:ascii="David" w:hAnsi="David"/>
            <w:color w:val="0000FF"/>
            <w:u w:val="single"/>
            <w:rtl/>
          </w:rPr>
          <w:t>ת"פ 27973-02-17</w:t>
        </w:r>
      </w:hyperlink>
      <w:r w:rsidRPr="00D9730C">
        <w:rPr>
          <w:rFonts w:ascii="David" w:hAnsi="David"/>
          <w:rtl/>
        </w:rPr>
        <w:t xml:space="preserve"> </w:t>
      </w:r>
      <w:r w:rsidRPr="00D9730C">
        <w:rPr>
          <w:rFonts w:ascii="David" w:hAnsi="David" w:hint="cs"/>
          <w:b/>
          <w:bCs/>
          <w:rtl/>
        </w:rPr>
        <w:t>מד"י נ' מון</w:t>
      </w:r>
      <w:r w:rsidRPr="00D9730C">
        <w:rPr>
          <w:rFonts w:ascii="David" w:hAnsi="David" w:hint="cs"/>
          <w:rtl/>
        </w:rPr>
        <w:t xml:space="preserve"> (9.5.18); </w:t>
      </w:r>
      <w:hyperlink r:id="rId58" w:history="1">
        <w:r w:rsidR="00E35858" w:rsidRPr="00E35858">
          <w:rPr>
            <w:rFonts w:ascii="David" w:hAnsi="David"/>
            <w:color w:val="0000FF"/>
            <w:u w:val="single"/>
            <w:rtl/>
          </w:rPr>
          <w:t>עפ"ג (מחוזי מרכז) 22165-04-16</w:t>
        </w:r>
      </w:hyperlink>
      <w:r w:rsidRPr="00D9730C">
        <w:rPr>
          <w:rFonts w:ascii="David" w:hAnsi="David"/>
          <w:rtl/>
        </w:rPr>
        <w:t xml:space="preserve"> </w:t>
      </w:r>
      <w:r w:rsidRPr="00D9730C">
        <w:rPr>
          <w:rFonts w:ascii="David" w:hAnsi="David" w:hint="cs"/>
          <w:b/>
          <w:bCs/>
          <w:rtl/>
        </w:rPr>
        <w:t>מרדאוי נ' מד"י</w:t>
      </w:r>
      <w:r w:rsidRPr="00D9730C">
        <w:rPr>
          <w:rFonts w:ascii="David" w:hAnsi="David" w:hint="cs"/>
          <w:rtl/>
        </w:rPr>
        <w:t xml:space="preserve"> (19.02.2017); </w:t>
      </w:r>
      <w:hyperlink r:id="rId59" w:history="1">
        <w:r w:rsidR="00E35858" w:rsidRPr="00E35858">
          <w:rPr>
            <w:rFonts w:ascii="David" w:hAnsi="David"/>
            <w:color w:val="0000FF"/>
            <w:u w:val="single"/>
            <w:rtl/>
          </w:rPr>
          <w:t>ת"פ 5811-11-14</w:t>
        </w:r>
      </w:hyperlink>
      <w:r w:rsidRPr="00D9730C">
        <w:rPr>
          <w:rFonts w:ascii="David" w:hAnsi="David"/>
          <w:rtl/>
        </w:rPr>
        <w:t xml:space="preserve"> </w:t>
      </w:r>
      <w:r w:rsidRPr="00D9730C">
        <w:rPr>
          <w:rFonts w:ascii="David" w:hAnsi="David" w:hint="cs"/>
          <w:b/>
          <w:bCs/>
          <w:rtl/>
        </w:rPr>
        <w:t>מד"י נ' אדרי</w:t>
      </w:r>
      <w:r w:rsidRPr="00D9730C">
        <w:rPr>
          <w:rFonts w:ascii="David" w:hAnsi="David" w:hint="cs"/>
          <w:rtl/>
        </w:rPr>
        <w:t xml:space="preserve"> (7.5.2018)). </w:t>
      </w:r>
    </w:p>
    <w:p w14:paraId="09425420" w14:textId="77777777" w:rsidR="004A1E7E" w:rsidRPr="00D9730C" w:rsidRDefault="004A1E7E" w:rsidP="004A1E7E">
      <w:pPr>
        <w:spacing w:line="360" w:lineRule="auto"/>
        <w:ind w:left="41"/>
        <w:contextualSpacing/>
        <w:jc w:val="both"/>
        <w:rPr>
          <w:rFonts w:ascii="David" w:hAnsi="David"/>
          <w:rtl/>
        </w:rPr>
      </w:pPr>
    </w:p>
    <w:p w14:paraId="50A208B8" w14:textId="77777777" w:rsidR="004A1E7E" w:rsidRPr="00D9730C" w:rsidRDefault="004A1E7E" w:rsidP="004A1E7E">
      <w:pPr>
        <w:spacing w:line="360" w:lineRule="auto"/>
        <w:ind w:left="41"/>
        <w:contextualSpacing/>
        <w:jc w:val="both"/>
        <w:rPr>
          <w:rFonts w:ascii="David" w:hAnsi="David"/>
          <w:rtl/>
        </w:rPr>
      </w:pPr>
      <w:r w:rsidRPr="00D9730C">
        <w:rPr>
          <w:rFonts w:ascii="David" w:hAnsi="David"/>
          <w:rtl/>
        </w:rPr>
        <w:t xml:space="preserve">עם זאת, במקרים רבים מאד, הניתנים לאיתור במאגרי הפסיקה, הסתיימו הליכים פליליים בגין עבירות של תקיפת סוהר או שוטר, ללא הטלת מאסר בפועל, זאת בשל העדר חומרה יתרה או בשל נסיבות אישיות של הנאשם שהצדיקו זאת. </w:t>
      </w:r>
      <w:r>
        <w:rPr>
          <w:rFonts w:ascii="David" w:hAnsi="David" w:hint="cs"/>
          <w:rtl/>
        </w:rPr>
        <w:t>במקרים שכאלה</w:t>
      </w:r>
      <w:r w:rsidRPr="00D9730C">
        <w:rPr>
          <w:rFonts w:ascii="David" w:hAnsi="David"/>
          <w:rtl/>
        </w:rPr>
        <w:t xml:space="preserve">, הסתפקו בתי המשפט בעונשי מאסר על תנאי, בליווי רכיבי ענישה נלווים כגון: של"צ, קנס ו/או פיצוי למתלונן. מפאת ריבוי המקרים הללו, אסתפק בהפניה לדוגמאות, שניתן לאתר עוד רבות כמותן: </w:t>
      </w:r>
      <w:hyperlink r:id="rId60" w:history="1">
        <w:r w:rsidR="00E35858" w:rsidRPr="00E35858">
          <w:rPr>
            <w:rFonts w:ascii="David" w:hAnsi="David"/>
            <w:color w:val="0000FF"/>
            <w:u w:val="single"/>
            <w:rtl/>
          </w:rPr>
          <w:t>רע"פ 4592/14</w:t>
        </w:r>
      </w:hyperlink>
      <w:r w:rsidRPr="00D9730C">
        <w:rPr>
          <w:rFonts w:ascii="David" w:hAnsi="David"/>
          <w:rtl/>
        </w:rPr>
        <w:t xml:space="preserve"> </w:t>
      </w:r>
      <w:r w:rsidRPr="00D9730C">
        <w:rPr>
          <w:rFonts w:ascii="David" w:hAnsi="David" w:hint="cs"/>
          <w:b/>
          <w:bCs/>
          <w:rtl/>
        </w:rPr>
        <w:t>רוטמן נ' מד"י (25.8.14);</w:t>
      </w:r>
      <w:r w:rsidRPr="00D9730C">
        <w:rPr>
          <w:rFonts w:ascii="David" w:hAnsi="David" w:hint="cs"/>
          <w:rtl/>
        </w:rPr>
        <w:t xml:space="preserve"> </w:t>
      </w:r>
      <w:hyperlink r:id="rId61" w:history="1">
        <w:r w:rsidR="00E35858" w:rsidRPr="00E35858">
          <w:rPr>
            <w:rFonts w:ascii="David" w:hAnsi="David"/>
            <w:color w:val="0000FF"/>
            <w:u w:val="single"/>
            <w:rtl/>
          </w:rPr>
          <w:t>עפ"ג 50844-12-12</w:t>
        </w:r>
      </w:hyperlink>
      <w:r w:rsidRPr="00D9730C">
        <w:rPr>
          <w:rFonts w:ascii="David" w:hAnsi="David"/>
          <w:rtl/>
        </w:rPr>
        <w:t xml:space="preserve"> </w:t>
      </w:r>
      <w:r w:rsidRPr="00D9730C">
        <w:rPr>
          <w:rFonts w:ascii="David" w:hAnsi="David" w:hint="cs"/>
          <w:b/>
          <w:bCs/>
          <w:rtl/>
        </w:rPr>
        <w:t>שחר נ' מד"י</w:t>
      </w:r>
      <w:r w:rsidRPr="00D9730C">
        <w:rPr>
          <w:rFonts w:ascii="David" w:hAnsi="David" w:hint="cs"/>
          <w:rtl/>
        </w:rPr>
        <w:t xml:space="preserve"> (13.2.13); </w:t>
      </w:r>
      <w:hyperlink r:id="rId62" w:history="1">
        <w:r w:rsidR="00E35858" w:rsidRPr="00E35858">
          <w:rPr>
            <w:rFonts w:ascii="David" w:hAnsi="David"/>
            <w:color w:val="0000FF"/>
            <w:u w:val="single"/>
            <w:rtl/>
          </w:rPr>
          <w:t>ע"פ (מחוזי י-ם) 15185-07-14</w:t>
        </w:r>
      </w:hyperlink>
      <w:r w:rsidRPr="00D9730C">
        <w:rPr>
          <w:rFonts w:ascii="David" w:hAnsi="David"/>
          <w:rtl/>
        </w:rPr>
        <w:t xml:space="preserve"> </w:t>
      </w:r>
      <w:r w:rsidRPr="00D9730C">
        <w:rPr>
          <w:rFonts w:ascii="David" w:hAnsi="David" w:hint="cs"/>
          <w:b/>
          <w:bCs/>
          <w:rtl/>
        </w:rPr>
        <w:t xml:space="preserve">קליין נ' מד"י </w:t>
      </w:r>
      <w:r w:rsidRPr="00D9730C">
        <w:rPr>
          <w:rFonts w:ascii="David" w:hAnsi="David" w:hint="cs"/>
          <w:rtl/>
        </w:rPr>
        <w:t xml:space="preserve">(21.9.14); </w:t>
      </w:r>
      <w:hyperlink r:id="rId63" w:history="1">
        <w:r w:rsidR="00E35858" w:rsidRPr="00E35858">
          <w:rPr>
            <w:rFonts w:ascii="David" w:hAnsi="David"/>
            <w:color w:val="0000FF"/>
            <w:u w:val="single"/>
            <w:rtl/>
          </w:rPr>
          <w:t>ת"פ 3856-04-11</w:t>
        </w:r>
      </w:hyperlink>
      <w:r w:rsidRPr="00D9730C">
        <w:rPr>
          <w:rFonts w:ascii="David" w:hAnsi="David"/>
          <w:rtl/>
        </w:rPr>
        <w:t xml:space="preserve"> </w:t>
      </w:r>
      <w:r w:rsidRPr="00D9730C">
        <w:rPr>
          <w:rFonts w:ascii="David" w:hAnsi="David" w:hint="cs"/>
          <w:b/>
          <w:bCs/>
          <w:rtl/>
        </w:rPr>
        <w:t>מד"י נ' פלק ואח'</w:t>
      </w:r>
      <w:r w:rsidRPr="00D9730C">
        <w:rPr>
          <w:rFonts w:ascii="David" w:hAnsi="David" w:hint="cs"/>
          <w:rtl/>
        </w:rPr>
        <w:t xml:space="preserve"> (20.9.15); </w:t>
      </w:r>
      <w:hyperlink r:id="rId64" w:history="1">
        <w:r w:rsidR="00E35858" w:rsidRPr="00E35858">
          <w:rPr>
            <w:rFonts w:ascii="David" w:hAnsi="David"/>
            <w:color w:val="0000FF"/>
            <w:u w:val="single"/>
            <w:rtl/>
          </w:rPr>
          <w:t>ת"פ 10805-04-15</w:t>
        </w:r>
      </w:hyperlink>
      <w:r w:rsidRPr="00D9730C">
        <w:rPr>
          <w:rFonts w:ascii="David" w:hAnsi="David"/>
          <w:rtl/>
        </w:rPr>
        <w:t>‏ ‏</w:t>
      </w:r>
      <w:r w:rsidRPr="00D9730C">
        <w:rPr>
          <w:rFonts w:ascii="David" w:hAnsi="David"/>
          <w:b/>
          <w:bCs/>
          <w:rtl/>
        </w:rPr>
        <w:t>מד"י נ' זקן</w:t>
      </w:r>
      <w:r w:rsidRPr="00D9730C">
        <w:rPr>
          <w:rFonts w:ascii="David" w:hAnsi="David"/>
          <w:rtl/>
        </w:rPr>
        <w:t xml:space="preserve"> (6.3.2016);  </w:t>
      </w:r>
      <w:hyperlink r:id="rId65" w:history="1">
        <w:r w:rsidR="00E35858" w:rsidRPr="00E35858">
          <w:rPr>
            <w:rFonts w:ascii="David" w:hAnsi="David"/>
            <w:color w:val="0000FF"/>
            <w:u w:val="single"/>
            <w:rtl/>
          </w:rPr>
          <w:t>ת"פ (ב"ש) 5893/08</w:t>
        </w:r>
      </w:hyperlink>
      <w:r w:rsidRPr="00D9730C">
        <w:rPr>
          <w:rFonts w:ascii="David" w:hAnsi="David"/>
          <w:rtl/>
        </w:rPr>
        <w:t xml:space="preserve"> </w:t>
      </w:r>
      <w:r w:rsidRPr="00D9730C">
        <w:rPr>
          <w:rFonts w:ascii="David" w:hAnsi="David" w:hint="cs"/>
          <w:b/>
          <w:bCs/>
          <w:rtl/>
        </w:rPr>
        <w:t>מד"י נ' צויר</w:t>
      </w:r>
      <w:r w:rsidRPr="00D9730C">
        <w:rPr>
          <w:rFonts w:ascii="David" w:hAnsi="David" w:hint="cs"/>
          <w:rtl/>
        </w:rPr>
        <w:t xml:space="preserve"> (20.2.11);  ת"פ </w:t>
      </w:r>
      <w:hyperlink r:id="rId66" w:history="1">
        <w:r w:rsidR="00D17A24" w:rsidRPr="00D17A24">
          <w:rPr>
            <w:rFonts w:ascii="David" w:hAnsi="David"/>
            <w:color w:val="0000FF"/>
            <w:u w:val="single"/>
            <w:rtl/>
          </w:rPr>
          <w:t xml:space="preserve">1069/08 </w:t>
        </w:r>
      </w:hyperlink>
      <w:r w:rsidRPr="00D9730C">
        <w:rPr>
          <w:rFonts w:ascii="David" w:hAnsi="David" w:hint="cs"/>
          <w:rtl/>
        </w:rPr>
        <w:t xml:space="preserve"> </w:t>
      </w:r>
      <w:r w:rsidRPr="00D9730C">
        <w:rPr>
          <w:rFonts w:ascii="David" w:hAnsi="David" w:hint="cs"/>
          <w:b/>
          <w:bCs/>
          <w:rtl/>
        </w:rPr>
        <w:t>מד"י נ' אנשין</w:t>
      </w:r>
      <w:r w:rsidRPr="00D9730C">
        <w:rPr>
          <w:rFonts w:ascii="David" w:hAnsi="David" w:hint="cs"/>
          <w:rtl/>
        </w:rPr>
        <w:t xml:space="preserve"> (11.2.13); ת"פ 3752/09 </w:t>
      </w:r>
      <w:r w:rsidRPr="00D9730C">
        <w:rPr>
          <w:rFonts w:ascii="David" w:hAnsi="David" w:hint="cs"/>
          <w:b/>
          <w:bCs/>
          <w:rtl/>
        </w:rPr>
        <w:t>מד"י נ' איבריגימוב</w:t>
      </w:r>
      <w:r w:rsidRPr="00D9730C">
        <w:rPr>
          <w:rFonts w:ascii="David" w:hAnsi="David" w:hint="cs"/>
          <w:rtl/>
        </w:rPr>
        <w:t xml:space="preserve"> (20.5.13); </w:t>
      </w:r>
      <w:hyperlink r:id="rId67" w:history="1">
        <w:r w:rsidR="00E35858" w:rsidRPr="00E35858">
          <w:rPr>
            <w:rFonts w:ascii="David" w:hAnsi="David"/>
            <w:color w:val="0000FF"/>
            <w:u w:val="single"/>
            <w:rtl/>
          </w:rPr>
          <w:t>ת"פ 45107-07-11</w:t>
        </w:r>
      </w:hyperlink>
      <w:r w:rsidRPr="00D9730C">
        <w:rPr>
          <w:rFonts w:ascii="David" w:hAnsi="David"/>
          <w:rtl/>
        </w:rPr>
        <w:t xml:space="preserve"> </w:t>
      </w:r>
      <w:r w:rsidRPr="00D9730C">
        <w:rPr>
          <w:rFonts w:ascii="David" w:hAnsi="David" w:hint="cs"/>
          <w:b/>
          <w:bCs/>
          <w:rtl/>
        </w:rPr>
        <w:t>מד"י נ' מליונס</w:t>
      </w:r>
      <w:r w:rsidRPr="00D9730C">
        <w:rPr>
          <w:rFonts w:ascii="David" w:hAnsi="David" w:hint="cs"/>
          <w:rtl/>
        </w:rPr>
        <w:t xml:space="preserve"> (2.4.12); </w:t>
      </w:r>
      <w:hyperlink r:id="rId68" w:history="1">
        <w:r w:rsidR="00E35858" w:rsidRPr="00E35858">
          <w:rPr>
            <w:rFonts w:ascii="David" w:hAnsi="David"/>
            <w:color w:val="0000FF"/>
            <w:u w:val="single"/>
            <w:rtl/>
          </w:rPr>
          <w:t>ת"פ 62819-05-17</w:t>
        </w:r>
      </w:hyperlink>
      <w:r w:rsidRPr="00D9730C">
        <w:rPr>
          <w:rFonts w:ascii="David" w:hAnsi="David"/>
          <w:rtl/>
        </w:rPr>
        <w:t xml:space="preserve"> </w:t>
      </w:r>
      <w:r w:rsidRPr="00D9730C">
        <w:rPr>
          <w:rFonts w:ascii="David" w:hAnsi="David" w:hint="cs"/>
          <w:b/>
          <w:bCs/>
          <w:rtl/>
        </w:rPr>
        <w:t>מד"י נ' שטרית</w:t>
      </w:r>
      <w:r w:rsidRPr="00D9730C">
        <w:rPr>
          <w:rFonts w:ascii="David" w:hAnsi="David" w:hint="cs"/>
          <w:rtl/>
        </w:rPr>
        <w:t xml:space="preserve"> (28.2.18); </w:t>
      </w:r>
      <w:hyperlink r:id="rId69" w:history="1">
        <w:r w:rsidR="00E35858" w:rsidRPr="00E35858">
          <w:rPr>
            <w:rFonts w:ascii="David" w:hAnsi="David"/>
            <w:color w:val="0000FF"/>
            <w:u w:val="single"/>
            <w:rtl/>
          </w:rPr>
          <w:t>ת"פ 2020-07-15</w:t>
        </w:r>
      </w:hyperlink>
      <w:r w:rsidRPr="00D9730C">
        <w:rPr>
          <w:rFonts w:ascii="David" w:hAnsi="David"/>
          <w:rtl/>
        </w:rPr>
        <w:t xml:space="preserve"> </w:t>
      </w:r>
      <w:r w:rsidRPr="00D9730C">
        <w:rPr>
          <w:rFonts w:ascii="David" w:hAnsi="David" w:hint="cs"/>
          <w:b/>
          <w:bCs/>
          <w:rtl/>
        </w:rPr>
        <w:t>מד"י נ' סיאם</w:t>
      </w:r>
      <w:r w:rsidRPr="00D9730C">
        <w:rPr>
          <w:rFonts w:ascii="David" w:hAnsi="David" w:hint="cs"/>
          <w:rtl/>
        </w:rPr>
        <w:t xml:space="preserve"> (22.11.17); </w:t>
      </w:r>
      <w:hyperlink r:id="rId70" w:history="1">
        <w:r w:rsidR="00E35858" w:rsidRPr="00E35858">
          <w:rPr>
            <w:rFonts w:ascii="David" w:hAnsi="David"/>
            <w:color w:val="0000FF"/>
            <w:u w:val="single"/>
            <w:rtl/>
          </w:rPr>
          <w:t>ת"פ 17049-06-15</w:t>
        </w:r>
      </w:hyperlink>
      <w:r w:rsidRPr="00D9730C">
        <w:rPr>
          <w:rFonts w:ascii="David" w:hAnsi="David"/>
          <w:rtl/>
        </w:rPr>
        <w:t xml:space="preserve"> </w:t>
      </w:r>
      <w:r w:rsidRPr="00D9730C">
        <w:rPr>
          <w:rFonts w:ascii="David" w:hAnsi="David" w:hint="cs"/>
          <w:b/>
          <w:bCs/>
          <w:rtl/>
        </w:rPr>
        <w:t>מד"י נ' טגניה</w:t>
      </w:r>
      <w:r w:rsidRPr="00D9730C">
        <w:rPr>
          <w:rFonts w:ascii="David" w:hAnsi="David" w:hint="cs"/>
          <w:rtl/>
        </w:rPr>
        <w:t xml:space="preserve"> (18.3.18)). </w:t>
      </w:r>
    </w:p>
    <w:p w14:paraId="7335646A" w14:textId="77777777" w:rsidR="004A1E7E" w:rsidRDefault="004A1E7E" w:rsidP="004A1E7E">
      <w:pPr>
        <w:spacing w:line="360" w:lineRule="auto"/>
        <w:ind w:left="41"/>
        <w:contextualSpacing/>
        <w:jc w:val="both"/>
        <w:rPr>
          <w:rFonts w:ascii="David" w:hAnsi="David"/>
          <w:rtl/>
        </w:rPr>
      </w:pPr>
    </w:p>
    <w:p w14:paraId="625A3416" w14:textId="77777777" w:rsidR="004A1E7E" w:rsidRDefault="004A1E7E" w:rsidP="004A1E7E">
      <w:pPr>
        <w:spacing w:line="360" w:lineRule="auto"/>
        <w:ind w:left="41"/>
        <w:contextualSpacing/>
        <w:jc w:val="both"/>
        <w:rPr>
          <w:rFonts w:ascii="David" w:hAnsi="David"/>
          <w:rtl/>
        </w:rPr>
      </w:pPr>
      <w:r>
        <w:rPr>
          <w:rFonts w:ascii="David" w:hAnsi="David"/>
          <w:rtl/>
        </w:rPr>
        <w:t>בענייננו, הנאשם סירב להיכנס לתחנת המשטרה, ודחף את השוטרים. כמו כן, נשך את השוטר בוטקו וגרם לו פצע עם דימום בכף יד ימין.</w:t>
      </w:r>
    </w:p>
    <w:p w14:paraId="398D1A51" w14:textId="77777777" w:rsidR="004A1E7E" w:rsidRDefault="004A1E7E" w:rsidP="004A1E7E">
      <w:pPr>
        <w:spacing w:line="360" w:lineRule="auto"/>
        <w:ind w:left="41"/>
        <w:contextualSpacing/>
        <w:jc w:val="both"/>
        <w:rPr>
          <w:rFonts w:ascii="David" w:hAnsi="David"/>
          <w:rtl/>
        </w:rPr>
      </w:pPr>
    </w:p>
    <w:p w14:paraId="75376599" w14:textId="77777777" w:rsidR="004A1E7E" w:rsidRDefault="004A1E7E" w:rsidP="004A1E7E">
      <w:pPr>
        <w:spacing w:line="360" w:lineRule="auto"/>
        <w:ind w:left="41"/>
        <w:contextualSpacing/>
        <w:jc w:val="both"/>
        <w:rPr>
          <w:rFonts w:ascii="David" w:hAnsi="David"/>
          <w:rtl/>
        </w:rPr>
      </w:pPr>
      <w:r>
        <w:rPr>
          <w:rFonts w:ascii="David" w:hAnsi="David"/>
          <w:rtl/>
        </w:rPr>
        <w:t>השוטר בוטקו העיד לפניי, והציג את הצלקת שהוא נושא על כף ידו עד היום, ומכאן שהנשיכה היתה משמעותית ולא שטחית. על פי המסמכים הרפואיים, השוטר נזקק לזריקת טטנוס. אין צורך להכביר מילים על החומרה של תקיפה על ידי נשיכה, בייחוד כשבוצעה כלפי שוטר, על מנת למנוע מעצר.</w:t>
      </w:r>
    </w:p>
    <w:p w14:paraId="6941860E" w14:textId="77777777" w:rsidR="004A1E7E" w:rsidRDefault="004A1E7E" w:rsidP="004A1E7E">
      <w:pPr>
        <w:spacing w:line="360" w:lineRule="auto"/>
        <w:ind w:left="41"/>
        <w:contextualSpacing/>
        <w:jc w:val="both"/>
        <w:rPr>
          <w:rFonts w:ascii="David" w:hAnsi="David"/>
          <w:rtl/>
        </w:rPr>
      </w:pPr>
    </w:p>
    <w:p w14:paraId="11C0C172" w14:textId="77777777" w:rsidR="004A1E7E" w:rsidRDefault="004A1E7E" w:rsidP="004A1E7E">
      <w:pPr>
        <w:spacing w:line="360" w:lineRule="auto"/>
        <w:ind w:left="41"/>
        <w:contextualSpacing/>
        <w:jc w:val="both"/>
        <w:rPr>
          <w:rFonts w:ascii="David" w:hAnsi="David"/>
          <w:color w:val="000000"/>
          <w:rtl/>
        </w:rPr>
      </w:pPr>
      <w:r>
        <w:rPr>
          <w:rFonts w:ascii="David" w:hAnsi="David"/>
          <w:rtl/>
        </w:rPr>
        <w:t xml:space="preserve">לצד זה, בוטקו העיד כי הנשיכה באה לאחר שבמהלך המעצר, הנאשם משך מידיו את האזיק בכוח. לדבריו, בשלב זה, חשש כי הנאשם יתפרע, ולכן שם את ידו השמאלית על צווארו, על מנת להושיב או להשכיב אותו, כדי לשמר שליטה עליו. </w:t>
      </w:r>
      <w:r>
        <w:rPr>
          <w:rFonts w:ascii="David" w:hAnsi="David" w:hint="cs"/>
          <w:color w:val="000000"/>
          <w:rtl/>
        </w:rPr>
        <w:t>בתגובה לכך,</w:t>
      </w:r>
      <w:r>
        <w:rPr>
          <w:rFonts w:ascii="David" w:hAnsi="David"/>
          <w:color w:val="000000"/>
          <w:rtl/>
        </w:rPr>
        <w:t xml:space="preserve"> הנאשם נשך את כף ידו. עולה מכאן, כי יש ממש בטענת הנאשם לפיה נשך את השוטר בוטקו מתוך תחושתו כי הוא נחנק. בכך אין כמובן הצדקה למעשה, אך נסיבה זו צריכה להישקל בשים לב לכך שעסקינן באדם חולני ביותר, אשר </w:t>
      </w:r>
      <w:r>
        <w:rPr>
          <w:rFonts w:ascii="David" w:hAnsi="David" w:hint="cs"/>
          <w:color w:val="000000"/>
          <w:rtl/>
        </w:rPr>
        <w:t>ייתכן בהחלט</w:t>
      </w:r>
      <w:r>
        <w:rPr>
          <w:rFonts w:ascii="David" w:hAnsi="David"/>
          <w:color w:val="000000"/>
          <w:rtl/>
        </w:rPr>
        <w:t xml:space="preserve"> כי הפעלת הכוח כלפיו הבהילה וערערה אותו. עוד אזכיר כי בדברו האחרון הביע הנאשם צער ובושה על נשיכת השוטר ואמר כי אינו מבין כיצד הגיע לידי כך. מדבריו ניתן היה להתרשם כי הנשיכה בוצעה מתוך חולשה ברגע של איבוד שליטה, ולא כמעשה בריוני כלפי השוטר.</w:t>
      </w:r>
    </w:p>
    <w:p w14:paraId="2AC9FDA5" w14:textId="77777777" w:rsidR="004A1E7E" w:rsidRDefault="004A1E7E" w:rsidP="004A1E7E">
      <w:pPr>
        <w:spacing w:line="360" w:lineRule="auto"/>
        <w:ind w:left="41"/>
        <w:contextualSpacing/>
        <w:jc w:val="both"/>
        <w:rPr>
          <w:rFonts w:ascii="David" w:hAnsi="David"/>
          <w:color w:val="000000"/>
          <w:rtl/>
        </w:rPr>
      </w:pPr>
    </w:p>
    <w:p w14:paraId="22146481" w14:textId="77777777" w:rsidR="004A1E7E" w:rsidRDefault="004A1E7E" w:rsidP="004A1E7E">
      <w:pPr>
        <w:spacing w:line="360" w:lineRule="auto"/>
        <w:ind w:left="41"/>
        <w:contextualSpacing/>
        <w:jc w:val="both"/>
        <w:rPr>
          <w:rFonts w:ascii="David" w:hAnsi="David"/>
          <w:rtl/>
        </w:rPr>
      </w:pPr>
      <w:r>
        <w:rPr>
          <w:rFonts w:ascii="David" w:hAnsi="David"/>
          <w:color w:val="000000"/>
          <w:rtl/>
        </w:rPr>
        <w:t xml:space="preserve">בנוסף, יש לקחת בחשבון את העובדה שמיד לאחר הנשיכה, השוטר עזב את הנאשם, וביצע כלפיו שימוש בטייזר, בעודו כבול. </w:t>
      </w:r>
    </w:p>
    <w:p w14:paraId="0360803C" w14:textId="77777777" w:rsidR="004A1E7E" w:rsidRDefault="004A1E7E" w:rsidP="004A1E7E">
      <w:pPr>
        <w:spacing w:line="360" w:lineRule="auto"/>
        <w:ind w:left="41"/>
        <w:contextualSpacing/>
        <w:jc w:val="both"/>
        <w:rPr>
          <w:rFonts w:ascii="David" w:hAnsi="David"/>
          <w:rtl/>
        </w:rPr>
      </w:pPr>
    </w:p>
    <w:p w14:paraId="28242955" w14:textId="77777777" w:rsidR="004A1E7E" w:rsidRDefault="004A1E7E" w:rsidP="004A1E7E">
      <w:pPr>
        <w:spacing w:line="360" w:lineRule="auto"/>
        <w:ind w:left="41"/>
        <w:contextualSpacing/>
        <w:jc w:val="both"/>
        <w:rPr>
          <w:rFonts w:ascii="David" w:hAnsi="David"/>
          <w:rtl/>
        </w:rPr>
      </w:pPr>
      <w:r>
        <w:rPr>
          <w:rFonts w:ascii="David" w:hAnsi="David"/>
          <w:rtl/>
        </w:rPr>
        <w:t>אני קובעת כי המתחם ההולם לעבירת התקיפה נע בין מאסר קצר שיכול שירוצה בעבודות שירות, ועד מספר חודשי מאסר.</w:t>
      </w:r>
    </w:p>
    <w:p w14:paraId="0E5269D0" w14:textId="77777777" w:rsidR="004A1E7E" w:rsidRDefault="004A1E7E" w:rsidP="004A1E7E">
      <w:pPr>
        <w:spacing w:line="360" w:lineRule="auto"/>
        <w:jc w:val="both"/>
        <w:rPr>
          <w:rFonts w:ascii="David" w:hAnsi="David"/>
          <w:b/>
          <w:bCs/>
          <w:u w:val="single"/>
          <w:rtl/>
        </w:rPr>
      </w:pPr>
    </w:p>
    <w:p w14:paraId="0AB2126E" w14:textId="77777777" w:rsidR="004A1E7E" w:rsidRDefault="004A1E7E" w:rsidP="004A1E7E">
      <w:pPr>
        <w:spacing w:line="360" w:lineRule="auto"/>
        <w:jc w:val="both"/>
        <w:rPr>
          <w:rFonts w:ascii="David" w:hAnsi="David"/>
          <w:b/>
          <w:bCs/>
          <w:u w:val="single"/>
          <w:rtl/>
        </w:rPr>
      </w:pPr>
      <w:r>
        <w:rPr>
          <w:rFonts w:ascii="David" w:hAnsi="David"/>
          <w:b/>
          <w:bCs/>
          <w:u w:val="single"/>
          <w:rtl/>
        </w:rPr>
        <w:t>סיכום – המתחם ההולם</w:t>
      </w:r>
    </w:p>
    <w:p w14:paraId="6C79AC79" w14:textId="77777777" w:rsidR="004A1E7E" w:rsidRDefault="004A1E7E" w:rsidP="004A1E7E">
      <w:pPr>
        <w:spacing w:line="360" w:lineRule="auto"/>
        <w:jc w:val="both"/>
        <w:rPr>
          <w:rFonts w:ascii="David" w:hAnsi="David"/>
          <w:rtl/>
        </w:rPr>
      </w:pPr>
      <w:r>
        <w:rPr>
          <w:rFonts w:ascii="David" w:hAnsi="David"/>
          <w:rtl/>
        </w:rPr>
        <w:t xml:space="preserve">לאחר שבחנתי את </w:t>
      </w:r>
      <w:r>
        <w:rPr>
          <w:rFonts w:ascii="David" w:hAnsi="David" w:hint="cs"/>
          <w:rtl/>
        </w:rPr>
        <w:t>נסיבות</w:t>
      </w:r>
      <w:r>
        <w:rPr>
          <w:rFonts w:ascii="David" w:hAnsi="David"/>
          <w:rtl/>
        </w:rPr>
        <w:t xml:space="preserve"> העבירות ש</w:t>
      </w:r>
      <w:r>
        <w:rPr>
          <w:rFonts w:ascii="David" w:hAnsi="David" w:hint="cs"/>
          <w:rtl/>
        </w:rPr>
        <w:t>בוצעו ב</w:t>
      </w:r>
      <w:r>
        <w:rPr>
          <w:rFonts w:ascii="David" w:hAnsi="David"/>
          <w:rtl/>
        </w:rPr>
        <w:t xml:space="preserve">אירוע, ואת מדיניות הענישה הנוהגת לגביהן, אני קובעת כי המתחם ההולם את האירוע כולו נע בין מספר חודשי מאסר שירוצו בעבודות שירות, ועד </w:t>
      </w:r>
      <w:r>
        <w:rPr>
          <w:rFonts w:ascii="David" w:hAnsi="David" w:hint="cs"/>
          <w:rtl/>
        </w:rPr>
        <w:t>8 חודשי</w:t>
      </w:r>
      <w:r>
        <w:rPr>
          <w:rFonts w:ascii="David" w:hAnsi="David"/>
          <w:rtl/>
        </w:rPr>
        <w:t xml:space="preserve"> מאסר.</w:t>
      </w:r>
    </w:p>
    <w:p w14:paraId="12DA85BC" w14:textId="77777777" w:rsidR="004A1E7E" w:rsidRDefault="004A1E7E" w:rsidP="004A1E7E">
      <w:pPr>
        <w:spacing w:line="360" w:lineRule="auto"/>
        <w:jc w:val="both"/>
        <w:rPr>
          <w:rFonts w:ascii="David" w:hAnsi="David"/>
          <w:b/>
          <w:bCs/>
          <w:u w:val="single"/>
          <w:rtl/>
        </w:rPr>
      </w:pPr>
    </w:p>
    <w:p w14:paraId="644946CD" w14:textId="77777777" w:rsidR="004A1E7E" w:rsidRDefault="004A1E7E" w:rsidP="004A1E7E">
      <w:pPr>
        <w:spacing w:line="360" w:lineRule="auto"/>
        <w:jc w:val="both"/>
        <w:rPr>
          <w:rFonts w:ascii="David" w:hAnsi="David"/>
          <w:b/>
          <w:bCs/>
          <w:u w:val="single"/>
          <w:rtl/>
        </w:rPr>
      </w:pPr>
      <w:r>
        <w:rPr>
          <w:rFonts w:ascii="David" w:hAnsi="David"/>
          <w:b/>
          <w:bCs/>
          <w:u w:val="single"/>
          <w:rtl/>
        </w:rPr>
        <w:t>הנסיבות שאינן קשורות בעבירה</w:t>
      </w:r>
    </w:p>
    <w:p w14:paraId="6A2E0794" w14:textId="77777777" w:rsidR="004A1E7E" w:rsidRDefault="004A1E7E" w:rsidP="004A1E7E">
      <w:pPr>
        <w:spacing w:line="360" w:lineRule="auto"/>
        <w:jc w:val="both"/>
        <w:rPr>
          <w:rFonts w:ascii="David" w:hAnsi="David"/>
          <w:rtl/>
        </w:rPr>
      </w:pPr>
    </w:p>
    <w:p w14:paraId="02E5A232" w14:textId="77777777" w:rsidR="004A1E7E" w:rsidRDefault="004A1E7E" w:rsidP="004A1E7E">
      <w:pPr>
        <w:spacing w:line="360" w:lineRule="auto"/>
        <w:jc w:val="both"/>
        <w:rPr>
          <w:rFonts w:ascii="David" w:hAnsi="David"/>
          <w:rtl/>
        </w:rPr>
      </w:pPr>
      <w:r>
        <w:rPr>
          <w:rFonts w:ascii="David" w:hAnsi="David"/>
          <w:rtl/>
        </w:rPr>
        <w:t xml:space="preserve">הנאשם נושא על שכמו עבר פלילי, שהתיישן. </w:t>
      </w:r>
    </w:p>
    <w:p w14:paraId="3E8BFB15" w14:textId="77777777" w:rsidR="004A1E7E" w:rsidRDefault="004A1E7E" w:rsidP="004A1E7E">
      <w:pPr>
        <w:spacing w:line="360" w:lineRule="auto"/>
        <w:jc w:val="both"/>
        <w:rPr>
          <w:rFonts w:ascii="David" w:hAnsi="David"/>
          <w:rtl/>
        </w:rPr>
      </w:pPr>
    </w:p>
    <w:p w14:paraId="1B2C20D6" w14:textId="77777777" w:rsidR="004A1E7E" w:rsidRDefault="004A1E7E" w:rsidP="004A1E7E">
      <w:pPr>
        <w:spacing w:line="360" w:lineRule="auto"/>
        <w:jc w:val="both"/>
        <w:rPr>
          <w:rFonts w:ascii="David" w:hAnsi="David"/>
          <w:rtl/>
        </w:rPr>
      </w:pPr>
      <w:r>
        <w:rPr>
          <w:rFonts w:ascii="David" w:hAnsi="David"/>
          <w:rtl/>
        </w:rPr>
        <w:t>בשנת 2002 נדון בגין שורת עבירות רכוש והוטל עליו מאסר למשך 21 חודשים. לאחר מכן, נדון בגין שתי עבירות תקיפה בשנת 2004, והוטל עליו מאסר בפועל למשך 4 חודשים. מאז, לא נצברו שום רישומים פליליים נגדו.</w:t>
      </w:r>
    </w:p>
    <w:p w14:paraId="06F471CF" w14:textId="77777777" w:rsidR="004A1E7E" w:rsidRDefault="004A1E7E" w:rsidP="004A1E7E">
      <w:pPr>
        <w:spacing w:line="360" w:lineRule="auto"/>
        <w:jc w:val="both"/>
        <w:rPr>
          <w:rFonts w:ascii="David" w:hAnsi="David"/>
          <w:rtl/>
        </w:rPr>
      </w:pPr>
    </w:p>
    <w:p w14:paraId="6ABED149" w14:textId="77777777" w:rsidR="004A1E7E" w:rsidRDefault="004A1E7E" w:rsidP="004A1E7E">
      <w:pPr>
        <w:spacing w:line="360" w:lineRule="auto"/>
        <w:jc w:val="both"/>
        <w:rPr>
          <w:rFonts w:ascii="David" w:hAnsi="David"/>
          <w:rtl/>
        </w:rPr>
      </w:pPr>
      <w:r>
        <w:rPr>
          <w:rFonts w:ascii="David" w:hAnsi="David"/>
          <w:rtl/>
        </w:rPr>
        <w:t xml:space="preserve">לדעתי, יושן המרשם, והעובדה שבעת ביצוע העבירות הקודמות היה הנאשם צעיר ביותר, תומכים במסקנה שאין המדובר כיום באדם המנהל אורח חיים שולי. ואמנם, הנאשם העיד לפניי כי מאז התחתן, נטש את אורח חייו הבעייתי, והתמקד במשפחתו. גם גידול הסמים במקרה שלפניי, נועד לטענת הנאשם לטיפול </w:t>
      </w:r>
      <w:r>
        <w:rPr>
          <w:rFonts w:ascii="David" w:hAnsi="David" w:hint="cs"/>
          <w:rtl/>
        </w:rPr>
        <w:t xml:space="preserve">עצמי </w:t>
      </w:r>
      <w:r>
        <w:rPr>
          <w:rFonts w:ascii="David" w:hAnsi="David"/>
          <w:rtl/>
        </w:rPr>
        <w:t>במחלתו, ו</w:t>
      </w:r>
      <w:r>
        <w:rPr>
          <w:rFonts w:ascii="David" w:hAnsi="David" w:hint="cs"/>
          <w:rtl/>
        </w:rPr>
        <w:t>עדותו לא נסתרה</w:t>
      </w:r>
      <w:r>
        <w:rPr>
          <w:rFonts w:ascii="David" w:hAnsi="David"/>
          <w:rtl/>
        </w:rPr>
        <w:t>.</w:t>
      </w:r>
    </w:p>
    <w:p w14:paraId="356FDB7A" w14:textId="77777777" w:rsidR="004A1E7E" w:rsidRDefault="004A1E7E" w:rsidP="004A1E7E">
      <w:pPr>
        <w:spacing w:line="360" w:lineRule="auto"/>
        <w:jc w:val="both"/>
        <w:rPr>
          <w:rFonts w:ascii="David" w:hAnsi="David"/>
          <w:rtl/>
        </w:rPr>
      </w:pPr>
    </w:p>
    <w:p w14:paraId="1F4397C3" w14:textId="77777777" w:rsidR="004A1E7E" w:rsidRDefault="004A1E7E" w:rsidP="004A1E7E">
      <w:pPr>
        <w:spacing w:line="360" w:lineRule="auto"/>
        <w:jc w:val="both"/>
        <w:rPr>
          <w:rFonts w:ascii="David" w:hAnsi="David"/>
          <w:rtl/>
        </w:rPr>
      </w:pPr>
      <w:r>
        <w:rPr>
          <w:rFonts w:ascii="David" w:hAnsi="David"/>
          <w:rtl/>
        </w:rPr>
        <w:t>בתסקיר נכתב כי לא ניתן היה לשלב את הנאשם בתכנית טיפולית, בשל מצבו, ולא ניתנה כל המלצה. עניין זה יילקח בחשבון, אך יש לראותו לרקע מצבו הרפואי של הנאשם.</w:t>
      </w:r>
      <w:r>
        <w:rPr>
          <w:rFonts w:ascii="David" w:hAnsi="David" w:hint="cs"/>
          <w:rtl/>
        </w:rPr>
        <w:t xml:space="preserve"> </w:t>
      </w:r>
      <w:r>
        <w:rPr>
          <w:rFonts w:ascii="David" w:hAnsi="David"/>
          <w:rtl/>
        </w:rPr>
        <w:t xml:space="preserve">כפי שהובא קודם, הנאשם חולה אפילפסיה, ועל פי התיעוד הרפואי, נראה שמחלתו קשה במיוחד. מה שתרם בין היתר להתעצמות המחלה, הוא תאונה נוספת שעבר, </w:t>
      </w:r>
      <w:r>
        <w:rPr>
          <w:rFonts w:ascii="David" w:hAnsi="David" w:hint="cs"/>
          <w:rtl/>
        </w:rPr>
        <w:t xml:space="preserve">אשר </w:t>
      </w:r>
      <w:r>
        <w:rPr>
          <w:rFonts w:ascii="David" w:hAnsi="David"/>
          <w:rtl/>
        </w:rPr>
        <w:t xml:space="preserve">בעקבותיה תכפו ההתקפים באופן יומיומי, שאינו מאפשר לו לקיים אורח חיים עצמאי. הנאשם מטופל תרופתית וסובל מתופעות לוואי שונות, המקשות לתקשר עמו, כיוון שהוא נוטה להירדם, מתקשה לשמור על ריכוז וערנות, ודיבורו איטי. בנוסף, הוא אובחן כסובל מפוסט טראומה בעקבות התאונה. מזה שנים, הנאשם אינו עובד, והוא מתקיים מקצבת נכות. </w:t>
      </w:r>
    </w:p>
    <w:p w14:paraId="7F21CF68" w14:textId="77777777" w:rsidR="004A1E7E" w:rsidRDefault="004A1E7E" w:rsidP="004A1E7E">
      <w:pPr>
        <w:jc w:val="both"/>
        <w:rPr>
          <w:rFonts w:ascii="David" w:hAnsi="David"/>
          <w:rtl/>
        </w:rPr>
      </w:pPr>
    </w:p>
    <w:p w14:paraId="4F1EB221" w14:textId="77777777" w:rsidR="004A1E7E" w:rsidRDefault="004A1E7E" w:rsidP="004A1E7E">
      <w:pPr>
        <w:spacing w:line="360" w:lineRule="auto"/>
        <w:jc w:val="both"/>
        <w:rPr>
          <w:rFonts w:ascii="David" w:hAnsi="David"/>
          <w:rtl/>
        </w:rPr>
      </w:pPr>
      <w:r>
        <w:rPr>
          <w:rFonts w:ascii="David" w:hAnsi="David"/>
          <w:rtl/>
        </w:rPr>
        <w:t>על עצמת המחלה ניתן היה ללמוד מהתרשמות שירות המבחן, לפיה הנאשם התקשה לשמור על ערנות במפגשים, לוקה בגירוד בכל גופו, נוטה להירדם, ולא ניתן לפתח עמו שיח מעמיק בשל קושי בריכוז. בנוסף, הוגש לעיוני מסמך רפואי עדכני מטעם המרפאה לבריאות הנפש באר יעקב, המציין קיומם של תסמינים דיכאוניים כרוניים.</w:t>
      </w:r>
    </w:p>
    <w:p w14:paraId="67A484D0" w14:textId="77777777" w:rsidR="004A1E7E" w:rsidRDefault="004A1E7E" w:rsidP="004A1E7E">
      <w:pPr>
        <w:jc w:val="both"/>
        <w:rPr>
          <w:rFonts w:ascii="David" w:hAnsi="David"/>
          <w:rtl/>
        </w:rPr>
      </w:pPr>
    </w:p>
    <w:p w14:paraId="2D87FDD3" w14:textId="77777777" w:rsidR="004A1E7E" w:rsidRDefault="004A1E7E" w:rsidP="004A1E7E">
      <w:pPr>
        <w:spacing w:line="360" w:lineRule="auto"/>
        <w:jc w:val="both"/>
        <w:rPr>
          <w:rFonts w:ascii="David" w:hAnsi="David"/>
          <w:rtl/>
        </w:rPr>
      </w:pPr>
      <w:r>
        <w:rPr>
          <w:rFonts w:ascii="David" w:hAnsi="David"/>
          <w:rtl/>
        </w:rPr>
        <w:t xml:space="preserve">במהלך המשפט שהתמשך על פני שנים, ניתנה לי ההזדמנות להתרשם מן הנאשם באופן בלתי אמצעי. הנאשם נראה חלש וצנום, ומתקשה להתהלך. הוא התייצב לדיונים למרות שנראה כי התקשה מבחינה פיסית להגיע לבית המשפט, והיה תמיד מלווה על ידי בן משפחה. לא פעם נאלצתי לדחות את הדיון או להפסיקו מאחר שחש ברע, ולא פעם חווה התקפים אפילפטיים בבית המשפט, מה שעורר מהומה רבה, וחייב פינויו המידי. הנאשם התקשה לשמור על ערנות בדיונים, וכן התקשה לפקוח את עיניו בשל התאורה באולם, עד כדי כך שלעיתים היה צורך לקיים את הדיון כשהאור כבוי. הנאשם הסביר כי הוא מקפיד להסתיר את עיניו באמצעות כובע מצחייה, אך לא תמיד היה בכך כדי למנוע את סבלו. אירועים אלה מתועדים בפרוטוקולים, וניתן להתרשם מהם אודות המצב הרפואי העגום. </w:t>
      </w:r>
    </w:p>
    <w:p w14:paraId="55214E75" w14:textId="77777777" w:rsidR="004A1E7E" w:rsidRDefault="004A1E7E" w:rsidP="004A1E7E">
      <w:pPr>
        <w:jc w:val="both"/>
        <w:rPr>
          <w:rFonts w:ascii="David" w:hAnsi="David"/>
          <w:rtl/>
        </w:rPr>
      </w:pPr>
    </w:p>
    <w:p w14:paraId="79CBD14A" w14:textId="77777777" w:rsidR="004A1E7E" w:rsidRDefault="004A1E7E" w:rsidP="004A1E7E">
      <w:pPr>
        <w:spacing w:line="360" w:lineRule="auto"/>
        <w:jc w:val="both"/>
        <w:rPr>
          <w:rFonts w:ascii="David" w:hAnsi="David"/>
          <w:rtl/>
        </w:rPr>
      </w:pPr>
      <w:r>
        <w:rPr>
          <w:rFonts w:ascii="David" w:hAnsi="David"/>
          <w:rtl/>
        </w:rPr>
        <w:t>למרבה הצער, יש להודות כי הנאשם הוא שבר כלי, ואין צפי לשינוי במצבו. לאחר האירוע דנן, קיבל שוב רישיון לשימוש בקנביס רפואי, המקל מעט על סבלו, ובכך יש כדי ללמד כי טענותיו בעניין מטרת הגידול, היו אמת.</w:t>
      </w:r>
    </w:p>
    <w:p w14:paraId="1B290E94" w14:textId="77777777" w:rsidR="004A1E7E" w:rsidRDefault="004A1E7E" w:rsidP="004A1E7E">
      <w:pPr>
        <w:jc w:val="both"/>
        <w:rPr>
          <w:rFonts w:ascii="David" w:hAnsi="David"/>
          <w:rtl/>
        </w:rPr>
      </w:pPr>
    </w:p>
    <w:p w14:paraId="1120FFA3" w14:textId="77777777" w:rsidR="004A1E7E" w:rsidRDefault="004A1E7E" w:rsidP="004A1E7E">
      <w:pPr>
        <w:spacing w:line="360" w:lineRule="auto"/>
        <w:jc w:val="both"/>
        <w:rPr>
          <w:rFonts w:ascii="David" w:hAnsi="David"/>
          <w:rtl/>
        </w:rPr>
      </w:pPr>
      <w:r>
        <w:rPr>
          <w:rFonts w:ascii="David" w:hAnsi="David"/>
          <w:rtl/>
        </w:rPr>
        <w:t>עוד יש לקחת בחשבון את העובדה שהנאשם אב ל-8 ילדים שרובם קטינים, ואף בת זוגו מטופלת במערכת בריאות הנפש, כך שניתן לשער כי הילדים נעדרי תמיכה משמעותית.</w:t>
      </w:r>
    </w:p>
    <w:p w14:paraId="39FBC8B6" w14:textId="77777777" w:rsidR="004A1E7E" w:rsidRDefault="004A1E7E" w:rsidP="004A1E7E">
      <w:pPr>
        <w:jc w:val="both"/>
        <w:rPr>
          <w:rFonts w:ascii="David" w:hAnsi="David"/>
          <w:rtl/>
        </w:rPr>
      </w:pPr>
    </w:p>
    <w:p w14:paraId="0B4FC650" w14:textId="77777777" w:rsidR="004A1E7E" w:rsidRDefault="004A1E7E" w:rsidP="004A1E7E">
      <w:pPr>
        <w:spacing w:line="360" w:lineRule="auto"/>
        <w:jc w:val="both"/>
        <w:rPr>
          <w:rFonts w:ascii="David" w:hAnsi="David"/>
          <w:rtl/>
        </w:rPr>
      </w:pPr>
      <w:r>
        <w:rPr>
          <w:rFonts w:ascii="David" w:hAnsi="David"/>
          <w:rtl/>
        </w:rPr>
        <w:t>נוכח הנסיבות החריגות, אני סבורה כי עמדת התביעה בטיעוניה לעונש, עת עתרה להטלת מאסר בן 15 חודשים, לוקה בחוסר הבנה של המצב ובהעדר מידתיות. בית המשפט ער כמובן לעובדה שגידול סמים ותקיפת שוטר הן עבירות בעלות חומרה, ואכן הנאשם נותן בזאת את הדין בגינן. אך עם זאת, הלא מצווים אנו לבחון כל מקרה לנסיבותיו, והאירוע דנן צריך להיבחן בהקשרו הכולל, המשקף מצוקה קשה, ולאו דווקא כוחנות</w:t>
      </w:r>
      <w:r>
        <w:rPr>
          <w:rFonts w:ascii="David" w:hAnsi="David" w:hint="cs"/>
          <w:rtl/>
        </w:rPr>
        <w:t xml:space="preserve"> כלפי השוטרים</w:t>
      </w:r>
      <w:r>
        <w:rPr>
          <w:rFonts w:ascii="David" w:hAnsi="David"/>
          <w:rtl/>
        </w:rPr>
        <w:t>.</w:t>
      </w:r>
    </w:p>
    <w:p w14:paraId="0E779686" w14:textId="77777777" w:rsidR="004A1E7E" w:rsidRDefault="004A1E7E" w:rsidP="004A1E7E">
      <w:pPr>
        <w:jc w:val="both"/>
        <w:rPr>
          <w:rFonts w:ascii="David" w:hAnsi="David"/>
          <w:rtl/>
        </w:rPr>
      </w:pPr>
    </w:p>
    <w:p w14:paraId="1CD653A5" w14:textId="77777777" w:rsidR="004A1E7E" w:rsidRDefault="004A1E7E" w:rsidP="004A1E7E">
      <w:pPr>
        <w:spacing w:line="360" w:lineRule="auto"/>
        <w:jc w:val="both"/>
        <w:rPr>
          <w:rFonts w:ascii="David" w:hAnsi="David"/>
          <w:rtl/>
        </w:rPr>
      </w:pPr>
      <w:r>
        <w:rPr>
          <w:rFonts w:ascii="David" w:hAnsi="David"/>
          <w:rtl/>
        </w:rPr>
        <w:t xml:space="preserve">מצד שני, אין בידי להיעתר לבקשת הנאשם לחרוג לקולא ממתחם העונש ההולם, מכוח הלכת לופליאנסקי. אזכיר כי באותו עניין מדובר היה בנאשם חולה במחלה סופנית, ועל פי ההלכה שנתגבשה, אין להחיל דין דומה על מי שאינו שרוי באותו מצב (למשל: </w:t>
      </w:r>
      <w:hyperlink r:id="rId71" w:history="1">
        <w:r w:rsidR="00E35858" w:rsidRPr="00E35858">
          <w:rPr>
            <w:rFonts w:ascii="David" w:hAnsi="David"/>
            <w:color w:val="0000FF"/>
            <w:u w:val="single"/>
            <w:rtl/>
          </w:rPr>
          <w:t>ת"פ 41726-11-18</w:t>
        </w:r>
      </w:hyperlink>
      <w:r>
        <w:rPr>
          <w:rFonts w:ascii="David" w:hAnsi="David"/>
          <w:b/>
          <w:bCs/>
          <w:rtl/>
        </w:rPr>
        <w:t xml:space="preserve"> מד"י אבוטבול </w:t>
      </w:r>
      <w:r>
        <w:rPr>
          <w:rFonts w:ascii="David" w:hAnsi="David"/>
          <w:rtl/>
        </w:rPr>
        <w:t>(29.11.20)). ב</w:t>
      </w:r>
      <w:hyperlink r:id="rId72" w:history="1">
        <w:r w:rsidR="00E35858" w:rsidRPr="00E35858">
          <w:rPr>
            <w:rFonts w:ascii="David" w:hAnsi="David"/>
            <w:color w:val="0000FF"/>
            <w:u w:val="single"/>
            <w:rtl/>
          </w:rPr>
          <w:t>רע"פ 5308/18</w:t>
        </w:r>
      </w:hyperlink>
      <w:r>
        <w:rPr>
          <w:rFonts w:ascii="David" w:hAnsi="David"/>
          <w:rtl/>
        </w:rPr>
        <w:t xml:space="preserve"> </w:t>
      </w:r>
      <w:r>
        <w:rPr>
          <w:rFonts w:ascii="David" w:hAnsi="David"/>
          <w:b/>
          <w:bCs/>
          <w:rtl/>
        </w:rPr>
        <w:t>ג'בארין נ' מד"י</w:t>
      </w:r>
      <w:r>
        <w:rPr>
          <w:rFonts w:ascii="David" w:hAnsi="David"/>
          <w:rtl/>
        </w:rPr>
        <w:t xml:space="preserve"> (18.7.18) הקפיד בית המשפט העליון וקבע כי הפתח שנפתח לטובת חריגה ממתחם העונש ההולם הוא פתח צר, וכן נקבע כי את מצבו הרפואי של הנאשם יש לאזן עם שיקולים רלוונטיים אחרים, ובכלל זה הסיכון שנשקף ממנו לציבור. באופן תואם, נקבע כי מקום בו לא הוכח כי כליאתו של הנאשם תוביל לקיצור חייו, אין מקום להימנע מכך בגדרי הלכת לופליאנסקי (</w:t>
      </w:r>
      <w:hyperlink r:id="rId73" w:history="1">
        <w:r w:rsidR="00E35858" w:rsidRPr="00E35858">
          <w:rPr>
            <w:rFonts w:ascii="David" w:hAnsi="David"/>
            <w:color w:val="0000FF"/>
            <w:u w:val="single"/>
            <w:rtl/>
          </w:rPr>
          <w:t>ע"פ 2724/17</w:t>
        </w:r>
      </w:hyperlink>
      <w:r>
        <w:rPr>
          <w:rFonts w:ascii="David" w:hAnsi="David"/>
          <w:rtl/>
        </w:rPr>
        <w:t xml:space="preserve"> </w:t>
      </w:r>
      <w:r>
        <w:rPr>
          <w:rFonts w:ascii="David" w:hAnsi="David"/>
          <w:b/>
          <w:bCs/>
          <w:rtl/>
        </w:rPr>
        <w:t>מורגנשטרן נ' מד"י</w:t>
      </w:r>
      <w:r>
        <w:rPr>
          <w:rFonts w:ascii="David" w:hAnsi="David"/>
          <w:rtl/>
        </w:rPr>
        <w:t xml:space="preserve"> (24.4.18); </w:t>
      </w:r>
      <w:hyperlink r:id="rId74" w:history="1">
        <w:r w:rsidR="00E35858" w:rsidRPr="00E35858">
          <w:rPr>
            <w:rFonts w:ascii="David" w:hAnsi="David"/>
            <w:color w:val="0000FF"/>
            <w:u w:val="single"/>
            <w:rtl/>
          </w:rPr>
          <w:t>רע"פ 1076/16</w:t>
        </w:r>
      </w:hyperlink>
      <w:r>
        <w:rPr>
          <w:rFonts w:ascii="David" w:hAnsi="David"/>
          <w:rtl/>
        </w:rPr>
        <w:t xml:space="preserve"> </w:t>
      </w:r>
      <w:r>
        <w:rPr>
          <w:rFonts w:ascii="David" w:hAnsi="David"/>
          <w:b/>
          <w:bCs/>
          <w:rtl/>
        </w:rPr>
        <w:t>כהן נ' מד"י</w:t>
      </w:r>
      <w:r>
        <w:rPr>
          <w:rFonts w:ascii="David" w:hAnsi="David"/>
          <w:rtl/>
        </w:rPr>
        <w:t xml:space="preserve"> (11.2.16)). לאור כללים אלה, לא אחרוג מן המתחם.</w:t>
      </w:r>
    </w:p>
    <w:p w14:paraId="6553A6EC" w14:textId="77777777" w:rsidR="004A1E7E" w:rsidRDefault="004A1E7E" w:rsidP="004A1E7E">
      <w:pPr>
        <w:jc w:val="both"/>
        <w:rPr>
          <w:rFonts w:ascii="David" w:hAnsi="David"/>
          <w:b/>
          <w:bCs/>
          <w:u w:val="single"/>
          <w:rtl/>
        </w:rPr>
      </w:pPr>
    </w:p>
    <w:p w14:paraId="55379E99" w14:textId="77777777" w:rsidR="004A1E7E" w:rsidRDefault="004A1E7E" w:rsidP="004A1E7E">
      <w:pPr>
        <w:spacing w:line="360" w:lineRule="auto"/>
        <w:jc w:val="both"/>
        <w:rPr>
          <w:rFonts w:ascii="David" w:hAnsi="David"/>
          <w:b/>
          <w:bCs/>
          <w:u w:val="single"/>
          <w:rtl/>
        </w:rPr>
      </w:pPr>
      <w:r>
        <w:rPr>
          <w:rFonts w:ascii="David" w:hAnsi="David"/>
          <w:b/>
          <w:bCs/>
          <w:u w:val="single"/>
          <w:rtl/>
        </w:rPr>
        <w:t>גזירת הדין</w:t>
      </w:r>
    </w:p>
    <w:p w14:paraId="51CC3EE1" w14:textId="77777777" w:rsidR="004A1E7E" w:rsidRDefault="004A1E7E" w:rsidP="004A1E7E">
      <w:pPr>
        <w:jc w:val="both"/>
        <w:rPr>
          <w:rFonts w:ascii="David" w:hAnsi="David"/>
          <w:rtl/>
        </w:rPr>
      </w:pPr>
    </w:p>
    <w:p w14:paraId="23951BC6" w14:textId="77777777" w:rsidR="004A1E7E" w:rsidRDefault="004A1E7E" w:rsidP="004A1E7E">
      <w:pPr>
        <w:spacing w:line="360" w:lineRule="auto"/>
        <w:jc w:val="both"/>
        <w:rPr>
          <w:rFonts w:ascii="David" w:hAnsi="David"/>
          <w:rtl/>
        </w:rPr>
      </w:pPr>
      <w:r>
        <w:rPr>
          <w:rFonts w:ascii="David" w:hAnsi="David"/>
          <w:rtl/>
        </w:rPr>
        <w:t>לנוכח כל הנסיבות והשיקולים שמניתי, ובהעדר תכנית שיקומית, סברתי כי העונש המתאים לנאשם הוא מאסר שירוצה בעבודות שרות, בצירוף לענישה כספית. ואולם, הנאשם נמצא בלתי מתאים לעבודות שירות, בשל מחלתו</w:t>
      </w:r>
      <w:r>
        <w:rPr>
          <w:rFonts w:ascii="David" w:hAnsi="David" w:hint="cs"/>
          <w:rtl/>
        </w:rPr>
        <w:t xml:space="preserve"> הקשה</w:t>
      </w:r>
      <w:r>
        <w:rPr>
          <w:rFonts w:ascii="David" w:hAnsi="David"/>
          <w:rtl/>
        </w:rPr>
        <w:t xml:space="preserve">. </w:t>
      </w:r>
    </w:p>
    <w:p w14:paraId="2A575332" w14:textId="77777777" w:rsidR="004A1E7E" w:rsidRDefault="004A1E7E" w:rsidP="004A1E7E">
      <w:pPr>
        <w:jc w:val="both"/>
        <w:rPr>
          <w:rFonts w:ascii="David" w:hAnsi="David"/>
          <w:rtl/>
        </w:rPr>
      </w:pPr>
    </w:p>
    <w:p w14:paraId="731F7DF4" w14:textId="77777777" w:rsidR="004A1E7E" w:rsidRDefault="004A1E7E" w:rsidP="004A1E7E">
      <w:pPr>
        <w:spacing w:line="360" w:lineRule="auto"/>
        <w:jc w:val="both"/>
        <w:rPr>
          <w:rFonts w:ascii="David" w:hAnsi="David"/>
          <w:rtl/>
        </w:rPr>
      </w:pPr>
      <w:r>
        <w:rPr>
          <w:rFonts w:ascii="David" w:hAnsi="David"/>
          <w:rtl/>
        </w:rPr>
        <w:t xml:space="preserve">במצב זה, אין מנוס מלהטיל עונש מאסר, שכן לא ניתן לסיים את ההליך בלא עונש מוחשי. </w:t>
      </w:r>
      <w:r>
        <w:rPr>
          <w:rFonts w:ascii="David" w:hAnsi="David" w:hint="cs"/>
          <w:rtl/>
        </w:rPr>
        <w:t xml:space="preserve">ואולם, </w:t>
      </w:r>
      <w:r>
        <w:rPr>
          <w:rFonts w:ascii="David" w:hAnsi="David"/>
          <w:rtl/>
        </w:rPr>
        <w:t xml:space="preserve">העונש שיוטל </w:t>
      </w:r>
      <w:r>
        <w:rPr>
          <w:rFonts w:ascii="David" w:hAnsi="David" w:hint="cs"/>
          <w:rtl/>
        </w:rPr>
        <w:t>צריך להיות כזה שיתחשב בנסיבותיו הייחודיות של הנאשם ובעמדתו המקורית של בית המשפט, לפיה ניתן היה מעיקרו של דבר לסיים את ההליך ללא ענישה מאחורי סורג ובריח. כמו כן, אתחשב ב</w:t>
      </w:r>
      <w:r>
        <w:rPr>
          <w:rFonts w:ascii="David" w:hAnsi="David"/>
          <w:rtl/>
        </w:rPr>
        <w:t xml:space="preserve">סבל היתר הצפוי לנאשם מן המאסר. </w:t>
      </w:r>
    </w:p>
    <w:p w14:paraId="1A2FDCD9" w14:textId="77777777" w:rsidR="004A1E7E" w:rsidRDefault="004A1E7E" w:rsidP="004A1E7E">
      <w:pPr>
        <w:jc w:val="both"/>
        <w:rPr>
          <w:rFonts w:ascii="David" w:hAnsi="David"/>
          <w:rtl/>
        </w:rPr>
      </w:pPr>
    </w:p>
    <w:p w14:paraId="39383731" w14:textId="77777777" w:rsidR="004A1E7E" w:rsidRDefault="004A1E7E" w:rsidP="004A1E7E">
      <w:pPr>
        <w:spacing w:line="360" w:lineRule="auto"/>
        <w:jc w:val="both"/>
        <w:rPr>
          <w:rFonts w:ascii="David" w:hAnsi="David"/>
          <w:rtl/>
        </w:rPr>
      </w:pPr>
      <w:r>
        <w:rPr>
          <w:rFonts w:ascii="David" w:hAnsi="David"/>
          <w:rtl/>
        </w:rPr>
        <w:t>אני גוזרת את העונשים הבאים:</w:t>
      </w:r>
    </w:p>
    <w:p w14:paraId="3CAA1BC8" w14:textId="77777777" w:rsidR="004A1E7E" w:rsidRDefault="004A1E7E" w:rsidP="004A1E7E">
      <w:pPr>
        <w:pStyle w:val="a9"/>
        <w:numPr>
          <w:ilvl w:val="0"/>
          <w:numId w:val="2"/>
        </w:numPr>
        <w:spacing w:line="360" w:lineRule="auto"/>
        <w:jc w:val="both"/>
        <w:rPr>
          <w:rFonts w:ascii="David" w:hAnsi="David" w:cs="David"/>
          <w:sz w:val="24"/>
          <w:szCs w:val="24"/>
          <w:rtl/>
        </w:rPr>
      </w:pPr>
      <w:r>
        <w:rPr>
          <w:rFonts w:ascii="David" w:hAnsi="David" w:cs="David"/>
          <w:sz w:val="24"/>
          <w:szCs w:val="24"/>
          <w:rtl/>
        </w:rPr>
        <w:t>4 חודשי מאסר בפועל, בניכוי ימי מעצרו מיום 23.11.17 עד יום 27.11.17.</w:t>
      </w:r>
    </w:p>
    <w:p w14:paraId="64F89E59" w14:textId="77777777" w:rsidR="004A1E7E" w:rsidRDefault="004A1E7E" w:rsidP="004A1E7E">
      <w:pPr>
        <w:pStyle w:val="a9"/>
        <w:numPr>
          <w:ilvl w:val="0"/>
          <w:numId w:val="2"/>
        </w:numPr>
        <w:spacing w:line="360" w:lineRule="auto"/>
        <w:jc w:val="both"/>
        <w:rPr>
          <w:rFonts w:ascii="David" w:hAnsi="David" w:cs="David"/>
          <w:sz w:val="24"/>
          <w:szCs w:val="24"/>
        </w:rPr>
      </w:pPr>
      <w:r>
        <w:rPr>
          <w:rFonts w:ascii="David" w:hAnsi="David" w:cs="David"/>
          <w:sz w:val="24"/>
          <w:szCs w:val="24"/>
          <w:rtl/>
        </w:rPr>
        <w:t>8 חודשי מאסר על תנאי, למשך שנתיים משחרורו, והתנאי הוא שלא יבצע עבירות סמים מסוג פשע.</w:t>
      </w:r>
    </w:p>
    <w:p w14:paraId="30DF9C3E" w14:textId="77777777" w:rsidR="004A1E7E" w:rsidRDefault="004A1E7E" w:rsidP="004A1E7E">
      <w:pPr>
        <w:pStyle w:val="a9"/>
        <w:spacing w:line="360" w:lineRule="auto"/>
        <w:jc w:val="both"/>
        <w:rPr>
          <w:rFonts w:ascii="David" w:hAnsi="David" w:cs="David"/>
          <w:sz w:val="24"/>
          <w:szCs w:val="24"/>
        </w:rPr>
      </w:pPr>
      <w:r>
        <w:rPr>
          <w:rFonts w:ascii="David" w:hAnsi="David" w:cs="David"/>
          <w:sz w:val="24"/>
          <w:szCs w:val="24"/>
          <w:rtl/>
        </w:rPr>
        <w:t>6 חודשי מאסר על תנאי למשך שנתיים משחרורו והתנאי הוא שלא יבצע עבירות אלימות כלפי שוטר או שיבוש מהלכי משפט</w:t>
      </w:r>
      <w:r>
        <w:rPr>
          <w:rFonts w:ascii="David" w:hAnsi="David" w:cs="David" w:hint="cs"/>
          <w:sz w:val="24"/>
          <w:szCs w:val="24"/>
          <w:rtl/>
        </w:rPr>
        <w:t>, או עבירות סמים מסוג עוון.</w:t>
      </w:r>
    </w:p>
    <w:p w14:paraId="0D79BD2F" w14:textId="77777777" w:rsidR="004A1E7E" w:rsidRDefault="004A1E7E" w:rsidP="004A1E7E">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קנס כספי בסך 1,000 ₪ או 3 ימי מאסר תמורתו. הקנס </w:t>
      </w:r>
      <w:r>
        <w:rPr>
          <w:rFonts w:ascii="David" w:hAnsi="David" w:cs="David" w:hint="cs"/>
          <w:sz w:val="24"/>
          <w:szCs w:val="24"/>
          <w:rtl/>
        </w:rPr>
        <w:t>יקוזז מול הפקדה בתיק המ"ת 62436-11-17.</w:t>
      </w:r>
    </w:p>
    <w:p w14:paraId="125B7291" w14:textId="77777777" w:rsidR="004A1E7E" w:rsidRPr="00661E29" w:rsidRDefault="004A1E7E" w:rsidP="004A1E7E">
      <w:pPr>
        <w:pStyle w:val="a9"/>
        <w:numPr>
          <w:ilvl w:val="0"/>
          <w:numId w:val="2"/>
        </w:numPr>
        <w:spacing w:line="360" w:lineRule="auto"/>
        <w:jc w:val="both"/>
        <w:rPr>
          <w:rFonts w:ascii="David" w:hAnsi="David"/>
        </w:rPr>
      </w:pPr>
      <w:r w:rsidRPr="00661E29">
        <w:rPr>
          <w:rFonts w:ascii="David" w:hAnsi="David" w:cs="David"/>
          <w:sz w:val="24"/>
          <w:szCs w:val="24"/>
          <w:rtl/>
        </w:rPr>
        <w:t>פיצוי</w:t>
      </w:r>
      <w:r>
        <w:rPr>
          <w:rFonts w:ascii="David" w:hAnsi="David" w:cs="David"/>
          <w:sz w:val="24"/>
          <w:szCs w:val="24"/>
          <w:rtl/>
        </w:rPr>
        <w:t xml:space="preserve"> לשוטר בוריס בוטקו בסך 2,500 ₪</w:t>
      </w:r>
      <w:r>
        <w:rPr>
          <w:rFonts w:ascii="David" w:hAnsi="David" w:cs="David" w:hint="cs"/>
          <w:sz w:val="24"/>
          <w:szCs w:val="24"/>
          <w:rtl/>
        </w:rPr>
        <w:t xml:space="preserve">. הסכום יקוזז מול הפקדה השמורה בתיק המ"ת. </w:t>
      </w:r>
    </w:p>
    <w:p w14:paraId="5946EAE2" w14:textId="77777777" w:rsidR="004A1E7E" w:rsidRDefault="004A1E7E" w:rsidP="004A1E7E">
      <w:pPr>
        <w:pStyle w:val="a9"/>
        <w:spacing w:line="240" w:lineRule="auto"/>
        <w:ind w:hanging="720"/>
        <w:jc w:val="both"/>
        <w:rPr>
          <w:rFonts w:ascii="David" w:hAnsi="David" w:cs="David"/>
          <w:sz w:val="24"/>
          <w:szCs w:val="24"/>
          <w:rtl/>
        </w:rPr>
      </w:pPr>
    </w:p>
    <w:p w14:paraId="10ADC183" w14:textId="77777777" w:rsidR="004A1E7E" w:rsidRDefault="004A1E7E" w:rsidP="004A1E7E">
      <w:pPr>
        <w:pStyle w:val="a9"/>
        <w:spacing w:line="360" w:lineRule="auto"/>
        <w:ind w:hanging="720"/>
        <w:jc w:val="both"/>
        <w:rPr>
          <w:rFonts w:ascii="David" w:hAnsi="David" w:cs="David"/>
          <w:sz w:val="24"/>
          <w:szCs w:val="24"/>
          <w:rtl/>
        </w:rPr>
      </w:pPr>
      <w:r>
        <w:rPr>
          <w:rFonts w:ascii="David" w:hAnsi="David" w:cs="David" w:hint="cs"/>
          <w:sz w:val="24"/>
          <w:szCs w:val="24"/>
          <w:rtl/>
        </w:rPr>
        <w:t>יתרת הסכומים המופקדים יושבו לידי הנאשם בכפוף לכל הוראה חוקית.</w:t>
      </w:r>
    </w:p>
    <w:p w14:paraId="74E57728" w14:textId="77777777" w:rsidR="004A1E7E" w:rsidRDefault="004A1E7E" w:rsidP="004A1E7E">
      <w:pPr>
        <w:pStyle w:val="a9"/>
        <w:spacing w:line="360" w:lineRule="auto"/>
        <w:ind w:left="0"/>
        <w:jc w:val="both"/>
        <w:rPr>
          <w:rFonts w:ascii="David" w:hAnsi="David" w:cs="David"/>
          <w:sz w:val="24"/>
          <w:szCs w:val="24"/>
          <w:rtl/>
        </w:rPr>
      </w:pPr>
    </w:p>
    <w:p w14:paraId="22193F0E" w14:textId="77777777" w:rsidR="004A1E7E" w:rsidRDefault="00E35858" w:rsidP="004A1E7E">
      <w:pPr>
        <w:pStyle w:val="a9"/>
        <w:spacing w:line="360" w:lineRule="auto"/>
        <w:ind w:left="0"/>
        <w:jc w:val="both"/>
        <w:rPr>
          <w:rFonts w:ascii="David" w:hAnsi="David"/>
          <w:rtl/>
        </w:rPr>
      </w:pPr>
      <w:r w:rsidRPr="00E35858">
        <w:rPr>
          <w:rFonts w:ascii="David" w:hAnsi="David" w:cs="David"/>
          <w:color w:val="FFFFFF"/>
          <w:sz w:val="2"/>
          <w:szCs w:val="2"/>
          <w:rtl/>
        </w:rPr>
        <w:t>5129371</w:t>
      </w:r>
      <w:r w:rsidR="004A1E7E" w:rsidRPr="00661E29">
        <w:rPr>
          <w:rFonts w:ascii="David" w:hAnsi="David" w:cs="David"/>
          <w:sz w:val="24"/>
          <w:szCs w:val="24"/>
          <w:rtl/>
        </w:rPr>
        <w:t>ניתן בזה צו השמדה למוצגים.</w:t>
      </w:r>
    </w:p>
    <w:p w14:paraId="3D94C9F0" w14:textId="77777777" w:rsidR="004A1E7E" w:rsidRPr="00E35858" w:rsidRDefault="00E35858" w:rsidP="004A1E7E">
      <w:pPr>
        <w:pStyle w:val="a9"/>
        <w:spacing w:line="360" w:lineRule="auto"/>
        <w:ind w:left="0"/>
        <w:jc w:val="both"/>
        <w:rPr>
          <w:rFonts w:ascii="David" w:hAnsi="David" w:cs="David"/>
          <w:color w:val="FFFFFF"/>
          <w:sz w:val="2"/>
          <w:szCs w:val="2"/>
          <w:rtl/>
        </w:rPr>
      </w:pPr>
      <w:r w:rsidRPr="00E35858">
        <w:rPr>
          <w:rFonts w:ascii="David" w:hAnsi="David" w:cs="David"/>
          <w:color w:val="FFFFFF"/>
          <w:sz w:val="2"/>
          <w:szCs w:val="2"/>
          <w:rtl/>
        </w:rPr>
        <w:t>54678313</w:t>
      </w:r>
    </w:p>
    <w:p w14:paraId="1013CB77" w14:textId="77777777" w:rsidR="004A1E7E" w:rsidRPr="00EC2EFC" w:rsidRDefault="004A1E7E" w:rsidP="004A1E7E">
      <w:pPr>
        <w:pStyle w:val="a9"/>
        <w:spacing w:line="360" w:lineRule="auto"/>
        <w:ind w:left="0"/>
        <w:jc w:val="both"/>
        <w:rPr>
          <w:rFonts w:ascii="David" w:hAnsi="David" w:cs="David"/>
          <w:sz w:val="24"/>
          <w:szCs w:val="24"/>
          <w:rtl/>
        </w:rPr>
      </w:pPr>
      <w:r w:rsidRPr="00EC2EFC">
        <w:rPr>
          <w:rFonts w:ascii="David" w:hAnsi="David" w:cs="David"/>
          <w:sz w:val="24"/>
          <w:szCs w:val="24"/>
          <w:rtl/>
        </w:rPr>
        <w:t xml:space="preserve">זכות ערעור כדין. </w:t>
      </w:r>
    </w:p>
    <w:p w14:paraId="62714E73" w14:textId="77777777" w:rsidR="004A1E7E" w:rsidRPr="002B7D23" w:rsidRDefault="00E35858" w:rsidP="004A1E7E">
      <w:pPr>
        <w:rPr>
          <w:rFonts w:ascii="David" w:hAnsi="David"/>
          <w:sz w:val="26"/>
          <w:szCs w:val="26"/>
          <w:rtl/>
        </w:rPr>
      </w:pPr>
      <w:bookmarkStart w:id="9" w:name="Nitan"/>
      <w:r>
        <w:rPr>
          <w:rFonts w:ascii="David" w:hAnsi="David"/>
          <w:rtl/>
        </w:rPr>
        <w:t xml:space="preserve">נתן היום,  י' אב תשפ"א, 19 יולי 2021, במעמד הצדדים. </w:t>
      </w:r>
      <w:bookmarkEnd w:id="9"/>
    </w:p>
    <w:p w14:paraId="2FDB70CA" w14:textId="77777777" w:rsidR="004A1E7E" w:rsidRPr="002B7D23" w:rsidRDefault="004A1E7E" w:rsidP="00E35858">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082B526" w14:textId="77777777" w:rsidR="004A1E7E" w:rsidRPr="008B7A1A" w:rsidRDefault="008B7A1A" w:rsidP="004A1E7E">
      <w:pPr>
        <w:jc w:val="center"/>
        <w:rPr>
          <w:rFonts w:ascii="David" w:hAnsi="David"/>
          <w:color w:val="FFFFFF"/>
          <w:sz w:val="2"/>
          <w:szCs w:val="2"/>
          <w:rtl/>
        </w:rPr>
      </w:pPr>
      <w:r w:rsidRPr="008B7A1A">
        <w:rPr>
          <w:rFonts w:ascii="David" w:hAnsi="David"/>
          <w:color w:val="FFFFFF"/>
          <w:sz w:val="2"/>
          <w:szCs w:val="2"/>
          <w:rtl/>
        </w:rPr>
        <w:t>5129371</w:t>
      </w:r>
    </w:p>
    <w:p w14:paraId="016C3C63" w14:textId="77777777" w:rsidR="00E35858" w:rsidRDefault="008B7A1A" w:rsidP="00E35858">
      <w:r w:rsidRPr="008B7A1A">
        <w:rPr>
          <w:rFonts w:ascii="David" w:hAnsi="David"/>
          <w:color w:val="FFFFFF"/>
          <w:sz w:val="2"/>
          <w:szCs w:val="2"/>
          <w:rtl/>
        </w:rPr>
        <w:t>54678313</w:t>
      </w:r>
    </w:p>
    <w:p w14:paraId="305563AE" w14:textId="77777777" w:rsidR="00E35858" w:rsidRDefault="00E35858" w:rsidP="00E35858">
      <w:pPr>
        <w:rPr>
          <w:rtl/>
        </w:rPr>
      </w:pPr>
    </w:p>
    <w:p w14:paraId="56DDC927" w14:textId="77777777" w:rsidR="00E35858" w:rsidRDefault="00E35858" w:rsidP="00E35858">
      <w:pPr>
        <w:jc w:val="center"/>
        <w:rPr>
          <w:color w:val="0000FF"/>
          <w:u w:val="single"/>
        </w:rPr>
      </w:pPr>
      <w:hyperlink r:id="rId75" w:history="1">
        <w:r>
          <w:rPr>
            <w:color w:val="0000FF"/>
            <w:u w:val="single"/>
            <w:rtl/>
          </w:rPr>
          <w:t>בעניין עריכה ושינויים במסמכי פסיקה, חקיקה ועוד באתר נבו – הקש כאן</w:t>
        </w:r>
      </w:hyperlink>
    </w:p>
    <w:p w14:paraId="157AB254" w14:textId="77777777" w:rsidR="008B7A1A" w:rsidRPr="008B7A1A" w:rsidRDefault="008B7A1A" w:rsidP="008B7A1A">
      <w:pPr>
        <w:keepNext/>
        <w:rPr>
          <w:rFonts w:ascii="David" w:hAnsi="David"/>
          <w:color w:val="000000"/>
          <w:sz w:val="22"/>
          <w:szCs w:val="22"/>
          <w:rtl/>
        </w:rPr>
      </w:pPr>
    </w:p>
    <w:p w14:paraId="1F17F185" w14:textId="77777777" w:rsidR="008B7A1A" w:rsidRPr="008B7A1A" w:rsidRDefault="008B7A1A" w:rsidP="008B7A1A">
      <w:pPr>
        <w:keepNext/>
        <w:rPr>
          <w:rFonts w:ascii="David" w:hAnsi="David"/>
          <w:color w:val="000000"/>
          <w:sz w:val="22"/>
          <w:szCs w:val="22"/>
          <w:rtl/>
        </w:rPr>
      </w:pPr>
      <w:r w:rsidRPr="008B7A1A">
        <w:rPr>
          <w:rFonts w:ascii="David" w:hAnsi="David"/>
          <w:color w:val="000000"/>
          <w:sz w:val="22"/>
          <w:szCs w:val="22"/>
          <w:rtl/>
        </w:rPr>
        <w:t>רבקה גלט 54678313-/</w:t>
      </w:r>
    </w:p>
    <w:p w14:paraId="74994D36" w14:textId="77777777" w:rsidR="00E35858" w:rsidRPr="00E35858" w:rsidRDefault="008B7A1A" w:rsidP="008B7A1A">
      <w:pPr>
        <w:rPr>
          <w:color w:val="0000FF"/>
          <w:u w:val="single"/>
        </w:rPr>
      </w:pPr>
      <w:r w:rsidRPr="008B7A1A">
        <w:rPr>
          <w:color w:val="000000"/>
          <w:u w:val="single"/>
          <w:rtl/>
        </w:rPr>
        <w:t>נוסח מסמך זה כפוף לשינויי ניסוח ועריכה</w:t>
      </w:r>
    </w:p>
    <w:sectPr w:rsidR="00E35858" w:rsidRPr="00E35858" w:rsidSect="008B7A1A">
      <w:headerReference w:type="even" r:id="rId76"/>
      <w:headerReference w:type="default" r:id="rId77"/>
      <w:footerReference w:type="even" r:id="rId78"/>
      <w:footerReference w:type="default" r:id="rId7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2D48C7" w14:textId="77777777" w:rsidR="00BD49F1" w:rsidRDefault="00BD49F1" w:rsidP="002237FA">
      <w:r>
        <w:separator/>
      </w:r>
    </w:p>
  </w:endnote>
  <w:endnote w:type="continuationSeparator" w:id="0">
    <w:p w14:paraId="7EC6CBE1" w14:textId="77777777" w:rsidR="00BD49F1" w:rsidRDefault="00BD49F1" w:rsidP="00223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43D44" w14:textId="77777777" w:rsidR="008B7A1A" w:rsidRDefault="008B7A1A" w:rsidP="008B7A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12FF1B58" w14:textId="77777777" w:rsidR="00D6076A" w:rsidRPr="008B7A1A" w:rsidRDefault="008B7A1A" w:rsidP="008B7A1A">
    <w:pPr>
      <w:pStyle w:val="a5"/>
      <w:pBdr>
        <w:top w:val="single" w:sz="4" w:space="1" w:color="auto"/>
        <w:between w:val="single" w:sz="4" w:space="0" w:color="auto"/>
      </w:pBdr>
      <w:spacing w:after="60"/>
      <w:jc w:val="center"/>
      <w:rPr>
        <w:rFonts w:ascii="FrankRuehl" w:hAnsi="FrankRuehl" w:cs="FrankRuehl"/>
        <w:color w:val="000000"/>
      </w:rPr>
    </w:pPr>
    <w:r w:rsidRPr="008B7A1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F0954" w14:textId="77777777" w:rsidR="008B7A1A" w:rsidRDefault="008B7A1A" w:rsidP="008B7A1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5BDE">
      <w:rPr>
        <w:rFonts w:ascii="FrankRuehl" w:hAnsi="FrankRuehl" w:cs="FrankRuehl"/>
        <w:noProof/>
        <w:rtl/>
      </w:rPr>
      <w:t>1</w:t>
    </w:r>
    <w:r>
      <w:rPr>
        <w:rFonts w:ascii="FrankRuehl" w:hAnsi="FrankRuehl" w:cs="FrankRuehl"/>
        <w:rtl/>
      </w:rPr>
      <w:fldChar w:fldCharType="end"/>
    </w:r>
  </w:p>
  <w:p w14:paraId="6BB5A3D2" w14:textId="77777777" w:rsidR="00D6076A" w:rsidRPr="008B7A1A" w:rsidRDefault="008B7A1A" w:rsidP="008B7A1A">
    <w:pPr>
      <w:pStyle w:val="a5"/>
      <w:pBdr>
        <w:top w:val="single" w:sz="4" w:space="1" w:color="auto"/>
        <w:between w:val="single" w:sz="4" w:space="0" w:color="auto"/>
      </w:pBdr>
      <w:spacing w:after="60"/>
      <w:jc w:val="center"/>
      <w:rPr>
        <w:rFonts w:ascii="FrankRuehl" w:hAnsi="FrankRuehl" w:cs="FrankRuehl"/>
        <w:color w:val="000000"/>
      </w:rPr>
    </w:pPr>
    <w:r w:rsidRPr="008B7A1A">
      <w:rPr>
        <w:rFonts w:ascii="FrankRuehl" w:hAnsi="FrankRuehl" w:cs="FrankRuehl"/>
        <w:color w:val="000000"/>
      </w:rPr>
      <w:pict w14:anchorId="20A8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718DF" w14:textId="77777777" w:rsidR="00BD49F1" w:rsidRDefault="00BD49F1" w:rsidP="002237FA">
      <w:r>
        <w:separator/>
      </w:r>
    </w:p>
  </w:footnote>
  <w:footnote w:type="continuationSeparator" w:id="0">
    <w:p w14:paraId="3D2CBF3E" w14:textId="77777777" w:rsidR="00BD49F1" w:rsidRDefault="00BD49F1" w:rsidP="002237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5A5DF" w14:textId="77777777" w:rsidR="00E35858" w:rsidRPr="008B7A1A" w:rsidRDefault="008B7A1A" w:rsidP="008B7A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62426-11-17</w:t>
    </w:r>
    <w:r>
      <w:rPr>
        <w:rFonts w:ascii="David" w:hAnsi="David"/>
        <w:color w:val="000000"/>
        <w:sz w:val="22"/>
        <w:szCs w:val="22"/>
        <w:rtl/>
      </w:rPr>
      <w:tab/>
      <w:t xml:space="preserve"> מדינת ישראל נ' אוסמה עבד אל קאדר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9B9AD" w14:textId="77777777" w:rsidR="00E35858" w:rsidRPr="008B7A1A" w:rsidRDefault="008B7A1A" w:rsidP="008B7A1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62426-11-17</w:t>
    </w:r>
    <w:r>
      <w:rPr>
        <w:rFonts w:ascii="David" w:hAnsi="David"/>
        <w:color w:val="000000"/>
        <w:sz w:val="22"/>
        <w:szCs w:val="22"/>
        <w:rtl/>
      </w:rPr>
      <w:tab/>
      <w:t xml:space="preserve"> מדינת ישראל נ' אוסמה עבד אל קאדר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FC781BA4"/>
    <w:lvl w:ilvl="0" w:tplc="E2FEB496">
      <w:start w:val="1"/>
      <w:numFmt w:val="decimal"/>
      <w:pStyle w:val="Ruller4"/>
      <w:lvlText w:val="%1."/>
      <w:lvlJc w:val="left"/>
      <w:pPr>
        <w:tabs>
          <w:tab w:val="num" w:pos="907"/>
        </w:tabs>
        <w:ind w:left="0" w:firstLine="0"/>
      </w:pPr>
      <w:rPr>
        <w:sz w:val="20"/>
        <w:szCs w:val="24"/>
      </w:rPr>
    </w:lvl>
    <w:lvl w:ilvl="1" w:tplc="666A864A">
      <w:start w:val="1"/>
      <w:numFmt w:val="lowerLetter"/>
      <w:lvlText w:val="%2."/>
      <w:lvlJc w:val="left"/>
      <w:pPr>
        <w:tabs>
          <w:tab w:val="num" w:pos="1440"/>
        </w:tabs>
        <w:ind w:left="1440" w:hanging="360"/>
      </w:pPr>
    </w:lvl>
    <w:lvl w:ilvl="2" w:tplc="5B2AE1A4">
      <w:start w:val="1"/>
      <w:numFmt w:val="lowerRoman"/>
      <w:lvlText w:val="%3."/>
      <w:lvlJc w:val="right"/>
      <w:pPr>
        <w:tabs>
          <w:tab w:val="num" w:pos="2160"/>
        </w:tabs>
        <w:ind w:left="2160" w:hanging="180"/>
      </w:pPr>
    </w:lvl>
    <w:lvl w:ilvl="3" w:tplc="D7B00A0C">
      <w:start w:val="1"/>
      <w:numFmt w:val="decimal"/>
      <w:lvlText w:val="%4."/>
      <w:lvlJc w:val="left"/>
      <w:pPr>
        <w:tabs>
          <w:tab w:val="num" w:pos="2880"/>
        </w:tabs>
        <w:ind w:left="2880" w:hanging="360"/>
      </w:pPr>
    </w:lvl>
    <w:lvl w:ilvl="4" w:tplc="CBFE887E">
      <w:start w:val="1"/>
      <w:numFmt w:val="lowerLetter"/>
      <w:lvlText w:val="%5."/>
      <w:lvlJc w:val="left"/>
      <w:pPr>
        <w:tabs>
          <w:tab w:val="num" w:pos="3600"/>
        </w:tabs>
        <w:ind w:left="3600" w:hanging="360"/>
      </w:pPr>
    </w:lvl>
    <w:lvl w:ilvl="5" w:tplc="C32612EA">
      <w:start w:val="1"/>
      <w:numFmt w:val="lowerRoman"/>
      <w:lvlText w:val="%6."/>
      <w:lvlJc w:val="right"/>
      <w:pPr>
        <w:tabs>
          <w:tab w:val="num" w:pos="4320"/>
        </w:tabs>
        <w:ind w:left="4320" w:hanging="180"/>
      </w:pPr>
    </w:lvl>
    <w:lvl w:ilvl="6" w:tplc="051201DA">
      <w:start w:val="1"/>
      <w:numFmt w:val="decimal"/>
      <w:lvlText w:val="%7."/>
      <w:lvlJc w:val="left"/>
      <w:pPr>
        <w:tabs>
          <w:tab w:val="num" w:pos="5040"/>
        </w:tabs>
        <w:ind w:left="5040" w:hanging="360"/>
      </w:pPr>
    </w:lvl>
    <w:lvl w:ilvl="7" w:tplc="6FAA4FC6">
      <w:start w:val="1"/>
      <w:numFmt w:val="lowerLetter"/>
      <w:lvlText w:val="%8."/>
      <w:lvlJc w:val="left"/>
      <w:pPr>
        <w:tabs>
          <w:tab w:val="num" w:pos="5760"/>
        </w:tabs>
        <w:ind w:left="5760" w:hanging="360"/>
      </w:pPr>
    </w:lvl>
    <w:lvl w:ilvl="8" w:tplc="B454A47A">
      <w:start w:val="1"/>
      <w:numFmt w:val="lowerRoman"/>
      <w:lvlText w:val="%9."/>
      <w:lvlJc w:val="right"/>
      <w:pPr>
        <w:tabs>
          <w:tab w:val="num" w:pos="6480"/>
        </w:tabs>
        <w:ind w:left="6480" w:hanging="180"/>
      </w:pPr>
    </w:lvl>
  </w:abstractNum>
  <w:abstractNum w:abstractNumId="1" w15:restartNumberingAfterBreak="0">
    <w:nsid w:val="40F53858"/>
    <w:multiLevelType w:val="hybridMultilevel"/>
    <w:tmpl w:val="BA20F64C"/>
    <w:lvl w:ilvl="0" w:tplc="DB584B2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823370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2192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1E7E"/>
    <w:rsid w:val="00006687"/>
    <w:rsid w:val="000A4BBB"/>
    <w:rsid w:val="001A1B0D"/>
    <w:rsid w:val="001B5A3B"/>
    <w:rsid w:val="002237FA"/>
    <w:rsid w:val="004A1E7E"/>
    <w:rsid w:val="008B7A1A"/>
    <w:rsid w:val="00902773"/>
    <w:rsid w:val="00966C68"/>
    <w:rsid w:val="00A654F0"/>
    <w:rsid w:val="00BD49F1"/>
    <w:rsid w:val="00C7714B"/>
    <w:rsid w:val="00D17A24"/>
    <w:rsid w:val="00D6076A"/>
    <w:rsid w:val="00DC5BDE"/>
    <w:rsid w:val="00E358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248625"/>
  <w15:chartTrackingRefBased/>
  <w15:docId w15:val="{4B9848C4-4D2B-4531-A287-827A5A7DA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1E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A1E7E"/>
    <w:pPr>
      <w:tabs>
        <w:tab w:val="center" w:pos="4153"/>
        <w:tab w:val="right" w:pos="8306"/>
      </w:tabs>
    </w:pPr>
  </w:style>
  <w:style w:type="character" w:customStyle="1" w:styleId="a4">
    <w:name w:val="כותרת עליונה תו"/>
    <w:link w:val="a3"/>
    <w:rsid w:val="004A1E7E"/>
    <w:rPr>
      <w:rFonts w:ascii="Times New Roman" w:eastAsia="Times New Roman" w:hAnsi="Times New Roman" w:cs="David"/>
      <w:sz w:val="24"/>
      <w:szCs w:val="24"/>
    </w:rPr>
  </w:style>
  <w:style w:type="paragraph" w:styleId="a5">
    <w:name w:val="footer"/>
    <w:basedOn w:val="a"/>
    <w:link w:val="a6"/>
    <w:rsid w:val="004A1E7E"/>
    <w:pPr>
      <w:tabs>
        <w:tab w:val="center" w:pos="4153"/>
        <w:tab w:val="right" w:pos="8306"/>
      </w:tabs>
    </w:pPr>
  </w:style>
  <w:style w:type="character" w:customStyle="1" w:styleId="a6">
    <w:name w:val="כותרת תחתונה תו"/>
    <w:link w:val="a5"/>
    <w:rsid w:val="004A1E7E"/>
    <w:rPr>
      <w:rFonts w:ascii="Times New Roman" w:eastAsia="Times New Roman" w:hAnsi="Times New Roman" w:cs="David"/>
      <w:sz w:val="24"/>
      <w:szCs w:val="24"/>
    </w:rPr>
  </w:style>
  <w:style w:type="table" w:styleId="a7">
    <w:name w:val="Table Grid"/>
    <w:basedOn w:val="a1"/>
    <w:rsid w:val="004A1E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A1E7E"/>
  </w:style>
  <w:style w:type="character" w:styleId="Hyperlink">
    <w:name w:val="Hyperlink"/>
    <w:rsid w:val="004A1E7E"/>
    <w:rPr>
      <w:color w:val="0000FF"/>
      <w:u w:val="single"/>
    </w:rPr>
  </w:style>
  <w:style w:type="paragraph" w:styleId="a9">
    <w:name w:val="List Paragraph"/>
    <w:basedOn w:val="a"/>
    <w:qFormat/>
    <w:rsid w:val="004A1E7E"/>
    <w:pPr>
      <w:spacing w:after="160" w:line="256" w:lineRule="auto"/>
      <w:ind w:left="720"/>
      <w:contextualSpacing/>
    </w:pPr>
    <w:rPr>
      <w:rFonts w:ascii="Calibri" w:eastAsia="Calibri" w:hAnsi="Calibri" w:cs="Arial"/>
      <w:sz w:val="22"/>
      <w:szCs w:val="22"/>
    </w:rPr>
  </w:style>
  <w:style w:type="paragraph" w:customStyle="1" w:styleId="Ruller4">
    <w:name w:val="Ruller 4 ממוספר"/>
    <w:basedOn w:val="a"/>
    <w:next w:val="a"/>
    <w:rsid w:val="004A1E7E"/>
    <w:pPr>
      <w:numPr>
        <w:numId w:val="1"/>
      </w:numPr>
      <w:tabs>
        <w:tab w:val="left" w:pos="800"/>
      </w:tabs>
      <w:overflowPunct w:val="0"/>
      <w:autoSpaceDE w:val="0"/>
      <w:autoSpaceDN w:val="0"/>
      <w:adjustRightInd w:val="0"/>
      <w:spacing w:line="360" w:lineRule="auto"/>
      <w:jc w:val="both"/>
    </w:pPr>
    <w:rPr>
      <w:rFonts w:ascii="Garamond" w:hAnsi="Garamond" w:cs="FrankRuehl"/>
      <w:spacing w:val="1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135813" TargetMode="External"/><Relationship Id="rId21" Type="http://schemas.openxmlformats.org/officeDocument/2006/relationships/hyperlink" Target="http://www.nevo.co.il/law/70301/273" TargetMode="External"/><Relationship Id="rId42" Type="http://schemas.openxmlformats.org/officeDocument/2006/relationships/hyperlink" Target="http://www.nevo.co.il/case/26678297" TargetMode="External"/><Relationship Id="rId47" Type="http://schemas.openxmlformats.org/officeDocument/2006/relationships/hyperlink" Target="http://www.nevo.co.il/case/6022483" TargetMode="External"/><Relationship Id="rId63" Type="http://schemas.openxmlformats.org/officeDocument/2006/relationships/hyperlink" Target="http://www.nevo.co.il/case/2888371" TargetMode="External"/><Relationship Id="rId68" Type="http://schemas.openxmlformats.org/officeDocument/2006/relationships/hyperlink" Target="http://www.nevo.co.il/case/22657076" TargetMode="External"/><Relationship Id="rId16" Type="http://schemas.openxmlformats.org/officeDocument/2006/relationships/hyperlink" Target="http://www.nevo.co.il/law/4216" TargetMode="External"/><Relationship Id="rId11" Type="http://schemas.openxmlformats.org/officeDocument/2006/relationships/hyperlink" Target="http://www.nevo.co.il/law/4216/10" TargetMode="External"/><Relationship Id="rId32" Type="http://schemas.openxmlformats.org/officeDocument/2006/relationships/hyperlink" Target="http://www.nevo.co.il/case/20881083" TargetMode="External"/><Relationship Id="rId37" Type="http://schemas.openxmlformats.org/officeDocument/2006/relationships/hyperlink" Target="http://www.nevo.co.il/case/25237211" TargetMode="External"/><Relationship Id="rId53" Type="http://schemas.openxmlformats.org/officeDocument/2006/relationships/hyperlink" Target="http://www.nevo.co.il/case/13060033" TargetMode="External"/><Relationship Id="rId58" Type="http://schemas.openxmlformats.org/officeDocument/2006/relationships/hyperlink" Target="http://www.nevo.co.il/case/21293747" TargetMode="External"/><Relationship Id="rId74" Type="http://schemas.openxmlformats.org/officeDocument/2006/relationships/hyperlink" Target="http://www.nevo.co.il/case/20956329" TargetMode="External"/><Relationship Id="rId79"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nevo.co.il/case/4126246" TargetMode="External"/><Relationship Id="rId19" Type="http://schemas.openxmlformats.org/officeDocument/2006/relationships/hyperlink" Target="http://www.nevo.co.il/law/70301/244" TargetMode="External"/><Relationship Id="rId14" Type="http://schemas.openxmlformats.org/officeDocument/2006/relationships/hyperlink" Target="http://www.nevo.co.il/law/70301/273" TargetMode="External"/><Relationship Id="rId22" Type="http://schemas.openxmlformats.org/officeDocument/2006/relationships/hyperlink" Target="http://www.nevo.co.il/case/20402486" TargetMode="External"/><Relationship Id="rId27" Type="http://schemas.openxmlformats.org/officeDocument/2006/relationships/hyperlink" Target="http://www.nevo.co.il/case/27347635" TargetMode="External"/><Relationship Id="rId30" Type="http://schemas.openxmlformats.org/officeDocument/2006/relationships/hyperlink" Target="http://www.nevo.co.il/case/25408321" TargetMode="External"/><Relationship Id="rId35" Type="http://schemas.openxmlformats.org/officeDocument/2006/relationships/hyperlink" Target="http://www.nevo.co.il/case/26385481" TargetMode="External"/><Relationship Id="rId43" Type="http://schemas.openxmlformats.org/officeDocument/2006/relationships/hyperlink" Target="http://www.nevo.co.il/case/27229615"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2450880" TargetMode="External"/><Relationship Id="rId64" Type="http://schemas.openxmlformats.org/officeDocument/2006/relationships/hyperlink" Target="http://www.nevo.co.il/case/20161679" TargetMode="External"/><Relationship Id="rId69" Type="http://schemas.openxmlformats.org/officeDocument/2006/relationships/hyperlink" Target="http://www.nevo.co.il/case/20407831" TargetMode="External"/><Relationship Id="rId77" Type="http://schemas.openxmlformats.org/officeDocument/2006/relationships/header" Target="header2.xml"/><Relationship Id="rId8" Type="http://schemas.openxmlformats.org/officeDocument/2006/relationships/hyperlink" Target="http://www.nevo.co.il/law/4216" TargetMode="External"/><Relationship Id="rId51" Type="http://schemas.openxmlformats.org/officeDocument/2006/relationships/hyperlink" Target="http://www.nevo.co.il/case/23387421" TargetMode="External"/><Relationship Id="rId72" Type="http://schemas.openxmlformats.org/officeDocument/2006/relationships/hyperlink" Target="http://www.nevo.co.il/case/24492997"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10" TargetMode="External"/><Relationship Id="rId25" Type="http://schemas.openxmlformats.org/officeDocument/2006/relationships/hyperlink" Target="http://www.nevo.co.il/case/22791241" TargetMode="External"/><Relationship Id="rId33" Type="http://schemas.openxmlformats.org/officeDocument/2006/relationships/hyperlink" Target="http://www.nevo.co.il/case/24968567" TargetMode="External"/><Relationship Id="rId38" Type="http://schemas.openxmlformats.org/officeDocument/2006/relationships/hyperlink" Target="http://www.nevo.co.il/case/24947203" TargetMode="External"/><Relationship Id="rId46" Type="http://schemas.openxmlformats.org/officeDocument/2006/relationships/hyperlink" Target="http://www.nevo.co.il/case/26991436" TargetMode="External"/><Relationship Id="rId59" Type="http://schemas.openxmlformats.org/officeDocument/2006/relationships/hyperlink" Target="http://www.nevo.co.il/case/18126772" TargetMode="External"/><Relationship Id="rId67" Type="http://schemas.openxmlformats.org/officeDocument/2006/relationships/hyperlink" Target="http://www.nevo.co.il/case/4204168"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2872297" TargetMode="External"/><Relationship Id="rId54" Type="http://schemas.openxmlformats.org/officeDocument/2006/relationships/hyperlink" Target="http://www.nevo.co.il/case/5959411" TargetMode="External"/><Relationship Id="rId62" Type="http://schemas.openxmlformats.org/officeDocument/2006/relationships/hyperlink" Target="http://www.nevo.co.il/case/17034653" TargetMode="External"/><Relationship Id="rId70" Type="http://schemas.openxmlformats.org/officeDocument/2006/relationships/hyperlink" Target="http://www.nevo.co.il/case/20340679" TargetMode="External"/><Relationship Id="rId75"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case/5698919" TargetMode="External"/><Relationship Id="rId28" Type="http://schemas.openxmlformats.org/officeDocument/2006/relationships/hyperlink" Target="http://www.nevo.co.il/case/26396568" TargetMode="External"/><Relationship Id="rId36" Type="http://schemas.openxmlformats.org/officeDocument/2006/relationships/hyperlink" Target="http://www.nevo.co.il/case/25602063" TargetMode="External"/><Relationship Id="rId49" Type="http://schemas.openxmlformats.org/officeDocument/2006/relationships/hyperlink" Target="http://www.nevo.co.il/case/5799917" TargetMode="External"/><Relationship Id="rId57" Type="http://schemas.openxmlformats.org/officeDocument/2006/relationships/hyperlink" Target="http://www.nevo.co.il/case/22241977" TargetMode="External"/><Relationship Id="rId10" Type="http://schemas.openxmlformats.org/officeDocument/2006/relationships/hyperlink" Target="http://www.nevo.co.il/law/4216/7" TargetMode="External"/><Relationship Id="rId31" Type="http://schemas.openxmlformats.org/officeDocument/2006/relationships/hyperlink" Target="http://www.nevo.co.il/case/23858961" TargetMode="External"/><Relationship Id="rId44" Type="http://schemas.openxmlformats.org/officeDocument/2006/relationships/hyperlink" Target="http://www.nevo.co.il/case/25503706" TargetMode="External"/><Relationship Id="rId52" Type="http://schemas.openxmlformats.org/officeDocument/2006/relationships/hyperlink" Target="http://www.nevo.co.il/case/25567645" TargetMode="External"/><Relationship Id="rId60" Type="http://schemas.openxmlformats.org/officeDocument/2006/relationships/hyperlink" Target="http://www.nevo.co.il/case/17954445" TargetMode="External"/><Relationship Id="rId65" Type="http://schemas.openxmlformats.org/officeDocument/2006/relationships/hyperlink" Target="http://www.nevo.co.il/case/2410065" TargetMode="External"/><Relationship Id="rId73" Type="http://schemas.openxmlformats.org/officeDocument/2006/relationships/hyperlink" Target="http://www.nevo.co.il/case/22505786" TargetMode="External"/><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6" TargetMode="External"/><Relationship Id="rId13" Type="http://schemas.openxmlformats.org/officeDocument/2006/relationships/hyperlink" Target="http://www.nevo.co.il/law/70301/244" TargetMode="External"/><Relationship Id="rId18" Type="http://schemas.openxmlformats.org/officeDocument/2006/relationships/hyperlink" Target="http://www.nevo.co.il/law/4216/7" TargetMode="External"/><Relationship Id="rId39" Type="http://schemas.openxmlformats.org/officeDocument/2006/relationships/hyperlink" Target="http://www.nevo.co.il/case/23639293" TargetMode="External"/><Relationship Id="rId34" Type="http://schemas.openxmlformats.org/officeDocument/2006/relationships/hyperlink" Target="http://www.nevo.co.il/case/24492983" TargetMode="External"/><Relationship Id="rId50" Type="http://schemas.openxmlformats.org/officeDocument/2006/relationships/hyperlink" Target="http://www.nevo.co.il/case/7807298" TargetMode="External"/><Relationship Id="rId55" Type="http://schemas.openxmlformats.org/officeDocument/2006/relationships/hyperlink" Target="http://www.nevo.co.il/case/5796641" TargetMode="External"/><Relationship Id="rId76" Type="http://schemas.openxmlformats.org/officeDocument/2006/relationships/header" Target="header1.xml"/><Relationship Id="rId7" Type="http://schemas.openxmlformats.org/officeDocument/2006/relationships/hyperlink" Target="http://www.nevo.co.il/case/23292854" TargetMode="External"/><Relationship Id="rId71" Type="http://schemas.openxmlformats.org/officeDocument/2006/relationships/hyperlink" Target="http://www.nevo.co.il/case/25156351" TargetMode="External"/><Relationship Id="rId2" Type="http://schemas.openxmlformats.org/officeDocument/2006/relationships/styles" Target="styles.xml"/><Relationship Id="rId29" Type="http://schemas.openxmlformats.org/officeDocument/2006/relationships/hyperlink" Target="http://www.nevo.co.il/case/23816995" TargetMode="External"/><Relationship Id="rId24" Type="http://schemas.openxmlformats.org/officeDocument/2006/relationships/hyperlink" Target="http://www.nevo.co.il/case/24221950" TargetMode="External"/><Relationship Id="rId40" Type="http://schemas.openxmlformats.org/officeDocument/2006/relationships/hyperlink" Target="http://www.nevo.co.il/case/23754861" TargetMode="External"/><Relationship Id="rId45" Type="http://schemas.openxmlformats.org/officeDocument/2006/relationships/hyperlink" Target="http://www.nevo.co.il/case/26777791" TargetMode="External"/><Relationship Id="rId66" Type="http://schemas.openxmlformats.org/officeDocument/2006/relationships/hyperlink" Target="http://www.nevo.co.il/case/241829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4270</Words>
  <Characters>21351</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25570</CharactersWithSpaces>
  <SharedDoc>false</SharedDoc>
  <HLinks>
    <vt:vector size="414" baseType="variant">
      <vt:variant>
        <vt:i4>393283</vt:i4>
      </vt:variant>
      <vt:variant>
        <vt:i4>204</vt:i4>
      </vt:variant>
      <vt:variant>
        <vt:i4>0</vt:i4>
      </vt:variant>
      <vt:variant>
        <vt:i4>5</vt:i4>
      </vt:variant>
      <vt:variant>
        <vt:lpwstr>http://www.nevo.co.il/advertisements/nevo-100.doc</vt:lpwstr>
      </vt:variant>
      <vt:variant>
        <vt:lpwstr/>
      </vt:variant>
      <vt:variant>
        <vt:i4>4128882</vt:i4>
      </vt:variant>
      <vt:variant>
        <vt:i4>201</vt:i4>
      </vt:variant>
      <vt:variant>
        <vt:i4>0</vt:i4>
      </vt:variant>
      <vt:variant>
        <vt:i4>5</vt:i4>
      </vt:variant>
      <vt:variant>
        <vt:lpwstr>http://www.nevo.co.il/case/20956329</vt:lpwstr>
      </vt:variant>
      <vt:variant>
        <vt:lpwstr/>
      </vt:variant>
      <vt:variant>
        <vt:i4>3801201</vt:i4>
      </vt:variant>
      <vt:variant>
        <vt:i4>198</vt:i4>
      </vt:variant>
      <vt:variant>
        <vt:i4>0</vt:i4>
      </vt:variant>
      <vt:variant>
        <vt:i4>5</vt:i4>
      </vt:variant>
      <vt:variant>
        <vt:lpwstr>http://www.nevo.co.il/case/22505786</vt:lpwstr>
      </vt:variant>
      <vt:variant>
        <vt:lpwstr/>
      </vt:variant>
      <vt:variant>
        <vt:i4>3997808</vt:i4>
      </vt:variant>
      <vt:variant>
        <vt:i4>195</vt:i4>
      </vt:variant>
      <vt:variant>
        <vt:i4>0</vt:i4>
      </vt:variant>
      <vt:variant>
        <vt:i4>5</vt:i4>
      </vt:variant>
      <vt:variant>
        <vt:lpwstr>http://www.nevo.co.il/case/24492997</vt:lpwstr>
      </vt:variant>
      <vt:variant>
        <vt:lpwstr/>
      </vt:variant>
      <vt:variant>
        <vt:i4>3145847</vt:i4>
      </vt:variant>
      <vt:variant>
        <vt:i4>192</vt:i4>
      </vt:variant>
      <vt:variant>
        <vt:i4>0</vt:i4>
      </vt:variant>
      <vt:variant>
        <vt:i4>5</vt:i4>
      </vt:variant>
      <vt:variant>
        <vt:lpwstr>http://www.nevo.co.il/case/25156351</vt:lpwstr>
      </vt:variant>
      <vt:variant>
        <vt:lpwstr/>
      </vt:variant>
      <vt:variant>
        <vt:i4>3539062</vt:i4>
      </vt:variant>
      <vt:variant>
        <vt:i4>189</vt:i4>
      </vt:variant>
      <vt:variant>
        <vt:i4>0</vt:i4>
      </vt:variant>
      <vt:variant>
        <vt:i4>5</vt:i4>
      </vt:variant>
      <vt:variant>
        <vt:lpwstr>http://www.nevo.co.il/case/20340679</vt:lpwstr>
      </vt:variant>
      <vt:variant>
        <vt:lpwstr/>
      </vt:variant>
      <vt:variant>
        <vt:i4>3276924</vt:i4>
      </vt:variant>
      <vt:variant>
        <vt:i4>186</vt:i4>
      </vt:variant>
      <vt:variant>
        <vt:i4>0</vt:i4>
      </vt:variant>
      <vt:variant>
        <vt:i4>5</vt:i4>
      </vt:variant>
      <vt:variant>
        <vt:lpwstr>http://www.nevo.co.il/case/20407831</vt:lpwstr>
      </vt:variant>
      <vt:variant>
        <vt:lpwstr/>
      </vt:variant>
      <vt:variant>
        <vt:i4>3407987</vt:i4>
      </vt:variant>
      <vt:variant>
        <vt:i4>183</vt:i4>
      </vt:variant>
      <vt:variant>
        <vt:i4>0</vt:i4>
      </vt:variant>
      <vt:variant>
        <vt:i4>5</vt:i4>
      </vt:variant>
      <vt:variant>
        <vt:lpwstr>http://www.nevo.co.il/case/22657076</vt:lpwstr>
      </vt:variant>
      <vt:variant>
        <vt:lpwstr/>
      </vt:variant>
      <vt:variant>
        <vt:i4>3997812</vt:i4>
      </vt:variant>
      <vt:variant>
        <vt:i4>180</vt:i4>
      </vt:variant>
      <vt:variant>
        <vt:i4>0</vt:i4>
      </vt:variant>
      <vt:variant>
        <vt:i4>5</vt:i4>
      </vt:variant>
      <vt:variant>
        <vt:lpwstr>http://www.nevo.co.il/case/4204168</vt:lpwstr>
      </vt:variant>
      <vt:variant>
        <vt:lpwstr/>
      </vt:variant>
      <vt:variant>
        <vt:i4>3407985</vt:i4>
      </vt:variant>
      <vt:variant>
        <vt:i4>177</vt:i4>
      </vt:variant>
      <vt:variant>
        <vt:i4>0</vt:i4>
      </vt:variant>
      <vt:variant>
        <vt:i4>5</vt:i4>
      </vt:variant>
      <vt:variant>
        <vt:lpwstr>http://www.nevo.co.il/case/2418295</vt:lpwstr>
      </vt:variant>
      <vt:variant>
        <vt:lpwstr/>
      </vt:variant>
      <vt:variant>
        <vt:i4>3539062</vt:i4>
      </vt:variant>
      <vt:variant>
        <vt:i4>174</vt:i4>
      </vt:variant>
      <vt:variant>
        <vt:i4>0</vt:i4>
      </vt:variant>
      <vt:variant>
        <vt:i4>5</vt:i4>
      </vt:variant>
      <vt:variant>
        <vt:lpwstr>http://www.nevo.co.il/case/2410065</vt:lpwstr>
      </vt:variant>
      <vt:variant>
        <vt:lpwstr/>
      </vt:variant>
      <vt:variant>
        <vt:i4>3473524</vt:i4>
      </vt:variant>
      <vt:variant>
        <vt:i4>171</vt:i4>
      </vt:variant>
      <vt:variant>
        <vt:i4>0</vt:i4>
      </vt:variant>
      <vt:variant>
        <vt:i4>5</vt:i4>
      </vt:variant>
      <vt:variant>
        <vt:lpwstr>http://www.nevo.co.il/case/20161679</vt:lpwstr>
      </vt:variant>
      <vt:variant>
        <vt:lpwstr/>
      </vt:variant>
      <vt:variant>
        <vt:i4>3670131</vt:i4>
      </vt:variant>
      <vt:variant>
        <vt:i4>168</vt:i4>
      </vt:variant>
      <vt:variant>
        <vt:i4>0</vt:i4>
      </vt:variant>
      <vt:variant>
        <vt:i4>5</vt:i4>
      </vt:variant>
      <vt:variant>
        <vt:lpwstr>http://www.nevo.co.il/case/2888371</vt:lpwstr>
      </vt:variant>
      <vt:variant>
        <vt:lpwstr/>
      </vt:variant>
      <vt:variant>
        <vt:i4>3145846</vt:i4>
      </vt:variant>
      <vt:variant>
        <vt:i4>165</vt:i4>
      </vt:variant>
      <vt:variant>
        <vt:i4>0</vt:i4>
      </vt:variant>
      <vt:variant>
        <vt:i4>5</vt:i4>
      </vt:variant>
      <vt:variant>
        <vt:lpwstr>http://www.nevo.co.il/case/17034653</vt:lpwstr>
      </vt:variant>
      <vt:variant>
        <vt:lpwstr/>
      </vt:variant>
      <vt:variant>
        <vt:i4>3276919</vt:i4>
      </vt:variant>
      <vt:variant>
        <vt:i4>162</vt:i4>
      </vt:variant>
      <vt:variant>
        <vt:i4>0</vt:i4>
      </vt:variant>
      <vt:variant>
        <vt:i4>5</vt:i4>
      </vt:variant>
      <vt:variant>
        <vt:lpwstr>http://www.nevo.co.il/case/4126246</vt:lpwstr>
      </vt:variant>
      <vt:variant>
        <vt:lpwstr/>
      </vt:variant>
      <vt:variant>
        <vt:i4>3670130</vt:i4>
      </vt:variant>
      <vt:variant>
        <vt:i4>159</vt:i4>
      </vt:variant>
      <vt:variant>
        <vt:i4>0</vt:i4>
      </vt:variant>
      <vt:variant>
        <vt:i4>5</vt:i4>
      </vt:variant>
      <vt:variant>
        <vt:lpwstr>http://www.nevo.co.il/case/17954445</vt:lpwstr>
      </vt:variant>
      <vt:variant>
        <vt:lpwstr/>
      </vt:variant>
      <vt:variant>
        <vt:i4>3211385</vt:i4>
      </vt:variant>
      <vt:variant>
        <vt:i4>156</vt:i4>
      </vt:variant>
      <vt:variant>
        <vt:i4>0</vt:i4>
      </vt:variant>
      <vt:variant>
        <vt:i4>5</vt:i4>
      </vt:variant>
      <vt:variant>
        <vt:lpwstr>http://www.nevo.co.il/case/18126772</vt:lpwstr>
      </vt:variant>
      <vt:variant>
        <vt:lpwstr/>
      </vt:variant>
      <vt:variant>
        <vt:i4>3604603</vt:i4>
      </vt:variant>
      <vt:variant>
        <vt:i4>153</vt:i4>
      </vt:variant>
      <vt:variant>
        <vt:i4>0</vt:i4>
      </vt:variant>
      <vt:variant>
        <vt:i4>5</vt:i4>
      </vt:variant>
      <vt:variant>
        <vt:lpwstr>http://www.nevo.co.il/case/21293747</vt:lpwstr>
      </vt:variant>
      <vt:variant>
        <vt:lpwstr/>
      </vt:variant>
      <vt:variant>
        <vt:i4>3539067</vt:i4>
      </vt:variant>
      <vt:variant>
        <vt:i4>150</vt:i4>
      </vt:variant>
      <vt:variant>
        <vt:i4>0</vt:i4>
      </vt:variant>
      <vt:variant>
        <vt:i4>5</vt:i4>
      </vt:variant>
      <vt:variant>
        <vt:lpwstr>http://www.nevo.co.il/case/22241977</vt:lpwstr>
      </vt:variant>
      <vt:variant>
        <vt:lpwstr/>
      </vt:variant>
      <vt:variant>
        <vt:i4>4128888</vt:i4>
      </vt:variant>
      <vt:variant>
        <vt:i4>147</vt:i4>
      </vt:variant>
      <vt:variant>
        <vt:i4>0</vt:i4>
      </vt:variant>
      <vt:variant>
        <vt:i4>5</vt:i4>
      </vt:variant>
      <vt:variant>
        <vt:lpwstr>http://www.nevo.co.il/case/2450880</vt:lpwstr>
      </vt:variant>
      <vt:variant>
        <vt:lpwstr/>
      </vt:variant>
      <vt:variant>
        <vt:i4>3866737</vt:i4>
      </vt:variant>
      <vt:variant>
        <vt:i4>144</vt:i4>
      </vt:variant>
      <vt:variant>
        <vt:i4>0</vt:i4>
      </vt:variant>
      <vt:variant>
        <vt:i4>5</vt:i4>
      </vt:variant>
      <vt:variant>
        <vt:lpwstr>http://www.nevo.co.il/case/5796641</vt:lpwstr>
      </vt:variant>
      <vt:variant>
        <vt:lpwstr/>
      </vt:variant>
      <vt:variant>
        <vt:i4>3473525</vt:i4>
      </vt:variant>
      <vt:variant>
        <vt:i4>141</vt:i4>
      </vt:variant>
      <vt:variant>
        <vt:i4>0</vt:i4>
      </vt:variant>
      <vt:variant>
        <vt:i4>5</vt:i4>
      </vt:variant>
      <vt:variant>
        <vt:lpwstr>http://www.nevo.co.il/case/5959411</vt:lpwstr>
      </vt:variant>
      <vt:variant>
        <vt:lpwstr/>
      </vt:variant>
      <vt:variant>
        <vt:i4>3276913</vt:i4>
      </vt:variant>
      <vt:variant>
        <vt:i4>138</vt:i4>
      </vt:variant>
      <vt:variant>
        <vt:i4>0</vt:i4>
      </vt:variant>
      <vt:variant>
        <vt:i4>5</vt:i4>
      </vt:variant>
      <vt:variant>
        <vt:lpwstr>http://www.nevo.co.il/case/13060033</vt:lpwstr>
      </vt:variant>
      <vt:variant>
        <vt:lpwstr/>
      </vt:variant>
      <vt:variant>
        <vt:i4>3407985</vt:i4>
      </vt:variant>
      <vt:variant>
        <vt:i4>135</vt:i4>
      </vt:variant>
      <vt:variant>
        <vt:i4>0</vt:i4>
      </vt:variant>
      <vt:variant>
        <vt:i4>5</vt:i4>
      </vt:variant>
      <vt:variant>
        <vt:lpwstr>http://www.nevo.co.il/case/25567645</vt:lpwstr>
      </vt:variant>
      <vt:variant>
        <vt:lpwstr/>
      </vt:variant>
      <vt:variant>
        <vt:i4>3407995</vt:i4>
      </vt:variant>
      <vt:variant>
        <vt:i4>132</vt:i4>
      </vt:variant>
      <vt:variant>
        <vt:i4>0</vt:i4>
      </vt:variant>
      <vt:variant>
        <vt:i4>5</vt:i4>
      </vt:variant>
      <vt:variant>
        <vt:lpwstr>http://www.nevo.co.il/case/23387421</vt:lpwstr>
      </vt:variant>
      <vt:variant>
        <vt:lpwstr/>
      </vt:variant>
      <vt:variant>
        <vt:i4>3997810</vt:i4>
      </vt:variant>
      <vt:variant>
        <vt:i4>129</vt:i4>
      </vt:variant>
      <vt:variant>
        <vt:i4>0</vt:i4>
      </vt:variant>
      <vt:variant>
        <vt:i4>5</vt:i4>
      </vt:variant>
      <vt:variant>
        <vt:lpwstr>http://www.nevo.co.il/case/7807298</vt:lpwstr>
      </vt:variant>
      <vt:variant>
        <vt:lpwstr/>
      </vt:variant>
      <vt:variant>
        <vt:i4>3276923</vt:i4>
      </vt:variant>
      <vt:variant>
        <vt:i4>126</vt:i4>
      </vt:variant>
      <vt:variant>
        <vt:i4>0</vt:i4>
      </vt:variant>
      <vt:variant>
        <vt:i4>5</vt:i4>
      </vt:variant>
      <vt:variant>
        <vt:lpwstr>http://www.nevo.co.il/case/5799917</vt:lpwstr>
      </vt:variant>
      <vt:variant>
        <vt:lpwstr/>
      </vt:variant>
      <vt:variant>
        <vt:i4>7995492</vt:i4>
      </vt:variant>
      <vt:variant>
        <vt:i4>123</vt:i4>
      </vt:variant>
      <vt:variant>
        <vt:i4>0</vt:i4>
      </vt:variant>
      <vt:variant>
        <vt:i4>5</vt:i4>
      </vt:variant>
      <vt:variant>
        <vt:lpwstr>http://www.nevo.co.il/law/70301</vt:lpwstr>
      </vt:variant>
      <vt:variant>
        <vt:lpwstr/>
      </vt:variant>
      <vt:variant>
        <vt:i4>3342462</vt:i4>
      </vt:variant>
      <vt:variant>
        <vt:i4>120</vt:i4>
      </vt:variant>
      <vt:variant>
        <vt:i4>0</vt:i4>
      </vt:variant>
      <vt:variant>
        <vt:i4>5</vt:i4>
      </vt:variant>
      <vt:variant>
        <vt:lpwstr>http://www.nevo.co.il/case/6022483</vt:lpwstr>
      </vt:variant>
      <vt:variant>
        <vt:lpwstr/>
      </vt:variant>
      <vt:variant>
        <vt:i4>3735679</vt:i4>
      </vt:variant>
      <vt:variant>
        <vt:i4>117</vt:i4>
      </vt:variant>
      <vt:variant>
        <vt:i4>0</vt:i4>
      </vt:variant>
      <vt:variant>
        <vt:i4>5</vt:i4>
      </vt:variant>
      <vt:variant>
        <vt:lpwstr>http://www.nevo.co.il/case/26991436</vt:lpwstr>
      </vt:variant>
      <vt:variant>
        <vt:lpwstr/>
      </vt:variant>
      <vt:variant>
        <vt:i4>3866738</vt:i4>
      </vt:variant>
      <vt:variant>
        <vt:i4>114</vt:i4>
      </vt:variant>
      <vt:variant>
        <vt:i4>0</vt:i4>
      </vt:variant>
      <vt:variant>
        <vt:i4>5</vt:i4>
      </vt:variant>
      <vt:variant>
        <vt:lpwstr>http://www.nevo.co.il/case/26777791</vt:lpwstr>
      </vt:variant>
      <vt:variant>
        <vt:lpwstr/>
      </vt:variant>
      <vt:variant>
        <vt:i4>3407990</vt:i4>
      </vt:variant>
      <vt:variant>
        <vt:i4>111</vt:i4>
      </vt:variant>
      <vt:variant>
        <vt:i4>0</vt:i4>
      </vt:variant>
      <vt:variant>
        <vt:i4>5</vt:i4>
      </vt:variant>
      <vt:variant>
        <vt:lpwstr>http://www.nevo.co.il/case/25503706</vt:lpwstr>
      </vt:variant>
      <vt:variant>
        <vt:lpwstr/>
      </vt:variant>
      <vt:variant>
        <vt:i4>3670135</vt:i4>
      </vt:variant>
      <vt:variant>
        <vt:i4>108</vt:i4>
      </vt:variant>
      <vt:variant>
        <vt:i4>0</vt:i4>
      </vt:variant>
      <vt:variant>
        <vt:i4>5</vt:i4>
      </vt:variant>
      <vt:variant>
        <vt:lpwstr>http://www.nevo.co.il/case/27229615</vt:lpwstr>
      </vt:variant>
      <vt:variant>
        <vt:lpwstr/>
      </vt:variant>
      <vt:variant>
        <vt:i4>3473527</vt:i4>
      </vt:variant>
      <vt:variant>
        <vt:i4>105</vt:i4>
      </vt:variant>
      <vt:variant>
        <vt:i4>0</vt:i4>
      </vt:variant>
      <vt:variant>
        <vt:i4>5</vt:i4>
      </vt:variant>
      <vt:variant>
        <vt:lpwstr>http://www.nevo.co.il/case/26678297</vt:lpwstr>
      </vt:variant>
      <vt:variant>
        <vt:lpwstr/>
      </vt:variant>
      <vt:variant>
        <vt:i4>3211379</vt:i4>
      </vt:variant>
      <vt:variant>
        <vt:i4>102</vt:i4>
      </vt:variant>
      <vt:variant>
        <vt:i4>0</vt:i4>
      </vt:variant>
      <vt:variant>
        <vt:i4>5</vt:i4>
      </vt:variant>
      <vt:variant>
        <vt:lpwstr>http://www.nevo.co.il/case/22872297</vt:lpwstr>
      </vt:variant>
      <vt:variant>
        <vt:lpwstr/>
      </vt:variant>
      <vt:variant>
        <vt:i4>3604602</vt:i4>
      </vt:variant>
      <vt:variant>
        <vt:i4>99</vt:i4>
      </vt:variant>
      <vt:variant>
        <vt:i4>0</vt:i4>
      </vt:variant>
      <vt:variant>
        <vt:i4>5</vt:i4>
      </vt:variant>
      <vt:variant>
        <vt:lpwstr>http://www.nevo.co.il/case/23754861</vt:lpwstr>
      </vt:variant>
      <vt:variant>
        <vt:lpwstr/>
      </vt:variant>
      <vt:variant>
        <vt:i4>3407990</vt:i4>
      </vt:variant>
      <vt:variant>
        <vt:i4>96</vt:i4>
      </vt:variant>
      <vt:variant>
        <vt:i4>0</vt:i4>
      </vt:variant>
      <vt:variant>
        <vt:i4>5</vt:i4>
      </vt:variant>
      <vt:variant>
        <vt:lpwstr>http://www.nevo.co.il/case/23639293</vt:lpwstr>
      </vt:variant>
      <vt:variant>
        <vt:lpwstr/>
      </vt:variant>
      <vt:variant>
        <vt:i4>3932278</vt:i4>
      </vt:variant>
      <vt:variant>
        <vt:i4>93</vt:i4>
      </vt:variant>
      <vt:variant>
        <vt:i4>0</vt:i4>
      </vt:variant>
      <vt:variant>
        <vt:i4>5</vt:i4>
      </vt:variant>
      <vt:variant>
        <vt:lpwstr>http://www.nevo.co.il/case/24947203</vt:lpwstr>
      </vt:variant>
      <vt:variant>
        <vt:lpwstr/>
      </vt:variant>
      <vt:variant>
        <vt:i4>3539056</vt:i4>
      </vt:variant>
      <vt:variant>
        <vt:i4>90</vt:i4>
      </vt:variant>
      <vt:variant>
        <vt:i4>0</vt:i4>
      </vt:variant>
      <vt:variant>
        <vt:i4>5</vt:i4>
      </vt:variant>
      <vt:variant>
        <vt:lpwstr>http://www.nevo.co.il/case/25237211</vt:lpwstr>
      </vt:variant>
      <vt:variant>
        <vt:lpwstr/>
      </vt:variant>
      <vt:variant>
        <vt:i4>3145841</vt:i4>
      </vt:variant>
      <vt:variant>
        <vt:i4>87</vt:i4>
      </vt:variant>
      <vt:variant>
        <vt:i4>0</vt:i4>
      </vt:variant>
      <vt:variant>
        <vt:i4>5</vt:i4>
      </vt:variant>
      <vt:variant>
        <vt:lpwstr>http://www.nevo.co.il/case/25602063</vt:lpwstr>
      </vt:variant>
      <vt:variant>
        <vt:lpwstr/>
      </vt:variant>
      <vt:variant>
        <vt:i4>3932286</vt:i4>
      </vt:variant>
      <vt:variant>
        <vt:i4>84</vt:i4>
      </vt:variant>
      <vt:variant>
        <vt:i4>0</vt:i4>
      </vt:variant>
      <vt:variant>
        <vt:i4>5</vt:i4>
      </vt:variant>
      <vt:variant>
        <vt:lpwstr>http://www.nevo.co.il/case/26385481</vt:lpwstr>
      </vt:variant>
      <vt:variant>
        <vt:lpwstr/>
      </vt:variant>
      <vt:variant>
        <vt:i4>3932272</vt:i4>
      </vt:variant>
      <vt:variant>
        <vt:i4>81</vt:i4>
      </vt:variant>
      <vt:variant>
        <vt:i4>0</vt:i4>
      </vt:variant>
      <vt:variant>
        <vt:i4>5</vt:i4>
      </vt:variant>
      <vt:variant>
        <vt:lpwstr>http://www.nevo.co.il/case/24492983</vt:lpwstr>
      </vt:variant>
      <vt:variant>
        <vt:lpwstr/>
      </vt:variant>
      <vt:variant>
        <vt:i4>3473523</vt:i4>
      </vt:variant>
      <vt:variant>
        <vt:i4>78</vt:i4>
      </vt:variant>
      <vt:variant>
        <vt:i4>0</vt:i4>
      </vt:variant>
      <vt:variant>
        <vt:i4>5</vt:i4>
      </vt:variant>
      <vt:variant>
        <vt:lpwstr>http://www.nevo.co.il/case/24968567</vt:lpwstr>
      </vt:variant>
      <vt:variant>
        <vt:lpwstr/>
      </vt:variant>
      <vt:variant>
        <vt:i4>3342460</vt:i4>
      </vt:variant>
      <vt:variant>
        <vt:i4>75</vt:i4>
      </vt:variant>
      <vt:variant>
        <vt:i4>0</vt:i4>
      </vt:variant>
      <vt:variant>
        <vt:i4>5</vt:i4>
      </vt:variant>
      <vt:variant>
        <vt:lpwstr>http://www.nevo.co.il/case/20881083</vt:lpwstr>
      </vt:variant>
      <vt:variant>
        <vt:lpwstr/>
      </vt:variant>
      <vt:variant>
        <vt:i4>3407995</vt:i4>
      </vt:variant>
      <vt:variant>
        <vt:i4>72</vt:i4>
      </vt:variant>
      <vt:variant>
        <vt:i4>0</vt:i4>
      </vt:variant>
      <vt:variant>
        <vt:i4>5</vt:i4>
      </vt:variant>
      <vt:variant>
        <vt:lpwstr>http://www.nevo.co.il/case/23858961</vt:lpwstr>
      </vt:variant>
      <vt:variant>
        <vt:lpwstr/>
      </vt:variant>
      <vt:variant>
        <vt:i4>3932274</vt:i4>
      </vt:variant>
      <vt:variant>
        <vt:i4>69</vt:i4>
      </vt:variant>
      <vt:variant>
        <vt:i4>0</vt:i4>
      </vt:variant>
      <vt:variant>
        <vt:i4>5</vt:i4>
      </vt:variant>
      <vt:variant>
        <vt:lpwstr>http://www.nevo.co.il/case/25408321</vt:lpwstr>
      </vt:variant>
      <vt:variant>
        <vt:lpwstr/>
      </vt:variant>
      <vt:variant>
        <vt:i4>3473535</vt:i4>
      </vt:variant>
      <vt:variant>
        <vt:i4>66</vt:i4>
      </vt:variant>
      <vt:variant>
        <vt:i4>0</vt:i4>
      </vt:variant>
      <vt:variant>
        <vt:i4>5</vt:i4>
      </vt:variant>
      <vt:variant>
        <vt:lpwstr>http://www.nevo.co.il/case/23816995</vt:lpwstr>
      </vt:variant>
      <vt:variant>
        <vt:lpwstr/>
      </vt:variant>
      <vt:variant>
        <vt:i4>3211390</vt:i4>
      </vt:variant>
      <vt:variant>
        <vt:i4>63</vt:i4>
      </vt:variant>
      <vt:variant>
        <vt:i4>0</vt:i4>
      </vt:variant>
      <vt:variant>
        <vt:i4>5</vt:i4>
      </vt:variant>
      <vt:variant>
        <vt:lpwstr>http://www.nevo.co.il/case/26396568</vt:lpwstr>
      </vt:variant>
      <vt:variant>
        <vt:lpwstr/>
      </vt:variant>
      <vt:variant>
        <vt:i4>3473521</vt:i4>
      </vt:variant>
      <vt:variant>
        <vt:i4>60</vt:i4>
      </vt:variant>
      <vt:variant>
        <vt:i4>0</vt:i4>
      </vt:variant>
      <vt:variant>
        <vt:i4>5</vt:i4>
      </vt:variant>
      <vt:variant>
        <vt:lpwstr>http://www.nevo.co.il/case/27347635</vt:lpwstr>
      </vt:variant>
      <vt:variant>
        <vt:lpwstr/>
      </vt:variant>
      <vt:variant>
        <vt:i4>3604602</vt:i4>
      </vt:variant>
      <vt:variant>
        <vt:i4>57</vt:i4>
      </vt:variant>
      <vt:variant>
        <vt:i4>0</vt:i4>
      </vt:variant>
      <vt:variant>
        <vt:i4>5</vt:i4>
      </vt:variant>
      <vt:variant>
        <vt:lpwstr>http://www.nevo.co.il/case/25135813</vt:lpwstr>
      </vt:variant>
      <vt:variant>
        <vt:lpwstr/>
      </vt:variant>
      <vt:variant>
        <vt:i4>3145853</vt:i4>
      </vt:variant>
      <vt:variant>
        <vt:i4>54</vt:i4>
      </vt:variant>
      <vt:variant>
        <vt:i4>0</vt:i4>
      </vt:variant>
      <vt:variant>
        <vt:i4>5</vt:i4>
      </vt:variant>
      <vt:variant>
        <vt:lpwstr>http://www.nevo.co.il/case/22791241</vt:lpwstr>
      </vt:variant>
      <vt:variant>
        <vt:lpwstr/>
      </vt:variant>
      <vt:variant>
        <vt:i4>3407995</vt:i4>
      </vt:variant>
      <vt:variant>
        <vt:i4>51</vt:i4>
      </vt:variant>
      <vt:variant>
        <vt:i4>0</vt:i4>
      </vt:variant>
      <vt:variant>
        <vt:i4>5</vt:i4>
      </vt:variant>
      <vt:variant>
        <vt:lpwstr>http://www.nevo.co.il/case/24221950</vt:lpwstr>
      </vt:variant>
      <vt:variant>
        <vt:lpwstr/>
      </vt:variant>
      <vt:variant>
        <vt:i4>3932283</vt:i4>
      </vt:variant>
      <vt:variant>
        <vt:i4>48</vt:i4>
      </vt:variant>
      <vt:variant>
        <vt:i4>0</vt:i4>
      </vt:variant>
      <vt:variant>
        <vt:i4>5</vt:i4>
      </vt:variant>
      <vt:variant>
        <vt:lpwstr>http://www.nevo.co.il/case/5698919</vt:lpwstr>
      </vt:variant>
      <vt:variant>
        <vt:lpwstr/>
      </vt:variant>
      <vt:variant>
        <vt:i4>3932272</vt:i4>
      </vt:variant>
      <vt:variant>
        <vt:i4>45</vt:i4>
      </vt:variant>
      <vt:variant>
        <vt:i4>0</vt:i4>
      </vt:variant>
      <vt:variant>
        <vt:i4>5</vt:i4>
      </vt:variant>
      <vt:variant>
        <vt:lpwstr>http://www.nevo.co.il/case/20402486</vt:lpwstr>
      </vt:variant>
      <vt:variant>
        <vt:lpwstr/>
      </vt:variant>
      <vt:variant>
        <vt:i4>6422631</vt:i4>
      </vt:variant>
      <vt:variant>
        <vt:i4>42</vt:i4>
      </vt:variant>
      <vt:variant>
        <vt:i4>0</vt:i4>
      </vt:variant>
      <vt:variant>
        <vt:i4>5</vt:i4>
      </vt:variant>
      <vt:variant>
        <vt:lpwstr>http://www.nevo.co.il/law/70301/273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6357095</vt:i4>
      </vt:variant>
      <vt:variant>
        <vt:i4>36</vt:i4>
      </vt:variant>
      <vt:variant>
        <vt:i4>0</vt:i4>
      </vt:variant>
      <vt:variant>
        <vt:i4>5</vt:i4>
      </vt:variant>
      <vt:variant>
        <vt:lpwstr>http://www.nevo.co.il/law/70301/244</vt:lpwstr>
      </vt:variant>
      <vt:variant>
        <vt:lpwstr/>
      </vt:variant>
      <vt:variant>
        <vt:i4>4784202</vt:i4>
      </vt:variant>
      <vt:variant>
        <vt:i4>33</vt:i4>
      </vt:variant>
      <vt:variant>
        <vt:i4>0</vt:i4>
      </vt:variant>
      <vt:variant>
        <vt:i4>5</vt:i4>
      </vt:variant>
      <vt:variant>
        <vt:lpwstr>http://www.nevo.co.il/law/4216/7</vt:lpwstr>
      </vt:variant>
      <vt:variant>
        <vt:lpwstr/>
      </vt:variant>
      <vt:variant>
        <vt:i4>5177418</vt:i4>
      </vt:variant>
      <vt:variant>
        <vt:i4>30</vt:i4>
      </vt:variant>
      <vt:variant>
        <vt:i4>0</vt:i4>
      </vt:variant>
      <vt:variant>
        <vt:i4>5</vt:i4>
      </vt:variant>
      <vt:variant>
        <vt:lpwstr>http://www.nevo.co.il/law/4216/10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6422631</vt:i4>
      </vt:variant>
      <vt:variant>
        <vt:i4>21</vt:i4>
      </vt:variant>
      <vt:variant>
        <vt:i4>0</vt:i4>
      </vt:variant>
      <vt:variant>
        <vt:i4>5</vt:i4>
      </vt:variant>
      <vt:variant>
        <vt:lpwstr>http://www.nevo.co.il/law/70301/273</vt:lpwstr>
      </vt:variant>
      <vt:variant>
        <vt:lpwstr/>
      </vt:variant>
      <vt:variant>
        <vt:i4>6357095</vt:i4>
      </vt:variant>
      <vt:variant>
        <vt:i4>18</vt:i4>
      </vt:variant>
      <vt:variant>
        <vt:i4>0</vt:i4>
      </vt:variant>
      <vt:variant>
        <vt:i4>5</vt:i4>
      </vt:variant>
      <vt:variant>
        <vt:lpwstr>http://www.nevo.co.il/law/70301/244</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4784202</vt:i4>
      </vt:variant>
      <vt:variant>
        <vt:i4>9</vt:i4>
      </vt:variant>
      <vt:variant>
        <vt:i4>0</vt:i4>
      </vt:variant>
      <vt:variant>
        <vt:i4>5</vt:i4>
      </vt:variant>
      <vt:variant>
        <vt:lpwstr>http://www.nevo.co.il/law/4216/7</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3604598</vt:i4>
      </vt:variant>
      <vt:variant>
        <vt:i4>0</vt:i4>
      </vt:variant>
      <vt:variant>
        <vt:i4>0</vt:i4>
      </vt:variant>
      <vt:variant>
        <vt:i4>5</vt:i4>
      </vt:variant>
      <vt:variant>
        <vt:lpwstr>http://www.nevo.co.il/case/23292854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2025-04-22T23:35:00Z</dcterms:created>
  <dcterms:modified xsi:type="dcterms:W3CDTF">2025-04-22T23:35:00Z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62426</vt:lpwstr>
  </property>
  <property fmtid="{D5CDD505-2E9C-101B-9397-08002B2CF9AE}" pid="6" name="NEWPARTB">
    <vt:lpwstr>11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אוסמה עבד אל קאדר</vt:lpwstr>
  </property>
  <property fmtid="{D5CDD505-2E9C-101B-9397-08002B2CF9AE}" pid="10" name="LAWYER">
    <vt:lpwstr>בן חיים;אלימלך;חילו</vt:lpwstr>
  </property>
  <property fmtid="{D5CDD505-2E9C-101B-9397-08002B2CF9AE}" pid="11" name="JUDGE">
    <vt:lpwstr>רבקה גלט</vt:lpwstr>
  </property>
  <property fmtid="{D5CDD505-2E9C-101B-9397-08002B2CF9AE}" pid="12" name="CITY">
    <vt:lpwstr>רמ'</vt:lpwstr>
  </property>
  <property fmtid="{D5CDD505-2E9C-101B-9397-08002B2CF9AE}" pid="13" name="DATE">
    <vt:lpwstr>20210719</vt:lpwstr>
  </property>
  <property fmtid="{D5CDD505-2E9C-101B-9397-08002B2CF9AE}" pid="14" name="TYPE_N_DATE">
    <vt:lpwstr>38020210719</vt:lpwstr>
  </property>
  <property fmtid="{D5CDD505-2E9C-101B-9397-08002B2CF9AE}" pid="15" name="WORDNUMPAGES">
    <vt:lpwstr>12</vt:lpwstr>
  </property>
  <property fmtid="{D5CDD505-2E9C-101B-9397-08002B2CF9AE}" pid="16" name="TYPE_ABS_DATE">
    <vt:lpwstr>380020210719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23292854;20402486;5698919;24221950;22791241;25135813;27347635;26396568;23816995;25408321;23858961;20881083;24968567;24492983;26385481;25602063;25237211;24947203;23639293;23754861;22872297;26678297;27229615;25503706;26777791;26991436;6022483;5799917</vt:lpwstr>
  </property>
  <property fmtid="{D5CDD505-2E9C-101B-9397-08002B2CF9AE}" pid="36" name="CASESLISTTMP2">
    <vt:lpwstr>7807298;23387421;25567645;13060033;5959411;5796641;2450880;22241977;21293747;18126772;17954445;4126246;17034653;2888371;20161679;2410065;2418295;4204168;22657076;20407831;20340679;25156351;24492997;22505786;20956329</vt:lpwstr>
  </property>
  <property fmtid="{D5CDD505-2E9C-101B-9397-08002B2CF9AE}" pid="37" name="LAWLISTTMP1">
    <vt:lpwstr>4216/006;010;007</vt:lpwstr>
  </property>
  <property fmtid="{D5CDD505-2E9C-101B-9397-08002B2CF9AE}" pid="38" name="LAWLISTTMP2">
    <vt:lpwstr>70301/244;273</vt:lpwstr>
  </property>
</Properties>
</file>