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862A2D" w:rsidRPr="00F54FC4" w14:paraId="68BDFEA8" w14:textId="77777777" w:rsidTr="00202843">
        <w:trPr>
          <w:trHeight w:hRule="exact" w:val="418"/>
          <w:jc w:val="center"/>
        </w:trPr>
        <w:tc>
          <w:tcPr>
            <w:tcW w:w="8721" w:type="dxa"/>
            <w:gridSpan w:val="2"/>
          </w:tcPr>
          <w:p w14:paraId="261758FF" w14:textId="77777777" w:rsidR="00862A2D" w:rsidRPr="00F54FC4" w:rsidRDefault="00862A2D" w:rsidP="000F1C83">
            <w:pPr>
              <w:pStyle w:val="a3"/>
              <w:jc w:val="center"/>
              <w:rPr>
                <w:rFonts w:ascii="Tahoma" w:hAnsi="Tahoma" w:cs="Tahoma"/>
                <w:color w:val="000080"/>
                <w:rtl/>
              </w:rPr>
            </w:pPr>
            <w:bookmarkStart w:id="0" w:name="LastJudge"/>
            <w:r w:rsidRPr="00F54FC4">
              <w:rPr>
                <w:rFonts w:ascii="Tahoma" w:hAnsi="Tahoma" w:cs="Tahoma"/>
                <w:b/>
                <w:bCs/>
                <w:color w:val="000080"/>
                <w:rtl/>
              </w:rPr>
              <w:t>בית משפט השלום בנתניה</w:t>
            </w:r>
          </w:p>
        </w:tc>
      </w:tr>
      <w:tr w:rsidR="00862A2D" w:rsidRPr="00F54FC4" w14:paraId="70D41AF5" w14:textId="77777777" w:rsidTr="00202843">
        <w:trPr>
          <w:trHeight w:val="337"/>
          <w:jc w:val="center"/>
        </w:trPr>
        <w:tc>
          <w:tcPr>
            <w:tcW w:w="5057" w:type="dxa"/>
          </w:tcPr>
          <w:p w14:paraId="5BDF72EF" w14:textId="77777777" w:rsidR="00862A2D" w:rsidRPr="00F54FC4" w:rsidRDefault="00862A2D" w:rsidP="000F1C83">
            <w:pPr>
              <w:rPr>
                <w:rFonts w:cs="FrankRuehl"/>
                <w:sz w:val="28"/>
                <w:szCs w:val="28"/>
                <w:rtl/>
              </w:rPr>
            </w:pPr>
            <w:r w:rsidRPr="00F54FC4">
              <w:rPr>
                <w:rFonts w:cs="FrankRuehl"/>
                <w:sz w:val="28"/>
                <w:szCs w:val="28"/>
                <w:rtl/>
              </w:rPr>
              <w:t>ת"פ</w:t>
            </w:r>
            <w:r w:rsidRPr="00F54FC4">
              <w:rPr>
                <w:rFonts w:cs="FrankRuehl" w:hint="cs"/>
                <w:sz w:val="28"/>
                <w:szCs w:val="28"/>
                <w:rtl/>
              </w:rPr>
              <w:t xml:space="preserve"> </w:t>
            </w:r>
            <w:r w:rsidRPr="00F54FC4">
              <w:rPr>
                <w:rFonts w:cs="FrankRuehl"/>
                <w:sz w:val="28"/>
                <w:szCs w:val="28"/>
                <w:rtl/>
              </w:rPr>
              <w:t>9675-11-17</w:t>
            </w:r>
            <w:r w:rsidRPr="00F54FC4">
              <w:rPr>
                <w:rFonts w:cs="FrankRuehl" w:hint="cs"/>
                <w:sz w:val="28"/>
                <w:szCs w:val="28"/>
                <w:rtl/>
              </w:rPr>
              <w:t xml:space="preserve"> </w:t>
            </w:r>
            <w:r w:rsidRPr="00F54FC4">
              <w:rPr>
                <w:rFonts w:cs="FrankRuehl"/>
                <w:sz w:val="28"/>
                <w:szCs w:val="28"/>
                <w:rtl/>
              </w:rPr>
              <w:t>מדינת ישראל נ' רובינשטיין</w:t>
            </w:r>
          </w:p>
          <w:p w14:paraId="264916FD" w14:textId="77777777" w:rsidR="00862A2D" w:rsidRPr="00F54FC4" w:rsidRDefault="00862A2D" w:rsidP="000F1C83">
            <w:pPr>
              <w:pStyle w:val="a3"/>
              <w:rPr>
                <w:rFonts w:cs="FrankRuehl"/>
                <w:sz w:val="28"/>
                <w:szCs w:val="28"/>
                <w:rtl/>
              </w:rPr>
            </w:pPr>
          </w:p>
        </w:tc>
        <w:tc>
          <w:tcPr>
            <w:tcW w:w="3664" w:type="dxa"/>
          </w:tcPr>
          <w:p w14:paraId="5D03AB6B" w14:textId="77777777" w:rsidR="00862A2D" w:rsidRPr="00F54FC4" w:rsidRDefault="00862A2D" w:rsidP="000F1C83">
            <w:pPr>
              <w:pStyle w:val="a3"/>
              <w:jc w:val="right"/>
              <w:rPr>
                <w:rFonts w:cs="FrankRuehl"/>
                <w:sz w:val="28"/>
                <w:szCs w:val="28"/>
                <w:rtl/>
              </w:rPr>
            </w:pPr>
          </w:p>
        </w:tc>
      </w:tr>
    </w:tbl>
    <w:p w14:paraId="141B2936" w14:textId="77777777" w:rsidR="00862A2D" w:rsidRPr="00F54FC4" w:rsidRDefault="00862A2D" w:rsidP="00862A2D">
      <w:pPr>
        <w:pStyle w:val="a3"/>
        <w:rPr>
          <w:rtl/>
        </w:rPr>
      </w:pPr>
      <w:r w:rsidRPr="00F54FC4">
        <w:rPr>
          <w:rFonts w:hint="cs"/>
          <w:rtl/>
        </w:rPr>
        <w:t xml:space="preserve"> </w:t>
      </w:r>
    </w:p>
    <w:p w14:paraId="7108A7FF" w14:textId="77777777" w:rsidR="00862A2D" w:rsidRPr="00F54FC4" w:rsidRDefault="00862A2D" w:rsidP="00862A2D">
      <w:pPr>
        <w:rPr>
          <w:rtl/>
        </w:rPr>
      </w:pPr>
    </w:p>
    <w:p w14:paraId="7421E85B" w14:textId="77777777" w:rsidR="00862A2D" w:rsidRPr="00F54FC4" w:rsidRDefault="00862A2D" w:rsidP="00862A2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62A2D" w:rsidRPr="00F54FC4" w14:paraId="0504A8DA" w14:textId="77777777" w:rsidTr="00862A2D">
        <w:trPr>
          <w:trHeight w:val="295"/>
          <w:jc w:val="center"/>
        </w:trPr>
        <w:tc>
          <w:tcPr>
            <w:tcW w:w="923" w:type="dxa"/>
            <w:tcBorders>
              <w:top w:val="nil"/>
              <w:left w:val="nil"/>
              <w:bottom w:val="nil"/>
              <w:right w:val="nil"/>
            </w:tcBorders>
            <w:shd w:val="clear" w:color="auto" w:fill="auto"/>
          </w:tcPr>
          <w:p w14:paraId="53DBDBAD" w14:textId="77777777" w:rsidR="00862A2D" w:rsidRPr="00F54FC4" w:rsidRDefault="00862A2D" w:rsidP="00862A2D">
            <w:pPr>
              <w:jc w:val="both"/>
              <w:rPr>
                <w:rFonts w:ascii="Arial" w:hAnsi="Arial" w:cs="FrankRuehl"/>
                <w:sz w:val="28"/>
                <w:szCs w:val="28"/>
              </w:rPr>
            </w:pPr>
            <w:r w:rsidRPr="00F54FC4">
              <w:rPr>
                <w:rFonts w:ascii="Arial" w:hAnsi="Arial" w:cs="FrankRuehl" w:hint="cs"/>
                <w:sz w:val="28"/>
                <w:szCs w:val="28"/>
                <w:rtl/>
              </w:rPr>
              <w:t>ב</w:t>
            </w:r>
            <w:r w:rsidRPr="00F54FC4">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48755FD" w14:textId="77777777" w:rsidR="00862A2D" w:rsidRPr="00F54FC4" w:rsidRDefault="00862A2D" w:rsidP="000F1C83">
            <w:pPr>
              <w:rPr>
                <w:rFonts w:ascii="Arial" w:hAnsi="Arial"/>
                <w:b/>
                <w:bCs/>
                <w:rtl/>
              </w:rPr>
            </w:pPr>
            <w:r w:rsidRPr="00F54FC4">
              <w:rPr>
                <w:rFonts w:ascii="Arial" w:hAnsi="Arial" w:hint="cs"/>
                <w:b/>
                <w:bCs/>
                <w:rtl/>
              </w:rPr>
              <w:t>כבוד ה</w:t>
            </w:r>
            <w:r w:rsidRPr="00F54FC4">
              <w:rPr>
                <w:rFonts w:ascii="Arial" w:hAnsi="Arial"/>
                <w:b/>
                <w:bCs/>
                <w:rtl/>
              </w:rPr>
              <w:t>שופטת</w:t>
            </w:r>
            <w:r w:rsidRPr="00F54FC4">
              <w:rPr>
                <w:rFonts w:ascii="Arial" w:hAnsi="Arial" w:hint="cs"/>
                <w:b/>
                <w:bCs/>
                <w:rtl/>
              </w:rPr>
              <w:t xml:space="preserve">  </w:t>
            </w:r>
            <w:r w:rsidRPr="00F54FC4">
              <w:rPr>
                <w:rFonts w:ascii="Arial" w:hAnsi="Arial"/>
                <w:b/>
                <w:bCs/>
                <w:rtl/>
              </w:rPr>
              <w:t>מרב גרינברג</w:t>
            </w:r>
          </w:p>
          <w:p w14:paraId="46FA9218" w14:textId="77777777" w:rsidR="00862A2D" w:rsidRPr="00F54FC4" w:rsidRDefault="00862A2D" w:rsidP="000F1C83">
            <w:pPr>
              <w:rPr>
                <w:rtl/>
              </w:rPr>
            </w:pPr>
          </w:p>
          <w:p w14:paraId="15C36BA0" w14:textId="77777777" w:rsidR="00862A2D" w:rsidRPr="00F54FC4" w:rsidRDefault="00862A2D" w:rsidP="00862A2D">
            <w:pPr>
              <w:jc w:val="both"/>
              <w:rPr>
                <w:rFonts w:ascii="Arial" w:hAnsi="Arial" w:cs="FrankRuehl"/>
                <w:sz w:val="28"/>
                <w:szCs w:val="28"/>
              </w:rPr>
            </w:pPr>
          </w:p>
        </w:tc>
      </w:tr>
      <w:tr w:rsidR="00862A2D" w:rsidRPr="00F54FC4" w14:paraId="20BA389D" w14:textId="77777777" w:rsidTr="00862A2D">
        <w:trPr>
          <w:trHeight w:val="355"/>
          <w:jc w:val="center"/>
        </w:trPr>
        <w:tc>
          <w:tcPr>
            <w:tcW w:w="923" w:type="dxa"/>
            <w:tcBorders>
              <w:top w:val="nil"/>
              <w:left w:val="nil"/>
              <w:bottom w:val="nil"/>
              <w:right w:val="nil"/>
            </w:tcBorders>
            <w:shd w:val="clear" w:color="auto" w:fill="auto"/>
          </w:tcPr>
          <w:p w14:paraId="1ECE70DD" w14:textId="77777777" w:rsidR="00862A2D" w:rsidRPr="00F54FC4" w:rsidRDefault="00862A2D" w:rsidP="00862A2D">
            <w:pPr>
              <w:jc w:val="both"/>
              <w:rPr>
                <w:rFonts w:ascii="Arial" w:hAnsi="Arial" w:cs="FrankRuehl"/>
                <w:sz w:val="28"/>
                <w:szCs w:val="28"/>
              </w:rPr>
            </w:pPr>
            <w:bookmarkStart w:id="1" w:name="FirstAppellant"/>
            <w:r w:rsidRPr="00F54FC4">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70CC9491" w14:textId="77777777" w:rsidR="00862A2D" w:rsidRPr="00F54FC4" w:rsidRDefault="00862A2D" w:rsidP="000F1C83">
            <w:r w:rsidRPr="00F54FC4">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736C670C" w14:textId="77777777" w:rsidR="00862A2D" w:rsidRPr="00F54FC4" w:rsidRDefault="00862A2D" w:rsidP="00862A2D">
            <w:pPr>
              <w:jc w:val="both"/>
              <w:rPr>
                <w:rFonts w:ascii="Arial" w:hAnsi="Arial" w:cs="FrankRuehl"/>
                <w:sz w:val="28"/>
                <w:szCs w:val="28"/>
              </w:rPr>
            </w:pPr>
          </w:p>
        </w:tc>
      </w:tr>
      <w:bookmarkEnd w:id="1"/>
      <w:tr w:rsidR="00862A2D" w:rsidRPr="00F54FC4" w14:paraId="5ECEB2A1" w14:textId="77777777" w:rsidTr="00862A2D">
        <w:trPr>
          <w:trHeight w:val="355"/>
          <w:jc w:val="center"/>
        </w:trPr>
        <w:tc>
          <w:tcPr>
            <w:tcW w:w="923" w:type="dxa"/>
            <w:tcBorders>
              <w:top w:val="nil"/>
              <w:left w:val="nil"/>
              <w:bottom w:val="nil"/>
              <w:right w:val="nil"/>
            </w:tcBorders>
            <w:shd w:val="clear" w:color="auto" w:fill="auto"/>
          </w:tcPr>
          <w:p w14:paraId="231A9F40" w14:textId="77777777" w:rsidR="00862A2D" w:rsidRPr="00F54FC4" w:rsidRDefault="00862A2D" w:rsidP="00862A2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F5C2747" w14:textId="77777777" w:rsidR="00862A2D" w:rsidRPr="00F54FC4" w:rsidRDefault="00862A2D" w:rsidP="00862A2D">
            <w:pPr>
              <w:jc w:val="both"/>
              <w:rPr>
                <w:rtl/>
              </w:rPr>
            </w:pPr>
          </w:p>
        </w:tc>
        <w:tc>
          <w:tcPr>
            <w:tcW w:w="3771" w:type="dxa"/>
            <w:tcBorders>
              <w:top w:val="nil"/>
              <w:left w:val="nil"/>
              <w:bottom w:val="nil"/>
              <w:right w:val="nil"/>
            </w:tcBorders>
            <w:shd w:val="clear" w:color="auto" w:fill="auto"/>
          </w:tcPr>
          <w:p w14:paraId="1D5B9E25" w14:textId="77777777" w:rsidR="00862A2D" w:rsidRPr="00F54FC4" w:rsidRDefault="00862A2D" w:rsidP="00862A2D">
            <w:pPr>
              <w:jc w:val="right"/>
              <w:rPr>
                <w:rFonts w:ascii="Arial" w:hAnsi="Arial" w:cs="FrankRuehl"/>
                <w:sz w:val="28"/>
                <w:szCs w:val="28"/>
                <w:rtl/>
              </w:rPr>
            </w:pPr>
            <w:r w:rsidRPr="00F54FC4">
              <w:rPr>
                <w:rFonts w:ascii="Arial" w:hAnsi="Arial" w:cs="FrankRuehl" w:hint="cs"/>
                <w:sz w:val="28"/>
                <w:szCs w:val="28"/>
                <w:rtl/>
              </w:rPr>
              <w:t>ה</w:t>
            </w:r>
            <w:r w:rsidRPr="00F54FC4">
              <w:rPr>
                <w:rFonts w:ascii="Arial" w:hAnsi="Arial" w:cs="FrankRuehl"/>
                <w:sz w:val="28"/>
                <w:szCs w:val="28"/>
                <w:rtl/>
              </w:rPr>
              <w:t>מאשימה</w:t>
            </w:r>
          </w:p>
        </w:tc>
      </w:tr>
      <w:tr w:rsidR="00862A2D" w:rsidRPr="00F54FC4" w14:paraId="679B0A97" w14:textId="77777777" w:rsidTr="00862A2D">
        <w:trPr>
          <w:trHeight w:val="355"/>
          <w:jc w:val="center"/>
        </w:trPr>
        <w:tc>
          <w:tcPr>
            <w:tcW w:w="923" w:type="dxa"/>
            <w:tcBorders>
              <w:top w:val="nil"/>
              <w:left w:val="nil"/>
              <w:bottom w:val="nil"/>
              <w:right w:val="nil"/>
            </w:tcBorders>
            <w:shd w:val="clear" w:color="auto" w:fill="auto"/>
          </w:tcPr>
          <w:p w14:paraId="3AA7A560" w14:textId="77777777" w:rsidR="00862A2D" w:rsidRPr="00F54FC4" w:rsidRDefault="00862A2D" w:rsidP="00862A2D">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C803A60" w14:textId="77777777" w:rsidR="00862A2D" w:rsidRPr="00F54FC4" w:rsidRDefault="00862A2D" w:rsidP="00862A2D">
            <w:pPr>
              <w:jc w:val="center"/>
              <w:rPr>
                <w:rFonts w:ascii="Arial" w:hAnsi="Arial" w:cs="FrankRuehl"/>
                <w:b/>
                <w:bCs/>
                <w:sz w:val="28"/>
                <w:szCs w:val="28"/>
                <w:rtl/>
              </w:rPr>
            </w:pPr>
          </w:p>
          <w:p w14:paraId="6E4C614B" w14:textId="77777777" w:rsidR="00862A2D" w:rsidRPr="00F54FC4" w:rsidRDefault="00862A2D" w:rsidP="00862A2D">
            <w:pPr>
              <w:jc w:val="center"/>
              <w:rPr>
                <w:rFonts w:ascii="Arial" w:hAnsi="Arial" w:cs="FrankRuehl"/>
                <w:b/>
                <w:bCs/>
                <w:sz w:val="28"/>
                <w:szCs w:val="28"/>
                <w:rtl/>
              </w:rPr>
            </w:pPr>
            <w:r w:rsidRPr="00F54FC4">
              <w:rPr>
                <w:rFonts w:ascii="Arial" w:hAnsi="Arial" w:cs="FrankRuehl"/>
                <w:b/>
                <w:bCs/>
                <w:sz w:val="28"/>
                <w:szCs w:val="28"/>
                <w:rtl/>
              </w:rPr>
              <w:t>נגד</w:t>
            </w:r>
          </w:p>
          <w:p w14:paraId="033D7415" w14:textId="77777777" w:rsidR="00862A2D" w:rsidRPr="00F54FC4" w:rsidRDefault="00862A2D" w:rsidP="00862A2D">
            <w:pPr>
              <w:jc w:val="both"/>
              <w:rPr>
                <w:rFonts w:ascii="Arial" w:hAnsi="Arial" w:cs="FrankRuehl"/>
                <w:sz w:val="28"/>
                <w:szCs w:val="28"/>
              </w:rPr>
            </w:pPr>
          </w:p>
        </w:tc>
      </w:tr>
      <w:tr w:rsidR="00862A2D" w:rsidRPr="00F54FC4" w14:paraId="321B3999" w14:textId="77777777" w:rsidTr="00862A2D">
        <w:trPr>
          <w:trHeight w:val="355"/>
          <w:jc w:val="center"/>
        </w:trPr>
        <w:tc>
          <w:tcPr>
            <w:tcW w:w="923" w:type="dxa"/>
            <w:tcBorders>
              <w:top w:val="nil"/>
              <w:left w:val="nil"/>
              <w:bottom w:val="nil"/>
              <w:right w:val="nil"/>
            </w:tcBorders>
            <w:shd w:val="clear" w:color="auto" w:fill="auto"/>
          </w:tcPr>
          <w:p w14:paraId="41F22F34" w14:textId="77777777" w:rsidR="00862A2D" w:rsidRPr="00F54FC4" w:rsidRDefault="00862A2D" w:rsidP="000F1C83">
            <w:pPr>
              <w:rPr>
                <w:rFonts w:ascii="Arial" w:hAnsi="Arial" w:cs="FrankRuehl"/>
                <w:sz w:val="28"/>
                <w:szCs w:val="28"/>
                <w:rtl/>
              </w:rPr>
            </w:pPr>
          </w:p>
        </w:tc>
        <w:tc>
          <w:tcPr>
            <w:tcW w:w="4126" w:type="dxa"/>
            <w:tcBorders>
              <w:top w:val="nil"/>
              <w:left w:val="nil"/>
              <w:bottom w:val="nil"/>
              <w:right w:val="nil"/>
            </w:tcBorders>
            <w:shd w:val="clear" w:color="auto" w:fill="auto"/>
          </w:tcPr>
          <w:p w14:paraId="0309C166" w14:textId="77777777" w:rsidR="00862A2D" w:rsidRPr="00F54FC4" w:rsidRDefault="00862A2D" w:rsidP="000F1C83">
            <w:pPr>
              <w:rPr>
                <w:rtl/>
              </w:rPr>
            </w:pPr>
            <w:r w:rsidRPr="00F54FC4">
              <w:rPr>
                <w:rFonts w:ascii="Arial" w:hAnsi="Arial" w:cs="FrankRuehl"/>
                <w:sz w:val="28"/>
                <w:szCs w:val="28"/>
                <w:rtl/>
              </w:rPr>
              <w:t>גל רובינשטיין</w:t>
            </w:r>
          </w:p>
        </w:tc>
        <w:tc>
          <w:tcPr>
            <w:tcW w:w="3771" w:type="dxa"/>
            <w:tcBorders>
              <w:top w:val="nil"/>
              <w:left w:val="nil"/>
              <w:bottom w:val="nil"/>
              <w:right w:val="nil"/>
            </w:tcBorders>
            <w:shd w:val="clear" w:color="auto" w:fill="auto"/>
          </w:tcPr>
          <w:p w14:paraId="284D21ED" w14:textId="77777777" w:rsidR="00862A2D" w:rsidRPr="00F54FC4" w:rsidRDefault="00862A2D" w:rsidP="00862A2D">
            <w:pPr>
              <w:jc w:val="right"/>
              <w:rPr>
                <w:rFonts w:ascii="Arial" w:hAnsi="Arial" w:cs="FrankRuehl"/>
                <w:sz w:val="28"/>
                <w:szCs w:val="28"/>
              </w:rPr>
            </w:pPr>
          </w:p>
        </w:tc>
      </w:tr>
      <w:tr w:rsidR="00862A2D" w:rsidRPr="00F54FC4" w14:paraId="4F2DEBAE" w14:textId="77777777" w:rsidTr="00862A2D">
        <w:trPr>
          <w:trHeight w:val="355"/>
          <w:jc w:val="center"/>
        </w:trPr>
        <w:tc>
          <w:tcPr>
            <w:tcW w:w="923" w:type="dxa"/>
            <w:tcBorders>
              <w:top w:val="nil"/>
              <w:left w:val="nil"/>
              <w:bottom w:val="nil"/>
              <w:right w:val="nil"/>
            </w:tcBorders>
            <w:shd w:val="clear" w:color="auto" w:fill="auto"/>
          </w:tcPr>
          <w:p w14:paraId="597D6B69" w14:textId="77777777" w:rsidR="00862A2D" w:rsidRPr="00F54FC4" w:rsidRDefault="00862A2D" w:rsidP="00862A2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B8E8A44" w14:textId="77777777" w:rsidR="00862A2D" w:rsidRPr="00F54FC4" w:rsidRDefault="00862A2D" w:rsidP="00862A2D">
            <w:pPr>
              <w:jc w:val="both"/>
              <w:rPr>
                <w:rtl/>
              </w:rPr>
            </w:pPr>
          </w:p>
        </w:tc>
        <w:tc>
          <w:tcPr>
            <w:tcW w:w="3771" w:type="dxa"/>
            <w:tcBorders>
              <w:top w:val="nil"/>
              <w:left w:val="nil"/>
              <w:bottom w:val="nil"/>
              <w:right w:val="nil"/>
            </w:tcBorders>
            <w:shd w:val="clear" w:color="auto" w:fill="auto"/>
          </w:tcPr>
          <w:p w14:paraId="665B147D" w14:textId="77777777" w:rsidR="00862A2D" w:rsidRPr="00F54FC4" w:rsidRDefault="00862A2D" w:rsidP="00862A2D">
            <w:pPr>
              <w:jc w:val="right"/>
              <w:rPr>
                <w:rFonts w:ascii="Arial" w:hAnsi="Arial" w:cs="FrankRuehl"/>
                <w:sz w:val="28"/>
                <w:szCs w:val="28"/>
              </w:rPr>
            </w:pPr>
            <w:r w:rsidRPr="00F54FC4">
              <w:rPr>
                <w:rFonts w:ascii="Arial" w:hAnsi="Arial" w:cs="FrankRuehl" w:hint="cs"/>
                <w:sz w:val="28"/>
                <w:szCs w:val="28"/>
                <w:rtl/>
              </w:rPr>
              <w:t>ה</w:t>
            </w:r>
            <w:r w:rsidRPr="00F54FC4">
              <w:rPr>
                <w:rFonts w:ascii="Arial" w:hAnsi="Arial" w:cs="FrankRuehl"/>
                <w:sz w:val="28"/>
                <w:szCs w:val="28"/>
                <w:rtl/>
              </w:rPr>
              <w:t>נאשם</w:t>
            </w:r>
          </w:p>
        </w:tc>
      </w:tr>
    </w:tbl>
    <w:p w14:paraId="2FB75E1C" w14:textId="77777777" w:rsidR="00862A2D" w:rsidRPr="00F54FC4" w:rsidRDefault="00862A2D" w:rsidP="00862A2D">
      <w:pPr>
        <w:rPr>
          <w:rtl/>
        </w:rPr>
      </w:pPr>
    </w:p>
    <w:p w14:paraId="28A2213B" w14:textId="77777777" w:rsidR="00862A2D" w:rsidRPr="00F54FC4" w:rsidRDefault="00862A2D" w:rsidP="00862A2D">
      <w:pPr>
        <w:rPr>
          <w:b/>
          <w:bCs/>
          <w:rtl/>
        </w:rPr>
      </w:pPr>
      <w:r w:rsidRPr="00F54FC4">
        <w:rPr>
          <w:rFonts w:hint="cs"/>
          <w:b/>
          <w:bCs/>
          <w:rtl/>
        </w:rPr>
        <w:t>נוכחים:</w:t>
      </w:r>
    </w:p>
    <w:p w14:paraId="6EE18BBA" w14:textId="77777777" w:rsidR="00862A2D" w:rsidRPr="00F54FC4" w:rsidRDefault="00862A2D" w:rsidP="00862A2D">
      <w:pPr>
        <w:rPr>
          <w:rtl/>
        </w:rPr>
      </w:pPr>
      <w:bookmarkStart w:id="2" w:name="FirstLawyer"/>
      <w:r w:rsidRPr="00F54FC4">
        <w:rPr>
          <w:rFonts w:hint="cs"/>
          <w:rtl/>
        </w:rPr>
        <w:t>ב"כ</w:t>
      </w:r>
      <w:bookmarkEnd w:id="2"/>
      <w:r w:rsidRPr="00F54FC4">
        <w:rPr>
          <w:rFonts w:hint="cs"/>
          <w:rtl/>
        </w:rPr>
        <w:t xml:space="preserve"> המאשימה עו"ד חן זערור</w:t>
      </w:r>
    </w:p>
    <w:p w14:paraId="5DBA60B8" w14:textId="77777777" w:rsidR="00862A2D" w:rsidRPr="00F54FC4" w:rsidRDefault="00862A2D" w:rsidP="00862A2D">
      <w:pPr>
        <w:rPr>
          <w:rtl/>
        </w:rPr>
      </w:pPr>
      <w:r w:rsidRPr="00F54FC4">
        <w:rPr>
          <w:rFonts w:hint="cs"/>
          <w:rtl/>
        </w:rPr>
        <w:t xml:space="preserve">הנאשם ובא כוחו עו"ד סגרון </w:t>
      </w:r>
    </w:p>
    <w:p w14:paraId="521D6050" w14:textId="77777777" w:rsidR="00F54FC4" w:rsidRPr="00F54FC4" w:rsidRDefault="00F54FC4" w:rsidP="00F54FC4">
      <w:pPr>
        <w:spacing w:before="120" w:after="120" w:line="240" w:lineRule="exact"/>
        <w:ind w:left="283" w:hanging="283"/>
        <w:jc w:val="both"/>
        <w:rPr>
          <w:rFonts w:ascii="FrankRuehl" w:hAnsi="FrankRuehl" w:cs="FrankRuehl"/>
          <w:rtl/>
        </w:rPr>
      </w:pPr>
    </w:p>
    <w:p w14:paraId="4C04C55D" w14:textId="77777777" w:rsidR="00202843" w:rsidRPr="00202843" w:rsidRDefault="00202843" w:rsidP="00202843">
      <w:pPr>
        <w:spacing w:before="120" w:after="120" w:line="240" w:lineRule="exact"/>
        <w:ind w:left="283" w:hanging="283"/>
        <w:jc w:val="both"/>
        <w:rPr>
          <w:rFonts w:ascii="FrankRuehl" w:hAnsi="FrankRuehl" w:cs="FrankRuehl"/>
          <w:rtl/>
        </w:rPr>
      </w:pPr>
      <w:bookmarkStart w:id="3" w:name="LawTable"/>
      <w:bookmarkEnd w:id="3"/>
      <w:r w:rsidRPr="00202843">
        <w:rPr>
          <w:rFonts w:ascii="FrankRuehl" w:hAnsi="FrankRuehl" w:cs="FrankRuehl"/>
          <w:rtl/>
        </w:rPr>
        <w:t xml:space="preserve">חקיקה שאוזכרה: </w:t>
      </w:r>
    </w:p>
    <w:p w14:paraId="6E1454A1" w14:textId="77777777" w:rsidR="00202843" w:rsidRPr="00202843" w:rsidRDefault="00202843" w:rsidP="00202843">
      <w:pPr>
        <w:spacing w:before="120" w:after="120" w:line="240" w:lineRule="exact"/>
        <w:ind w:left="283" w:hanging="283"/>
        <w:jc w:val="both"/>
        <w:rPr>
          <w:rFonts w:ascii="FrankRuehl" w:hAnsi="FrankRuehl" w:cs="FrankRuehl"/>
          <w:color w:val="0000FF"/>
          <w:u w:val="single"/>
          <w:rtl/>
        </w:rPr>
      </w:pPr>
      <w:hyperlink r:id="rId7" w:history="1">
        <w:r w:rsidRPr="00202843">
          <w:rPr>
            <w:rStyle w:val="Hyperlink"/>
            <w:rFonts w:ascii="FrankRuehl" w:hAnsi="FrankRuehl" w:cs="FrankRuehl"/>
            <w:rtl/>
          </w:rPr>
          <w:t>פקודת הסמים המסוכנים [נוסח חדש], תשל"ג-1973</w:t>
        </w:r>
      </w:hyperlink>
      <w:r w:rsidRPr="00202843">
        <w:rPr>
          <w:rFonts w:ascii="FrankRuehl" w:hAnsi="FrankRuehl" w:cs="FrankRuehl"/>
          <w:color w:val="0000FF"/>
          <w:u w:val="single"/>
          <w:rtl/>
        </w:rPr>
        <w:t xml:space="preserve">: סע'  </w:t>
      </w:r>
      <w:hyperlink r:id="rId8" w:history="1">
        <w:r w:rsidRPr="00202843">
          <w:rPr>
            <w:rStyle w:val="Hyperlink"/>
            <w:rFonts w:ascii="FrankRuehl" w:hAnsi="FrankRuehl" w:cs="FrankRuehl"/>
          </w:rPr>
          <w:t>7.</w:t>
        </w:r>
        <w:r w:rsidRPr="00202843">
          <w:rPr>
            <w:rStyle w:val="Hyperlink"/>
            <w:rFonts w:ascii="FrankRuehl" w:hAnsi="FrankRuehl" w:cs="FrankRuehl"/>
            <w:rtl/>
          </w:rPr>
          <w:t>א</w:t>
        </w:r>
        <w:r w:rsidRPr="00202843">
          <w:rPr>
            <w:rStyle w:val="Hyperlink"/>
            <w:rFonts w:ascii="FrankRuehl" w:hAnsi="FrankRuehl" w:cs="FrankRuehl"/>
          </w:rPr>
          <w:t>.</w:t>
        </w:r>
      </w:hyperlink>
      <w:r w:rsidRPr="00202843">
        <w:rPr>
          <w:rFonts w:ascii="FrankRuehl" w:hAnsi="FrankRuehl" w:cs="FrankRuehl"/>
          <w:color w:val="0000FF"/>
          <w:u w:val="single"/>
          <w:rtl/>
        </w:rPr>
        <w:t xml:space="preserve">, </w:t>
      </w:r>
      <w:hyperlink r:id="rId9" w:history="1">
        <w:r w:rsidRPr="00202843">
          <w:rPr>
            <w:rStyle w:val="Hyperlink"/>
            <w:rFonts w:ascii="FrankRuehl" w:hAnsi="FrankRuehl" w:cs="FrankRuehl"/>
          </w:rPr>
          <w:t>7.</w:t>
        </w:r>
        <w:r w:rsidRPr="00202843">
          <w:rPr>
            <w:rStyle w:val="Hyperlink"/>
            <w:rFonts w:ascii="FrankRuehl" w:hAnsi="FrankRuehl" w:cs="FrankRuehl"/>
            <w:rtl/>
          </w:rPr>
          <w:t>ג</w:t>
        </w:r>
      </w:hyperlink>
    </w:p>
    <w:p w14:paraId="1CFF8825" w14:textId="77777777" w:rsidR="00202843" w:rsidRPr="00202843" w:rsidRDefault="00202843" w:rsidP="00202843">
      <w:pPr>
        <w:spacing w:before="120" w:after="120" w:line="240" w:lineRule="exact"/>
        <w:ind w:left="283" w:hanging="283"/>
        <w:jc w:val="both"/>
        <w:rPr>
          <w:rFonts w:ascii="FrankRuehl" w:hAnsi="FrankRuehl" w:cs="FrankRuehl"/>
          <w:color w:val="0000FF"/>
          <w:rtl/>
        </w:rPr>
      </w:pPr>
      <w:hyperlink r:id="rId10" w:history="1">
        <w:r w:rsidRPr="00202843">
          <w:rPr>
            <w:rStyle w:val="Hyperlink"/>
            <w:rFonts w:ascii="FrankRuehl" w:hAnsi="FrankRuehl" w:cs="FrankRuehl"/>
            <w:rtl/>
          </w:rPr>
          <w:t>חוק העונשין, תשל"ז-1977</w:t>
        </w:r>
      </w:hyperlink>
      <w:r w:rsidRPr="00202843">
        <w:rPr>
          <w:rFonts w:ascii="FrankRuehl" w:hAnsi="FrankRuehl" w:cs="FrankRuehl"/>
          <w:color w:val="0000FF"/>
          <w:u w:val="single"/>
          <w:rtl/>
        </w:rPr>
        <w:t xml:space="preserve">: סע'  </w:t>
      </w:r>
      <w:hyperlink r:id="rId11" w:history="1">
        <w:r w:rsidRPr="00202843">
          <w:rPr>
            <w:rStyle w:val="Hyperlink"/>
            <w:rFonts w:ascii="FrankRuehl" w:hAnsi="FrankRuehl" w:cs="FrankRuehl"/>
          </w:rPr>
          <w:t>40</w:t>
        </w:r>
        <w:r w:rsidRPr="00202843">
          <w:rPr>
            <w:rStyle w:val="Hyperlink"/>
            <w:rFonts w:ascii="FrankRuehl" w:hAnsi="FrankRuehl" w:cs="FrankRuehl"/>
            <w:rtl/>
          </w:rPr>
          <w:t>ד</w:t>
        </w:r>
        <w:r w:rsidRPr="00202843">
          <w:rPr>
            <w:rStyle w:val="Hyperlink"/>
            <w:rFonts w:ascii="FrankRuehl" w:hAnsi="FrankRuehl" w:cs="FrankRuehl"/>
          </w:rPr>
          <w:t>'</w:t>
        </w:r>
      </w:hyperlink>
      <w:r w:rsidRPr="00202843">
        <w:rPr>
          <w:rFonts w:ascii="FrankRuehl" w:hAnsi="FrankRuehl" w:cs="FrankRuehl"/>
          <w:color w:val="0000FF"/>
          <w:u w:val="single"/>
          <w:rtl/>
        </w:rPr>
        <w:t xml:space="preserve">, </w:t>
      </w:r>
      <w:hyperlink r:id="rId12" w:history="1">
        <w:r w:rsidRPr="00202843">
          <w:rPr>
            <w:rStyle w:val="Hyperlink"/>
            <w:rFonts w:ascii="FrankRuehl" w:hAnsi="FrankRuehl" w:cs="FrankRuehl"/>
          </w:rPr>
          <w:t>40</w:t>
        </w:r>
        <w:r w:rsidRPr="00202843">
          <w:rPr>
            <w:rStyle w:val="Hyperlink"/>
            <w:rFonts w:ascii="FrankRuehl" w:hAnsi="FrankRuehl" w:cs="FrankRuehl"/>
            <w:rtl/>
          </w:rPr>
          <w:t>ד</w:t>
        </w:r>
        <w:r w:rsidRPr="00202843">
          <w:rPr>
            <w:rStyle w:val="Hyperlink"/>
            <w:rFonts w:ascii="FrankRuehl" w:hAnsi="FrankRuehl" w:cs="FrankRuehl"/>
          </w:rPr>
          <w:t>'</w:t>
        </w:r>
      </w:hyperlink>
      <w:r w:rsidRPr="00202843">
        <w:rPr>
          <w:rFonts w:ascii="FrankRuehl" w:hAnsi="FrankRuehl" w:cs="FrankRuehl"/>
          <w:color w:val="0000FF"/>
          <w:rtl/>
        </w:rPr>
        <w:t>(א)</w:t>
      </w:r>
    </w:p>
    <w:p w14:paraId="1216BD66" w14:textId="77777777" w:rsidR="00202843" w:rsidRPr="00202843" w:rsidRDefault="00202843" w:rsidP="00202843">
      <w:pPr>
        <w:spacing w:before="120" w:after="120" w:line="240" w:lineRule="exact"/>
        <w:ind w:left="283" w:hanging="283"/>
        <w:jc w:val="both"/>
        <w:rPr>
          <w:rFonts w:ascii="FrankRuehl" w:hAnsi="FrankRuehl" w:cs="FrankRuehl"/>
          <w:color w:val="0000FF"/>
          <w:u w:val="single"/>
          <w:rtl/>
        </w:rPr>
      </w:pPr>
      <w:hyperlink r:id="rId13" w:history="1">
        <w:r w:rsidRPr="00202843">
          <w:rPr>
            <w:rStyle w:val="Hyperlink"/>
            <w:rFonts w:ascii="FrankRuehl" w:hAnsi="FrankRuehl" w:cs="FrankRuehl"/>
            <w:rtl/>
          </w:rPr>
          <w:t>פקודת המבחן [נוסח חדש], תשכ"ט-1969</w:t>
        </w:r>
      </w:hyperlink>
    </w:p>
    <w:p w14:paraId="0D6CB040" w14:textId="77777777" w:rsidR="00862A2D" w:rsidRPr="00202843" w:rsidRDefault="00862A2D" w:rsidP="00202843">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62A2D" w14:paraId="21578441" w14:textId="77777777" w:rsidTr="00862A2D">
        <w:trPr>
          <w:trHeight w:val="355"/>
          <w:jc w:val="center"/>
        </w:trPr>
        <w:tc>
          <w:tcPr>
            <w:tcW w:w="8820" w:type="dxa"/>
            <w:tcBorders>
              <w:top w:val="nil"/>
              <w:left w:val="nil"/>
              <w:bottom w:val="nil"/>
              <w:right w:val="nil"/>
            </w:tcBorders>
            <w:shd w:val="clear" w:color="auto" w:fill="auto"/>
          </w:tcPr>
          <w:p w14:paraId="1DB23196" w14:textId="77777777" w:rsidR="00F54FC4" w:rsidRPr="00F54FC4" w:rsidRDefault="00F54FC4" w:rsidP="00F54FC4">
            <w:pPr>
              <w:jc w:val="center"/>
              <w:rPr>
                <w:rFonts w:ascii="Arial" w:hAnsi="Arial" w:cs="FrankRuehl"/>
                <w:b/>
                <w:bCs/>
                <w:sz w:val="32"/>
                <w:szCs w:val="32"/>
                <w:u w:val="single"/>
                <w:rtl/>
              </w:rPr>
            </w:pPr>
            <w:bookmarkStart w:id="5" w:name="PsakDin" w:colFirst="0" w:colLast="0"/>
            <w:bookmarkEnd w:id="0"/>
            <w:r w:rsidRPr="00F54FC4">
              <w:rPr>
                <w:rFonts w:ascii="Arial" w:hAnsi="Arial" w:cs="FrankRuehl"/>
                <w:b/>
                <w:bCs/>
                <w:sz w:val="32"/>
                <w:szCs w:val="32"/>
                <w:u w:val="single"/>
                <w:rtl/>
              </w:rPr>
              <w:t>גזר דין</w:t>
            </w:r>
          </w:p>
          <w:p w14:paraId="58251305" w14:textId="77777777" w:rsidR="00862A2D" w:rsidRPr="00F54FC4" w:rsidRDefault="00862A2D" w:rsidP="00F54FC4">
            <w:pPr>
              <w:jc w:val="center"/>
              <w:rPr>
                <w:rFonts w:ascii="Arial" w:hAnsi="Arial" w:cs="FrankRuehl"/>
                <w:bCs/>
                <w:sz w:val="32"/>
                <w:szCs w:val="32"/>
                <w:u w:val="single"/>
                <w:rtl/>
              </w:rPr>
            </w:pPr>
          </w:p>
        </w:tc>
      </w:tr>
      <w:bookmarkEnd w:id="5"/>
    </w:tbl>
    <w:p w14:paraId="3579787F" w14:textId="77777777" w:rsidR="00862A2D" w:rsidRPr="00B05847" w:rsidRDefault="00862A2D" w:rsidP="00862A2D">
      <w:pPr>
        <w:rPr>
          <w:rFonts w:ascii="Arial" w:hAnsi="Arial"/>
          <w:rtl/>
        </w:rPr>
      </w:pPr>
    </w:p>
    <w:p w14:paraId="10107389" w14:textId="77777777" w:rsidR="00862A2D" w:rsidRDefault="00862A2D" w:rsidP="00862A2D">
      <w:pPr>
        <w:spacing w:line="360" w:lineRule="auto"/>
        <w:rPr>
          <w:rFonts w:ascii="Arial" w:hAnsi="Arial"/>
          <w:b/>
          <w:bCs/>
          <w:u w:val="single"/>
          <w:rtl/>
        </w:rPr>
      </w:pPr>
      <w:r>
        <w:rPr>
          <w:rFonts w:ascii="Arial" w:hAnsi="Arial"/>
          <w:b/>
          <w:bCs/>
          <w:u w:val="single"/>
          <w:rtl/>
        </w:rPr>
        <w:t>רקע כללי</w:t>
      </w:r>
    </w:p>
    <w:p w14:paraId="622D089D" w14:textId="77777777" w:rsidR="00862A2D" w:rsidRDefault="00862A2D" w:rsidP="00862A2D">
      <w:pPr>
        <w:spacing w:line="360" w:lineRule="auto"/>
        <w:rPr>
          <w:rFonts w:ascii="Arial" w:hAnsi="Arial"/>
          <w:b/>
          <w:bCs/>
          <w:u w:val="single"/>
        </w:rPr>
      </w:pPr>
    </w:p>
    <w:p w14:paraId="74B05190" w14:textId="77777777" w:rsidR="00862A2D" w:rsidRDefault="00862A2D" w:rsidP="00862A2D">
      <w:pPr>
        <w:numPr>
          <w:ilvl w:val="0"/>
          <w:numId w:val="1"/>
        </w:numPr>
        <w:spacing w:line="360" w:lineRule="auto"/>
        <w:jc w:val="both"/>
        <w:rPr>
          <w:rFonts w:ascii="Arial" w:hAnsi="Arial"/>
        </w:rPr>
      </w:pPr>
      <w:bookmarkStart w:id="6" w:name="ABSTRACT_START"/>
      <w:bookmarkEnd w:id="6"/>
      <w:r>
        <w:rPr>
          <w:rFonts w:ascii="Arial" w:hAnsi="Arial"/>
          <w:rtl/>
        </w:rPr>
        <w:t xml:space="preserve">הנאשם הורשע על יסוד הודאתו בעובדות כתב אישום מתוקן, בכך שביום 1.11.17 החזיק במחסן בסם מסוג קנביס במשקל 4.4 ק"ג </w:t>
      </w:r>
      <w:r>
        <w:rPr>
          <w:rFonts w:ascii="Arial" w:hAnsi="Arial"/>
          <w:b/>
          <w:bCs/>
          <w:rtl/>
        </w:rPr>
        <w:t>, ב</w:t>
      </w:r>
      <w:r>
        <w:rPr>
          <w:rFonts w:ascii="Arial" w:hAnsi="Arial"/>
          <w:rtl/>
        </w:rPr>
        <w:t xml:space="preserve">עבירה של החזקת שלא לצריכה עצמית לפי </w:t>
      </w:r>
      <w:hyperlink r:id="rId14" w:history="1">
        <w:r w:rsidR="00202843" w:rsidRPr="00202843">
          <w:rPr>
            <w:rStyle w:val="Hyperlink"/>
            <w:rFonts w:ascii="Arial" w:hAnsi="Arial"/>
            <w:rtl/>
          </w:rPr>
          <w:t>סעיף 7(א)+(ג)</w:t>
        </w:r>
      </w:hyperlink>
      <w:r>
        <w:rPr>
          <w:rFonts w:ascii="Arial" w:hAnsi="Arial"/>
          <w:rtl/>
        </w:rPr>
        <w:t xml:space="preserve"> רישא</w:t>
      </w:r>
      <w:r>
        <w:rPr>
          <w:rtl/>
        </w:rPr>
        <w:t xml:space="preserve"> ל</w:t>
      </w:r>
      <w:hyperlink r:id="rId15" w:history="1">
        <w:r w:rsidR="00F54FC4" w:rsidRPr="00F54FC4">
          <w:rPr>
            <w:color w:val="0000FF"/>
            <w:u w:val="single"/>
            <w:rtl/>
          </w:rPr>
          <w:t>פקודת הסמים המסוכנים</w:t>
        </w:r>
      </w:hyperlink>
      <w:r>
        <w:rPr>
          <w:rtl/>
        </w:rPr>
        <w:t xml:space="preserve"> [נוסח חדש], תשל"ג-1973</w:t>
      </w:r>
      <w:r>
        <w:rPr>
          <w:rFonts w:ascii="Arial" w:hAnsi="Arial"/>
          <w:rtl/>
        </w:rPr>
        <w:t xml:space="preserve">. עוד צירף את </w:t>
      </w:r>
      <w:hyperlink r:id="rId16" w:history="1">
        <w:r w:rsidR="00F54FC4" w:rsidRPr="00F54FC4">
          <w:rPr>
            <w:rFonts w:ascii="Arial" w:hAnsi="Arial"/>
            <w:color w:val="0000FF"/>
            <w:u w:val="single"/>
            <w:rtl/>
          </w:rPr>
          <w:t>ת"פ 17457-01-18</w:t>
        </w:r>
      </w:hyperlink>
      <w:r>
        <w:rPr>
          <w:rFonts w:ascii="Arial" w:hAnsi="Arial"/>
          <w:rtl/>
        </w:rPr>
        <w:t xml:space="preserve">, לפיו, ביום 14.2.17, החזיק בביתו סם מסוג הרואין במשקל 2 גר' וחשיש במשקל של 150 גר' והורשע בעבירה דומה. </w:t>
      </w:r>
    </w:p>
    <w:p w14:paraId="2B35FC0C" w14:textId="77777777" w:rsidR="00862A2D" w:rsidRDefault="00862A2D" w:rsidP="00862A2D">
      <w:pPr>
        <w:spacing w:line="360" w:lineRule="auto"/>
        <w:ind w:left="502"/>
        <w:jc w:val="both"/>
        <w:rPr>
          <w:rFonts w:ascii="Arial" w:hAnsi="Arial"/>
        </w:rPr>
      </w:pPr>
      <w:bookmarkStart w:id="7" w:name="ABSTRACT_END"/>
      <w:bookmarkEnd w:id="7"/>
    </w:p>
    <w:p w14:paraId="51132037" w14:textId="77777777" w:rsidR="00862A2D" w:rsidRDefault="00862A2D" w:rsidP="00862A2D">
      <w:pPr>
        <w:numPr>
          <w:ilvl w:val="0"/>
          <w:numId w:val="1"/>
        </w:numPr>
        <w:spacing w:line="360" w:lineRule="auto"/>
        <w:jc w:val="both"/>
        <w:rPr>
          <w:rFonts w:ascii="Arial" w:hAnsi="Arial"/>
        </w:rPr>
      </w:pPr>
      <w:r>
        <w:rPr>
          <w:rFonts w:ascii="Arial" w:hAnsi="Arial"/>
          <w:rtl/>
        </w:rPr>
        <w:t xml:space="preserve">ביום 28.5.18 הגיעו הצדדים להסדר טיעון, לפיו הנאשם הודה בתיקיו והופנה לתסקיר שירות מבחן. המאשימה הצהירה כי עמדתה היא למאסר בפועל. </w:t>
      </w:r>
    </w:p>
    <w:p w14:paraId="65C7BF3C" w14:textId="77777777" w:rsidR="00862A2D" w:rsidRDefault="00862A2D" w:rsidP="00862A2D">
      <w:pPr>
        <w:spacing w:line="360" w:lineRule="auto"/>
        <w:jc w:val="both"/>
        <w:rPr>
          <w:b/>
          <w:bCs/>
          <w:u w:val="single"/>
        </w:rPr>
      </w:pPr>
    </w:p>
    <w:p w14:paraId="3B005829" w14:textId="77777777" w:rsidR="00862A2D" w:rsidRDefault="00862A2D" w:rsidP="00862A2D">
      <w:pPr>
        <w:spacing w:line="360" w:lineRule="auto"/>
        <w:rPr>
          <w:rFonts w:ascii="Arial" w:hAnsi="Arial"/>
          <w:rtl/>
        </w:rPr>
      </w:pPr>
      <w:r>
        <w:rPr>
          <w:rFonts w:ascii="Arial" w:hAnsi="Arial"/>
          <w:b/>
          <w:bCs/>
          <w:u w:val="single"/>
          <w:rtl/>
        </w:rPr>
        <w:t>תסקירי שירות המבחן</w:t>
      </w:r>
    </w:p>
    <w:p w14:paraId="1742DDEF" w14:textId="77777777" w:rsidR="00862A2D" w:rsidRDefault="00862A2D" w:rsidP="00862A2D">
      <w:pPr>
        <w:numPr>
          <w:ilvl w:val="0"/>
          <w:numId w:val="1"/>
        </w:numPr>
        <w:spacing w:line="360" w:lineRule="auto"/>
        <w:jc w:val="both"/>
        <w:rPr>
          <w:rFonts w:ascii="Arial" w:hAnsi="Arial"/>
          <w:rtl/>
        </w:rPr>
      </w:pPr>
      <w:r>
        <w:rPr>
          <w:rFonts w:ascii="Arial" w:hAnsi="Arial"/>
          <w:rtl/>
        </w:rPr>
        <w:t xml:space="preserve">בעניינו של הנאשם התקבלו חמישה תסקירים. בתסקיר הראשון (מיום 25.10.18) סקר שירות המבחן את נסיבותיו, כשמדובר בנאשם כבן 23 שאובחן מגיל צעיר כסובל מהפרעות קשב וריכוז והתקשה להסתגל למסגרות לימודיות. כבר בגיל 13 החל להשתמש בסמי פיצוציות ובגיל 17 עשה שימוש גם בסמים קשים כגון קוקאין. הנאשם טופל בשירות המבחן לנוער אך זה נמנע לבסוף מהמלצה טיפולית. באשר לעבירות בהן הורשע, טען, כי מחזיק בסם בעיקר לצריכתו העצמית וצמצם מחומרת מעשיו. הנאשם שולב בבית חוסן אך התקשה להתמיד ולהשתלב בין מטופלים מכורים מאחר שתפס עצמו כמי שהתנקה משימוש בסם. שירות המבחן התרשם מנאשם צעיר נעדר יציבות בחייו שחווה משברים אישיים ומשפחתיים משמעותיים, חסר בשלות להליכי שיקום. לצד זה מסר בדיקות שתן נקיות ומשקיע רב זמנו בעבודה. חרף ספקנותם, המליצו לדחות הדיון לצורך בחינת שילובו מחדש במסגרת בית חוסן. </w:t>
      </w:r>
    </w:p>
    <w:p w14:paraId="7B48E6C6" w14:textId="77777777" w:rsidR="00862A2D" w:rsidRDefault="00862A2D" w:rsidP="00862A2D">
      <w:pPr>
        <w:spacing w:line="360" w:lineRule="auto"/>
        <w:ind w:left="502"/>
        <w:jc w:val="both"/>
        <w:rPr>
          <w:rFonts w:ascii="Arial" w:hAnsi="Arial"/>
        </w:rPr>
      </w:pPr>
    </w:p>
    <w:p w14:paraId="36CA28AD" w14:textId="77777777" w:rsidR="00862A2D" w:rsidRDefault="00862A2D" w:rsidP="00862A2D">
      <w:pPr>
        <w:spacing w:line="360" w:lineRule="auto"/>
        <w:ind w:left="502"/>
        <w:jc w:val="both"/>
        <w:rPr>
          <w:rFonts w:ascii="Arial" w:hAnsi="Arial"/>
          <w:rtl/>
        </w:rPr>
      </w:pPr>
      <w:r>
        <w:rPr>
          <w:rFonts w:ascii="Arial" w:hAnsi="Arial"/>
          <w:rtl/>
        </w:rPr>
        <w:t xml:space="preserve">מהתסקיר המשלים (מיום 22.1.19) עלה, שהנאשם התקשה להתמודד במסגרת הטיפולית, הושעה לאחר הפרת הנוהלים ונעדר מוטיבציה לטיפול. הנאשם גלגל האחריות לעבר גורמי הטיפול והתקשה לקחת אחריות על התנהלותו ועל כן נמנע שירות המבחן מהמלצה טיפולית. הדיון הבא התקיים ביום 18.6.19 (נוכח החלפת מותב) ובו לאחר ששמעתי הנאשם, נעתרתי לבקשתו לבחון המשך דרכו, כשבדיון  הבא (מיום 14.7.19) מסר הנאשם כי עשה חושבים ומבקש לדחות הדיון כדי לנסות להשתלב פעם נוספת בהליך טיפולי. מצאתי לאפשר לנאשם הזדמנות אחרונה ובלתי חוזרת להוכיח את עצמו. </w:t>
      </w:r>
    </w:p>
    <w:p w14:paraId="04873A4F" w14:textId="77777777" w:rsidR="00862A2D" w:rsidRDefault="00862A2D" w:rsidP="00862A2D">
      <w:pPr>
        <w:spacing w:line="360" w:lineRule="auto"/>
        <w:jc w:val="both"/>
        <w:rPr>
          <w:rFonts w:ascii="Arial" w:hAnsi="Arial"/>
          <w:rtl/>
        </w:rPr>
      </w:pPr>
    </w:p>
    <w:p w14:paraId="52D4AAC9" w14:textId="77777777" w:rsidR="00862A2D" w:rsidRDefault="00862A2D" w:rsidP="00862A2D">
      <w:pPr>
        <w:numPr>
          <w:ilvl w:val="0"/>
          <w:numId w:val="1"/>
        </w:numPr>
        <w:spacing w:line="360" w:lineRule="auto"/>
        <w:jc w:val="both"/>
        <w:rPr>
          <w:rFonts w:ascii="Arial" w:hAnsi="Arial"/>
        </w:rPr>
      </w:pPr>
      <w:r>
        <w:rPr>
          <w:rFonts w:ascii="Arial" w:hAnsi="Arial"/>
          <w:rtl/>
        </w:rPr>
        <w:t xml:space="preserve">מהתסקיר  המשלים (מיום 6.11.19) ניתן ללמוד שאכן חל שינוי בנאשם, ניכר שהתגייס להליך הטיפולי, מגלה נכונות לבחון דפוסיו האישותיים והתנהלותו הבעייתית ומסר בדיקות שתן נקיות. מהתסקיר הסופי (מיום 6.2.20) עולה שהמשיך בקשר רציף עם שירות המבחן, השתלב בקבוצה טיפולית ושיתף פעולה באופן מלא. שירות המבחן סבור שנוכח השתלבותו החיובית בטיפול והשינוי שחל בו יש מקום לאפשר לו להשלים התהליך הטיפולי ועל כן מבקש להעמידו תחת פיקוחו לצד צו של"צ בהיקף נרחב. עוד סבור ששליחתו למאסר, גם בדרך של עבודות שירות, עלולה לקטוע ההליך הטיפולי ועל כן מבקשים להמנע מכך. הנאשם הופנה גם לחוות דעת ממונה על עבודות השירות ונמצא כשיר. </w:t>
      </w:r>
    </w:p>
    <w:p w14:paraId="43A8C2CD" w14:textId="77777777" w:rsidR="00862A2D" w:rsidRDefault="00862A2D" w:rsidP="00862A2D">
      <w:pPr>
        <w:spacing w:line="360" w:lineRule="auto"/>
        <w:jc w:val="both"/>
        <w:rPr>
          <w:rFonts w:ascii="Arial" w:hAnsi="Arial"/>
        </w:rPr>
      </w:pPr>
    </w:p>
    <w:p w14:paraId="3C460DE3" w14:textId="77777777" w:rsidR="00862A2D" w:rsidRDefault="00862A2D" w:rsidP="00862A2D">
      <w:pPr>
        <w:spacing w:line="360" w:lineRule="auto"/>
        <w:rPr>
          <w:rFonts w:ascii="Arial" w:hAnsi="Arial"/>
          <w:b/>
          <w:bCs/>
          <w:u w:val="single"/>
        </w:rPr>
      </w:pPr>
      <w:r>
        <w:rPr>
          <w:rFonts w:ascii="Arial" w:hAnsi="Arial"/>
          <w:b/>
          <w:bCs/>
          <w:u w:val="single"/>
          <w:rtl/>
        </w:rPr>
        <w:t>תמצית טיעוני הצדדים</w:t>
      </w:r>
    </w:p>
    <w:p w14:paraId="668F8804" w14:textId="77777777" w:rsidR="00862A2D" w:rsidRDefault="00862A2D" w:rsidP="00862A2D">
      <w:pPr>
        <w:numPr>
          <w:ilvl w:val="0"/>
          <w:numId w:val="1"/>
        </w:numPr>
        <w:spacing w:line="360" w:lineRule="auto"/>
        <w:jc w:val="both"/>
        <w:rPr>
          <w:rFonts w:ascii="Calibri" w:hAnsi="Calibri"/>
          <w:rtl/>
        </w:rPr>
      </w:pPr>
      <w:r>
        <w:rPr>
          <w:rFonts w:ascii="Arial" w:hAnsi="Arial"/>
          <w:rtl/>
        </w:rPr>
        <w:t>המאשימה, ע"י ב"כ עו"ד מלול, עמדה</w:t>
      </w:r>
      <w:r>
        <w:rPr>
          <w:rtl/>
        </w:rPr>
        <w:t xml:space="preserve"> בטיעוניה על חומרת מעשי הנאשם שהיה נטוע בעולם הסמים במשך תקופה ארוכה. על כן עותרת למתחם ענישה שנע בין 15-30 חודשים בתיק דנא, ולעונש מאסר נוסף בתיק המצורף, לצד ענישה נלווית. עוד סבורה כי ההליך הטיפולי בו מצוי </w:t>
      </w:r>
      <w:r>
        <w:rPr>
          <w:rtl/>
        </w:rPr>
        <w:lastRenderedPageBreak/>
        <w:t xml:space="preserve">נמצא בשלבים ראשוניים, "ניצני שיקום" כהגדרתה,  וכי המלצת שירות המבחן בלתי מידתית. עוד הציגה אסופת פסיקה וביקשה להכריז על הנאשם כסוחר סמים. </w:t>
      </w:r>
    </w:p>
    <w:p w14:paraId="2B61F764" w14:textId="77777777" w:rsidR="00862A2D" w:rsidRDefault="00862A2D" w:rsidP="00862A2D">
      <w:pPr>
        <w:spacing w:line="360" w:lineRule="auto"/>
        <w:ind w:left="502"/>
        <w:jc w:val="both"/>
        <w:rPr>
          <w:rFonts w:ascii="Calibri" w:hAnsi="Calibri"/>
        </w:rPr>
      </w:pPr>
    </w:p>
    <w:p w14:paraId="685C8D6B" w14:textId="77777777" w:rsidR="00862A2D" w:rsidRDefault="00862A2D" w:rsidP="00862A2D">
      <w:pPr>
        <w:numPr>
          <w:ilvl w:val="0"/>
          <w:numId w:val="1"/>
        </w:numPr>
        <w:spacing w:line="360" w:lineRule="auto"/>
        <w:jc w:val="both"/>
        <w:rPr>
          <w:rFonts w:ascii="Calibri" w:hAnsi="Calibri"/>
        </w:rPr>
      </w:pPr>
      <w:r>
        <w:rPr>
          <w:rtl/>
        </w:rPr>
        <w:t xml:space="preserve">ב"כ הנאשם, עו"ד סגרון, ביקש לאמץ המלצת שירות המבחן במלואה. ב"כ הנאשם סקר את נסיבותיו האישיות, הקשיים הרבים שחווה בחייו והמורכבות המשפחתית. עוד לא התעלם מתקופת הדרדרות שבה היה נתון הנאשם בסמוך למועדי ביצוע העבירות אך מדגיש כי מאז שהתחייב לפני בית המשפט להשתלב בהליך טיפולי, הפגין מוטיבציה ונכונות רבה שבאה לידי ביטוי גם בהמלצות שירות המבחן. על כן סבור שיש לאפשר לו להמשיך בדרך שיקומית ושליחתו למאסר ממש, כעתירת המאשימה, תגרום לו נזק רב ומנוגדת לטובת הציבור. ב"כ הנאשם אף ביקש שלא להכריז עליו סוחר סמים והפנה לפסיקה. </w:t>
      </w:r>
    </w:p>
    <w:p w14:paraId="41AA36C2" w14:textId="77777777" w:rsidR="00862A2D" w:rsidRDefault="00862A2D" w:rsidP="00862A2D">
      <w:pPr>
        <w:spacing w:line="360" w:lineRule="auto"/>
        <w:ind w:left="502"/>
        <w:jc w:val="both"/>
        <w:rPr>
          <w:rFonts w:ascii="Calibri" w:hAnsi="Calibri"/>
        </w:rPr>
      </w:pPr>
    </w:p>
    <w:p w14:paraId="3A03981A" w14:textId="77777777" w:rsidR="00862A2D" w:rsidRDefault="00862A2D" w:rsidP="00862A2D">
      <w:pPr>
        <w:numPr>
          <w:ilvl w:val="0"/>
          <w:numId w:val="1"/>
        </w:numPr>
        <w:spacing w:line="360" w:lineRule="auto"/>
        <w:jc w:val="both"/>
        <w:rPr>
          <w:rFonts w:ascii="Calibri" w:hAnsi="Calibri"/>
        </w:rPr>
      </w:pPr>
      <w:r>
        <w:rPr>
          <w:rtl/>
        </w:rPr>
        <w:t xml:space="preserve">עוד שמעתי את אבי הנאשם שסיפר על קשייו של בנו, התמכרותו לסמים בגיל צעיר וכי תקופה ארוכה חווה חוסר אונים בשל כשלונו לסייע לו. עוד הוסיף, שבתקופה האחרונה חש בשינוי משמעותי אצל בנו, שנקי מסם ומסייע לו בעסק. הנאשם בדברו האחרון סיפר בכנות רבה, כי השתמש שנים רבות בסם והפסיק רק לאחר מעצרו בתיק זה , וכי כיום עושה כל שניתן כדי להתרחק מסם ומחברה שולית. הנאשם התחייב להמשיך בקשר טיפולי והוסיף שקיבל את חייו במתנה. </w:t>
      </w:r>
    </w:p>
    <w:p w14:paraId="36EEFF4D" w14:textId="77777777" w:rsidR="00862A2D" w:rsidRDefault="00862A2D" w:rsidP="00862A2D">
      <w:pPr>
        <w:spacing w:line="360" w:lineRule="auto"/>
        <w:ind w:left="502"/>
        <w:jc w:val="both"/>
        <w:rPr>
          <w:rFonts w:ascii="Calibri" w:hAnsi="Calibri"/>
        </w:rPr>
      </w:pPr>
    </w:p>
    <w:p w14:paraId="09C50F5B" w14:textId="77777777" w:rsidR="00862A2D" w:rsidRDefault="00862A2D" w:rsidP="00862A2D">
      <w:pPr>
        <w:numPr>
          <w:ilvl w:val="0"/>
          <w:numId w:val="1"/>
        </w:numPr>
        <w:spacing w:line="360" w:lineRule="auto"/>
        <w:jc w:val="both"/>
        <w:rPr>
          <w:rFonts w:ascii="Calibri" w:hAnsi="Calibri"/>
        </w:rPr>
      </w:pPr>
      <w:r>
        <w:rPr>
          <w:rtl/>
        </w:rPr>
        <w:t>לאחר שנשמעו טיעוני הצדדים, מצאתי, טרם גזר דין, לקבל תסקיר עדכון נוסף לצורך בחינת יציבות ההליך השיקומי.</w:t>
      </w:r>
      <w:r>
        <w:rPr>
          <w:rFonts w:ascii="Calibri" w:hAnsi="Calibri"/>
          <w:rtl/>
        </w:rPr>
        <w:t xml:space="preserve"> בתסקיר שהתקבל (מיום 18.3.20) מתרשם שירות המבחן שהנאשם מגוייס להליך הטיפולי, וכי להליך המשפטי היה אפקט מרתיע. עוד עמדו על כך שלא נפתחו נגדו תיקים נוספים , על התובנה שמגלה לחומרת מעשיו והשלכותיהם ורצונו לשקם חייו בכלל המישורים. על כן חזרו על המלצתם לענישה שיקומית. </w:t>
      </w:r>
    </w:p>
    <w:p w14:paraId="67EADC7D" w14:textId="77777777" w:rsidR="00862A2D" w:rsidRDefault="00862A2D" w:rsidP="00862A2D">
      <w:pPr>
        <w:spacing w:line="360" w:lineRule="auto"/>
        <w:jc w:val="both"/>
      </w:pPr>
    </w:p>
    <w:p w14:paraId="38199DB9" w14:textId="77777777" w:rsidR="00862A2D" w:rsidRDefault="00862A2D" w:rsidP="00862A2D">
      <w:pPr>
        <w:spacing w:line="360" w:lineRule="auto"/>
        <w:rPr>
          <w:rFonts w:ascii="Arial" w:hAnsi="Arial"/>
          <w:rtl/>
        </w:rPr>
      </w:pPr>
      <w:r>
        <w:rPr>
          <w:b/>
          <w:bCs/>
          <w:u w:val="single"/>
          <w:rtl/>
        </w:rPr>
        <w:t>דיון והכרעה</w:t>
      </w:r>
    </w:p>
    <w:p w14:paraId="49C494C7" w14:textId="77777777" w:rsidR="00862A2D" w:rsidRDefault="00862A2D" w:rsidP="00862A2D">
      <w:pPr>
        <w:numPr>
          <w:ilvl w:val="0"/>
          <w:numId w:val="1"/>
        </w:numPr>
        <w:spacing w:line="360" w:lineRule="auto"/>
        <w:contextualSpacing/>
        <w:jc w:val="both"/>
        <w:rPr>
          <w:rFonts w:ascii="Calibri" w:hAnsi="Calibri"/>
          <w:rtl/>
        </w:rPr>
      </w:pPr>
      <w:r>
        <w:rPr>
          <w:rFonts w:ascii="Calibri" w:hAnsi="Calibri"/>
          <w:rtl/>
        </w:rPr>
        <w:t xml:space="preserve">הנאשם הורשע בשתי עבירות של החזקת סם שלא לצריכה עצמית. בתיק דנא החזיק כמות מסחרית של סם קאנביס ובתיק המצורף סמים מסוגים נוספים, כשהתמונה המצטיירת היא של מי שהיה באותה עת מכור לסם ושעיסוקו בסמים שונים היה גם מקור פרנסתו. אכן   בתיק דנא מדובר בהחזקת סם המוגדר כקל אך כמותו מלמדת על חומרת מעשיו ופגיעתם המוחשית בערכים חברתיים וביניהם, הגנה על שלום הציבור והגנה על בריאותם של הצורכים את הסמים. </w:t>
      </w:r>
    </w:p>
    <w:p w14:paraId="158C7694" w14:textId="77777777" w:rsidR="00862A2D" w:rsidRDefault="00862A2D" w:rsidP="00862A2D">
      <w:pPr>
        <w:spacing w:line="360" w:lineRule="auto"/>
        <w:jc w:val="both"/>
        <w:rPr>
          <w:rFonts w:ascii="Calibri" w:hAnsi="Calibri"/>
        </w:rPr>
      </w:pPr>
    </w:p>
    <w:p w14:paraId="48ADCEE7" w14:textId="77777777" w:rsidR="00862A2D" w:rsidRDefault="00862A2D" w:rsidP="00862A2D">
      <w:pPr>
        <w:numPr>
          <w:ilvl w:val="0"/>
          <w:numId w:val="1"/>
        </w:numPr>
        <w:spacing w:line="360" w:lineRule="auto"/>
        <w:contextualSpacing/>
        <w:jc w:val="both"/>
        <w:rPr>
          <w:rFonts w:ascii="Calibri" w:hAnsi="Calibri"/>
        </w:rPr>
      </w:pPr>
      <w:r>
        <w:rPr>
          <w:rFonts w:ascii="Calibri" w:hAnsi="Calibri"/>
          <w:rtl/>
        </w:rPr>
        <w:t xml:space="preserve">נוכח סמיכות הזמנים בין המעשים ומשמדובר בביצוע עבירות דומות מצאתי לגזור על הנאשם עונש אחד כולל. </w:t>
      </w:r>
    </w:p>
    <w:p w14:paraId="4EE7442A" w14:textId="77777777" w:rsidR="00862A2D" w:rsidRDefault="00862A2D" w:rsidP="00862A2D">
      <w:pPr>
        <w:spacing w:line="360" w:lineRule="auto"/>
        <w:ind w:left="502"/>
        <w:contextualSpacing/>
        <w:jc w:val="both"/>
        <w:rPr>
          <w:rFonts w:ascii="Calibri" w:hAnsi="Calibri"/>
        </w:rPr>
      </w:pPr>
    </w:p>
    <w:p w14:paraId="192EEDB4" w14:textId="77777777" w:rsidR="00862A2D" w:rsidRDefault="00862A2D" w:rsidP="00862A2D">
      <w:pPr>
        <w:numPr>
          <w:ilvl w:val="0"/>
          <w:numId w:val="1"/>
        </w:numPr>
        <w:overflowPunct w:val="0"/>
        <w:autoSpaceDE w:val="0"/>
        <w:autoSpaceDN w:val="0"/>
        <w:spacing w:line="360" w:lineRule="auto"/>
        <w:contextualSpacing/>
        <w:jc w:val="both"/>
        <w:rPr>
          <w:rFonts w:ascii="Calibri" w:hAnsi="Calibri"/>
        </w:rPr>
      </w:pPr>
      <w:r>
        <w:rPr>
          <w:rFonts w:ascii="Calibri" w:hAnsi="Calibri"/>
          <w:rtl/>
        </w:rPr>
        <w:t>בשורה ארוכה של פסקי דין עמד בית המשפט העליון על הסיכון הנשקף מעבירות אלו, שהפכו רעה חולה שיש למגרה ועל ההכרח לעצור את התפשטות נגע הסמים בחברה, בין היתר על-ידי השתת ענישה מרתיעה על הנוטלים חלק ממערך הפצת הסמים. (</w:t>
      </w:r>
      <w:r>
        <w:rPr>
          <w:rtl/>
        </w:rPr>
        <w:t xml:space="preserve">ראו </w:t>
      </w:r>
      <w:hyperlink r:id="rId17" w:history="1">
        <w:r w:rsidR="00F54FC4" w:rsidRPr="00F54FC4">
          <w:rPr>
            <w:color w:val="0000FF"/>
            <w:u w:val="single"/>
            <w:rtl/>
          </w:rPr>
          <w:t>ע"פ 966/94</w:t>
        </w:r>
      </w:hyperlink>
      <w:r>
        <w:rPr>
          <w:rtl/>
        </w:rPr>
        <w:t xml:space="preserve"> </w:t>
      </w:r>
      <w:r>
        <w:rPr>
          <w:b/>
          <w:bCs/>
          <w:rtl/>
        </w:rPr>
        <w:t>אלי אמזלג נ'  מדינת ישראל</w:t>
      </w:r>
      <w:r>
        <w:rPr>
          <w:rtl/>
        </w:rPr>
        <w:t xml:space="preserve"> (10.12.1995).</w:t>
      </w:r>
    </w:p>
    <w:p w14:paraId="3861E231" w14:textId="77777777" w:rsidR="00862A2D" w:rsidRPr="00862A2D" w:rsidRDefault="00862A2D" w:rsidP="00862A2D">
      <w:pPr>
        <w:overflowPunct w:val="0"/>
        <w:autoSpaceDE w:val="0"/>
        <w:autoSpaceDN w:val="0"/>
        <w:spacing w:line="360" w:lineRule="auto"/>
        <w:ind w:left="502"/>
        <w:contextualSpacing/>
        <w:jc w:val="both"/>
        <w:rPr>
          <w:rFonts w:ascii="Calibri" w:eastAsia="Calibri" w:hAnsi="Calibri" w:cs="Arial"/>
          <w:sz w:val="22"/>
          <w:szCs w:val="22"/>
        </w:rPr>
      </w:pPr>
    </w:p>
    <w:p w14:paraId="1E2F3670" w14:textId="77777777" w:rsidR="00862A2D" w:rsidRDefault="00862A2D" w:rsidP="00862A2D">
      <w:pPr>
        <w:overflowPunct w:val="0"/>
        <w:autoSpaceDE w:val="0"/>
        <w:autoSpaceDN w:val="0"/>
        <w:spacing w:line="360" w:lineRule="auto"/>
        <w:ind w:left="502"/>
        <w:contextualSpacing/>
        <w:jc w:val="both"/>
        <w:rPr>
          <w:rFonts w:ascii="David" w:hAnsi="David"/>
          <w:rtl/>
        </w:rPr>
      </w:pPr>
      <w:r>
        <w:rPr>
          <w:rFonts w:ascii="David" w:hAnsi="David"/>
          <w:rtl/>
        </w:rPr>
        <w:t>בחינת מדיניות הענישה המקובלת בעבירה של החזקת סם שלא לצריכה עצמית מעלה מתחם הענישה מגוון ורחב, כשניתן משקל לסוג הסם, כמותו ונסיבות ההחזקה, הכולל, על דרך הכלל, בנסיבות הדומות לאלו שבפנינו, עונשי מאסר ממש (</w:t>
      </w:r>
      <w:hyperlink r:id="rId18" w:history="1">
        <w:r w:rsidR="00F54FC4" w:rsidRPr="00F54FC4">
          <w:rPr>
            <w:rFonts w:ascii="David" w:hAnsi="David"/>
            <w:color w:val="0000FF"/>
            <w:u w:val="single"/>
            <w:rtl/>
          </w:rPr>
          <w:t>רע"פ 1830/16</w:t>
        </w:r>
      </w:hyperlink>
      <w:r>
        <w:rPr>
          <w:rFonts w:ascii="David" w:hAnsi="David"/>
          <w:rtl/>
        </w:rPr>
        <w:t xml:space="preserve"> </w:t>
      </w:r>
      <w:r>
        <w:rPr>
          <w:rFonts w:ascii="David" w:hAnsi="David"/>
          <w:b/>
          <w:bCs/>
          <w:rtl/>
        </w:rPr>
        <w:t>רקיבי נ' מדינת ישראל</w:t>
      </w:r>
      <w:r>
        <w:rPr>
          <w:rFonts w:ascii="David" w:hAnsi="David"/>
          <w:rtl/>
        </w:rPr>
        <w:t xml:space="preserve"> (11.4.16); </w:t>
      </w:r>
      <w:hyperlink r:id="rId19" w:history="1">
        <w:r w:rsidR="00F54FC4" w:rsidRPr="00F54FC4">
          <w:rPr>
            <w:rFonts w:ascii="David" w:hAnsi="David"/>
            <w:color w:val="0000FF"/>
            <w:u w:val="single"/>
            <w:rtl/>
          </w:rPr>
          <w:t>רע"פ 1473/18</w:t>
        </w:r>
      </w:hyperlink>
      <w:r>
        <w:rPr>
          <w:rFonts w:ascii="David" w:hAnsi="David"/>
          <w:b/>
          <w:bCs/>
          <w:rtl/>
        </w:rPr>
        <w:t xml:space="preserve"> אוחיון נ' מדינת ישראל</w:t>
      </w:r>
      <w:r>
        <w:rPr>
          <w:rFonts w:ascii="David" w:hAnsi="David"/>
          <w:rtl/>
        </w:rPr>
        <w:t xml:space="preserve">  (22.4.18); </w:t>
      </w:r>
      <w:hyperlink r:id="rId20" w:history="1">
        <w:r w:rsidR="00F54FC4" w:rsidRPr="00F54FC4">
          <w:rPr>
            <w:rFonts w:ascii="David" w:hAnsi="David"/>
            <w:color w:val="0000FF"/>
            <w:u w:val="single"/>
            <w:rtl/>
          </w:rPr>
          <w:t>עפ"ג (מח-ת"א) 730-05-10</w:t>
        </w:r>
      </w:hyperlink>
      <w:r>
        <w:rPr>
          <w:rFonts w:ascii="David" w:hAnsi="David"/>
          <w:rtl/>
        </w:rPr>
        <w:t xml:space="preserve">, החזקת כ-2 ק"ג חשיש, קבלת הערעור והסתפקות בעבודות שירות. </w:t>
      </w:r>
    </w:p>
    <w:p w14:paraId="144828DA" w14:textId="77777777" w:rsidR="00862A2D" w:rsidRDefault="00862A2D" w:rsidP="00862A2D">
      <w:pPr>
        <w:spacing w:line="360" w:lineRule="auto"/>
        <w:rPr>
          <w:rFonts w:ascii="David" w:hAnsi="David"/>
          <w:rtl/>
        </w:rPr>
      </w:pPr>
    </w:p>
    <w:p w14:paraId="2F53F595" w14:textId="77777777" w:rsidR="00862A2D" w:rsidRDefault="00862A2D" w:rsidP="00862A2D">
      <w:pPr>
        <w:numPr>
          <w:ilvl w:val="0"/>
          <w:numId w:val="1"/>
        </w:numPr>
        <w:overflowPunct w:val="0"/>
        <w:autoSpaceDE w:val="0"/>
        <w:autoSpaceDN w:val="0"/>
        <w:spacing w:line="360" w:lineRule="auto"/>
        <w:contextualSpacing/>
        <w:jc w:val="both"/>
        <w:rPr>
          <w:rFonts w:ascii="Calibri" w:hAnsi="Calibri"/>
          <w:b/>
          <w:bCs/>
          <w:rtl/>
        </w:rPr>
      </w:pPr>
      <w:r>
        <w:rPr>
          <w:rFonts w:ascii="Calibri" w:hAnsi="Calibri"/>
          <w:rtl/>
        </w:rPr>
        <w:t>בהינתן נסיבות התיקים שלפניי, סוגי הסמים וכמותם מצאתי לקבוע מתחם ענישה שנע בין 10-24  חודשי מאסר</w:t>
      </w:r>
      <w:r>
        <w:rPr>
          <w:rFonts w:ascii="Calibri" w:hAnsi="Calibri"/>
          <w:b/>
          <w:bCs/>
          <w:rtl/>
        </w:rPr>
        <w:t>.</w:t>
      </w:r>
    </w:p>
    <w:p w14:paraId="43012C6C" w14:textId="77777777" w:rsidR="00862A2D" w:rsidRDefault="00862A2D" w:rsidP="00862A2D">
      <w:pPr>
        <w:spacing w:line="360" w:lineRule="auto"/>
        <w:ind w:firstLine="425"/>
        <w:contextualSpacing/>
        <w:jc w:val="both"/>
        <w:rPr>
          <w:rFonts w:ascii="Calibri" w:hAnsi="Calibri"/>
          <w:b/>
          <w:bCs/>
          <w:u w:val="single"/>
          <w:rtl/>
        </w:rPr>
      </w:pPr>
      <w:r>
        <w:rPr>
          <w:rFonts w:ascii="Calibri" w:hAnsi="Calibri"/>
          <w:b/>
          <w:bCs/>
          <w:u w:val="single"/>
          <w:rtl/>
        </w:rPr>
        <w:br/>
        <w:t>האם יש מקום לחרוג ממתחם הענישה לצרכי שיקום ולקבל המלצת שירות המבחן?</w:t>
      </w:r>
    </w:p>
    <w:p w14:paraId="1F11F62A" w14:textId="77777777" w:rsidR="00862A2D" w:rsidRPr="00350400" w:rsidRDefault="00862A2D" w:rsidP="00862A2D">
      <w:pPr>
        <w:numPr>
          <w:ilvl w:val="0"/>
          <w:numId w:val="1"/>
        </w:numPr>
        <w:spacing w:line="360" w:lineRule="auto"/>
        <w:contextualSpacing/>
        <w:jc w:val="both"/>
        <w:rPr>
          <w:rFonts w:ascii="Calibri" w:hAnsi="Calibri"/>
          <w:rtl/>
        </w:rPr>
      </w:pPr>
      <w:r>
        <w:rPr>
          <w:rFonts w:ascii="Calibri" w:hAnsi="Calibri"/>
          <w:rtl/>
        </w:rPr>
        <w:t>עתה, משנקבע מתחם הענישה, יש להמשיך ולבחון עתירת ההגנה לחרוג ממנו מטעמי שיקום ובהתאם להורא</w:t>
      </w:r>
      <w:r w:rsidRPr="00350400">
        <w:rPr>
          <w:rFonts w:ascii="Calibri" w:hAnsi="Calibri"/>
          <w:rtl/>
        </w:rPr>
        <w:t xml:space="preserve">ת </w:t>
      </w:r>
      <w:hyperlink r:id="rId21" w:history="1">
        <w:r w:rsidR="00202843" w:rsidRPr="00202843">
          <w:rPr>
            <w:rStyle w:val="Hyperlink"/>
            <w:rFonts w:ascii="Calibri" w:hAnsi="Calibri" w:hint="eastAsia"/>
            <w:rtl/>
          </w:rPr>
          <w:t>סעיף</w:t>
        </w:r>
        <w:r w:rsidR="00202843" w:rsidRPr="00202843">
          <w:rPr>
            <w:rStyle w:val="Hyperlink"/>
            <w:rFonts w:ascii="Calibri" w:hAnsi="Calibri"/>
            <w:rtl/>
          </w:rPr>
          <w:t xml:space="preserve"> 40</w:t>
        </w:r>
        <w:r w:rsidR="00202843" w:rsidRPr="00202843">
          <w:rPr>
            <w:rStyle w:val="Hyperlink"/>
            <w:rFonts w:ascii="Calibri" w:hAnsi="Calibri" w:hint="eastAsia"/>
            <w:rtl/>
          </w:rPr>
          <w:t>ד</w:t>
        </w:r>
        <w:r w:rsidR="00202843" w:rsidRPr="00202843">
          <w:rPr>
            <w:rStyle w:val="Hyperlink"/>
            <w:rFonts w:ascii="Calibri" w:hAnsi="Calibri"/>
            <w:rtl/>
          </w:rPr>
          <w:t>'(</w:t>
        </w:r>
        <w:r w:rsidR="00202843" w:rsidRPr="00202843">
          <w:rPr>
            <w:rStyle w:val="Hyperlink"/>
            <w:rFonts w:ascii="Calibri" w:hAnsi="Calibri" w:hint="eastAsia"/>
            <w:rtl/>
          </w:rPr>
          <w:t>א</w:t>
        </w:r>
        <w:r w:rsidR="00202843" w:rsidRPr="00202843">
          <w:rPr>
            <w:rStyle w:val="Hyperlink"/>
            <w:rFonts w:ascii="Calibri" w:hAnsi="Calibri"/>
            <w:rtl/>
          </w:rPr>
          <w:t>)</w:t>
        </w:r>
      </w:hyperlink>
      <w:r w:rsidRPr="00350400">
        <w:rPr>
          <w:rFonts w:ascii="Calibri" w:hAnsi="Calibri"/>
          <w:rtl/>
        </w:rPr>
        <w:t xml:space="preserve"> ל</w:t>
      </w:r>
      <w:hyperlink r:id="rId22" w:history="1">
        <w:r w:rsidR="00F54FC4" w:rsidRPr="00F54FC4">
          <w:rPr>
            <w:rFonts w:ascii="Calibri" w:hAnsi="Calibri" w:hint="eastAsia"/>
            <w:color w:val="0000FF"/>
            <w:u w:val="single"/>
            <w:rtl/>
          </w:rPr>
          <w:t>חוק</w:t>
        </w:r>
        <w:r w:rsidR="00F54FC4" w:rsidRPr="00F54FC4">
          <w:rPr>
            <w:rFonts w:ascii="Calibri" w:hAnsi="Calibri"/>
            <w:color w:val="0000FF"/>
            <w:u w:val="single"/>
            <w:rtl/>
          </w:rPr>
          <w:t xml:space="preserve"> </w:t>
        </w:r>
        <w:r w:rsidR="00F54FC4" w:rsidRPr="00F54FC4">
          <w:rPr>
            <w:rFonts w:ascii="Calibri" w:hAnsi="Calibri" w:hint="eastAsia"/>
            <w:color w:val="0000FF"/>
            <w:u w:val="single"/>
            <w:rtl/>
          </w:rPr>
          <w:t>העונשין</w:t>
        </w:r>
      </w:hyperlink>
      <w:r w:rsidRPr="00350400">
        <w:rPr>
          <w:rFonts w:ascii="Calibri" w:hAnsi="Calibri"/>
          <w:rtl/>
        </w:rPr>
        <w:t xml:space="preserve">.  </w:t>
      </w:r>
      <w:hyperlink r:id="rId23" w:history="1">
        <w:r w:rsidR="00202843" w:rsidRPr="00202843">
          <w:rPr>
            <w:rStyle w:val="Hyperlink"/>
            <w:rFonts w:ascii="Calibri" w:hAnsi="Calibri" w:hint="eastAsia"/>
            <w:rtl/>
          </w:rPr>
          <w:t>סעיף</w:t>
        </w:r>
        <w:r w:rsidR="00202843" w:rsidRPr="00202843">
          <w:rPr>
            <w:rStyle w:val="Hyperlink"/>
            <w:rFonts w:ascii="Calibri" w:hAnsi="Calibri"/>
            <w:rtl/>
          </w:rPr>
          <w:t xml:space="preserve"> 40</w:t>
        </w:r>
        <w:r w:rsidR="00202843" w:rsidRPr="00202843">
          <w:rPr>
            <w:rStyle w:val="Hyperlink"/>
            <w:rFonts w:ascii="Calibri" w:hAnsi="Calibri" w:hint="eastAsia"/>
            <w:rtl/>
          </w:rPr>
          <w:t>ד</w:t>
        </w:r>
        <w:r w:rsidR="00202843" w:rsidRPr="00202843">
          <w:rPr>
            <w:rStyle w:val="Hyperlink"/>
            <w:rFonts w:ascii="Calibri" w:hAnsi="Calibri"/>
            <w:rtl/>
          </w:rPr>
          <w:t>'(</w:t>
        </w:r>
        <w:r w:rsidR="00202843" w:rsidRPr="00202843">
          <w:rPr>
            <w:rStyle w:val="Hyperlink"/>
            <w:rFonts w:ascii="Calibri" w:hAnsi="Calibri" w:hint="eastAsia"/>
            <w:rtl/>
          </w:rPr>
          <w:t>א</w:t>
        </w:r>
        <w:r w:rsidR="00202843" w:rsidRPr="00202843">
          <w:rPr>
            <w:rStyle w:val="Hyperlink"/>
            <w:rFonts w:ascii="Calibri" w:hAnsi="Calibri"/>
            <w:rtl/>
          </w:rPr>
          <w:t>)</w:t>
        </w:r>
      </w:hyperlink>
      <w:r w:rsidRPr="00350400">
        <w:rPr>
          <w:rFonts w:ascii="Calibri" w:hAnsi="Calibri"/>
          <w:rtl/>
        </w:rPr>
        <w:t xml:space="preserve"> </w:t>
      </w:r>
      <w:r w:rsidRPr="00350400">
        <w:rPr>
          <w:rFonts w:ascii="Calibri" w:hAnsi="Calibri" w:hint="cs"/>
          <w:rtl/>
        </w:rPr>
        <w:t>ל</w:t>
      </w:r>
      <w:hyperlink r:id="rId24" w:history="1">
        <w:r w:rsidR="00F54FC4" w:rsidRPr="00F54FC4">
          <w:rPr>
            <w:rFonts w:ascii="Calibri" w:hAnsi="Calibri" w:hint="eastAsia"/>
            <w:color w:val="0000FF"/>
            <w:u w:val="single"/>
            <w:rtl/>
          </w:rPr>
          <w:t>חוק</w:t>
        </w:r>
        <w:r w:rsidR="00F54FC4" w:rsidRPr="00F54FC4">
          <w:rPr>
            <w:rFonts w:ascii="Calibri" w:hAnsi="Calibri"/>
            <w:color w:val="0000FF"/>
            <w:u w:val="single"/>
            <w:rtl/>
          </w:rPr>
          <w:t xml:space="preserve"> </w:t>
        </w:r>
        <w:r w:rsidR="00F54FC4" w:rsidRPr="00F54FC4">
          <w:rPr>
            <w:rFonts w:ascii="Calibri" w:hAnsi="Calibri" w:hint="eastAsia"/>
            <w:color w:val="0000FF"/>
            <w:u w:val="single"/>
            <w:rtl/>
          </w:rPr>
          <w:t>העונשין</w:t>
        </w:r>
      </w:hyperlink>
      <w:r w:rsidRPr="00350400">
        <w:rPr>
          <w:rFonts w:ascii="Calibri" w:hAnsi="Calibri"/>
          <w:rtl/>
        </w:rPr>
        <w:t xml:space="preserve">  מורה כך: "</w:t>
      </w:r>
      <w:r w:rsidRPr="00350400">
        <w:rPr>
          <w:rFonts w:ascii="Calibri" w:hAnsi="Calibri"/>
          <w:b/>
          <w:bCs/>
          <w:rtl/>
        </w:rPr>
        <w:t>קבע בית המשפט את</w:t>
      </w:r>
      <w:r>
        <w:rPr>
          <w:rFonts w:ascii="Calibri" w:hAnsi="Calibri"/>
          <w:b/>
          <w:bCs/>
          <w:rtl/>
        </w:rPr>
        <w:t xml:space="preserve"> מתחם העונש ההולם בהתאם לעיקרון המנחה ומצא כי הנאשם השתקם או כי יש סיכוי של ממש שישתקם, רשאי הוא לחרוג ממתחם העונש ההולם ולקבוע את עונשו של הנאשם לפי שי</w:t>
      </w:r>
      <w:r w:rsidRPr="00350400">
        <w:rPr>
          <w:rFonts w:ascii="Calibri" w:hAnsi="Calibri"/>
          <w:b/>
          <w:bCs/>
          <w:rtl/>
        </w:rPr>
        <w:t xml:space="preserve">קולי שיקומו, וכן להורות על נקיטת אמצעי שיקומי כלפי הנאשם, לרבות העמדתו במבחן לפי סעיפים 82 או 86 או לפי </w:t>
      </w:r>
      <w:hyperlink r:id="rId25" w:history="1">
        <w:r w:rsidR="00F54FC4" w:rsidRPr="00F54FC4">
          <w:rPr>
            <w:rFonts w:ascii="Calibri" w:hAnsi="Calibri" w:hint="eastAsia"/>
            <w:b/>
            <w:bCs/>
            <w:color w:val="0000FF"/>
            <w:u w:val="single"/>
            <w:rtl/>
          </w:rPr>
          <w:t>פקודת</w:t>
        </w:r>
        <w:r w:rsidR="00F54FC4" w:rsidRPr="00F54FC4">
          <w:rPr>
            <w:rFonts w:ascii="Calibri" w:hAnsi="Calibri"/>
            <w:b/>
            <w:bCs/>
            <w:color w:val="0000FF"/>
            <w:u w:val="single"/>
            <w:rtl/>
          </w:rPr>
          <w:t xml:space="preserve"> </w:t>
        </w:r>
        <w:r w:rsidR="00F54FC4" w:rsidRPr="00F54FC4">
          <w:rPr>
            <w:rFonts w:ascii="Calibri" w:hAnsi="Calibri" w:hint="eastAsia"/>
            <w:b/>
            <w:bCs/>
            <w:color w:val="0000FF"/>
            <w:u w:val="single"/>
            <w:rtl/>
          </w:rPr>
          <w:t>המבחן</w:t>
        </w:r>
      </w:hyperlink>
      <w:r w:rsidRPr="00350400">
        <w:rPr>
          <w:rFonts w:ascii="Calibri" w:hAnsi="Calibri"/>
          <w:b/>
          <w:bCs/>
          <w:rtl/>
        </w:rPr>
        <w:t xml:space="preserve"> [נוסח חדש], התשכ"ט-1969</w:t>
      </w:r>
      <w:r w:rsidRPr="00350400">
        <w:rPr>
          <w:rFonts w:ascii="Calibri" w:hAnsi="Calibri"/>
          <w:rtl/>
        </w:rPr>
        <w:t>."</w:t>
      </w:r>
    </w:p>
    <w:p w14:paraId="0F1D7550" w14:textId="77777777" w:rsidR="00862A2D" w:rsidRPr="00350400" w:rsidRDefault="00862A2D" w:rsidP="00862A2D">
      <w:pPr>
        <w:spacing w:line="360" w:lineRule="auto"/>
        <w:jc w:val="both"/>
        <w:rPr>
          <w:rFonts w:ascii="Calibri" w:hAnsi="Calibri"/>
        </w:rPr>
      </w:pPr>
    </w:p>
    <w:p w14:paraId="782A3F8C" w14:textId="77777777" w:rsidR="00862A2D" w:rsidRDefault="00862A2D" w:rsidP="00862A2D">
      <w:pPr>
        <w:numPr>
          <w:ilvl w:val="0"/>
          <w:numId w:val="1"/>
        </w:numPr>
        <w:spacing w:after="160" w:line="360" w:lineRule="auto"/>
        <w:contextualSpacing/>
        <w:jc w:val="both"/>
      </w:pPr>
      <w:r>
        <w:rPr>
          <w:rtl/>
        </w:rPr>
        <w:t xml:space="preserve">התשובה לשאלה אילו מן המקרים ייחשבו  מקרי שיקום כמשמעותו </w:t>
      </w:r>
      <w:hyperlink r:id="rId26" w:history="1">
        <w:r w:rsidR="00202843" w:rsidRPr="00202843">
          <w:rPr>
            <w:rStyle w:val="Hyperlink"/>
            <w:rtl/>
          </w:rPr>
          <w:t>בסעיף 40ד'</w:t>
        </w:r>
      </w:hyperlink>
      <w:r>
        <w:rPr>
          <w:rtl/>
        </w:rPr>
        <w:t xml:space="preserve"> לחוק ואילו לאו מורכבת ותלויה במספר פרמטרים, בין היתר חומרת העבירה, נסיבות הנאשם, טיבו של הליך השיקום והסיכון להישנות עבירות. לשון </w:t>
      </w:r>
      <w:hyperlink r:id="rId27" w:history="1">
        <w:r w:rsidR="00202843" w:rsidRPr="00202843">
          <w:rPr>
            <w:rStyle w:val="Hyperlink"/>
            <w:rtl/>
          </w:rPr>
          <w:t>סעיף 40ד'</w:t>
        </w:r>
      </w:hyperlink>
      <w:r>
        <w:rPr>
          <w:rtl/>
        </w:rPr>
        <w:t xml:space="preserve"> לחוק מלמדת, כי לעיתים כאשר "</w:t>
      </w:r>
      <w:r>
        <w:rPr>
          <w:b/>
          <w:bCs/>
          <w:rtl/>
        </w:rPr>
        <w:t>נאשם השתקם</w:t>
      </w:r>
      <w:r>
        <w:rPr>
          <w:rtl/>
        </w:rPr>
        <w:t>" או כי "</w:t>
      </w:r>
      <w:r>
        <w:rPr>
          <w:b/>
          <w:bCs/>
          <w:rtl/>
        </w:rPr>
        <w:t>יש סיכוי של ממש שישתקם</w:t>
      </w:r>
      <w:r>
        <w:rPr>
          <w:rtl/>
        </w:rPr>
        <w:t xml:space="preserve">", עשויים שיקולי השיקום לגבור על שיקולי ההרתעה והגמול (ראו </w:t>
      </w:r>
      <w:hyperlink r:id="rId28" w:history="1">
        <w:r w:rsidR="00F54FC4" w:rsidRPr="00F54FC4">
          <w:rPr>
            <w:color w:val="0000FF"/>
            <w:u w:val="single"/>
            <w:rtl/>
          </w:rPr>
          <w:t>רע"פ 7572/12</w:t>
        </w:r>
      </w:hyperlink>
      <w:r>
        <w:rPr>
          <w:rtl/>
        </w:rPr>
        <w:t xml:space="preserve"> </w:t>
      </w:r>
      <w:r>
        <w:rPr>
          <w:b/>
          <w:bCs/>
          <w:rtl/>
        </w:rPr>
        <w:t>הזייל נ' מדינת ישראל</w:t>
      </w:r>
      <w:r>
        <w:rPr>
          <w:rtl/>
        </w:rPr>
        <w:t xml:space="preserve"> (23.10.12)) ואולם, אין די בנאשם המראה נכונות כנה להשתלב בהליך שיקום אלא יש להציג הליך משמעותי המגלה פוטנציאל שיקומי ממשי, תוך קביעה כי הסיכוי לביצוע עבירות נוספות בעתיד הוא נמוך ביותר (ראו </w:t>
      </w:r>
      <w:hyperlink r:id="rId29" w:history="1">
        <w:r w:rsidR="00F54FC4" w:rsidRPr="00F54FC4">
          <w:rPr>
            <w:color w:val="0000FF"/>
            <w:u w:val="single"/>
            <w:rtl/>
          </w:rPr>
          <w:t>ע"פ 1903/13</w:t>
        </w:r>
      </w:hyperlink>
      <w:r>
        <w:rPr>
          <w:rtl/>
        </w:rPr>
        <w:t xml:space="preserve"> </w:t>
      </w:r>
      <w:r>
        <w:rPr>
          <w:b/>
          <w:bCs/>
          <w:rtl/>
        </w:rPr>
        <w:t>עיאשה נ' מדינת ישראל</w:t>
      </w:r>
      <w:r>
        <w:rPr>
          <w:rtl/>
        </w:rPr>
        <w:t xml:space="preserve"> (14.07.13)). לתסקיר שירות המבחן בהקשר זה מעמד משמעותי ביותר, אם כי כמובן שאינו מחייב את בית המשפט.  </w:t>
      </w:r>
    </w:p>
    <w:p w14:paraId="07D4D4A0" w14:textId="77777777" w:rsidR="00862A2D" w:rsidRDefault="00862A2D" w:rsidP="00862A2D">
      <w:pPr>
        <w:spacing w:after="160" w:line="360" w:lineRule="auto"/>
        <w:ind w:left="502"/>
        <w:contextualSpacing/>
        <w:jc w:val="both"/>
      </w:pPr>
    </w:p>
    <w:p w14:paraId="0AEDADDC" w14:textId="77777777" w:rsidR="00862A2D" w:rsidRDefault="00862A2D" w:rsidP="00862A2D">
      <w:pPr>
        <w:numPr>
          <w:ilvl w:val="0"/>
          <w:numId w:val="1"/>
        </w:numPr>
        <w:spacing w:line="360" w:lineRule="auto"/>
        <w:ind w:left="505"/>
        <w:contextualSpacing/>
        <w:jc w:val="both"/>
        <w:rPr>
          <w:rFonts w:ascii="Calibri" w:hAnsi="Calibri"/>
        </w:rPr>
      </w:pPr>
      <w:r>
        <w:rPr>
          <w:rFonts w:ascii="Calibri" w:hAnsi="Calibri"/>
          <w:rtl/>
        </w:rPr>
        <w:t xml:space="preserve">הנאשם שלפניי יליד 1997, בעברו רישום פלילי מבית משפט לנוער בעבירת אלימות. מדובר בנאשם צעיר, נסיבותיו המשפחתיות מורכבות, שלא הצליח להשתלב במסגרת לימודית והחל להשתמש בסמים מגיל צעיר. במשך תקופה ארוכה ניהל אורח חיים שולי והתמכרותי, לא שיתף פעולה עם גורמים טיפוליים וגילה שביעות רצון מדרך חייו. גם ההליך הטיפולי בתיק זה, שנמשך תקופה ארוכה של כשנתיים, ידע עליות ומורדות. הנאשם הופנה לשירות המבחן ומתסקיריו הראשונים עלתה תמונה עגומה של מי שאינו מגלה תובנה להשלכות מעשיו ואף לא רצון לשנות את דרכיו ועל כן נמנע שירות המבחן מהמלצה טיפולית. </w:t>
      </w:r>
    </w:p>
    <w:p w14:paraId="5B337915" w14:textId="77777777" w:rsidR="00862A2D" w:rsidRDefault="00862A2D" w:rsidP="00862A2D">
      <w:pPr>
        <w:spacing w:line="360" w:lineRule="auto"/>
        <w:ind w:left="505"/>
        <w:contextualSpacing/>
        <w:jc w:val="both"/>
        <w:rPr>
          <w:rFonts w:ascii="Calibri" w:hAnsi="Calibri"/>
        </w:rPr>
      </w:pPr>
    </w:p>
    <w:p w14:paraId="60B90241" w14:textId="77777777" w:rsidR="00862A2D" w:rsidRDefault="00862A2D" w:rsidP="00862A2D">
      <w:pPr>
        <w:numPr>
          <w:ilvl w:val="0"/>
          <w:numId w:val="1"/>
        </w:numPr>
        <w:spacing w:line="360" w:lineRule="auto"/>
        <w:ind w:left="505"/>
        <w:contextualSpacing/>
        <w:jc w:val="both"/>
        <w:rPr>
          <w:rFonts w:ascii="Calibri" w:hAnsi="Calibri"/>
        </w:rPr>
      </w:pPr>
      <w:r>
        <w:rPr>
          <w:rFonts w:ascii="Calibri" w:hAnsi="Calibri"/>
          <w:rtl/>
        </w:rPr>
        <w:t xml:space="preserve">התחייבותו לפני בית המשפט לקחת עצמו בידיים ולנצל הזדמנות נוספת הביאה לשינוי המיוחל. הנאשם אכן חזר לקשר טיפולי רציף, שמר על נקיון מסם, השתלב בתכנית טיפולית וניכר מדבריו ודברי אביו שחל שינוי חיובי גם במישורי חייו הנוספים. מאז הארועים חלפו כשנתיים וחצי והנאשם נמנע ממעורבות שולית, כשנראה שמעצרו בתיק זה וההליך המשפטי אכן עשו את שלהם והרתיעוהו. </w:t>
      </w:r>
    </w:p>
    <w:p w14:paraId="34985978" w14:textId="77777777" w:rsidR="00862A2D" w:rsidRDefault="00862A2D" w:rsidP="00862A2D">
      <w:pPr>
        <w:spacing w:line="360" w:lineRule="auto"/>
        <w:contextualSpacing/>
        <w:jc w:val="both"/>
        <w:rPr>
          <w:rFonts w:ascii="Calibri" w:hAnsi="Calibri"/>
        </w:rPr>
      </w:pPr>
    </w:p>
    <w:p w14:paraId="53AD32F9" w14:textId="77777777" w:rsidR="00862A2D" w:rsidRDefault="00862A2D" w:rsidP="00862A2D">
      <w:pPr>
        <w:numPr>
          <w:ilvl w:val="0"/>
          <w:numId w:val="1"/>
        </w:numPr>
        <w:spacing w:line="360" w:lineRule="auto"/>
        <w:contextualSpacing/>
        <w:jc w:val="both"/>
        <w:rPr>
          <w:rFonts w:ascii="Calibri" w:hAnsi="Calibri"/>
          <w:b/>
          <w:bCs/>
        </w:rPr>
      </w:pPr>
      <w:r>
        <w:rPr>
          <w:rFonts w:ascii="Calibri" w:hAnsi="Calibri"/>
          <w:rtl/>
        </w:rPr>
        <w:t>בדיון האחרון, לאחר שהצדדים טענו לעונש, מצאתי לקבל תסקיר נוסף שיבחן בחינה נוספת, בציר הזמן, את מחויבות הנאשם להליך הטיפולי והתמונה החיובית שעלתה ממנו חיזקה המסקנה ש</w:t>
      </w:r>
      <w:r>
        <w:rPr>
          <w:rFonts w:ascii="Calibri" w:hAnsi="Calibri"/>
          <w:b/>
          <w:bCs/>
          <w:rtl/>
        </w:rPr>
        <w:t xml:space="preserve">מדובר בנאשם המצוי בהליך שיקומי משמעותי ובעל סיכויי שיקום גבוהים וכי יש בכלל היבטי שיקומו, משכו ויציבותו של ההליך הטיפולי כדי לשמש בסיס ראוי לחריגה ממתחם הענישה מכח הוראת </w:t>
      </w:r>
      <w:hyperlink r:id="rId30" w:history="1">
        <w:r w:rsidR="00202843" w:rsidRPr="00202843">
          <w:rPr>
            <w:rStyle w:val="Hyperlink"/>
            <w:rFonts w:ascii="Calibri" w:hAnsi="Calibri" w:hint="eastAsia"/>
            <w:b/>
            <w:bCs/>
            <w:rtl/>
          </w:rPr>
          <w:t>סעיף</w:t>
        </w:r>
        <w:r w:rsidR="00202843" w:rsidRPr="00202843">
          <w:rPr>
            <w:rStyle w:val="Hyperlink"/>
            <w:rFonts w:ascii="Calibri" w:hAnsi="Calibri"/>
            <w:b/>
            <w:bCs/>
            <w:rtl/>
          </w:rPr>
          <w:t xml:space="preserve"> 40</w:t>
        </w:r>
        <w:r w:rsidR="00202843" w:rsidRPr="00202843">
          <w:rPr>
            <w:rStyle w:val="Hyperlink"/>
            <w:rFonts w:ascii="Calibri" w:hAnsi="Calibri" w:hint="eastAsia"/>
            <w:b/>
            <w:bCs/>
            <w:rtl/>
          </w:rPr>
          <w:t>ד</w:t>
        </w:r>
        <w:r w:rsidR="00202843" w:rsidRPr="00202843">
          <w:rPr>
            <w:rStyle w:val="Hyperlink"/>
            <w:rFonts w:ascii="Calibri" w:hAnsi="Calibri"/>
            <w:b/>
            <w:bCs/>
            <w:rtl/>
          </w:rPr>
          <w:t>'(</w:t>
        </w:r>
        <w:r w:rsidR="00202843" w:rsidRPr="00202843">
          <w:rPr>
            <w:rStyle w:val="Hyperlink"/>
            <w:rFonts w:ascii="Calibri" w:hAnsi="Calibri" w:hint="eastAsia"/>
            <w:b/>
            <w:bCs/>
            <w:rtl/>
          </w:rPr>
          <w:t>א</w:t>
        </w:r>
        <w:r w:rsidR="00202843" w:rsidRPr="00202843">
          <w:rPr>
            <w:rStyle w:val="Hyperlink"/>
            <w:rFonts w:ascii="Calibri" w:hAnsi="Calibri"/>
            <w:b/>
            <w:bCs/>
            <w:rtl/>
          </w:rPr>
          <w:t>)</w:t>
        </w:r>
      </w:hyperlink>
      <w:r>
        <w:rPr>
          <w:rFonts w:ascii="Calibri" w:hAnsi="Calibri"/>
          <w:b/>
          <w:bCs/>
          <w:rtl/>
        </w:rPr>
        <w:t xml:space="preserve"> לחוק. </w:t>
      </w:r>
    </w:p>
    <w:p w14:paraId="36896741" w14:textId="77777777" w:rsidR="00862A2D" w:rsidRDefault="00862A2D" w:rsidP="00862A2D">
      <w:pPr>
        <w:spacing w:line="360" w:lineRule="auto"/>
        <w:contextualSpacing/>
        <w:jc w:val="both"/>
        <w:rPr>
          <w:rFonts w:ascii="Calibri" w:hAnsi="Calibri"/>
        </w:rPr>
      </w:pPr>
    </w:p>
    <w:p w14:paraId="504AF890" w14:textId="77777777" w:rsidR="00862A2D" w:rsidRDefault="00862A2D" w:rsidP="00862A2D">
      <w:pPr>
        <w:numPr>
          <w:ilvl w:val="0"/>
          <w:numId w:val="1"/>
        </w:numPr>
        <w:spacing w:line="360" w:lineRule="auto"/>
        <w:contextualSpacing/>
        <w:jc w:val="both"/>
        <w:rPr>
          <w:rFonts w:ascii="Calibri" w:hAnsi="Calibri"/>
        </w:rPr>
      </w:pPr>
      <w:r>
        <w:rPr>
          <w:rFonts w:ascii="Calibri" w:hAnsi="Calibri"/>
          <w:rtl/>
        </w:rPr>
        <w:t xml:space="preserve">גישה לפיה גיל צעיר, עבר נקי או קל, ניקיון מסם והפחתת סיכון הנובעת מהליך טיפולי אפקטיבי מהווים בסיס ראוי להגדרת עניינו של נאשם בעבירות סם כמקרה שיקום, ניתן למצוא בפסיקת בית המשפט העליון ובכלל, ברובה חרג בית המשפט ממתחם העונש והעמידו על תקופת מאסר קצרה יותר שניתנת לריצוי בדרך של עבודות שירות. כך </w:t>
      </w:r>
      <w:r>
        <w:rPr>
          <w:rFonts w:ascii="Calibri" w:hAnsi="Calibri"/>
          <w:u w:val="single"/>
          <w:rtl/>
        </w:rPr>
        <w:t>ב</w:t>
      </w:r>
      <w:hyperlink r:id="rId31" w:history="1">
        <w:r w:rsidR="00F54FC4" w:rsidRPr="00F54FC4">
          <w:rPr>
            <w:rFonts w:ascii="Calibri" w:hAnsi="Calibri" w:hint="eastAsia"/>
            <w:color w:val="0000FF"/>
            <w:u w:val="single"/>
            <w:rtl/>
          </w:rPr>
          <w:t>ע</w:t>
        </w:r>
        <w:r w:rsidR="00F54FC4" w:rsidRPr="00F54FC4">
          <w:rPr>
            <w:rFonts w:ascii="Calibri" w:hAnsi="Calibri"/>
            <w:color w:val="0000FF"/>
            <w:u w:val="single"/>
            <w:rtl/>
          </w:rPr>
          <w:t>"</w:t>
        </w:r>
        <w:r w:rsidR="00F54FC4" w:rsidRPr="00F54FC4">
          <w:rPr>
            <w:rFonts w:ascii="Calibri" w:hAnsi="Calibri" w:hint="eastAsia"/>
            <w:color w:val="0000FF"/>
            <w:u w:val="single"/>
            <w:rtl/>
          </w:rPr>
          <w:t>פ</w:t>
        </w:r>
        <w:r w:rsidR="00F54FC4" w:rsidRPr="00F54FC4">
          <w:rPr>
            <w:rFonts w:ascii="Calibri" w:hAnsi="Calibri"/>
            <w:color w:val="0000FF"/>
            <w:u w:val="single"/>
            <w:rtl/>
          </w:rPr>
          <w:t xml:space="preserve"> 6161/16</w:t>
        </w:r>
      </w:hyperlink>
      <w:r>
        <w:rPr>
          <w:rFonts w:ascii="Calibri" w:hAnsi="Calibri"/>
          <w:rtl/>
        </w:rPr>
        <w:t xml:space="preserve"> </w:t>
      </w:r>
      <w:r>
        <w:rPr>
          <w:rFonts w:ascii="Calibri" w:hAnsi="Calibri"/>
          <w:b/>
          <w:bCs/>
          <w:rtl/>
        </w:rPr>
        <w:t>יזרעאלוב נ' מדינת ישראל</w:t>
      </w:r>
      <w:r>
        <w:rPr>
          <w:rFonts w:ascii="Calibri" w:hAnsi="Calibri"/>
          <w:rtl/>
        </w:rPr>
        <w:t xml:space="preserve"> (מיום 20.2.17) הדן בעניינו של מערער שהורשע במספר עבירות סחר ועבירות נוספות ונדון ע"י בית המשפט המחוזי ל-8 חודשי מאסר. בית המשפט העליון (כב' השופט מלצר) מצא נוכח נסיבות הנאשם והליך השיקום בו החל, להעדיף אינטרס השיקום וליתן להמלצת שירות המבחן משקל משמעותי יותר ועל כן הפחית עונשו של המערער והעמידו על 6 חודשי מאסר שירוצו בדרך של עבודות שירות. </w:t>
      </w:r>
    </w:p>
    <w:p w14:paraId="672E7EE2" w14:textId="77777777" w:rsidR="00862A2D" w:rsidRDefault="00862A2D" w:rsidP="00862A2D">
      <w:pPr>
        <w:rPr>
          <w:rFonts w:ascii="Calibri" w:hAnsi="Calibri"/>
        </w:rPr>
      </w:pPr>
    </w:p>
    <w:p w14:paraId="7DC68462" w14:textId="77777777" w:rsidR="00862A2D" w:rsidRDefault="00862A2D" w:rsidP="00862A2D">
      <w:pPr>
        <w:spacing w:line="360" w:lineRule="auto"/>
        <w:ind w:left="502"/>
        <w:contextualSpacing/>
        <w:jc w:val="both"/>
        <w:rPr>
          <w:rFonts w:ascii="Calibri" w:hAnsi="Calibri"/>
          <w:rtl/>
        </w:rPr>
      </w:pPr>
      <w:r>
        <w:rPr>
          <w:rFonts w:ascii="Calibri" w:hAnsi="Calibri"/>
          <w:rtl/>
        </w:rPr>
        <w:t xml:space="preserve">עוד ראו: </w:t>
      </w:r>
      <w:hyperlink r:id="rId32" w:history="1">
        <w:r w:rsidR="00F54FC4" w:rsidRPr="00F54FC4">
          <w:rPr>
            <w:rFonts w:ascii="Calibri" w:hAnsi="Calibri" w:hint="eastAsia"/>
            <w:color w:val="0000FF"/>
            <w:u w:val="single"/>
            <w:rtl/>
          </w:rPr>
          <w:t>עפ</w:t>
        </w:r>
        <w:r w:rsidR="00F54FC4" w:rsidRPr="00F54FC4">
          <w:rPr>
            <w:rFonts w:ascii="Calibri" w:hAnsi="Calibri"/>
            <w:color w:val="0000FF"/>
            <w:u w:val="single"/>
            <w:rtl/>
          </w:rPr>
          <w:t>"</w:t>
        </w:r>
        <w:r w:rsidR="00F54FC4" w:rsidRPr="00F54FC4">
          <w:rPr>
            <w:rFonts w:ascii="Calibri" w:hAnsi="Calibri" w:hint="eastAsia"/>
            <w:color w:val="0000FF"/>
            <w:u w:val="single"/>
            <w:rtl/>
          </w:rPr>
          <w:t>ג</w:t>
        </w:r>
        <w:r w:rsidR="00F54FC4" w:rsidRPr="00F54FC4">
          <w:rPr>
            <w:rFonts w:ascii="Calibri" w:hAnsi="Calibri"/>
            <w:color w:val="0000FF"/>
            <w:u w:val="single"/>
            <w:rtl/>
          </w:rPr>
          <w:t xml:space="preserve"> (</w:t>
        </w:r>
        <w:r w:rsidR="00F54FC4" w:rsidRPr="00F54FC4">
          <w:rPr>
            <w:rFonts w:ascii="Calibri" w:hAnsi="Calibri" w:hint="eastAsia"/>
            <w:color w:val="0000FF"/>
            <w:u w:val="single"/>
            <w:rtl/>
          </w:rPr>
          <w:t>מח</w:t>
        </w:r>
        <w:r w:rsidR="00F54FC4" w:rsidRPr="00F54FC4">
          <w:rPr>
            <w:rFonts w:ascii="Calibri" w:hAnsi="Calibri"/>
            <w:color w:val="0000FF"/>
            <w:u w:val="single"/>
            <w:rtl/>
          </w:rPr>
          <w:t>-</w:t>
        </w:r>
        <w:r w:rsidR="00F54FC4" w:rsidRPr="00F54FC4">
          <w:rPr>
            <w:rFonts w:ascii="Calibri" w:hAnsi="Calibri" w:hint="eastAsia"/>
            <w:color w:val="0000FF"/>
            <w:u w:val="single"/>
            <w:rtl/>
          </w:rPr>
          <w:t>חי</w:t>
        </w:r>
        <w:r w:rsidR="00F54FC4" w:rsidRPr="00F54FC4">
          <w:rPr>
            <w:rFonts w:ascii="Calibri" w:hAnsi="Calibri"/>
            <w:color w:val="0000FF"/>
            <w:u w:val="single"/>
            <w:rtl/>
          </w:rPr>
          <w:t>') 53142-12-16</w:t>
        </w:r>
      </w:hyperlink>
      <w:r>
        <w:rPr>
          <w:rFonts w:ascii="Calibri" w:hAnsi="Calibri"/>
          <w:rtl/>
        </w:rPr>
        <w:t xml:space="preserve"> </w:t>
      </w:r>
      <w:r>
        <w:rPr>
          <w:rFonts w:ascii="Calibri" w:hAnsi="Calibri"/>
          <w:b/>
          <w:bCs/>
          <w:rtl/>
        </w:rPr>
        <w:t>רחמימוב נ' מדינת ישראל</w:t>
      </w:r>
      <w:r>
        <w:rPr>
          <w:rFonts w:ascii="Calibri" w:hAnsi="Calibri"/>
          <w:rtl/>
        </w:rPr>
        <w:t>- נאשם שהורשע במספר רב של עבירות סחר בסם ועבירות נלוות ונדון ל-16 חודשי מאסר. בית המשפט המחוזי מצא להעדיף האינטרס השיקומי ולהימנע מהטלת מאסר בפועל והפחית עונשו ל-6 חודשי מאסר בדרך של עבודות שירות. בדרך דומה הילך בית המשפט ב</w:t>
      </w:r>
      <w:hyperlink r:id="rId33" w:history="1">
        <w:r w:rsidR="00F54FC4" w:rsidRPr="00F54FC4">
          <w:rPr>
            <w:rFonts w:ascii="Calibri" w:hAnsi="Calibri" w:hint="eastAsia"/>
            <w:color w:val="0000FF"/>
            <w:u w:val="single"/>
            <w:rtl/>
          </w:rPr>
          <w:t>ת</w:t>
        </w:r>
        <w:r w:rsidR="00F54FC4" w:rsidRPr="00F54FC4">
          <w:rPr>
            <w:rFonts w:ascii="Calibri" w:hAnsi="Calibri"/>
            <w:color w:val="0000FF"/>
            <w:u w:val="single"/>
            <w:rtl/>
          </w:rPr>
          <w:t>"</w:t>
        </w:r>
        <w:r w:rsidR="00F54FC4" w:rsidRPr="00F54FC4">
          <w:rPr>
            <w:rFonts w:ascii="Calibri" w:hAnsi="Calibri" w:hint="eastAsia"/>
            <w:color w:val="0000FF"/>
            <w:u w:val="single"/>
            <w:rtl/>
          </w:rPr>
          <w:t>פ</w:t>
        </w:r>
        <w:r w:rsidR="00F54FC4" w:rsidRPr="00F54FC4">
          <w:rPr>
            <w:rFonts w:ascii="Calibri" w:hAnsi="Calibri"/>
            <w:color w:val="0000FF"/>
            <w:u w:val="single"/>
            <w:rtl/>
          </w:rPr>
          <w:t xml:space="preserve"> 8843-02-15</w:t>
        </w:r>
      </w:hyperlink>
      <w:r>
        <w:rPr>
          <w:rFonts w:ascii="Calibri" w:hAnsi="Calibri"/>
          <w:rtl/>
        </w:rPr>
        <w:t xml:space="preserve"> (מח-מרכז) </w:t>
      </w:r>
      <w:r>
        <w:rPr>
          <w:rFonts w:ascii="Calibri" w:hAnsi="Calibri"/>
          <w:b/>
          <w:bCs/>
          <w:rtl/>
        </w:rPr>
        <w:t>מדינת ישראל נ' בוז'רנו</w:t>
      </w:r>
      <w:r>
        <w:rPr>
          <w:rFonts w:ascii="Calibri" w:hAnsi="Calibri"/>
          <w:rtl/>
        </w:rPr>
        <w:t xml:space="preserve"> (גידול סם במשקל 92 ק"ג) (מפי כב' הש' מרשק-מרום); </w:t>
      </w:r>
      <w:hyperlink r:id="rId34" w:history="1">
        <w:r w:rsidR="00F54FC4" w:rsidRPr="00F54FC4">
          <w:rPr>
            <w:rFonts w:ascii="Calibri" w:hAnsi="Calibri" w:hint="eastAsia"/>
            <w:color w:val="0000FF"/>
            <w:u w:val="single"/>
            <w:rtl/>
          </w:rPr>
          <w:t>ת</w:t>
        </w:r>
        <w:r w:rsidR="00F54FC4" w:rsidRPr="00F54FC4">
          <w:rPr>
            <w:rFonts w:ascii="Calibri" w:hAnsi="Calibri"/>
            <w:color w:val="0000FF"/>
            <w:u w:val="single"/>
            <w:rtl/>
          </w:rPr>
          <w:t>"</w:t>
        </w:r>
        <w:r w:rsidR="00F54FC4" w:rsidRPr="00F54FC4">
          <w:rPr>
            <w:rFonts w:ascii="Calibri" w:hAnsi="Calibri" w:hint="eastAsia"/>
            <w:color w:val="0000FF"/>
            <w:u w:val="single"/>
            <w:rtl/>
          </w:rPr>
          <w:t>פ</w:t>
        </w:r>
        <w:r w:rsidR="00F54FC4" w:rsidRPr="00F54FC4">
          <w:rPr>
            <w:rFonts w:ascii="Calibri" w:hAnsi="Calibri"/>
            <w:color w:val="0000FF"/>
            <w:u w:val="single"/>
            <w:rtl/>
          </w:rPr>
          <w:t>(</w:t>
        </w:r>
        <w:r w:rsidR="00F54FC4" w:rsidRPr="00F54FC4">
          <w:rPr>
            <w:rFonts w:ascii="Calibri" w:hAnsi="Calibri" w:hint="eastAsia"/>
            <w:color w:val="0000FF"/>
            <w:u w:val="single"/>
            <w:rtl/>
          </w:rPr>
          <w:t>שלום</w:t>
        </w:r>
        <w:r w:rsidR="00F54FC4" w:rsidRPr="00F54FC4">
          <w:rPr>
            <w:rFonts w:ascii="Calibri" w:hAnsi="Calibri"/>
            <w:color w:val="0000FF"/>
            <w:u w:val="single"/>
            <w:rtl/>
          </w:rPr>
          <w:t xml:space="preserve">- </w:t>
        </w:r>
        <w:r w:rsidR="00F54FC4" w:rsidRPr="00F54FC4">
          <w:rPr>
            <w:rFonts w:ascii="Calibri" w:hAnsi="Calibri" w:hint="eastAsia"/>
            <w:color w:val="0000FF"/>
            <w:u w:val="single"/>
            <w:rtl/>
          </w:rPr>
          <w:t>רמ</w:t>
        </w:r>
        <w:r w:rsidR="00F54FC4" w:rsidRPr="00F54FC4">
          <w:rPr>
            <w:rFonts w:ascii="Calibri" w:hAnsi="Calibri"/>
            <w:color w:val="0000FF"/>
            <w:u w:val="single"/>
            <w:rtl/>
          </w:rPr>
          <w:t>') 49401-08-15</w:t>
        </w:r>
      </w:hyperlink>
      <w:r>
        <w:rPr>
          <w:rFonts w:ascii="Calibri" w:hAnsi="Calibri"/>
          <w:rtl/>
        </w:rPr>
        <w:t xml:space="preserve">  </w:t>
      </w:r>
      <w:r>
        <w:rPr>
          <w:rFonts w:ascii="Calibri" w:hAnsi="Calibri"/>
          <w:b/>
          <w:bCs/>
          <w:rtl/>
        </w:rPr>
        <w:t>מדינת ישראל נ' יהל</w:t>
      </w:r>
      <w:r>
        <w:rPr>
          <w:rFonts w:ascii="Calibri" w:hAnsi="Calibri"/>
          <w:rtl/>
        </w:rPr>
        <w:t xml:space="preserve"> (מפי כב' השופט קובו); </w:t>
      </w:r>
      <w:hyperlink r:id="rId35" w:history="1">
        <w:r w:rsidR="00F54FC4" w:rsidRPr="00F54FC4">
          <w:rPr>
            <w:rFonts w:ascii="Calibri" w:hAnsi="Calibri" w:hint="eastAsia"/>
            <w:color w:val="0000FF"/>
            <w:u w:val="single"/>
            <w:rtl/>
          </w:rPr>
          <w:t>ת</w:t>
        </w:r>
        <w:r w:rsidR="00F54FC4" w:rsidRPr="00F54FC4">
          <w:rPr>
            <w:rFonts w:ascii="Calibri" w:hAnsi="Calibri"/>
            <w:color w:val="0000FF"/>
            <w:u w:val="single"/>
            <w:rtl/>
          </w:rPr>
          <w:t>"</w:t>
        </w:r>
        <w:r w:rsidR="00F54FC4" w:rsidRPr="00F54FC4">
          <w:rPr>
            <w:rFonts w:ascii="Calibri" w:hAnsi="Calibri" w:hint="eastAsia"/>
            <w:color w:val="0000FF"/>
            <w:u w:val="single"/>
            <w:rtl/>
          </w:rPr>
          <w:t>פ</w:t>
        </w:r>
        <w:r w:rsidR="00F54FC4" w:rsidRPr="00F54FC4">
          <w:rPr>
            <w:rFonts w:ascii="Calibri" w:hAnsi="Calibri"/>
            <w:color w:val="0000FF"/>
            <w:u w:val="single"/>
            <w:rtl/>
          </w:rPr>
          <w:t xml:space="preserve"> (</w:t>
        </w:r>
        <w:r w:rsidR="00F54FC4" w:rsidRPr="00F54FC4">
          <w:rPr>
            <w:rFonts w:ascii="Calibri" w:hAnsi="Calibri" w:hint="eastAsia"/>
            <w:color w:val="0000FF"/>
            <w:u w:val="single"/>
            <w:rtl/>
          </w:rPr>
          <w:t>שלום</w:t>
        </w:r>
        <w:r w:rsidR="00F54FC4" w:rsidRPr="00F54FC4">
          <w:rPr>
            <w:rFonts w:ascii="Calibri" w:hAnsi="Calibri"/>
            <w:color w:val="0000FF"/>
            <w:u w:val="single"/>
            <w:rtl/>
          </w:rPr>
          <w:t>-</w:t>
        </w:r>
        <w:r w:rsidR="00F54FC4" w:rsidRPr="00F54FC4">
          <w:rPr>
            <w:rFonts w:ascii="Calibri" w:hAnsi="Calibri" w:hint="eastAsia"/>
            <w:color w:val="0000FF"/>
            <w:u w:val="single"/>
            <w:rtl/>
          </w:rPr>
          <w:t>נת</w:t>
        </w:r>
        <w:r w:rsidR="00F54FC4" w:rsidRPr="00F54FC4">
          <w:rPr>
            <w:rFonts w:ascii="Calibri" w:hAnsi="Calibri"/>
            <w:color w:val="0000FF"/>
            <w:u w:val="single"/>
            <w:rtl/>
          </w:rPr>
          <w:t>')  6553-05-14</w:t>
        </w:r>
      </w:hyperlink>
      <w:r>
        <w:rPr>
          <w:rFonts w:ascii="Calibri" w:hAnsi="Calibri"/>
          <w:rtl/>
        </w:rPr>
        <w:t xml:space="preserve"> </w:t>
      </w:r>
      <w:r>
        <w:rPr>
          <w:rFonts w:ascii="Calibri" w:hAnsi="Calibri"/>
          <w:b/>
          <w:bCs/>
          <w:rtl/>
        </w:rPr>
        <w:t>מדינת ישראל נ' זרחאי</w:t>
      </w:r>
      <w:r>
        <w:rPr>
          <w:rFonts w:ascii="Calibri" w:hAnsi="Calibri"/>
          <w:rtl/>
        </w:rPr>
        <w:t xml:space="preserve"> (מפי סג"נ הש' טרסי).אציין גם פסיקה שהוגשה ע"י ההגנה ובין היתר, ת"פ (ב"ש) 2782/05 </w:t>
      </w:r>
      <w:r>
        <w:rPr>
          <w:rFonts w:ascii="Calibri" w:hAnsi="Calibri"/>
          <w:b/>
          <w:bCs/>
          <w:rtl/>
        </w:rPr>
        <w:t>מדינת ישראל נ' אלהוזייל</w:t>
      </w:r>
      <w:r>
        <w:rPr>
          <w:rFonts w:ascii="Calibri" w:hAnsi="Calibri"/>
          <w:rtl/>
        </w:rPr>
        <w:t xml:space="preserve">; </w:t>
      </w:r>
      <w:hyperlink r:id="rId36" w:history="1">
        <w:r w:rsidR="00F54FC4" w:rsidRPr="00F54FC4">
          <w:rPr>
            <w:rFonts w:ascii="Calibri" w:hAnsi="Calibri" w:hint="eastAsia"/>
            <w:color w:val="0000FF"/>
            <w:u w:val="single"/>
            <w:rtl/>
          </w:rPr>
          <w:t>ת</w:t>
        </w:r>
        <w:r w:rsidR="00F54FC4" w:rsidRPr="00F54FC4">
          <w:rPr>
            <w:rFonts w:ascii="Calibri" w:hAnsi="Calibri"/>
            <w:color w:val="0000FF"/>
            <w:u w:val="single"/>
            <w:rtl/>
          </w:rPr>
          <w:t>"</w:t>
        </w:r>
        <w:r w:rsidR="00F54FC4" w:rsidRPr="00F54FC4">
          <w:rPr>
            <w:rFonts w:ascii="Calibri" w:hAnsi="Calibri" w:hint="eastAsia"/>
            <w:color w:val="0000FF"/>
            <w:u w:val="single"/>
            <w:rtl/>
          </w:rPr>
          <w:t>פ</w:t>
        </w:r>
        <w:r w:rsidR="00F54FC4" w:rsidRPr="00F54FC4">
          <w:rPr>
            <w:rFonts w:ascii="Calibri" w:hAnsi="Calibri"/>
            <w:color w:val="0000FF"/>
            <w:u w:val="single"/>
            <w:rtl/>
          </w:rPr>
          <w:t xml:space="preserve"> (</w:t>
        </w:r>
        <w:r w:rsidR="00F54FC4" w:rsidRPr="00F54FC4">
          <w:rPr>
            <w:rFonts w:ascii="Calibri" w:hAnsi="Calibri" w:hint="eastAsia"/>
            <w:color w:val="0000FF"/>
            <w:u w:val="single"/>
            <w:rtl/>
          </w:rPr>
          <w:t>חיפה</w:t>
        </w:r>
        <w:r w:rsidR="00F54FC4" w:rsidRPr="00F54FC4">
          <w:rPr>
            <w:rFonts w:ascii="Calibri" w:hAnsi="Calibri"/>
            <w:color w:val="0000FF"/>
            <w:u w:val="single"/>
            <w:rtl/>
          </w:rPr>
          <w:t>) 18436-06-16</w:t>
        </w:r>
      </w:hyperlink>
      <w:r>
        <w:rPr>
          <w:rFonts w:ascii="Calibri" w:hAnsi="Calibri"/>
          <w:rtl/>
        </w:rPr>
        <w:t xml:space="preserve"> </w:t>
      </w:r>
      <w:r>
        <w:rPr>
          <w:rFonts w:ascii="Calibri" w:hAnsi="Calibri"/>
          <w:b/>
          <w:bCs/>
          <w:rtl/>
        </w:rPr>
        <w:t>מדינת ישראל נ' זגורי</w:t>
      </w:r>
      <w:r>
        <w:rPr>
          <w:rFonts w:ascii="Calibri" w:hAnsi="Calibri"/>
          <w:rtl/>
        </w:rPr>
        <w:t xml:space="preserve"> ו- </w:t>
      </w:r>
      <w:hyperlink r:id="rId37" w:history="1">
        <w:r w:rsidR="00F54FC4" w:rsidRPr="00F54FC4">
          <w:rPr>
            <w:rFonts w:ascii="Calibri" w:hAnsi="Calibri" w:hint="eastAsia"/>
            <w:color w:val="0000FF"/>
            <w:u w:val="single"/>
            <w:rtl/>
          </w:rPr>
          <w:t>ת</w:t>
        </w:r>
        <w:r w:rsidR="00F54FC4" w:rsidRPr="00F54FC4">
          <w:rPr>
            <w:rFonts w:ascii="Calibri" w:hAnsi="Calibri"/>
            <w:color w:val="0000FF"/>
            <w:u w:val="single"/>
            <w:rtl/>
          </w:rPr>
          <w:t>"</w:t>
        </w:r>
        <w:r w:rsidR="00F54FC4" w:rsidRPr="00F54FC4">
          <w:rPr>
            <w:rFonts w:ascii="Calibri" w:hAnsi="Calibri" w:hint="eastAsia"/>
            <w:color w:val="0000FF"/>
            <w:u w:val="single"/>
            <w:rtl/>
          </w:rPr>
          <w:t>פ</w:t>
        </w:r>
        <w:r w:rsidR="00F54FC4" w:rsidRPr="00F54FC4">
          <w:rPr>
            <w:rFonts w:ascii="Calibri" w:hAnsi="Calibri"/>
            <w:color w:val="0000FF"/>
            <w:u w:val="single"/>
            <w:rtl/>
          </w:rPr>
          <w:t xml:space="preserve"> 51-06-08</w:t>
        </w:r>
      </w:hyperlink>
      <w:r>
        <w:rPr>
          <w:rFonts w:ascii="Calibri" w:hAnsi="Calibri"/>
          <w:rtl/>
        </w:rPr>
        <w:t xml:space="preserve"> (חדרה) </w:t>
      </w:r>
      <w:r>
        <w:rPr>
          <w:rFonts w:ascii="Calibri" w:hAnsi="Calibri"/>
          <w:b/>
          <w:bCs/>
          <w:rtl/>
        </w:rPr>
        <w:t>מדינת ישראל נ' ג'בארין</w:t>
      </w:r>
      <w:r>
        <w:rPr>
          <w:rFonts w:ascii="Calibri" w:hAnsi="Calibri"/>
          <w:rtl/>
        </w:rPr>
        <w:t>.</w:t>
      </w:r>
    </w:p>
    <w:p w14:paraId="43D18D1A" w14:textId="77777777" w:rsidR="00862A2D" w:rsidRDefault="00862A2D" w:rsidP="00862A2D">
      <w:pPr>
        <w:spacing w:line="360" w:lineRule="auto"/>
        <w:jc w:val="both"/>
        <w:rPr>
          <w:rFonts w:ascii="Calibri" w:hAnsi="Calibri"/>
          <w:rtl/>
        </w:rPr>
      </w:pPr>
    </w:p>
    <w:p w14:paraId="591EEEB1" w14:textId="77777777" w:rsidR="00862A2D" w:rsidRDefault="00862A2D" w:rsidP="00862A2D">
      <w:pPr>
        <w:numPr>
          <w:ilvl w:val="0"/>
          <w:numId w:val="1"/>
        </w:numPr>
        <w:spacing w:line="360" w:lineRule="auto"/>
        <w:contextualSpacing/>
        <w:jc w:val="both"/>
        <w:rPr>
          <w:rFonts w:ascii="Calibri" w:hAnsi="Calibri"/>
        </w:rPr>
      </w:pPr>
      <w:r>
        <w:rPr>
          <w:rFonts w:ascii="Calibri" w:hAnsi="Calibri"/>
          <w:rtl/>
        </w:rPr>
        <w:t xml:space="preserve">הסוגיה האחרונה שנותר לבחון הינה, האם כעתירת ההגנה יש לחרוג חריגה כה משמעותית ממתחם הענישה, לקבוע עונש שרובו ככולו שיקומי ולהסתפק בצו של"צ כהמלצת שירות המבחן או ענישה הנותנת ביטוי גם לחומרת המעשים והאינטרסים הציבוריים המהותיים שעומדים מאחורי המלחמה העיקשת בנגע הסם. </w:t>
      </w:r>
    </w:p>
    <w:p w14:paraId="12B7EAC0" w14:textId="77777777" w:rsidR="00862A2D" w:rsidRDefault="00862A2D" w:rsidP="00862A2D">
      <w:pPr>
        <w:rPr>
          <w:rFonts w:ascii="Calibri" w:hAnsi="Calibri"/>
        </w:rPr>
      </w:pPr>
    </w:p>
    <w:p w14:paraId="34B57130" w14:textId="77777777" w:rsidR="00862A2D" w:rsidRDefault="00862A2D" w:rsidP="00862A2D">
      <w:pPr>
        <w:rPr>
          <w:rFonts w:ascii="Arial" w:hAnsi="Arial"/>
          <w:rtl/>
        </w:rPr>
      </w:pPr>
    </w:p>
    <w:p w14:paraId="2FC40313" w14:textId="77777777" w:rsidR="00862A2D" w:rsidRDefault="00862A2D" w:rsidP="00862A2D">
      <w:pPr>
        <w:pStyle w:val="a9"/>
        <w:numPr>
          <w:ilvl w:val="0"/>
          <w:numId w:val="1"/>
        </w:numPr>
        <w:spacing w:line="360" w:lineRule="auto"/>
        <w:jc w:val="both"/>
        <w:rPr>
          <w:rFonts w:ascii="Arial" w:hAnsi="Arial"/>
          <w:rtl/>
        </w:rPr>
      </w:pPr>
      <w:r>
        <w:rPr>
          <w:rFonts w:ascii="Calibri" w:hAnsi="Calibri"/>
          <w:rtl/>
        </w:rPr>
        <w:t xml:space="preserve">בבואי לגזור עונשו של הנאשם, מצאתי כי ההליך השיקומי שעובר, השינוי המשמעותי באורחות חייו, ניקיונו מסמים וחלוף הזמן מאפשרים לחרוג חריגה משמעותית ממתחם הענישה. אין מקום להסתפק בענישה חינוכית בדמות צו של"צ שאף אינה הולמת חומרת מעשיו וטיבם. </w:t>
      </w:r>
      <w:r>
        <w:rPr>
          <w:rFonts w:ascii="Arial" w:hAnsi="Arial"/>
          <w:rtl/>
        </w:rPr>
        <w:t>יפים בעניינו דברי בית המשפט ברע"פ</w:t>
      </w:r>
      <w:r>
        <w:rPr>
          <w:rFonts w:ascii="Arial" w:hAnsi="Arial"/>
          <w:b/>
          <w:bCs/>
          <w:sz w:val="30"/>
          <w:szCs w:val="30"/>
          <w:u w:val="single"/>
          <w:rtl/>
        </w:rPr>
        <w:t xml:space="preserve"> </w:t>
      </w:r>
      <w:r>
        <w:rPr>
          <w:rFonts w:ascii="Arial" w:hAnsi="Arial"/>
          <w:rtl/>
        </w:rPr>
        <w:t>פלג נ' מדינת ישראל (מיום 13/8/15), לפיהן "</w:t>
      </w:r>
      <w:r>
        <w:rPr>
          <w:rFonts w:ascii="Arial" w:hAnsi="Arial"/>
          <w:b/>
          <w:bCs/>
          <w:rtl/>
        </w:rPr>
        <w:t>אכן, בית המשפט רשאי להעניק בכורה לשיקולי שיקום בבואו לקבוע את העונש המתאים, ואכן ניכר כי המבקש צועד בדרך הנכונה לשיקומו. אך לצד זאת, עומדת הפגיעה הקשה בערכים המוגנים של הגנה על שלום הציבור, והצורך במיגור תופעת הסחר בסמים</w:t>
      </w:r>
      <w:r>
        <w:rPr>
          <w:rFonts w:ascii="Arial" w:hAnsi="Arial"/>
          <w:rtl/>
        </w:rPr>
        <w:t>".</w:t>
      </w:r>
    </w:p>
    <w:p w14:paraId="0DB6B211" w14:textId="77777777" w:rsidR="00862A2D" w:rsidRDefault="00862A2D" w:rsidP="00862A2D">
      <w:pPr>
        <w:pStyle w:val="a9"/>
        <w:spacing w:line="360" w:lineRule="auto"/>
        <w:ind w:left="502"/>
        <w:jc w:val="both"/>
        <w:rPr>
          <w:rFonts w:ascii="Arial" w:hAnsi="Arial"/>
        </w:rPr>
      </w:pPr>
    </w:p>
    <w:p w14:paraId="34D9F890" w14:textId="77777777" w:rsidR="00862A2D" w:rsidRDefault="00862A2D" w:rsidP="00862A2D">
      <w:pPr>
        <w:numPr>
          <w:ilvl w:val="0"/>
          <w:numId w:val="1"/>
        </w:numPr>
        <w:spacing w:line="360" w:lineRule="auto"/>
        <w:contextualSpacing/>
        <w:jc w:val="both"/>
        <w:rPr>
          <w:rFonts w:ascii="Calibri" w:hAnsi="Calibri"/>
          <w:rtl/>
        </w:rPr>
      </w:pPr>
      <w:r>
        <w:rPr>
          <w:rFonts w:ascii="Calibri" w:hAnsi="Calibri"/>
          <w:rtl/>
        </w:rPr>
        <w:t xml:space="preserve">אני ערה לעמדת שירות המבחן הממליצה להימנע מלהטיל על הנאשם מאסר ולו בדרך של עבודות שירות אלא שהמלצה זו לבדה אינה נותנת כל ביטוי לשיקולים נוספים למעט טובת הנאשם וחוטאת לרוח הפסיקה המבקשת להעביר מסר בלתי סלחני כלפי עברייני הסמים. על כן, מצאתי לגזור על הנאשם מאסר מתון בדרך של עבודת שירות לצד ענישה נלווית וצו מבחן.  מטעמי שיקום, ומאחר שאף לא הוצגו ראיות חותכות בעניין זה, אמנע גם מלהכריז על הנאשם כסוחר סמים. </w:t>
      </w:r>
    </w:p>
    <w:p w14:paraId="2921839B" w14:textId="77777777" w:rsidR="00862A2D" w:rsidRDefault="00862A2D" w:rsidP="00862A2D">
      <w:pPr>
        <w:ind w:left="502"/>
        <w:contextualSpacing/>
        <w:jc w:val="both"/>
        <w:rPr>
          <w:rFonts w:ascii="Calibri" w:hAnsi="Calibri"/>
          <w:rtl/>
        </w:rPr>
      </w:pPr>
    </w:p>
    <w:p w14:paraId="05C29C3E" w14:textId="77777777" w:rsidR="00862A2D" w:rsidRDefault="00862A2D" w:rsidP="00862A2D">
      <w:pPr>
        <w:spacing w:line="360" w:lineRule="auto"/>
        <w:contextualSpacing/>
        <w:jc w:val="both"/>
        <w:rPr>
          <w:rFonts w:ascii="Calibri" w:hAnsi="Calibri"/>
          <w:rtl/>
        </w:rPr>
      </w:pPr>
    </w:p>
    <w:p w14:paraId="15F09C37" w14:textId="77777777" w:rsidR="00862A2D" w:rsidRDefault="00862A2D" w:rsidP="00862A2D">
      <w:pPr>
        <w:spacing w:after="160" w:line="360" w:lineRule="auto"/>
        <w:ind w:firstLine="360"/>
        <w:contextualSpacing/>
        <w:jc w:val="both"/>
        <w:rPr>
          <w:rFonts w:ascii="Calibri" w:hAnsi="Calibri" w:cs="Calibri"/>
          <w:b/>
          <w:bCs/>
          <w:u w:val="single"/>
        </w:rPr>
      </w:pPr>
      <w:r>
        <w:rPr>
          <w:rFonts w:ascii="Calibri" w:hAnsi="Calibri"/>
          <w:b/>
          <w:bCs/>
          <w:u w:val="single"/>
          <w:rtl/>
        </w:rPr>
        <w:t>אשר על כן</w:t>
      </w:r>
      <w:r>
        <w:rPr>
          <w:rFonts w:ascii="Calibri" w:hAnsi="Calibri"/>
          <w:u w:val="single"/>
          <w:rtl/>
        </w:rPr>
        <w:t xml:space="preserve">  </w:t>
      </w:r>
      <w:r>
        <w:rPr>
          <w:rFonts w:ascii="Calibri" w:hAnsi="Calibri"/>
          <w:b/>
          <w:bCs/>
          <w:u w:val="single"/>
          <w:rtl/>
        </w:rPr>
        <w:t>הנני גוזרת על הנאשם את העונשים כדלקמן</w:t>
      </w:r>
      <w:r>
        <w:rPr>
          <w:rFonts w:ascii="Calibri" w:hAnsi="Calibri" w:cs="Calibri" w:hint="cs"/>
          <w:b/>
          <w:bCs/>
          <w:u w:val="single"/>
          <w:rtl/>
        </w:rPr>
        <w:t>:</w:t>
      </w:r>
    </w:p>
    <w:p w14:paraId="4AA5AB78" w14:textId="77777777" w:rsidR="00862A2D" w:rsidRDefault="00862A2D" w:rsidP="00862A2D">
      <w:pPr>
        <w:numPr>
          <w:ilvl w:val="0"/>
          <w:numId w:val="2"/>
        </w:numPr>
        <w:spacing w:line="360" w:lineRule="auto"/>
        <w:contextualSpacing/>
        <w:jc w:val="both"/>
        <w:rPr>
          <w:rFonts w:ascii="Calibri" w:hAnsi="Calibri"/>
          <w:u w:val="single"/>
        </w:rPr>
      </w:pPr>
      <w:r>
        <w:rPr>
          <w:rFonts w:ascii="Calibri" w:hAnsi="Calibri"/>
          <w:rtl/>
        </w:rPr>
        <w:t xml:space="preserve">5 חודשים  שירוצו בדרך של עבודות שירות. הנאשם ירצה עבודות שירות בעמותה לרכיבה וכלבנות טיפולית  החל מיום 27.7.20, בימים א'-ה', לפי טווח השעות שיקבע הממונה. </w:t>
      </w:r>
    </w:p>
    <w:p w14:paraId="50AFEAFE" w14:textId="77777777" w:rsidR="00862A2D" w:rsidRDefault="00862A2D" w:rsidP="00862A2D">
      <w:pPr>
        <w:numPr>
          <w:ilvl w:val="0"/>
          <w:numId w:val="2"/>
        </w:numPr>
        <w:spacing w:line="360" w:lineRule="auto"/>
        <w:contextualSpacing/>
        <w:jc w:val="both"/>
        <w:rPr>
          <w:rFonts w:ascii="Calibri" w:hAnsi="Calibri"/>
        </w:rPr>
      </w:pPr>
      <w:r>
        <w:rPr>
          <w:rFonts w:ascii="Calibri" w:hAnsi="Calibri"/>
          <w:rtl/>
        </w:rPr>
        <w:t xml:space="preserve">בית המשפט מבהיר לנאשם כי אם לא ישתף פעולה עם הממונה כנדרש, ניתן יהיה להפקיע העבודות ולהמירן במאסר ממש. </w:t>
      </w:r>
    </w:p>
    <w:p w14:paraId="07D6E84B" w14:textId="77777777" w:rsidR="00862A2D" w:rsidRDefault="00862A2D" w:rsidP="00862A2D">
      <w:pPr>
        <w:numPr>
          <w:ilvl w:val="0"/>
          <w:numId w:val="2"/>
        </w:numPr>
        <w:spacing w:line="360" w:lineRule="auto"/>
        <w:jc w:val="both"/>
      </w:pPr>
      <w:r>
        <w:rPr>
          <w:rtl/>
        </w:rPr>
        <w:t>6 חודשי מאסר על תנאי, לבל יעבור הנאשם עבירות סמים מסוג פשע במשך שלוש שנים מהיום.</w:t>
      </w:r>
    </w:p>
    <w:p w14:paraId="5A9A4CCD" w14:textId="77777777" w:rsidR="00862A2D" w:rsidRDefault="00862A2D" w:rsidP="00862A2D">
      <w:pPr>
        <w:numPr>
          <w:ilvl w:val="0"/>
          <w:numId w:val="2"/>
        </w:numPr>
        <w:spacing w:line="360" w:lineRule="auto"/>
        <w:jc w:val="both"/>
      </w:pPr>
      <w:r>
        <w:rPr>
          <w:rtl/>
        </w:rPr>
        <w:t xml:space="preserve">3 חודשי מאסר על תנאי, לבל יעבור הנאשם עבירות סמים מסוג עוון. </w:t>
      </w:r>
    </w:p>
    <w:p w14:paraId="6C814038" w14:textId="77777777" w:rsidR="00862A2D" w:rsidRDefault="00862A2D" w:rsidP="00862A2D">
      <w:pPr>
        <w:numPr>
          <w:ilvl w:val="0"/>
          <w:numId w:val="2"/>
        </w:numPr>
        <w:spacing w:line="360" w:lineRule="auto"/>
        <w:jc w:val="both"/>
      </w:pPr>
      <w:r>
        <w:rPr>
          <w:rtl/>
        </w:rPr>
        <w:t xml:space="preserve">קנס בסך 1500 ש"ח  או 14 ימי מאסר תמורתו. הקנס ישולם בשלושה תשלומים שווים ורצופים החל מיום </w:t>
      </w:r>
      <w:r>
        <w:rPr>
          <w:rFonts w:hint="cs"/>
          <w:rtl/>
        </w:rPr>
        <w:t>1.8.20.</w:t>
      </w:r>
      <w:r>
        <w:rPr>
          <w:rtl/>
        </w:rPr>
        <w:t xml:space="preserve"> </w:t>
      </w:r>
    </w:p>
    <w:p w14:paraId="358985D4" w14:textId="77777777" w:rsidR="00862A2D" w:rsidRDefault="00862A2D" w:rsidP="00862A2D">
      <w:pPr>
        <w:numPr>
          <w:ilvl w:val="0"/>
          <w:numId w:val="2"/>
        </w:numPr>
        <w:spacing w:line="360" w:lineRule="auto"/>
        <w:jc w:val="both"/>
      </w:pPr>
      <w:r>
        <w:rPr>
          <w:rtl/>
        </w:rPr>
        <w:t xml:space="preserve">מעמידה הנאשם בפיקוח שירות המבחן למשך שנה מהיום. הנאשם מוזהר כי העדר שיתוף פעולה יביא להפקעת הצו והטלת עונש אחר תחתיו. </w:t>
      </w:r>
    </w:p>
    <w:p w14:paraId="77DFD5A0" w14:textId="77777777" w:rsidR="00862A2D" w:rsidRDefault="00862A2D" w:rsidP="00862A2D">
      <w:pPr>
        <w:numPr>
          <w:ilvl w:val="0"/>
          <w:numId w:val="2"/>
        </w:numPr>
        <w:spacing w:line="360" w:lineRule="auto"/>
        <w:jc w:val="both"/>
      </w:pPr>
      <w:r>
        <w:rPr>
          <w:rtl/>
        </w:rPr>
        <w:t>3 חודשים פסילה על תנאי לבל יעבור הנאשם עבירה על פקודת הסמים במשך שנתיים מהיום.</w:t>
      </w:r>
    </w:p>
    <w:p w14:paraId="6113637E" w14:textId="77777777" w:rsidR="00862A2D" w:rsidRDefault="00862A2D" w:rsidP="00862A2D">
      <w:pPr>
        <w:spacing w:line="360" w:lineRule="auto"/>
        <w:jc w:val="both"/>
        <w:rPr>
          <w:rFonts w:ascii="Calibri" w:hAnsi="Calibri"/>
        </w:rPr>
      </w:pPr>
    </w:p>
    <w:p w14:paraId="3FDCC917" w14:textId="77777777" w:rsidR="00862A2D" w:rsidRDefault="00862A2D" w:rsidP="00862A2D">
      <w:pPr>
        <w:spacing w:line="360" w:lineRule="auto"/>
        <w:rPr>
          <w:rFonts w:ascii="Arial" w:hAnsi="Arial"/>
        </w:rPr>
      </w:pPr>
      <w:r>
        <w:rPr>
          <w:rFonts w:ascii="Arial" w:hAnsi="Arial" w:hint="cs"/>
          <w:rtl/>
        </w:rPr>
        <w:t xml:space="preserve">  </w:t>
      </w:r>
      <w:r>
        <w:rPr>
          <w:rFonts w:ascii="Arial" w:hAnsi="Arial"/>
          <w:rtl/>
        </w:rPr>
        <w:t>הסמים וכלים</w:t>
      </w:r>
      <w:r>
        <w:rPr>
          <w:rFonts w:ascii="Arial" w:hAnsi="Arial" w:hint="cs"/>
          <w:rtl/>
        </w:rPr>
        <w:t xml:space="preserve"> </w:t>
      </w:r>
      <w:r>
        <w:rPr>
          <w:rFonts w:ascii="Arial" w:hAnsi="Arial"/>
          <w:rtl/>
        </w:rPr>
        <w:t>-</w:t>
      </w:r>
      <w:r>
        <w:rPr>
          <w:rFonts w:ascii="Arial" w:hAnsi="Arial" w:hint="cs"/>
          <w:rtl/>
        </w:rPr>
        <w:t xml:space="preserve"> </w:t>
      </w:r>
      <w:r>
        <w:rPr>
          <w:rFonts w:ascii="Arial" w:hAnsi="Arial"/>
          <w:rtl/>
        </w:rPr>
        <w:t xml:space="preserve">ושמדו. </w:t>
      </w:r>
    </w:p>
    <w:p w14:paraId="141B5BEA" w14:textId="77777777" w:rsidR="00862A2D" w:rsidRDefault="00862A2D" w:rsidP="00862A2D">
      <w:pPr>
        <w:spacing w:line="360" w:lineRule="auto"/>
        <w:rPr>
          <w:rFonts w:ascii="Arial" w:hAnsi="Arial"/>
          <w:rtl/>
        </w:rPr>
      </w:pPr>
    </w:p>
    <w:p w14:paraId="78A1CA57" w14:textId="77777777" w:rsidR="00862A2D" w:rsidRDefault="00862A2D" w:rsidP="00862A2D">
      <w:pPr>
        <w:spacing w:line="360" w:lineRule="auto"/>
        <w:rPr>
          <w:rFonts w:ascii="Arial" w:hAnsi="Arial"/>
          <w:b/>
          <w:bCs/>
          <w:rtl/>
        </w:rPr>
      </w:pPr>
      <w:r>
        <w:rPr>
          <w:rFonts w:ascii="Arial" w:hAnsi="Arial"/>
          <w:b/>
          <w:bCs/>
          <w:color w:val="FFFFFF"/>
          <w:sz w:val="2"/>
          <w:szCs w:val="2"/>
          <w:rtl/>
        </w:rPr>
        <w:t>5129371</w:t>
      </w:r>
      <w:r>
        <w:rPr>
          <w:rFonts w:ascii="Arial" w:hAnsi="Arial"/>
          <w:b/>
          <w:bCs/>
          <w:rtl/>
        </w:rPr>
        <w:t>זכות ערעור למחוזי כדין תוך 45 יום.</w:t>
      </w:r>
    </w:p>
    <w:p w14:paraId="71DC5D7E" w14:textId="77777777" w:rsidR="00862A2D" w:rsidRDefault="00862A2D" w:rsidP="00862A2D">
      <w:pPr>
        <w:spacing w:line="360" w:lineRule="auto"/>
        <w:rPr>
          <w:rFonts w:ascii="Arial" w:hAnsi="Arial"/>
          <w:color w:val="FFFFFF"/>
          <w:sz w:val="2"/>
          <w:szCs w:val="2"/>
          <w:rtl/>
        </w:rPr>
      </w:pPr>
      <w:r>
        <w:rPr>
          <w:rFonts w:ascii="Arial" w:hAnsi="Arial"/>
          <w:color w:val="FFFFFF"/>
          <w:sz w:val="2"/>
          <w:szCs w:val="2"/>
          <w:rtl/>
        </w:rPr>
        <w:t>54678313</w:t>
      </w:r>
    </w:p>
    <w:p w14:paraId="2DFBAE93" w14:textId="77777777" w:rsidR="00862A2D" w:rsidRDefault="00862A2D" w:rsidP="00862A2D">
      <w:pPr>
        <w:rPr>
          <w:rtl/>
        </w:rPr>
      </w:pPr>
    </w:p>
    <w:p w14:paraId="2B65045C" w14:textId="77777777" w:rsidR="00862A2D" w:rsidRPr="00F54FC4" w:rsidRDefault="00F54FC4" w:rsidP="00862A2D">
      <w:pPr>
        <w:rPr>
          <w:color w:val="FFFFFF"/>
          <w:sz w:val="2"/>
          <w:szCs w:val="2"/>
          <w:rtl/>
        </w:rPr>
      </w:pPr>
      <w:r w:rsidRPr="00F54FC4">
        <w:rPr>
          <w:color w:val="FFFFFF"/>
          <w:sz w:val="2"/>
          <w:szCs w:val="2"/>
          <w:rtl/>
        </w:rPr>
        <w:t>5129371</w:t>
      </w:r>
    </w:p>
    <w:p w14:paraId="5D6517C9" w14:textId="77777777" w:rsidR="00862A2D" w:rsidRDefault="00F54FC4" w:rsidP="00862A2D">
      <w:pPr>
        <w:rPr>
          <w:rFonts w:cs="FrankRuehl"/>
          <w:sz w:val="28"/>
          <w:szCs w:val="28"/>
          <w:rtl/>
        </w:rPr>
      </w:pPr>
      <w:bookmarkStart w:id="8" w:name="Nitan"/>
      <w:r w:rsidRPr="00F54FC4">
        <w:rPr>
          <w:rFonts w:ascii="Arial" w:hAnsi="Arial"/>
          <w:color w:val="FFFFFF"/>
          <w:sz w:val="2"/>
          <w:szCs w:val="2"/>
          <w:rtl/>
        </w:rPr>
        <w:t>54678313</w:t>
      </w:r>
      <w:r>
        <w:rPr>
          <w:rFonts w:ascii="Arial" w:hAnsi="Arial"/>
          <w:rtl/>
        </w:rPr>
        <w:t xml:space="preserve">ניתן היום,  ח' סיוון תש"פ, 31 מאי 2020, בנוכחות הצדדים.  </w:t>
      </w:r>
      <w:bookmarkEnd w:id="8"/>
    </w:p>
    <w:p w14:paraId="0A4E561C" w14:textId="77777777" w:rsidR="00862A2D" w:rsidRDefault="00862A2D" w:rsidP="00F54FC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A4A2CB6" w14:textId="77777777" w:rsidR="00862A2D" w:rsidRDefault="00862A2D" w:rsidP="00862A2D">
      <w:pPr>
        <w:jc w:val="center"/>
        <w:rPr>
          <w:rFonts w:ascii="Arial" w:hAnsi="Arial" w:cs="FrankRuehl"/>
          <w:sz w:val="28"/>
          <w:szCs w:val="28"/>
          <w:rtl/>
        </w:rPr>
      </w:pPr>
    </w:p>
    <w:p w14:paraId="0AA23955" w14:textId="77777777" w:rsidR="00F54FC4" w:rsidRDefault="00F54FC4" w:rsidP="00F54FC4">
      <w:pPr>
        <w:rPr>
          <w:rtl/>
        </w:rPr>
      </w:pPr>
    </w:p>
    <w:p w14:paraId="0C7E250F" w14:textId="77777777" w:rsidR="00F54FC4" w:rsidRDefault="00F54FC4" w:rsidP="00F54FC4">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5E60663F" w14:textId="77777777" w:rsidR="00202843" w:rsidRPr="00202843" w:rsidRDefault="00202843" w:rsidP="00202843">
      <w:pPr>
        <w:keepNext/>
        <w:rPr>
          <w:rFonts w:ascii="David" w:hAnsi="David"/>
          <w:color w:val="000000"/>
          <w:sz w:val="22"/>
          <w:szCs w:val="22"/>
          <w:rtl/>
        </w:rPr>
      </w:pPr>
    </w:p>
    <w:p w14:paraId="333F68C3" w14:textId="77777777" w:rsidR="00202843" w:rsidRPr="00202843" w:rsidRDefault="00202843" w:rsidP="00202843">
      <w:pPr>
        <w:keepNext/>
        <w:rPr>
          <w:rFonts w:ascii="David" w:hAnsi="David"/>
          <w:color w:val="000000"/>
          <w:sz w:val="22"/>
          <w:szCs w:val="22"/>
          <w:rtl/>
        </w:rPr>
      </w:pPr>
      <w:r w:rsidRPr="00202843">
        <w:rPr>
          <w:rFonts w:ascii="David" w:hAnsi="David"/>
          <w:color w:val="000000"/>
          <w:sz w:val="22"/>
          <w:szCs w:val="22"/>
          <w:rtl/>
        </w:rPr>
        <w:t>מרב גרינברג 54678313-/</w:t>
      </w:r>
    </w:p>
    <w:p w14:paraId="22A2CD92" w14:textId="77777777" w:rsidR="00F54FC4" w:rsidRPr="00F54FC4" w:rsidRDefault="00202843" w:rsidP="00202843">
      <w:pPr>
        <w:rPr>
          <w:color w:val="0000FF"/>
          <w:u w:val="single"/>
        </w:rPr>
      </w:pPr>
      <w:r w:rsidRPr="00202843">
        <w:rPr>
          <w:color w:val="000000"/>
          <w:u w:val="single"/>
          <w:rtl/>
        </w:rPr>
        <w:t>נוסח מסמך זה כפוף לשינויי ניסוח ועריכה</w:t>
      </w:r>
    </w:p>
    <w:sectPr w:rsidR="00F54FC4" w:rsidRPr="00F54FC4" w:rsidSect="00202843">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E4D219" w14:textId="77777777" w:rsidR="00FF17A2" w:rsidRDefault="00FF17A2" w:rsidP="002254F0">
      <w:r>
        <w:separator/>
      </w:r>
    </w:p>
  </w:endnote>
  <w:endnote w:type="continuationSeparator" w:id="0">
    <w:p w14:paraId="1696DCC1" w14:textId="77777777" w:rsidR="00FF17A2" w:rsidRDefault="00FF17A2" w:rsidP="00225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EFE76" w14:textId="77777777" w:rsidR="00202843" w:rsidRDefault="00202843" w:rsidP="0020284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D04D2AE" w14:textId="77777777" w:rsidR="000F1C83" w:rsidRPr="00202843" w:rsidRDefault="00202843" w:rsidP="00202843">
    <w:pPr>
      <w:pStyle w:val="a5"/>
      <w:pBdr>
        <w:top w:val="single" w:sz="4" w:space="1" w:color="auto"/>
        <w:between w:val="single" w:sz="4" w:space="0" w:color="auto"/>
      </w:pBdr>
      <w:spacing w:after="60"/>
      <w:jc w:val="center"/>
      <w:rPr>
        <w:rFonts w:ascii="FrankRuehl" w:hAnsi="FrankRuehl" w:cs="FrankRuehl"/>
        <w:color w:val="000000"/>
      </w:rPr>
    </w:pPr>
    <w:r w:rsidRPr="0020284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56631" w14:textId="77777777" w:rsidR="00202843" w:rsidRDefault="00202843" w:rsidP="0020284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81420">
      <w:rPr>
        <w:rFonts w:ascii="FrankRuehl" w:hAnsi="FrankRuehl" w:cs="FrankRuehl"/>
        <w:noProof/>
        <w:rtl/>
      </w:rPr>
      <w:t>1</w:t>
    </w:r>
    <w:r>
      <w:rPr>
        <w:rFonts w:ascii="FrankRuehl" w:hAnsi="FrankRuehl" w:cs="FrankRuehl"/>
        <w:rtl/>
      </w:rPr>
      <w:fldChar w:fldCharType="end"/>
    </w:r>
  </w:p>
  <w:p w14:paraId="52BE4808" w14:textId="77777777" w:rsidR="000F1C83" w:rsidRPr="00202843" w:rsidRDefault="00202843" w:rsidP="00202843">
    <w:pPr>
      <w:pStyle w:val="a5"/>
      <w:pBdr>
        <w:top w:val="single" w:sz="4" w:space="1" w:color="auto"/>
        <w:between w:val="single" w:sz="4" w:space="0" w:color="auto"/>
      </w:pBdr>
      <w:spacing w:after="60"/>
      <w:jc w:val="center"/>
      <w:rPr>
        <w:rFonts w:ascii="FrankRuehl" w:hAnsi="FrankRuehl" w:cs="FrankRuehl"/>
        <w:color w:val="000000"/>
      </w:rPr>
    </w:pPr>
    <w:r w:rsidRPr="00202843">
      <w:rPr>
        <w:rFonts w:ascii="FrankRuehl" w:hAnsi="FrankRuehl" w:cs="FrankRuehl"/>
        <w:color w:val="000000"/>
      </w:rPr>
      <w:pict w14:anchorId="2B2BB0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D4529F" w14:textId="77777777" w:rsidR="00FF17A2" w:rsidRDefault="00FF17A2" w:rsidP="002254F0">
      <w:r>
        <w:separator/>
      </w:r>
    </w:p>
  </w:footnote>
  <w:footnote w:type="continuationSeparator" w:id="0">
    <w:p w14:paraId="62119F40" w14:textId="77777777" w:rsidR="00FF17A2" w:rsidRDefault="00FF17A2" w:rsidP="002254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9E210" w14:textId="77777777" w:rsidR="00F54FC4" w:rsidRPr="00202843" w:rsidRDefault="00202843" w:rsidP="0020284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9675-11-17</w:t>
    </w:r>
    <w:r>
      <w:rPr>
        <w:rFonts w:ascii="David" w:hAnsi="David"/>
        <w:color w:val="000000"/>
        <w:sz w:val="22"/>
        <w:szCs w:val="22"/>
        <w:rtl/>
      </w:rPr>
      <w:tab/>
      <w:t xml:space="preserve"> מדינת ישראל נ' גל רובינשטיין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4E7F7" w14:textId="77777777" w:rsidR="00F54FC4" w:rsidRPr="00202843" w:rsidRDefault="00202843" w:rsidP="0020284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9675-11-17</w:t>
    </w:r>
    <w:r>
      <w:rPr>
        <w:rFonts w:ascii="David" w:hAnsi="David"/>
        <w:color w:val="000000"/>
        <w:sz w:val="22"/>
        <w:szCs w:val="22"/>
        <w:rtl/>
      </w:rPr>
      <w:tab/>
      <w:t xml:space="preserve"> מדינת ישראל נ' גל רובינשטיין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444FF"/>
    <w:multiLevelType w:val="hybridMultilevel"/>
    <w:tmpl w:val="70BA3364"/>
    <w:lvl w:ilvl="0" w:tplc="DED67462">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5BE248D8"/>
    <w:multiLevelType w:val="hybridMultilevel"/>
    <w:tmpl w:val="B4CA181E"/>
    <w:lvl w:ilvl="0" w:tplc="85162A84">
      <w:start w:val="1"/>
      <w:numFmt w:val="decimal"/>
      <w:lvlText w:val="%1."/>
      <w:lvlJc w:val="left"/>
      <w:pPr>
        <w:ind w:left="502" w:hanging="360"/>
      </w:pPr>
      <w:rPr>
        <w:rFonts w:cs="David"/>
        <w:b w:val="0"/>
        <w:bCs w:val="0"/>
        <w:lang w:bidi="he-IL"/>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8656020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980852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62A2D"/>
    <w:rsid w:val="000F1C83"/>
    <w:rsid w:val="00202843"/>
    <w:rsid w:val="002254F0"/>
    <w:rsid w:val="002D23ED"/>
    <w:rsid w:val="00862A2D"/>
    <w:rsid w:val="009F1803"/>
    <w:rsid w:val="00A5213A"/>
    <w:rsid w:val="00C501AB"/>
    <w:rsid w:val="00D81420"/>
    <w:rsid w:val="00F54FC4"/>
    <w:rsid w:val="00FF17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6E955B"/>
  <w15:chartTrackingRefBased/>
  <w15:docId w15:val="{A9B5CAA6-609B-41D6-84A2-63479522C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62A2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62A2D"/>
    <w:pPr>
      <w:tabs>
        <w:tab w:val="center" w:pos="4153"/>
        <w:tab w:val="right" w:pos="8306"/>
      </w:tabs>
    </w:pPr>
  </w:style>
  <w:style w:type="character" w:customStyle="1" w:styleId="a4">
    <w:name w:val="כותרת עליונה תו"/>
    <w:link w:val="a3"/>
    <w:rsid w:val="00862A2D"/>
    <w:rPr>
      <w:rFonts w:ascii="Times New Roman" w:eastAsia="Times New Roman" w:hAnsi="Times New Roman" w:cs="David"/>
      <w:sz w:val="24"/>
      <w:szCs w:val="24"/>
    </w:rPr>
  </w:style>
  <w:style w:type="paragraph" w:styleId="a5">
    <w:name w:val="footer"/>
    <w:basedOn w:val="a"/>
    <w:link w:val="a6"/>
    <w:rsid w:val="00862A2D"/>
    <w:pPr>
      <w:tabs>
        <w:tab w:val="center" w:pos="4153"/>
        <w:tab w:val="right" w:pos="8306"/>
      </w:tabs>
    </w:pPr>
  </w:style>
  <w:style w:type="character" w:customStyle="1" w:styleId="a6">
    <w:name w:val="כותרת תחתונה תו"/>
    <w:link w:val="a5"/>
    <w:rsid w:val="00862A2D"/>
    <w:rPr>
      <w:rFonts w:ascii="Times New Roman" w:eastAsia="Times New Roman" w:hAnsi="Times New Roman" w:cs="David"/>
      <w:sz w:val="24"/>
      <w:szCs w:val="24"/>
    </w:rPr>
  </w:style>
  <w:style w:type="table" w:styleId="a7">
    <w:name w:val="Table Grid"/>
    <w:basedOn w:val="a1"/>
    <w:rsid w:val="00862A2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62A2D"/>
  </w:style>
  <w:style w:type="paragraph" w:styleId="a9">
    <w:name w:val="List Paragraph"/>
    <w:basedOn w:val="a"/>
    <w:qFormat/>
    <w:rsid w:val="00862A2D"/>
    <w:pPr>
      <w:ind w:left="720"/>
    </w:pPr>
  </w:style>
  <w:style w:type="character" w:styleId="Hyperlink">
    <w:name w:val="Hyperlink"/>
    <w:rsid w:val="00862A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1553" TargetMode="External"/><Relationship Id="rId18" Type="http://schemas.openxmlformats.org/officeDocument/2006/relationships/hyperlink" Target="http://www.nevo.co.il/case/21017469" TargetMode="External"/><Relationship Id="rId26" Type="http://schemas.openxmlformats.org/officeDocument/2006/relationships/hyperlink" Target="http://www.nevo.co.il/law/70301/40d" TargetMode="External"/><Relationship Id="rId39" Type="http://schemas.openxmlformats.org/officeDocument/2006/relationships/header" Target="header1.xml"/><Relationship Id="rId21" Type="http://schemas.openxmlformats.org/officeDocument/2006/relationships/hyperlink" Target="http://www.nevo.co.il/law/70301/40d.a" TargetMode="External"/><Relationship Id="rId34" Type="http://schemas.openxmlformats.org/officeDocument/2006/relationships/hyperlink" Target="http://www.nevo.co.il/case/20535175"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3530565" TargetMode="External"/><Relationship Id="rId20" Type="http://schemas.openxmlformats.org/officeDocument/2006/relationships/hyperlink" Target="http://www.nevo.co.il/case/5730970" TargetMode="External"/><Relationship Id="rId29" Type="http://schemas.openxmlformats.org/officeDocument/2006/relationships/hyperlink" Target="http://www.nevo.co.il/case/6824952"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1827077" TargetMode="External"/><Relationship Id="rId37" Type="http://schemas.openxmlformats.org/officeDocument/2006/relationships/hyperlink" Target="http://www.nevo.co.il/case/4366078"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law/70301/40d.a" TargetMode="External"/><Relationship Id="rId28" Type="http://schemas.openxmlformats.org/officeDocument/2006/relationships/hyperlink" Target="http://www.nevo.co.il/case/5601732" TargetMode="External"/><Relationship Id="rId36" Type="http://schemas.openxmlformats.org/officeDocument/2006/relationships/hyperlink" Target="http://www.nevo.co.il/case/21563165"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3750765" TargetMode="External"/><Relationship Id="rId31" Type="http://schemas.openxmlformats.org/officeDocument/2006/relationships/hyperlink" Target="http://www.nevo.co.il/case/21477656"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7.c"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40d" TargetMode="External"/><Relationship Id="rId30" Type="http://schemas.openxmlformats.org/officeDocument/2006/relationships/hyperlink" Target="http://www.nevo.co.il/law/70301/40d.a" TargetMode="External"/><Relationship Id="rId35" Type="http://schemas.openxmlformats.org/officeDocument/2006/relationships/hyperlink" Target="http://www.nevo.co.il/case/16908139" TargetMode="External"/><Relationship Id="rId43" Type="http://schemas.openxmlformats.org/officeDocument/2006/relationships/fontTable" Target="fontTable.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40d.a" TargetMode="External"/><Relationship Id="rId17" Type="http://schemas.openxmlformats.org/officeDocument/2006/relationships/hyperlink" Target="http://www.nevo.co.il/case/17932979" TargetMode="External"/><Relationship Id="rId25" Type="http://schemas.openxmlformats.org/officeDocument/2006/relationships/hyperlink" Target="http://www.nevo.co.il/law/71553" TargetMode="External"/><Relationship Id="rId33" Type="http://schemas.openxmlformats.org/officeDocument/2006/relationships/hyperlink" Target="http://www.nevo.co.il/case/20008867"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2244</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13442</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3801206</vt:i4>
      </vt:variant>
      <vt:variant>
        <vt:i4>90</vt:i4>
      </vt:variant>
      <vt:variant>
        <vt:i4>0</vt:i4>
      </vt:variant>
      <vt:variant>
        <vt:i4>5</vt:i4>
      </vt:variant>
      <vt:variant>
        <vt:lpwstr>http://www.nevo.co.il/case/4366078</vt:lpwstr>
      </vt:variant>
      <vt:variant>
        <vt:lpwstr/>
      </vt:variant>
      <vt:variant>
        <vt:i4>3276914</vt:i4>
      </vt:variant>
      <vt:variant>
        <vt:i4>87</vt:i4>
      </vt:variant>
      <vt:variant>
        <vt:i4>0</vt:i4>
      </vt:variant>
      <vt:variant>
        <vt:i4>5</vt:i4>
      </vt:variant>
      <vt:variant>
        <vt:lpwstr>http://www.nevo.co.il/case/21563165</vt:lpwstr>
      </vt:variant>
      <vt:variant>
        <vt:lpwstr/>
      </vt:variant>
      <vt:variant>
        <vt:i4>3342451</vt:i4>
      </vt:variant>
      <vt:variant>
        <vt:i4>84</vt:i4>
      </vt:variant>
      <vt:variant>
        <vt:i4>0</vt:i4>
      </vt:variant>
      <vt:variant>
        <vt:i4>5</vt:i4>
      </vt:variant>
      <vt:variant>
        <vt:lpwstr>http://www.nevo.co.il/case/16908139</vt:lpwstr>
      </vt:variant>
      <vt:variant>
        <vt:lpwstr/>
      </vt:variant>
      <vt:variant>
        <vt:i4>3473526</vt:i4>
      </vt:variant>
      <vt:variant>
        <vt:i4>81</vt:i4>
      </vt:variant>
      <vt:variant>
        <vt:i4>0</vt:i4>
      </vt:variant>
      <vt:variant>
        <vt:i4>5</vt:i4>
      </vt:variant>
      <vt:variant>
        <vt:lpwstr>http://www.nevo.co.il/case/20535175</vt:lpwstr>
      </vt:variant>
      <vt:variant>
        <vt:lpwstr/>
      </vt:variant>
      <vt:variant>
        <vt:i4>3932284</vt:i4>
      </vt:variant>
      <vt:variant>
        <vt:i4>78</vt:i4>
      </vt:variant>
      <vt:variant>
        <vt:i4>0</vt:i4>
      </vt:variant>
      <vt:variant>
        <vt:i4>5</vt:i4>
      </vt:variant>
      <vt:variant>
        <vt:lpwstr>http://www.nevo.co.il/case/20008867</vt:lpwstr>
      </vt:variant>
      <vt:variant>
        <vt:lpwstr/>
      </vt:variant>
      <vt:variant>
        <vt:i4>3801207</vt:i4>
      </vt:variant>
      <vt:variant>
        <vt:i4>75</vt:i4>
      </vt:variant>
      <vt:variant>
        <vt:i4>0</vt:i4>
      </vt:variant>
      <vt:variant>
        <vt:i4>5</vt:i4>
      </vt:variant>
      <vt:variant>
        <vt:lpwstr>http://www.nevo.co.il/case/21827077</vt:lpwstr>
      </vt:variant>
      <vt:variant>
        <vt:lpwstr/>
      </vt:variant>
      <vt:variant>
        <vt:i4>3407988</vt:i4>
      </vt:variant>
      <vt:variant>
        <vt:i4>72</vt:i4>
      </vt:variant>
      <vt:variant>
        <vt:i4>0</vt:i4>
      </vt:variant>
      <vt:variant>
        <vt:i4>5</vt:i4>
      </vt:variant>
      <vt:variant>
        <vt:lpwstr>http://www.nevo.co.il/case/21477656</vt:lpwstr>
      </vt:variant>
      <vt:variant>
        <vt:lpwstr/>
      </vt:variant>
      <vt:variant>
        <vt:i4>4915205</vt:i4>
      </vt:variant>
      <vt:variant>
        <vt:i4>69</vt:i4>
      </vt:variant>
      <vt:variant>
        <vt:i4>0</vt:i4>
      </vt:variant>
      <vt:variant>
        <vt:i4>5</vt:i4>
      </vt:variant>
      <vt:variant>
        <vt:lpwstr>http://www.nevo.co.il/law/70301/40d.a</vt:lpwstr>
      </vt:variant>
      <vt:variant>
        <vt:lpwstr/>
      </vt:variant>
      <vt:variant>
        <vt:i4>4128893</vt:i4>
      </vt:variant>
      <vt:variant>
        <vt:i4>66</vt:i4>
      </vt:variant>
      <vt:variant>
        <vt:i4>0</vt:i4>
      </vt:variant>
      <vt:variant>
        <vt:i4>5</vt:i4>
      </vt:variant>
      <vt:variant>
        <vt:lpwstr>http://www.nevo.co.il/case/6824952</vt:lpwstr>
      </vt:variant>
      <vt:variant>
        <vt:lpwstr/>
      </vt:variant>
      <vt:variant>
        <vt:i4>3145840</vt:i4>
      </vt:variant>
      <vt:variant>
        <vt:i4>63</vt:i4>
      </vt:variant>
      <vt:variant>
        <vt:i4>0</vt:i4>
      </vt:variant>
      <vt:variant>
        <vt:i4>5</vt:i4>
      </vt:variant>
      <vt:variant>
        <vt:lpwstr>http://www.nevo.co.il/case/5601732</vt:lpwstr>
      </vt:variant>
      <vt:variant>
        <vt:lpwstr/>
      </vt:variant>
      <vt:variant>
        <vt:i4>6619233</vt:i4>
      </vt:variant>
      <vt:variant>
        <vt:i4>60</vt:i4>
      </vt:variant>
      <vt:variant>
        <vt:i4>0</vt:i4>
      </vt:variant>
      <vt:variant>
        <vt:i4>5</vt:i4>
      </vt:variant>
      <vt:variant>
        <vt:lpwstr>http://www.nevo.co.il/law/70301/40d</vt:lpwstr>
      </vt:variant>
      <vt:variant>
        <vt:lpwstr/>
      </vt:variant>
      <vt:variant>
        <vt:i4>6619233</vt:i4>
      </vt:variant>
      <vt:variant>
        <vt:i4>57</vt:i4>
      </vt:variant>
      <vt:variant>
        <vt:i4>0</vt:i4>
      </vt:variant>
      <vt:variant>
        <vt:i4>5</vt:i4>
      </vt:variant>
      <vt:variant>
        <vt:lpwstr>http://www.nevo.co.il/law/70301/40d</vt:lpwstr>
      </vt:variant>
      <vt:variant>
        <vt:lpwstr/>
      </vt:variant>
      <vt:variant>
        <vt:i4>8257634</vt:i4>
      </vt:variant>
      <vt:variant>
        <vt:i4>54</vt:i4>
      </vt:variant>
      <vt:variant>
        <vt:i4>0</vt:i4>
      </vt:variant>
      <vt:variant>
        <vt:i4>5</vt:i4>
      </vt:variant>
      <vt:variant>
        <vt:lpwstr>http://www.nevo.co.il/law/71553</vt:lpwstr>
      </vt:variant>
      <vt:variant>
        <vt:lpwstr/>
      </vt:variant>
      <vt:variant>
        <vt:i4>7995492</vt:i4>
      </vt:variant>
      <vt:variant>
        <vt:i4>51</vt:i4>
      </vt:variant>
      <vt:variant>
        <vt:i4>0</vt:i4>
      </vt:variant>
      <vt:variant>
        <vt:i4>5</vt:i4>
      </vt:variant>
      <vt:variant>
        <vt:lpwstr>http://www.nevo.co.il/law/70301</vt:lpwstr>
      </vt:variant>
      <vt:variant>
        <vt:lpwstr/>
      </vt:variant>
      <vt:variant>
        <vt:i4>4915205</vt:i4>
      </vt:variant>
      <vt:variant>
        <vt:i4>48</vt:i4>
      </vt:variant>
      <vt:variant>
        <vt:i4>0</vt:i4>
      </vt:variant>
      <vt:variant>
        <vt:i4>5</vt:i4>
      </vt:variant>
      <vt:variant>
        <vt:lpwstr>http://www.nevo.co.il/law/70301/40d.a</vt:lpwstr>
      </vt:variant>
      <vt:variant>
        <vt:lpwstr/>
      </vt:variant>
      <vt:variant>
        <vt:i4>7995492</vt:i4>
      </vt:variant>
      <vt:variant>
        <vt:i4>45</vt:i4>
      </vt:variant>
      <vt:variant>
        <vt:i4>0</vt:i4>
      </vt:variant>
      <vt:variant>
        <vt:i4>5</vt:i4>
      </vt:variant>
      <vt:variant>
        <vt:lpwstr>http://www.nevo.co.il/law/70301</vt:lpwstr>
      </vt:variant>
      <vt:variant>
        <vt:lpwstr/>
      </vt:variant>
      <vt:variant>
        <vt:i4>4915205</vt:i4>
      </vt:variant>
      <vt:variant>
        <vt:i4>42</vt:i4>
      </vt:variant>
      <vt:variant>
        <vt:i4>0</vt:i4>
      </vt:variant>
      <vt:variant>
        <vt:i4>5</vt:i4>
      </vt:variant>
      <vt:variant>
        <vt:lpwstr>http://www.nevo.co.il/law/70301/40d.a</vt:lpwstr>
      </vt:variant>
      <vt:variant>
        <vt:lpwstr/>
      </vt:variant>
      <vt:variant>
        <vt:i4>4128884</vt:i4>
      </vt:variant>
      <vt:variant>
        <vt:i4>39</vt:i4>
      </vt:variant>
      <vt:variant>
        <vt:i4>0</vt:i4>
      </vt:variant>
      <vt:variant>
        <vt:i4>5</vt:i4>
      </vt:variant>
      <vt:variant>
        <vt:lpwstr>http://www.nevo.co.il/case/5730970</vt:lpwstr>
      </vt:variant>
      <vt:variant>
        <vt:lpwstr/>
      </vt:variant>
      <vt:variant>
        <vt:i4>3342453</vt:i4>
      </vt:variant>
      <vt:variant>
        <vt:i4>36</vt:i4>
      </vt:variant>
      <vt:variant>
        <vt:i4>0</vt:i4>
      </vt:variant>
      <vt:variant>
        <vt:i4>5</vt:i4>
      </vt:variant>
      <vt:variant>
        <vt:lpwstr>http://www.nevo.co.il/case/23750765</vt:lpwstr>
      </vt:variant>
      <vt:variant>
        <vt:lpwstr/>
      </vt:variant>
      <vt:variant>
        <vt:i4>3342448</vt:i4>
      </vt:variant>
      <vt:variant>
        <vt:i4>33</vt:i4>
      </vt:variant>
      <vt:variant>
        <vt:i4>0</vt:i4>
      </vt:variant>
      <vt:variant>
        <vt:i4>5</vt:i4>
      </vt:variant>
      <vt:variant>
        <vt:lpwstr>http://www.nevo.co.il/case/21017469</vt:lpwstr>
      </vt:variant>
      <vt:variant>
        <vt:lpwstr/>
      </vt:variant>
      <vt:variant>
        <vt:i4>3997817</vt:i4>
      </vt:variant>
      <vt:variant>
        <vt:i4>30</vt:i4>
      </vt:variant>
      <vt:variant>
        <vt:i4>0</vt:i4>
      </vt:variant>
      <vt:variant>
        <vt:i4>5</vt:i4>
      </vt:variant>
      <vt:variant>
        <vt:lpwstr>http://www.nevo.co.il/case/17932979</vt:lpwstr>
      </vt:variant>
      <vt:variant>
        <vt:lpwstr/>
      </vt:variant>
      <vt:variant>
        <vt:i4>3211377</vt:i4>
      </vt:variant>
      <vt:variant>
        <vt:i4>27</vt:i4>
      </vt:variant>
      <vt:variant>
        <vt:i4>0</vt:i4>
      </vt:variant>
      <vt:variant>
        <vt:i4>5</vt:i4>
      </vt:variant>
      <vt:variant>
        <vt:lpwstr>http://www.nevo.co.il/case/23530565</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8257634</vt:i4>
      </vt:variant>
      <vt:variant>
        <vt:i4>18</vt:i4>
      </vt:variant>
      <vt:variant>
        <vt:i4>0</vt:i4>
      </vt:variant>
      <vt:variant>
        <vt:i4>5</vt:i4>
      </vt:variant>
      <vt:variant>
        <vt:lpwstr>http://www.nevo.co.il/law/71553</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2025-04-22T23:35:00Z</dcterms:created>
  <dcterms:modified xsi:type="dcterms:W3CDTF">2025-04-22T23:35:00Z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9675</vt:lpwstr>
  </property>
  <property fmtid="{D5CDD505-2E9C-101B-9397-08002B2CF9AE}" pid="6" name="NEWPARTB">
    <vt:lpwstr>11</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גל רובינשטיין</vt:lpwstr>
  </property>
  <property fmtid="{D5CDD505-2E9C-101B-9397-08002B2CF9AE}" pid="10" name="LAWYER">
    <vt:lpwstr>חן זערור;סגרון</vt:lpwstr>
  </property>
  <property fmtid="{D5CDD505-2E9C-101B-9397-08002B2CF9AE}" pid="11" name="JUDGE">
    <vt:lpwstr>מרב גרינברג</vt:lpwstr>
  </property>
  <property fmtid="{D5CDD505-2E9C-101B-9397-08002B2CF9AE}" pid="12" name="CITY">
    <vt:lpwstr>נת'</vt:lpwstr>
  </property>
  <property fmtid="{D5CDD505-2E9C-101B-9397-08002B2CF9AE}" pid="13" name="DATE">
    <vt:lpwstr>20200531</vt:lpwstr>
  </property>
  <property fmtid="{D5CDD505-2E9C-101B-9397-08002B2CF9AE}" pid="14" name="TYPE_N_DATE">
    <vt:lpwstr>38020200531</vt:lpwstr>
  </property>
  <property fmtid="{D5CDD505-2E9C-101B-9397-08002B2CF9AE}" pid="15" name="CASESLISTTMP1">
    <vt:lpwstr>23530565;17932979;21017469;23750765;5730970;5601732;6824952;21477656;21827077;20008867;20535175;16908139;21563165;4366078</vt:lpwstr>
  </property>
  <property fmtid="{D5CDD505-2E9C-101B-9397-08002B2CF9AE}" pid="16" name="CASENOTES1">
    <vt:lpwstr>ProcID=209&amp;PartA=2782&amp;PartC=05</vt:lpwstr>
  </property>
  <property fmtid="{D5CDD505-2E9C-101B-9397-08002B2CF9AE}" pid="17" name="WORDNUMPAGES">
    <vt:lpwstr>7</vt:lpwstr>
  </property>
  <property fmtid="{D5CDD505-2E9C-101B-9397-08002B2CF9AE}" pid="18" name="TYPE_ABS_DATE">
    <vt:lpwstr>380020200531</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4216/007.a;007.c</vt:lpwstr>
  </property>
  <property fmtid="{D5CDD505-2E9C-101B-9397-08002B2CF9AE}" pid="38" name="LAWLISTTMP2">
    <vt:lpwstr>70301/040d.a:3;040d:2</vt:lpwstr>
  </property>
  <property fmtid="{D5CDD505-2E9C-101B-9397-08002B2CF9AE}" pid="39" name="LAWLISTTMP3">
    <vt:lpwstr>71553</vt:lpwstr>
  </property>
</Properties>
</file>