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307"/>
      </w:tblGrid>
      <w:tr w:rsidR="00401B2C" w14:paraId="39C1FD3B" w14:textId="77777777" w:rsidTr="00063DDF">
        <w:trPr>
          <w:trHeight w:hRule="exact" w:val="704"/>
          <w:jc w:val="center"/>
        </w:trPr>
        <w:tc>
          <w:tcPr>
            <w:tcW w:w="8307" w:type="dxa"/>
          </w:tcPr>
          <w:p w14:paraId="021D513B" w14:textId="77777777" w:rsidR="00401B2C" w:rsidRPr="00F038D8" w:rsidRDefault="00401B2C" w:rsidP="00063DDF">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בקריית שמונה</w:t>
            </w:r>
            <w:r>
              <w:rPr>
                <w:rFonts w:ascii="Tahoma" w:hAnsi="Tahoma"/>
                <w:color w:val="000080"/>
                <w:sz w:val="32"/>
                <w:szCs w:val="32"/>
                <w:rtl/>
              </w:rPr>
              <w:br/>
            </w:r>
            <w:r>
              <w:rPr>
                <w:rFonts w:ascii="Tahoma" w:hAnsi="Tahoma" w:hint="cs"/>
                <w:color w:val="000080"/>
                <w:sz w:val="32"/>
                <w:szCs w:val="32"/>
                <w:rtl/>
              </w:rPr>
              <w:t>בשבתו בבית משפט השלום בנצרת</w:t>
            </w:r>
          </w:p>
        </w:tc>
      </w:tr>
      <w:tr w:rsidR="00401B2C" w14:paraId="311B2AB4" w14:textId="77777777" w:rsidTr="00063DDF">
        <w:trPr>
          <w:trHeight w:val="337"/>
          <w:jc w:val="center"/>
        </w:trPr>
        <w:tc>
          <w:tcPr>
            <w:tcW w:w="8307" w:type="dxa"/>
          </w:tcPr>
          <w:p w14:paraId="621C8E23" w14:textId="77777777" w:rsidR="00401B2C" w:rsidRDefault="00401B2C" w:rsidP="00063DDF"/>
          <w:p w14:paraId="7C85AD0D" w14:textId="77777777" w:rsidR="00401B2C" w:rsidRPr="00865A64" w:rsidRDefault="00401B2C" w:rsidP="00063DDF">
            <w:pPr>
              <w:rPr>
                <w:b/>
                <w:bCs/>
                <w:noProof w:val="0"/>
                <w:sz w:val="26"/>
                <w:szCs w:val="26"/>
                <w:rtl/>
              </w:rPr>
            </w:pPr>
            <w:r>
              <w:rPr>
                <w:b/>
                <w:bCs/>
                <w:noProof w:val="0"/>
                <w:sz w:val="26"/>
                <w:szCs w:val="26"/>
                <w:rtl/>
              </w:rPr>
              <w:t>ת"פ 2077-12-17 שלוחת תביעות מרום הגליל והגולן נ' אנוכשוילי</w:t>
            </w:r>
            <w:r>
              <w:rPr>
                <w:rFonts w:hint="cs"/>
                <w:rtl/>
              </w:rPr>
              <w:t xml:space="preserve">                         </w:t>
            </w:r>
            <w:r>
              <w:rPr>
                <w:rFonts w:hint="cs"/>
                <w:sz w:val="20"/>
                <w:szCs w:val="20"/>
                <w:rtl/>
              </w:rPr>
              <w:t xml:space="preserve">                                       </w:t>
            </w:r>
          </w:p>
          <w:p w14:paraId="2F4CD1D8" w14:textId="77777777" w:rsidR="00401B2C" w:rsidRPr="00E1068A" w:rsidRDefault="00401B2C" w:rsidP="00063DDF">
            <w:pPr>
              <w:rPr>
                <w:sz w:val="20"/>
                <w:szCs w:val="20"/>
                <w:rtl/>
              </w:rPr>
            </w:pPr>
            <w:r w:rsidRPr="00E1068A">
              <w:rPr>
                <w:rFonts w:hint="cs"/>
                <w:sz w:val="20"/>
                <w:szCs w:val="20"/>
                <w:rtl/>
              </w:rPr>
              <w:t xml:space="preserve">תיק חיצוני: </w:t>
            </w:r>
            <w:r>
              <w:rPr>
                <w:rFonts w:hint="eastAsia"/>
                <w:sz w:val="20"/>
                <w:szCs w:val="20"/>
              </w:rPr>
              <w:t>175655/2017</w:t>
            </w:r>
            <w:r w:rsidRPr="00E1068A">
              <w:rPr>
                <w:rFonts w:hint="cs"/>
                <w:sz w:val="20"/>
                <w:szCs w:val="20"/>
                <w:rtl/>
              </w:rPr>
              <w:t xml:space="preserve"> </w:t>
            </w:r>
            <w:r w:rsidRPr="00E1068A">
              <w:rPr>
                <w:sz w:val="20"/>
                <w:szCs w:val="20"/>
                <w:rtl/>
              </w:rPr>
              <w:t xml:space="preserve"> </w:t>
            </w:r>
            <w:r>
              <w:rPr>
                <w:sz w:val="20"/>
                <w:szCs w:val="20"/>
                <w:rtl/>
              </w:rPr>
              <w:t xml:space="preserve"> </w:t>
            </w:r>
          </w:p>
        </w:tc>
      </w:tr>
    </w:tbl>
    <w:p w14:paraId="7A42100E" w14:textId="77777777" w:rsidR="00401B2C" w:rsidRDefault="00401B2C" w:rsidP="00401B2C">
      <w:pPr>
        <w:pStyle w:val="a3"/>
        <w:rPr>
          <w:noProof w:val="0"/>
          <w:rtl/>
        </w:rPr>
      </w:pPr>
      <w:r>
        <w:rPr>
          <w:noProof w:val="0"/>
          <w:rtl/>
        </w:rPr>
        <w:t xml:space="preserve"> </w:t>
      </w:r>
    </w:p>
    <w:p w14:paraId="536EF307" w14:textId="77777777" w:rsidR="00401B2C" w:rsidRDefault="00401B2C" w:rsidP="00401B2C">
      <w:pPr>
        <w:suppressLineNumbers/>
        <w:rPr>
          <w:rtl/>
        </w:rPr>
      </w:pPr>
    </w:p>
    <w:p w14:paraId="626E3CD1" w14:textId="77777777" w:rsidR="00401B2C" w:rsidRDefault="00401B2C" w:rsidP="00401B2C">
      <w:pPr>
        <w:suppressLineNumbers/>
        <w:rPr>
          <w:rtl/>
        </w:rPr>
      </w:pPr>
      <w:r>
        <w:rPr>
          <w:rtl/>
        </w:rPr>
        <w:t xml:space="preserve"> </w:t>
      </w:r>
    </w:p>
    <w:tbl>
      <w:tblPr>
        <w:bidiVisual/>
        <w:tblW w:w="8820" w:type="dxa"/>
        <w:jc w:val="center"/>
        <w:tblLook w:val="01E0" w:firstRow="1" w:lastRow="1" w:firstColumn="1" w:lastColumn="1" w:noHBand="0" w:noVBand="0"/>
      </w:tblPr>
      <w:tblGrid>
        <w:gridCol w:w="743"/>
        <w:gridCol w:w="2506"/>
        <w:gridCol w:w="5571"/>
      </w:tblGrid>
      <w:tr w:rsidR="00401B2C" w14:paraId="333717DF" w14:textId="77777777" w:rsidTr="00401B2C">
        <w:trPr>
          <w:jc w:val="center"/>
        </w:trPr>
        <w:tc>
          <w:tcPr>
            <w:tcW w:w="743" w:type="dxa"/>
            <w:shd w:val="clear" w:color="auto" w:fill="auto"/>
          </w:tcPr>
          <w:p w14:paraId="3A1FFFA2" w14:textId="77777777" w:rsidR="00401B2C" w:rsidRPr="00401B2C" w:rsidRDefault="00401B2C" w:rsidP="00401B2C">
            <w:pPr>
              <w:suppressLineNumbers/>
              <w:jc w:val="both"/>
              <w:rPr>
                <w:rFonts w:ascii="Arial" w:hAnsi="Arial"/>
                <w:b/>
                <w:bCs/>
                <w:rtl/>
              </w:rPr>
            </w:pPr>
            <w:r w:rsidRPr="00401B2C">
              <w:rPr>
                <w:rFonts w:ascii="Arial" w:hAnsi="Arial" w:hint="cs"/>
                <w:b/>
                <w:bCs/>
                <w:rtl/>
              </w:rPr>
              <w:t>ב</w:t>
            </w:r>
            <w:r w:rsidRPr="00401B2C">
              <w:rPr>
                <w:rFonts w:ascii="Arial" w:hAnsi="Arial"/>
                <w:b/>
                <w:bCs/>
                <w:rtl/>
              </w:rPr>
              <w:t xml:space="preserve">פני </w:t>
            </w:r>
          </w:p>
        </w:tc>
        <w:tc>
          <w:tcPr>
            <w:tcW w:w="8077" w:type="dxa"/>
            <w:gridSpan w:val="2"/>
            <w:shd w:val="clear" w:color="auto" w:fill="auto"/>
          </w:tcPr>
          <w:p w14:paraId="789EBE4B" w14:textId="77777777" w:rsidR="00401B2C" w:rsidRPr="00401B2C" w:rsidRDefault="00401B2C" w:rsidP="00401B2C">
            <w:pPr>
              <w:suppressLineNumbers/>
              <w:rPr>
                <w:rFonts w:ascii="Arial" w:hAnsi="Arial"/>
                <w:b/>
                <w:bCs/>
                <w:rtl/>
              </w:rPr>
            </w:pPr>
            <w:r w:rsidRPr="00401B2C">
              <w:rPr>
                <w:rFonts w:ascii="Arial" w:hAnsi="Arial" w:hint="cs"/>
                <w:b/>
                <w:bCs/>
                <w:rtl/>
              </w:rPr>
              <w:t>כבוד ה</w:t>
            </w:r>
            <w:r w:rsidRPr="00401B2C">
              <w:rPr>
                <w:rFonts w:ascii="Arial" w:hAnsi="Arial"/>
                <w:b/>
                <w:bCs/>
                <w:rtl/>
              </w:rPr>
              <w:t>שופטת</w:t>
            </w:r>
            <w:r w:rsidRPr="00401B2C">
              <w:rPr>
                <w:rFonts w:ascii="Arial" w:hAnsi="Arial" w:hint="cs"/>
                <w:b/>
                <w:bCs/>
                <w:rtl/>
              </w:rPr>
              <w:t xml:space="preserve"> </w:t>
            </w:r>
            <w:r w:rsidRPr="00401B2C">
              <w:rPr>
                <w:rFonts w:ascii="Arial" w:hAnsi="Arial"/>
                <w:b/>
                <w:bCs/>
                <w:rtl/>
              </w:rPr>
              <w:t>רות שפילברג כהן</w:t>
            </w:r>
          </w:p>
          <w:p w14:paraId="7CF73848" w14:textId="77777777" w:rsidR="00401B2C" w:rsidRPr="00401B2C" w:rsidRDefault="00401B2C" w:rsidP="00401B2C">
            <w:pPr>
              <w:suppressLineNumbers/>
              <w:rPr>
                <w:rFonts w:ascii="Arial" w:hAnsi="Arial" w:cs="FrankRuehl"/>
                <w:sz w:val="28"/>
                <w:szCs w:val="28"/>
                <w:highlight w:val="yellow"/>
              </w:rPr>
            </w:pPr>
          </w:p>
        </w:tc>
      </w:tr>
      <w:tr w:rsidR="00401B2C" w14:paraId="69DE94A4" w14:textId="77777777" w:rsidTr="00401B2C">
        <w:trPr>
          <w:jc w:val="center"/>
        </w:trPr>
        <w:tc>
          <w:tcPr>
            <w:tcW w:w="3249" w:type="dxa"/>
            <w:gridSpan w:val="2"/>
            <w:shd w:val="clear" w:color="auto" w:fill="auto"/>
          </w:tcPr>
          <w:p w14:paraId="639B8746" w14:textId="77777777" w:rsidR="00401B2C" w:rsidRPr="00401B2C" w:rsidRDefault="00401B2C" w:rsidP="00401B2C">
            <w:pPr>
              <w:suppressLineNumbers/>
              <w:rPr>
                <w:rFonts w:ascii="Arial" w:hAnsi="Arial"/>
                <w:b/>
                <w:bCs/>
                <w:noProof w:val="0"/>
                <w:sz w:val="26"/>
                <w:szCs w:val="26"/>
              </w:rPr>
            </w:pPr>
          </w:p>
          <w:p w14:paraId="60A16A49" w14:textId="77777777" w:rsidR="00401B2C" w:rsidRPr="00401B2C" w:rsidRDefault="00401B2C" w:rsidP="00401B2C">
            <w:pPr>
              <w:suppressLineNumbers/>
              <w:rPr>
                <w:rFonts w:ascii="Arial" w:hAnsi="Arial"/>
                <w:b/>
                <w:bCs/>
                <w:noProof w:val="0"/>
                <w:sz w:val="26"/>
                <w:szCs w:val="26"/>
                <w:rtl/>
              </w:rPr>
            </w:pPr>
            <w:r w:rsidRPr="00401B2C">
              <w:rPr>
                <w:rFonts w:ascii="Arial" w:hAnsi="Arial"/>
                <w:b/>
                <w:bCs/>
                <w:noProof w:val="0"/>
                <w:sz w:val="26"/>
                <w:szCs w:val="26"/>
                <w:rtl/>
              </w:rPr>
              <w:t>מאשימה</w:t>
            </w:r>
          </w:p>
        </w:tc>
        <w:tc>
          <w:tcPr>
            <w:tcW w:w="5571" w:type="dxa"/>
            <w:shd w:val="clear" w:color="auto" w:fill="auto"/>
          </w:tcPr>
          <w:p w14:paraId="2B7754E7" w14:textId="77777777" w:rsidR="00401B2C" w:rsidRPr="00401B2C" w:rsidRDefault="00401B2C" w:rsidP="00401B2C">
            <w:pPr>
              <w:suppressLineNumbers/>
              <w:rPr>
                <w:rFonts w:ascii="Arial" w:hAnsi="Arial"/>
                <w:b/>
                <w:bCs/>
                <w:noProof w:val="0"/>
                <w:sz w:val="26"/>
                <w:szCs w:val="26"/>
                <w:rtl/>
              </w:rPr>
            </w:pPr>
          </w:p>
          <w:p w14:paraId="1C00E85A" w14:textId="77777777" w:rsidR="00401B2C" w:rsidRPr="00401B2C" w:rsidRDefault="00401B2C" w:rsidP="00401B2C">
            <w:pPr>
              <w:suppressLineNumbers/>
              <w:rPr>
                <w:b/>
                <w:bCs/>
                <w:noProof w:val="0"/>
                <w:sz w:val="26"/>
                <w:szCs w:val="26"/>
              </w:rPr>
            </w:pPr>
            <w:r w:rsidRPr="00401B2C">
              <w:rPr>
                <w:rFonts w:ascii="Arial" w:hAnsi="Arial"/>
                <w:b/>
                <w:bCs/>
                <w:noProof w:val="0"/>
                <w:sz w:val="26"/>
                <w:szCs w:val="26"/>
                <w:rtl/>
              </w:rPr>
              <w:t>שלוחת תביעות מרום הגליל והגולן</w:t>
            </w:r>
          </w:p>
        </w:tc>
      </w:tr>
      <w:tr w:rsidR="00401B2C" w14:paraId="238DCED7" w14:textId="77777777" w:rsidTr="00401B2C">
        <w:trPr>
          <w:jc w:val="center"/>
        </w:trPr>
        <w:tc>
          <w:tcPr>
            <w:tcW w:w="8820" w:type="dxa"/>
            <w:gridSpan w:val="3"/>
            <w:shd w:val="clear" w:color="auto" w:fill="auto"/>
          </w:tcPr>
          <w:p w14:paraId="1AF95084" w14:textId="77777777" w:rsidR="00401B2C" w:rsidRPr="00401B2C" w:rsidRDefault="00401B2C" w:rsidP="00401B2C">
            <w:pPr>
              <w:suppressLineNumbers/>
              <w:rPr>
                <w:rFonts w:ascii="Arial" w:hAnsi="Arial"/>
                <w:b/>
                <w:bCs/>
                <w:noProof w:val="0"/>
                <w:sz w:val="26"/>
                <w:szCs w:val="26"/>
                <w:rtl/>
              </w:rPr>
            </w:pPr>
          </w:p>
          <w:p w14:paraId="699291DF" w14:textId="77777777" w:rsidR="00401B2C" w:rsidRPr="00401B2C" w:rsidRDefault="00401B2C" w:rsidP="00401B2C">
            <w:pPr>
              <w:suppressLineNumbers/>
              <w:jc w:val="center"/>
              <w:rPr>
                <w:rFonts w:ascii="Arial" w:hAnsi="Arial"/>
                <w:b/>
                <w:bCs/>
                <w:noProof w:val="0"/>
                <w:sz w:val="26"/>
                <w:szCs w:val="26"/>
                <w:rtl/>
              </w:rPr>
            </w:pPr>
            <w:r w:rsidRPr="00401B2C">
              <w:rPr>
                <w:rFonts w:ascii="Arial" w:hAnsi="Arial"/>
                <w:b/>
                <w:bCs/>
                <w:noProof w:val="0"/>
                <w:sz w:val="26"/>
                <w:szCs w:val="26"/>
                <w:rtl/>
              </w:rPr>
              <w:t>נגד</w:t>
            </w:r>
          </w:p>
          <w:p w14:paraId="36F30183" w14:textId="77777777" w:rsidR="00401B2C" w:rsidRPr="00401B2C" w:rsidRDefault="00401B2C" w:rsidP="00401B2C">
            <w:pPr>
              <w:suppressLineNumbers/>
              <w:rPr>
                <w:rFonts w:ascii="Arial" w:hAnsi="Arial"/>
                <w:b/>
                <w:bCs/>
                <w:noProof w:val="0"/>
                <w:sz w:val="26"/>
                <w:szCs w:val="26"/>
              </w:rPr>
            </w:pPr>
          </w:p>
        </w:tc>
      </w:tr>
      <w:tr w:rsidR="00401B2C" w14:paraId="7D8A9345" w14:textId="77777777" w:rsidTr="00401B2C">
        <w:trPr>
          <w:jc w:val="center"/>
        </w:trPr>
        <w:tc>
          <w:tcPr>
            <w:tcW w:w="3249" w:type="dxa"/>
            <w:gridSpan w:val="2"/>
            <w:shd w:val="clear" w:color="auto" w:fill="auto"/>
          </w:tcPr>
          <w:p w14:paraId="1244D631" w14:textId="77777777" w:rsidR="00401B2C" w:rsidRPr="00401B2C" w:rsidRDefault="00401B2C" w:rsidP="00401B2C">
            <w:pPr>
              <w:suppressLineNumbers/>
              <w:rPr>
                <w:rFonts w:ascii="Arial" w:hAnsi="Arial"/>
                <w:b/>
                <w:bCs/>
                <w:noProof w:val="0"/>
                <w:sz w:val="26"/>
                <w:szCs w:val="26"/>
              </w:rPr>
            </w:pPr>
            <w:r w:rsidRPr="00401B2C">
              <w:rPr>
                <w:rFonts w:ascii="Arial" w:hAnsi="Arial" w:hint="cs"/>
                <w:b/>
                <w:bCs/>
                <w:noProof w:val="0"/>
                <w:sz w:val="26"/>
                <w:szCs w:val="26"/>
                <w:rtl/>
              </w:rPr>
              <w:t>ה</w:t>
            </w:r>
            <w:r w:rsidRPr="00401B2C">
              <w:rPr>
                <w:rFonts w:ascii="Arial" w:hAnsi="Arial"/>
                <w:b/>
                <w:bCs/>
                <w:noProof w:val="0"/>
                <w:sz w:val="26"/>
                <w:szCs w:val="26"/>
                <w:rtl/>
              </w:rPr>
              <w:t>נאשם</w:t>
            </w:r>
          </w:p>
        </w:tc>
        <w:tc>
          <w:tcPr>
            <w:tcW w:w="5571" w:type="dxa"/>
            <w:shd w:val="clear" w:color="auto" w:fill="auto"/>
          </w:tcPr>
          <w:p w14:paraId="75D9BF3C" w14:textId="77777777" w:rsidR="00401B2C" w:rsidRDefault="00401B2C" w:rsidP="00401B2C">
            <w:pPr>
              <w:suppressLineNumbers/>
              <w:rPr>
                <w:rtl/>
              </w:rPr>
            </w:pPr>
            <w:r w:rsidRPr="00401B2C">
              <w:rPr>
                <w:rFonts w:ascii="Arial" w:hAnsi="Arial"/>
                <w:b/>
                <w:bCs/>
                <w:noProof w:val="0"/>
                <w:sz w:val="26"/>
                <w:szCs w:val="26"/>
                <w:rtl/>
              </w:rPr>
              <w:t>דוד אנוכשוילי</w:t>
            </w:r>
          </w:p>
          <w:p w14:paraId="3D8A4BCC" w14:textId="77777777" w:rsidR="00401B2C" w:rsidRPr="00401B2C" w:rsidRDefault="00401B2C" w:rsidP="00401B2C">
            <w:pPr>
              <w:suppressLineNumbers/>
              <w:rPr>
                <w:b/>
                <w:bCs/>
                <w:noProof w:val="0"/>
                <w:sz w:val="26"/>
                <w:szCs w:val="26"/>
                <w:rtl/>
              </w:rPr>
            </w:pPr>
          </w:p>
        </w:tc>
      </w:tr>
    </w:tbl>
    <w:p w14:paraId="4840A6D1" w14:textId="77777777" w:rsidR="00401B2C" w:rsidRDefault="00401B2C" w:rsidP="00401B2C">
      <w:pPr>
        <w:suppressLineNumbers/>
        <w:rPr>
          <w:rFonts w:hint="cs"/>
          <w:rtl/>
        </w:rPr>
      </w:pPr>
    </w:p>
    <w:p w14:paraId="734C775D" w14:textId="77777777" w:rsidR="00B625AB" w:rsidRDefault="00B625AB" w:rsidP="00401B2C">
      <w:pPr>
        <w:suppressLineNumbers/>
        <w:rPr>
          <w:rFonts w:hint="cs"/>
          <w:rtl/>
        </w:rPr>
      </w:pPr>
    </w:p>
    <w:p w14:paraId="578C2A03" w14:textId="77777777" w:rsidR="00B625AB" w:rsidRPr="00B625AB" w:rsidRDefault="00B625AB" w:rsidP="00B625AB">
      <w:pPr>
        <w:suppressLineNumbers/>
        <w:spacing w:before="120" w:after="120" w:line="240" w:lineRule="exact"/>
        <w:ind w:left="283" w:hanging="283"/>
        <w:jc w:val="both"/>
        <w:rPr>
          <w:rFonts w:ascii="FrankRuehl" w:hAnsi="FrankRuehl" w:cs="FrankRuehl"/>
          <w:rtl/>
        </w:rPr>
      </w:pPr>
      <w:bookmarkStart w:id="0" w:name="LawTable"/>
      <w:bookmarkEnd w:id="0"/>
      <w:r w:rsidRPr="00B625AB">
        <w:rPr>
          <w:rFonts w:ascii="FrankRuehl" w:hAnsi="FrankRuehl" w:cs="FrankRuehl"/>
          <w:rtl/>
        </w:rPr>
        <w:t xml:space="preserve">חקיקה שאוזכרה: </w:t>
      </w:r>
    </w:p>
    <w:p w14:paraId="37349F6A" w14:textId="77777777" w:rsidR="00B625AB" w:rsidRPr="00B625AB" w:rsidRDefault="00B625AB" w:rsidP="00B625AB">
      <w:pPr>
        <w:suppressLineNumbers/>
        <w:spacing w:before="120" w:after="120" w:line="240" w:lineRule="exact"/>
        <w:ind w:left="283" w:hanging="283"/>
        <w:jc w:val="both"/>
        <w:rPr>
          <w:rFonts w:ascii="FrankRuehl" w:hAnsi="FrankRuehl" w:cs="FrankRuehl"/>
          <w:rtl/>
        </w:rPr>
      </w:pPr>
      <w:hyperlink r:id="rId6" w:history="1">
        <w:r w:rsidRPr="00B625AB">
          <w:rPr>
            <w:rFonts w:ascii="FrankRuehl" w:hAnsi="FrankRuehl" w:cs="FrankRuehl"/>
            <w:color w:val="0000FF"/>
            <w:u w:val="single"/>
            <w:rtl/>
          </w:rPr>
          <w:t>פקודת הסמים המסוכנים [נוסח חדש], תשל"ג-1973</w:t>
        </w:r>
      </w:hyperlink>
      <w:r w:rsidRPr="00B625AB">
        <w:rPr>
          <w:rFonts w:ascii="FrankRuehl" w:hAnsi="FrankRuehl" w:cs="FrankRuehl"/>
          <w:rtl/>
        </w:rPr>
        <w:t xml:space="preserve">: סע'  </w:t>
      </w:r>
      <w:hyperlink r:id="rId7" w:history="1">
        <w:r w:rsidRPr="00B625AB">
          <w:rPr>
            <w:rFonts w:ascii="FrankRuehl" w:hAnsi="FrankRuehl" w:cs="FrankRuehl"/>
            <w:color w:val="0000FF"/>
            <w:u w:val="single"/>
            <w:rtl/>
          </w:rPr>
          <w:t>7(א)</w:t>
        </w:r>
      </w:hyperlink>
      <w:r w:rsidRPr="00B625AB">
        <w:rPr>
          <w:rFonts w:ascii="FrankRuehl" w:hAnsi="FrankRuehl" w:cs="FrankRuehl"/>
          <w:rtl/>
        </w:rPr>
        <w:t xml:space="preserve">, </w:t>
      </w:r>
      <w:hyperlink r:id="rId8" w:history="1">
        <w:r w:rsidRPr="00B625AB">
          <w:rPr>
            <w:rFonts w:ascii="FrankRuehl" w:hAnsi="FrankRuehl" w:cs="FrankRuehl"/>
            <w:color w:val="0000FF"/>
            <w:u w:val="single"/>
            <w:rtl/>
          </w:rPr>
          <w:t>7(ג)</w:t>
        </w:r>
      </w:hyperlink>
    </w:p>
    <w:p w14:paraId="78D475AE" w14:textId="77777777" w:rsidR="00B625AB" w:rsidRPr="00B625AB" w:rsidRDefault="00B625AB" w:rsidP="00B625AB">
      <w:pPr>
        <w:suppressLineNumbers/>
        <w:spacing w:before="120" w:after="120" w:line="240" w:lineRule="exact"/>
        <w:ind w:left="283" w:hanging="283"/>
        <w:jc w:val="both"/>
        <w:rPr>
          <w:rFonts w:ascii="FrankRuehl" w:hAnsi="FrankRuehl" w:cs="FrankRuehl"/>
          <w:rtl/>
        </w:rPr>
      </w:pPr>
      <w:hyperlink r:id="rId9" w:history="1">
        <w:r w:rsidRPr="00B625AB">
          <w:rPr>
            <w:rFonts w:ascii="FrankRuehl" w:hAnsi="FrankRuehl" w:cs="FrankRuehl"/>
            <w:color w:val="0000FF"/>
            <w:u w:val="single"/>
            <w:rtl/>
          </w:rPr>
          <w:t>חוק סדר הדין הפלילי [נוסח משולב], תשמ"ב-1982</w:t>
        </w:r>
      </w:hyperlink>
      <w:r w:rsidRPr="00B625AB">
        <w:rPr>
          <w:rFonts w:ascii="FrankRuehl" w:hAnsi="FrankRuehl" w:cs="FrankRuehl"/>
          <w:rtl/>
        </w:rPr>
        <w:t xml:space="preserve">: סע'  </w:t>
      </w:r>
      <w:hyperlink r:id="rId10" w:history="1">
        <w:r w:rsidRPr="00B625AB">
          <w:rPr>
            <w:rFonts w:ascii="FrankRuehl" w:hAnsi="FrankRuehl" w:cs="FrankRuehl"/>
            <w:color w:val="0000FF"/>
            <w:u w:val="single"/>
            <w:rtl/>
          </w:rPr>
          <w:t>192א</w:t>
        </w:r>
      </w:hyperlink>
    </w:p>
    <w:p w14:paraId="09B37BB1" w14:textId="77777777" w:rsidR="00B625AB" w:rsidRDefault="00B625AB" w:rsidP="00B625AB">
      <w:pPr>
        <w:suppressLineNumbers/>
        <w:rPr>
          <w:rFonts w:hint="cs"/>
          <w:rtl/>
        </w:rPr>
      </w:pPr>
      <w:bookmarkStart w:id="1" w:name="LawTable_End"/>
      <w:bookmarkEnd w:id="1"/>
    </w:p>
    <w:p w14:paraId="459CE2EF" w14:textId="77777777" w:rsidR="00B625AB" w:rsidRDefault="00B625AB" w:rsidP="00B625AB">
      <w:pPr>
        <w:suppressLineNumbers/>
        <w:rPr>
          <w:rFonts w:hint="cs"/>
          <w:rtl/>
        </w:rPr>
      </w:pPr>
    </w:p>
    <w:p w14:paraId="2EBAB60E" w14:textId="77777777" w:rsidR="00B625AB" w:rsidRPr="00B625AB" w:rsidRDefault="00B625AB" w:rsidP="00B625AB">
      <w:pPr>
        <w:suppressLineNumbers/>
        <w:rPr>
          <w:rFonts w:hint="cs"/>
          <w:rtl/>
        </w:rPr>
      </w:pPr>
    </w:p>
    <w:tbl>
      <w:tblPr>
        <w:bidiVisual/>
        <w:tblW w:w="8820" w:type="dxa"/>
        <w:jc w:val="center"/>
        <w:tblLook w:val="01E0" w:firstRow="1" w:lastRow="1" w:firstColumn="1" w:lastColumn="1" w:noHBand="0" w:noVBand="0"/>
      </w:tblPr>
      <w:tblGrid>
        <w:gridCol w:w="8820"/>
      </w:tblGrid>
      <w:tr w:rsidR="00401B2C" w:rsidRPr="00DE1E7D" w14:paraId="76DDCFAB" w14:textId="77777777" w:rsidTr="00401B2C">
        <w:trPr>
          <w:jc w:val="center"/>
        </w:trPr>
        <w:tc>
          <w:tcPr>
            <w:tcW w:w="8820" w:type="dxa"/>
            <w:shd w:val="clear" w:color="auto" w:fill="auto"/>
          </w:tcPr>
          <w:p w14:paraId="4BE6F8A6" w14:textId="77777777" w:rsidR="00401B2C" w:rsidRPr="00401B2C" w:rsidRDefault="00401B2C" w:rsidP="00B625AB">
            <w:pPr>
              <w:jc w:val="center"/>
              <w:rPr>
                <w:rFonts w:ascii="Arial" w:hAnsi="Arial"/>
                <w:b/>
                <w:bCs/>
                <w:noProof w:val="0"/>
                <w:sz w:val="28"/>
                <w:szCs w:val="28"/>
                <w:u w:val="single"/>
              </w:rPr>
            </w:pPr>
            <w:bookmarkStart w:id="2" w:name="PsakDin"/>
            <w:r w:rsidRPr="00B625AB">
              <w:rPr>
                <w:rFonts w:ascii="Arial" w:hAnsi="Arial" w:hint="cs"/>
                <w:b/>
                <w:bCs/>
                <w:noProof w:val="0"/>
                <w:sz w:val="28"/>
                <w:szCs w:val="28"/>
                <w:rtl/>
              </w:rPr>
              <w:t>החלטה</w:t>
            </w:r>
            <w:bookmarkEnd w:id="2"/>
            <w:r w:rsidRPr="00401B2C">
              <w:rPr>
                <w:rFonts w:ascii="Arial" w:hAnsi="Arial" w:hint="cs"/>
                <w:b/>
                <w:bCs/>
                <w:noProof w:val="0"/>
                <w:sz w:val="28"/>
                <w:szCs w:val="28"/>
                <w:u w:val="single"/>
                <w:rtl/>
              </w:rPr>
              <w:t xml:space="preserve"> </w:t>
            </w:r>
            <w:r w:rsidRPr="00401B2C">
              <w:rPr>
                <w:rFonts w:ascii="Arial" w:hAnsi="Arial"/>
                <w:b/>
                <w:bCs/>
                <w:noProof w:val="0"/>
                <w:sz w:val="28"/>
                <w:szCs w:val="28"/>
                <w:u w:val="single"/>
                <w:rtl/>
              </w:rPr>
              <w:t>–</w:t>
            </w:r>
            <w:r w:rsidRPr="00401B2C">
              <w:rPr>
                <w:rFonts w:ascii="Arial" w:hAnsi="Arial" w:hint="cs"/>
                <w:b/>
                <w:bCs/>
                <w:noProof w:val="0"/>
                <w:sz w:val="28"/>
                <w:szCs w:val="28"/>
                <w:u w:val="single"/>
                <w:rtl/>
              </w:rPr>
              <w:t xml:space="preserve"> גזר דין ללא הרשעה</w:t>
            </w:r>
          </w:p>
        </w:tc>
      </w:tr>
    </w:tbl>
    <w:p w14:paraId="3674CB62" w14:textId="77777777" w:rsidR="00401B2C" w:rsidRPr="00DE1E7D" w:rsidRDefault="00401B2C" w:rsidP="00401B2C">
      <w:pPr>
        <w:spacing w:line="360" w:lineRule="auto"/>
        <w:jc w:val="both"/>
        <w:rPr>
          <w:rFonts w:ascii="Arial" w:hAnsi="Arial"/>
          <w:noProof w:val="0"/>
          <w:rtl/>
        </w:rPr>
      </w:pPr>
      <w:bookmarkStart w:id="3" w:name="NGCSBookmark"/>
      <w:bookmarkEnd w:id="3"/>
    </w:p>
    <w:p w14:paraId="39AB369C" w14:textId="77777777" w:rsidR="00401B2C" w:rsidRDefault="00401B2C" w:rsidP="00401B2C">
      <w:pPr>
        <w:spacing w:after="160" w:line="360" w:lineRule="auto"/>
        <w:jc w:val="both"/>
        <w:rPr>
          <w:rFonts w:ascii="Calibri" w:hAnsi="Calibri" w:cs="Calibri"/>
          <w:b/>
          <w:bCs/>
          <w:noProof w:val="0"/>
          <w:u w:val="single"/>
        </w:rPr>
      </w:pPr>
      <w:r>
        <w:rPr>
          <w:rFonts w:ascii="Arial" w:hAnsi="Arial" w:hint="cs"/>
          <w:b/>
          <w:bCs/>
          <w:u w:val="single"/>
          <w:rtl/>
        </w:rPr>
        <w:t xml:space="preserve">כתב אישום ורקע </w:t>
      </w:r>
    </w:p>
    <w:p w14:paraId="785AC780" w14:textId="77777777" w:rsidR="00401B2C" w:rsidRDefault="00401B2C" w:rsidP="00401B2C">
      <w:pPr>
        <w:spacing w:after="160" w:line="360" w:lineRule="auto"/>
        <w:ind w:left="720" w:hanging="720"/>
        <w:jc w:val="both"/>
        <w:rPr>
          <w:rFonts w:ascii="Arial" w:hAnsi="Arial"/>
        </w:rPr>
      </w:pPr>
      <w:r>
        <w:rPr>
          <w:rFonts w:ascii="Arial" w:hAnsi="Arial" w:hint="cs"/>
          <w:rtl/>
        </w:rPr>
        <w:t>1.</w:t>
      </w:r>
      <w:r w:rsidR="004D2A51">
        <w:rPr>
          <w:rFonts w:ascii="Arial" w:hAnsi="Arial" w:hint="cs"/>
          <w:rtl/>
        </w:rPr>
        <w:t xml:space="preserve">        </w:t>
      </w:r>
      <w:r>
        <w:rPr>
          <w:rFonts w:ascii="Arial" w:hAnsi="Arial" w:hint="cs"/>
          <w:rtl/>
        </w:rPr>
        <w:t xml:space="preserve">  </w:t>
      </w:r>
      <w:bookmarkStart w:id="4" w:name="ABSTRACT_START"/>
      <w:bookmarkEnd w:id="4"/>
      <w:r>
        <w:rPr>
          <w:rFonts w:ascii="Arial" w:hAnsi="Arial" w:hint="cs"/>
          <w:rtl/>
        </w:rPr>
        <w:t xml:space="preserve">הנאשם הורשע על-פי הודאתו בכתב אישום המייחס לו </w:t>
      </w:r>
      <w:r>
        <w:rPr>
          <w:rFonts w:ascii="Arial" w:hAnsi="Arial" w:hint="cs"/>
          <w:b/>
          <w:bCs/>
          <w:rtl/>
        </w:rPr>
        <w:t>החזקת סמים לצריכה עצמית</w:t>
      </w:r>
      <w:r>
        <w:rPr>
          <w:rFonts w:ascii="Arial" w:hAnsi="Arial" w:hint="cs"/>
          <w:rtl/>
        </w:rPr>
        <w:t xml:space="preserve"> – לפי </w:t>
      </w:r>
      <w:hyperlink r:id="rId11" w:history="1">
        <w:r w:rsidR="00B625AB" w:rsidRPr="00B625AB">
          <w:rPr>
            <w:rStyle w:val="Hyperlink"/>
            <w:rFonts w:ascii="Arial" w:hAnsi="Arial" w:hint="eastAsia"/>
            <w:color w:val="0000FF"/>
            <w:rtl/>
          </w:rPr>
          <w:t>סעיף</w:t>
        </w:r>
        <w:r w:rsidR="00B625AB" w:rsidRPr="00B625AB">
          <w:rPr>
            <w:rStyle w:val="Hyperlink"/>
            <w:rFonts w:ascii="Arial" w:hAnsi="Arial"/>
            <w:color w:val="0000FF"/>
            <w:rtl/>
          </w:rPr>
          <w:t xml:space="preserve"> 7(א)</w:t>
        </w:r>
      </w:hyperlink>
      <w:r>
        <w:rPr>
          <w:rFonts w:ascii="Arial" w:hAnsi="Arial" w:hint="cs"/>
          <w:rtl/>
        </w:rPr>
        <w:t xml:space="preserve"> + </w:t>
      </w:r>
      <w:hyperlink r:id="rId12" w:history="1">
        <w:r w:rsidR="00B625AB" w:rsidRPr="00B625AB">
          <w:rPr>
            <w:rFonts w:ascii="Arial" w:hAnsi="Arial"/>
            <w:color w:val="0000FF"/>
            <w:u w:val="single"/>
            <w:rtl/>
          </w:rPr>
          <w:t>7(ג)</w:t>
        </w:r>
      </w:hyperlink>
      <w:r>
        <w:rPr>
          <w:rFonts w:ascii="Arial" w:hAnsi="Arial" w:hint="cs"/>
          <w:rtl/>
        </w:rPr>
        <w:t xml:space="preserve"> סיפא ל</w:t>
      </w:r>
      <w:hyperlink r:id="rId13" w:history="1">
        <w:r w:rsidR="004D2A51" w:rsidRPr="004D2A51">
          <w:rPr>
            <w:rStyle w:val="Hyperlink"/>
            <w:rFonts w:ascii="Arial" w:hAnsi="Arial" w:hint="eastAsia"/>
            <w:color w:val="0000FF"/>
            <w:rtl/>
          </w:rPr>
          <w:t>פקודת</w:t>
        </w:r>
        <w:r w:rsidR="004D2A51" w:rsidRPr="004D2A51">
          <w:rPr>
            <w:rStyle w:val="Hyperlink"/>
            <w:rFonts w:ascii="Arial" w:hAnsi="Arial"/>
            <w:color w:val="0000FF"/>
            <w:rtl/>
          </w:rPr>
          <w:t xml:space="preserve"> הסמים המסוכנים</w:t>
        </w:r>
      </w:hyperlink>
      <w:r>
        <w:rPr>
          <w:rFonts w:ascii="Arial" w:hAnsi="Arial" w:hint="cs"/>
          <w:rtl/>
        </w:rPr>
        <w:t xml:space="preserve"> (נוסח חדש), תשל"ג-1973.</w:t>
      </w:r>
    </w:p>
    <w:p w14:paraId="4DA4689E" w14:textId="77777777" w:rsidR="00401B2C" w:rsidRDefault="00401B2C" w:rsidP="00401B2C">
      <w:pPr>
        <w:spacing w:after="160" w:line="360" w:lineRule="auto"/>
        <w:ind w:left="720"/>
        <w:jc w:val="both"/>
        <w:rPr>
          <w:rFonts w:ascii="Arial" w:hAnsi="Arial"/>
        </w:rPr>
      </w:pPr>
      <w:r>
        <w:rPr>
          <w:rFonts w:ascii="Arial" w:hAnsi="Arial" w:hint="cs"/>
          <w:rtl/>
        </w:rPr>
        <w:t xml:space="preserve">בכתב האישום צוין כי ביום  24.4.16, בשעה 15:45, באתר גן הפקאן, החזיק הנאשם בסם מסוכן מסוג </w:t>
      </w:r>
      <w:r>
        <w:rPr>
          <w:rFonts w:ascii="Arial" w:hAnsi="Arial"/>
        </w:rPr>
        <w:t>LSD</w:t>
      </w:r>
      <w:r>
        <w:rPr>
          <w:rFonts w:ascii="Arial" w:hAnsi="Arial" w:hint="cs"/>
          <w:rtl/>
        </w:rPr>
        <w:t xml:space="preserve"> בנפח 0.65 מ"ל, וכן בסם מסוכן מסוג קנאביס, במשקל נטו של 2.76 גרם, לצריכתו העצמית. </w:t>
      </w:r>
    </w:p>
    <w:p w14:paraId="374E5DA0" w14:textId="77777777" w:rsidR="00401B2C" w:rsidRDefault="00401B2C" w:rsidP="00401B2C">
      <w:pPr>
        <w:spacing w:after="160" w:line="360" w:lineRule="auto"/>
        <w:ind w:left="720"/>
        <w:jc w:val="both"/>
        <w:rPr>
          <w:rFonts w:ascii="Arial" w:hAnsi="Arial"/>
          <w:rtl/>
        </w:rPr>
      </w:pPr>
      <w:bookmarkStart w:id="5" w:name="ABSTRACT_END"/>
      <w:bookmarkEnd w:id="5"/>
    </w:p>
    <w:p w14:paraId="546A9000" w14:textId="77777777" w:rsidR="00401B2C" w:rsidRDefault="00401B2C" w:rsidP="00401B2C">
      <w:pPr>
        <w:spacing w:after="160" w:line="360" w:lineRule="auto"/>
        <w:ind w:left="720" w:hanging="720"/>
        <w:jc w:val="both"/>
        <w:rPr>
          <w:rFonts w:ascii="Arial" w:hAnsi="Arial"/>
          <w:rtl/>
        </w:rPr>
      </w:pPr>
      <w:r>
        <w:rPr>
          <w:rFonts w:ascii="Arial" w:hAnsi="Arial" w:hint="cs"/>
          <w:rtl/>
        </w:rPr>
        <w:t>2.</w:t>
      </w:r>
      <w:r>
        <w:rPr>
          <w:rFonts w:ascii="Arial" w:hAnsi="Arial" w:hint="cs"/>
          <w:rtl/>
        </w:rPr>
        <w:tab/>
        <w:t xml:space="preserve">לאחר הרשעתו, ביום 27.6.18, טענו הצדדים לעונש והתיק נקבע למתן גזר-דין. לנאשם הוצעה באותו מועד האפשרות להפנותו לשירות המבחן אך הוא סירב לכך. ביום 8.8.18 הגישה ב"כ הנאשם בקשה להפנותו לשירות המבחן, וציינה כי הנאשם הביע הסכמתו לכך. בהסכמת ב"כ המאשימה, ולאחר שהנאשם נתן הסכמתו לעריכת בדיקות שתן בשירות המבחן, הוריתי על הפנייתו לעריכת תסקיר בעניינו, אשר ידון, בין היתר, ועל פי בקשת הנאשם, בשאלת ביטול הרשעתו. </w:t>
      </w:r>
    </w:p>
    <w:p w14:paraId="172337C7" w14:textId="77777777" w:rsidR="00401B2C" w:rsidRDefault="00401B2C" w:rsidP="00401B2C">
      <w:pPr>
        <w:spacing w:after="160" w:line="360" w:lineRule="auto"/>
        <w:ind w:left="720" w:hanging="720"/>
        <w:jc w:val="both"/>
        <w:rPr>
          <w:rFonts w:ascii="Arial" w:hAnsi="Arial"/>
          <w:rtl/>
        </w:rPr>
      </w:pPr>
    </w:p>
    <w:p w14:paraId="3D1F96B9" w14:textId="77777777" w:rsidR="00401B2C" w:rsidRDefault="00401B2C" w:rsidP="00401B2C">
      <w:pPr>
        <w:spacing w:after="160" w:line="360" w:lineRule="auto"/>
        <w:jc w:val="both"/>
        <w:rPr>
          <w:rFonts w:ascii="Arial" w:hAnsi="Arial"/>
          <w:b/>
          <w:bCs/>
          <w:u w:val="single"/>
          <w:rtl/>
        </w:rPr>
      </w:pPr>
      <w:r>
        <w:rPr>
          <w:rFonts w:ascii="Arial" w:hAnsi="Arial" w:hint="cs"/>
          <w:b/>
          <w:bCs/>
          <w:u w:val="single"/>
          <w:rtl/>
        </w:rPr>
        <w:t>תסקיר שרות המבחן מיום 30.12.18</w:t>
      </w:r>
    </w:p>
    <w:p w14:paraId="7FE61158" w14:textId="77777777" w:rsidR="00401B2C" w:rsidRDefault="00401B2C" w:rsidP="00401B2C">
      <w:pPr>
        <w:spacing w:after="160" w:line="360" w:lineRule="auto"/>
        <w:ind w:left="720" w:hanging="720"/>
        <w:jc w:val="both"/>
        <w:rPr>
          <w:rFonts w:ascii="Arial" w:hAnsi="Arial"/>
          <w:rtl/>
        </w:rPr>
      </w:pPr>
      <w:r>
        <w:rPr>
          <w:rFonts w:ascii="Arial" w:hAnsi="Arial" w:hint="cs"/>
          <w:rtl/>
        </w:rPr>
        <w:lastRenderedPageBreak/>
        <w:t>3.</w:t>
      </w:r>
      <w:r w:rsidR="004D2A51">
        <w:rPr>
          <w:rFonts w:ascii="Arial" w:hAnsi="Arial" w:hint="cs"/>
          <w:rtl/>
        </w:rPr>
        <w:t xml:space="preserve">        </w:t>
      </w:r>
      <w:r>
        <w:rPr>
          <w:rFonts w:ascii="Arial" w:hAnsi="Arial" w:hint="cs"/>
          <w:rtl/>
        </w:rPr>
        <w:t xml:space="preserve">  שרות המבחן נמנע מלהמליץ על ביטול הרשעתו של הנאשם בדין, אך המליץ להסתפק בענישה מוחשית וחינוכית מקלה של  של"צ בהיקף של 140 שעות, בצירוף התחייבות כספית.</w:t>
      </w:r>
    </w:p>
    <w:p w14:paraId="38344A84" w14:textId="77777777" w:rsidR="00401B2C" w:rsidRDefault="00401B2C" w:rsidP="00401B2C">
      <w:pPr>
        <w:spacing w:after="160" w:line="360" w:lineRule="auto"/>
        <w:ind w:left="720" w:hanging="720"/>
        <w:jc w:val="both"/>
        <w:rPr>
          <w:rFonts w:ascii="Arial" w:hAnsi="Arial"/>
          <w:rtl/>
        </w:rPr>
      </w:pPr>
      <w:r>
        <w:rPr>
          <w:rFonts w:ascii="Arial" w:hAnsi="Arial" w:hint="cs"/>
          <w:rtl/>
        </w:rPr>
        <w:tab/>
        <w:t xml:space="preserve">על-פי התסקיר, הנאשם בן 27, רווק, בעל 12 שנות לימוד ותעודת בגרות מלאה. מזה כחמש שנים עובד הנאשם בבר-מסעדה, ולאחרונה הצטרף לעסק זה כשותף. הוא עלה עם משפחתו בגיל שנתיים מגאורגיה, וכיום מתגורר בדירה שכורה באשדוד. הנאשם שירת בצה"ל כלוחם חי"ר בתפקיד פיקודי. לאחר שחרורו, למד במכינה להנדסה, ולאחר מכן טייל במזרח. עם חזרתו עבד הנאשם במספר עבודות מזדמנות עד להשתלבותו בעסק כאמור. במקביל, סיים הנאשם לימודי טכנאי שירות למיזוג אוויר וקירור, אך עקב ההליך הפלילי, לא המשיך בלימודים בתחום מתוך חוסר הידיעה הכרוך בסיום ההליך, לדבריו. </w:t>
      </w:r>
    </w:p>
    <w:p w14:paraId="491B7302" w14:textId="77777777" w:rsidR="00401B2C" w:rsidRDefault="00401B2C" w:rsidP="00401B2C">
      <w:pPr>
        <w:spacing w:after="160" w:line="360" w:lineRule="auto"/>
        <w:ind w:left="720" w:hanging="720"/>
        <w:jc w:val="both"/>
        <w:rPr>
          <w:rFonts w:ascii="Arial" w:hAnsi="Arial"/>
          <w:rtl/>
        </w:rPr>
      </w:pPr>
      <w:r>
        <w:rPr>
          <w:rFonts w:ascii="Arial" w:hAnsi="Arial" w:hint="cs"/>
          <w:rtl/>
        </w:rPr>
        <w:tab/>
        <w:t xml:space="preserve">הנאשם מסר לשירות המבחן כי במסגרת העסק בו עובד, פיתח מספר יוזמות חברתיות, ובהן סיוע למשפחות נזקקות, שיח מעגלי לנוער, סיוע לקהילה הלהט"בית בעיר וכדומה. </w:t>
      </w:r>
    </w:p>
    <w:p w14:paraId="3D17F163" w14:textId="77777777" w:rsidR="00401B2C" w:rsidRDefault="00401B2C" w:rsidP="00401B2C">
      <w:pPr>
        <w:spacing w:after="160" w:line="360" w:lineRule="auto"/>
        <w:ind w:left="720" w:hanging="720"/>
        <w:jc w:val="both"/>
        <w:rPr>
          <w:rFonts w:ascii="Arial" w:hAnsi="Arial"/>
          <w:rtl/>
        </w:rPr>
      </w:pPr>
      <w:r>
        <w:rPr>
          <w:rFonts w:ascii="Arial" w:hAnsi="Arial" w:hint="cs"/>
          <w:rtl/>
        </w:rPr>
        <w:tab/>
        <w:t xml:space="preserve">הנאשם מסר לשירות המבחן כי גדל בסביבה משפחתית תומכת ומציבת גבול, וכי היחסים בין בני המשפחה טובים. יחד עם זאת, הנאשם נמנע מלשתף את בני משפחתו בעניין ההליך הפלילי, שכן חושש לגרום להם לתחושת אכזבה. </w:t>
      </w:r>
    </w:p>
    <w:p w14:paraId="5A943EC0" w14:textId="77777777" w:rsidR="00401B2C" w:rsidRDefault="00401B2C" w:rsidP="00401B2C">
      <w:pPr>
        <w:spacing w:after="160" w:line="360" w:lineRule="auto"/>
        <w:ind w:left="720" w:hanging="720"/>
        <w:jc w:val="both"/>
        <w:rPr>
          <w:rFonts w:ascii="Arial" w:hAnsi="Arial"/>
          <w:rtl/>
        </w:rPr>
      </w:pPr>
      <w:r>
        <w:rPr>
          <w:rFonts w:ascii="Arial" w:hAnsi="Arial" w:hint="cs"/>
          <w:rtl/>
        </w:rPr>
        <w:tab/>
        <w:t xml:space="preserve">באשר לצריכת סמים, מסר הנאשם לשירות המבחן כי התנסה לראשונה בצריכת קנאביס, לאחר שחרורו מהצבא, בנסיבות חברתיות. בזמן שטייל במזרח, התנסה בסם מסוג </w:t>
      </w:r>
      <w:r>
        <w:rPr>
          <w:rFonts w:ascii="Arial" w:hAnsi="Arial"/>
        </w:rPr>
        <w:t>LSD</w:t>
      </w:r>
      <w:r>
        <w:rPr>
          <w:rFonts w:ascii="Arial" w:hAnsi="Arial" w:hint="cs"/>
          <w:rtl/>
        </w:rPr>
        <w:t xml:space="preserve">. עם שובו לארץ, צרך סם זה מספר פעמים בודדות, ולעתים רחוקות צרך קנאביס, לדבריו. לדברי הנאשם, מאז העבירה דנן, נמנע מצריכת סמים. </w:t>
      </w:r>
    </w:p>
    <w:p w14:paraId="04383926" w14:textId="77777777" w:rsidR="00401B2C" w:rsidRDefault="00401B2C" w:rsidP="00401B2C">
      <w:pPr>
        <w:spacing w:after="160" w:line="360" w:lineRule="auto"/>
        <w:ind w:left="720" w:hanging="720"/>
        <w:jc w:val="both"/>
        <w:rPr>
          <w:rFonts w:ascii="Arial" w:hAnsi="Arial"/>
          <w:rtl/>
        </w:rPr>
      </w:pPr>
      <w:r>
        <w:rPr>
          <w:rFonts w:ascii="Arial" w:hAnsi="Arial" w:hint="cs"/>
          <w:rtl/>
        </w:rPr>
        <w:tab/>
        <w:t xml:space="preserve">בשלוש מתוך ארבע בדיקות שתן שמסר הנאשם בשירות המבחן לא נמצאו שרידי סם, ובאחת מהן נמצאו שרידי קנאביס, והנאשם מסר כי אינו צורך כלל סם ואינו מבין את פשר התוצאות. </w:t>
      </w:r>
    </w:p>
    <w:p w14:paraId="7BF521C5" w14:textId="77777777" w:rsidR="00401B2C" w:rsidRDefault="00401B2C" w:rsidP="00401B2C">
      <w:pPr>
        <w:spacing w:after="160" w:line="360" w:lineRule="auto"/>
        <w:ind w:left="720" w:hanging="720"/>
        <w:jc w:val="both"/>
        <w:rPr>
          <w:rFonts w:ascii="Arial" w:hAnsi="Arial"/>
          <w:rtl/>
        </w:rPr>
      </w:pPr>
      <w:r>
        <w:rPr>
          <w:rFonts w:ascii="Arial" w:hAnsi="Arial" w:hint="cs"/>
          <w:rtl/>
        </w:rPr>
        <w:tab/>
        <w:t xml:space="preserve">באשר לעבירה דנן, מסר הנאשם כי לאחר שחזר מהמזרח ובעודו שרוי באווירת הטיול, נסע להשתתף במסיבת טבע בצפון, ובה החזיק בסם מסוג </w:t>
      </w:r>
      <w:r>
        <w:rPr>
          <w:rFonts w:ascii="Arial" w:hAnsi="Arial"/>
        </w:rPr>
        <w:t>LSD</w:t>
      </w:r>
      <w:r>
        <w:rPr>
          <w:rFonts w:ascii="Arial" w:hAnsi="Arial" w:hint="cs"/>
          <w:rtl/>
        </w:rPr>
        <w:t xml:space="preserve">, לשימושו העצמי. כשהמשטרה הגיעה למקום חש בהלה, ולדבריו נהג באופן ילדותי וצמצם מחומרת מעשיו לנוכח אופוריה אותה חש בעקבות הטיול. כיום, חש הנאשם חרטה, ולדבריו חווייתו סייעה לו להבין את חומרת מעשיו והשלכותיהם,  ועוררה בו חשש ביחס לעתידו. </w:t>
      </w:r>
    </w:p>
    <w:p w14:paraId="061D80E6" w14:textId="77777777" w:rsidR="00401B2C" w:rsidRDefault="00401B2C" w:rsidP="00401B2C">
      <w:pPr>
        <w:spacing w:after="160" w:line="360" w:lineRule="auto"/>
        <w:ind w:left="720" w:hanging="720"/>
        <w:jc w:val="both"/>
        <w:rPr>
          <w:rFonts w:ascii="Arial" w:hAnsi="Arial"/>
          <w:rtl/>
        </w:rPr>
      </w:pPr>
      <w:r>
        <w:rPr>
          <w:rFonts w:ascii="Arial" w:hAnsi="Arial" w:hint="cs"/>
          <w:rtl/>
        </w:rPr>
        <w:tab/>
        <w:t xml:space="preserve">שירות המבחן התרשם כי הנאשם בעל יכולת תפקוד תקינה, וכי הוא בעל שאיפות להתפתחות אישית ומקצועית. הובאה ההערכה כי צריכת הסם בוצעה מתוך עמדות הנותנות לכך לגיטימציה, ושעה שהנאשם מצוי בשלב של התנסות, גיבוש זהות ובדיקת גבולות. ככלל, הנאשם נורמטיבי ומנהל אורח חיים תקין, עובד באופן קבוע, הוא מבין את משמעות מעשיו וההליך הפלילי מהווה אלמנט מרתיע ביחס אליו. שירות המבחן סבר כי יש לעודד את הנאשם להמשיך לקדם את חייו להישגים נורמטיביים. </w:t>
      </w:r>
    </w:p>
    <w:p w14:paraId="34E6B49F" w14:textId="77777777" w:rsidR="00401B2C" w:rsidRDefault="00401B2C" w:rsidP="00401B2C">
      <w:pPr>
        <w:spacing w:after="160" w:line="360" w:lineRule="auto"/>
        <w:ind w:left="720" w:hanging="720"/>
        <w:jc w:val="both"/>
        <w:rPr>
          <w:rFonts w:ascii="Arial" w:hAnsi="Arial"/>
          <w:rtl/>
        </w:rPr>
      </w:pPr>
      <w:r>
        <w:rPr>
          <w:rFonts w:ascii="Arial" w:hAnsi="Arial" w:hint="cs"/>
          <w:rtl/>
        </w:rPr>
        <w:lastRenderedPageBreak/>
        <w:tab/>
        <w:t xml:space="preserve">שירות המבחן ציין, באשר לשאלת ביטול ההרשעה בדין, כי הנאשם מסר שבעתיד מתכוון להשתלב בלימודים אקדמיים, אך לא הצביע על נזק ממשי לעתידו, ולפיכך נמנע מלהמליץ על ביטול ההרשעה. שירות המבחן המליץ, כאמור, על הטלת צו של"צ, בצירוף התחייבות כספית. </w:t>
      </w:r>
    </w:p>
    <w:p w14:paraId="11AC1307" w14:textId="77777777" w:rsidR="00401B2C" w:rsidRDefault="00401B2C" w:rsidP="00401B2C">
      <w:pPr>
        <w:spacing w:after="160" w:line="360" w:lineRule="auto"/>
        <w:ind w:left="720" w:hanging="720"/>
        <w:jc w:val="both"/>
        <w:rPr>
          <w:rFonts w:ascii="Arial" w:hAnsi="Arial"/>
          <w:rtl/>
        </w:rPr>
      </w:pPr>
    </w:p>
    <w:p w14:paraId="1162B02A" w14:textId="77777777" w:rsidR="00401B2C" w:rsidRDefault="00401B2C" w:rsidP="00401B2C">
      <w:pPr>
        <w:spacing w:after="160" w:line="360" w:lineRule="auto"/>
        <w:jc w:val="both"/>
        <w:rPr>
          <w:rFonts w:ascii="Arial" w:hAnsi="Arial"/>
          <w:b/>
          <w:bCs/>
          <w:u w:val="single"/>
        </w:rPr>
      </w:pPr>
      <w:r>
        <w:rPr>
          <w:rFonts w:ascii="Arial" w:hAnsi="Arial" w:hint="cs"/>
          <w:b/>
          <w:bCs/>
          <w:u w:val="single"/>
          <w:rtl/>
        </w:rPr>
        <w:t>טיעוני הצדדים לעונש</w:t>
      </w:r>
    </w:p>
    <w:p w14:paraId="120CECB7" w14:textId="77777777" w:rsidR="00401B2C" w:rsidRDefault="00401B2C" w:rsidP="00401B2C">
      <w:pPr>
        <w:spacing w:after="160" w:line="360" w:lineRule="auto"/>
        <w:ind w:left="720"/>
        <w:jc w:val="both"/>
        <w:rPr>
          <w:rFonts w:ascii="Arial" w:hAnsi="Arial"/>
          <w:rtl/>
        </w:rPr>
      </w:pPr>
      <w:r>
        <w:rPr>
          <w:rFonts w:ascii="Arial" w:hAnsi="Arial" w:hint="cs"/>
          <w:rtl/>
        </w:rPr>
        <w:t xml:space="preserve">ביום 27.6.18, לאחר שהנאשם הודה והורשע, ובטרם הופנה לשירות המבחן, טענו הצדדים לעונש בע"פ. לאחר קבלת התסקיר, התקיימה ביום 4.7.19 ישיבת טיעונים לעונש ובה התייחסו הצדדים לתסקיר שירות המבחן, והשלימו טיעוניהם. </w:t>
      </w:r>
    </w:p>
    <w:p w14:paraId="14E1D777" w14:textId="77777777" w:rsidR="00401B2C" w:rsidRDefault="00401B2C" w:rsidP="00401B2C">
      <w:pPr>
        <w:spacing w:after="160" w:line="360" w:lineRule="auto"/>
        <w:ind w:left="720"/>
        <w:jc w:val="both"/>
        <w:rPr>
          <w:rFonts w:ascii="Arial" w:hAnsi="Arial"/>
          <w:rtl/>
        </w:rPr>
      </w:pPr>
    </w:p>
    <w:p w14:paraId="37139F70" w14:textId="77777777" w:rsidR="00401B2C" w:rsidRDefault="00401B2C" w:rsidP="00401B2C">
      <w:pPr>
        <w:spacing w:after="160" w:line="360" w:lineRule="auto"/>
        <w:ind w:firstLine="720"/>
        <w:jc w:val="both"/>
        <w:rPr>
          <w:rFonts w:ascii="Arial" w:hAnsi="Arial"/>
          <w:u w:val="single"/>
          <w:rtl/>
        </w:rPr>
      </w:pPr>
      <w:r>
        <w:rPr>
          <w:rFonts w:ascii="Arial" w:hAnsi="Arial" w:hint="cs"/>
          <w:u w:val="single"/>
          <w:rtl/>
        </w:rPr>
        <w:t xml:space="preserve">טיעוני ב"כ המאשימה </w:t>
      </w:r>
    </w:p>
    <w:p w14:paraId="06D84FCD" w14:textId="77777777" w:rsidR="00401B2C" w:rsidRDefault="00401B2C" w:rsidP="00401B2C">
      <w:pPr>
        <w:spacing w:after="160" w:line="360" w:lineRule="auto"/>
        <w:ind w:left="720" w:hanging="720"/>
        <w:jc w:val="both"/>
        <w:rPr>
          <w:rFonts w:ascii="Arial" w:hAnsi="Arial"/>
          <w:rtl/>
        </w:rPr>
      </w:pPr>
      <w:r>
        <w:rPr>
          <w:rFonts w:ascii="Arial" w:hAnsi="Arial" w:hint="cs"/>
          <w:rtl/>
        </w:rPr>
        <w:t>4.</w:t>
      </w:r>
      <w:r w:rsidR="004D2A51">
        <w:rPr>
          <w:rFonts w:ascii="Arial" w:hAnsi="Arial" w:hint="cs"/>
          <w:rtl/>
        </w:rPr>
        <w:t xml:space="preserve">        </w:t>
      </w:r>
      <w:r>
        <w:rPr>
          <w:rFonts w:ascii="Arial" w:hAnsi="Arial" w:hint="cs"/>
          <w:rtl/>
        </w:rPr>
        <w:t xml:space="preserve">  ב"כ המאשימה מסרה כי תסכים לעונש ראוי של צו של"צ בצירוף ענישה נלווית, אך טענה  כי יש להותיר את הרשעת הנאשם על כנה. נטען, כי הנאשם נמצא מחזיק סם מסוג </w:t>
      </w:r>
      <w:r>
        <w:rPr>
          <w:rFonts w:ascii="Arial" w:hAnsi="Arial"/>
        </w:rPr>
        <w:t>LSD</w:t>
      </w:r>
      <w:r>
        <w:rPr>
          <w:rFonts w:ascii="Arial" w:hAnsi="Arial" w:hint="cs"/>
          <w:rtl/>
        </w:rPr>
        <w:t xml:space="preserve"> הנחשב סם מסוג הסמים "הקשים", אם כי בכמות קטנה. מאז ביצוע העבירה אמנם חלף זמן רב, אולם התארכות ההליך נגרמה בעטיו של הנאשם. אף שהנאשם נטל אחריות והודה בעבירה, הוא נמנע בתחילה מלשתף פעולה עם שירות המבחן. לאחר שהופנה לשירות המבחן, אחת מבדיקות השתן שמסר נמצאה עם שרידי סם, והנאשם לא נתן לכך הסבר. בנסיבות אלה, יש להותיר הרשעתו של הנאשם על כנה, שכן עניינו אינו עומד בתנאי הפסיקה, ולא הוכח קיומו של נזק קונקרטי ומוחשי לסיכויי שיקומו. </w:t>
      </w:r>
    </w:p>
    <w:p w14:paraId="337A2338" w14:textId="77777777" w:rsidR="00401B2C" w:rsidRDefault="00401B2C" w:rsidP="00401B2C">
      <w:pPr>
        <w:spacing w:after="160" w:line="360" w:lineRule="auto"/>
        <w:jc w:val="both"/>
        <w:rPr>
          <w:rFonts w:ascii="Arial" w:hAnsi="Arial"/>
          <w:rtl/>
        </w:rPr>
      </w:pPr>
    </w:p>
    <w:p w14:paraId="6FA5FA93" w14:textId="77777777" w:rsidR="00401B2C" w:rsidRDefault="00401B2C" w:rsidP="00401B2C">
      <w:pPr>
        <w:spacing w:after="160" w:line="360" w:lineRule="auto"/>
        <w:ind w:firstLine="720"/>
        <w:jc w:val="both"/>
        <w:rPr>
          <w:rFonts w:ascii="Arial" w:hAnsi="Arial"/>
          <w:u w:val="single"/>
          <w:rtl/>
        </w:rPr>
      </w:pPr>
      <w:r>
        <w:rPr>
          <w:rFonts w:ascii="Arial" w:hAnsi="Arial" w:hint="cs"/>
          <w:u w:val="single"/>
          <w:rtl/>
        </w:rPr>
        <w:t>טיעוני ב"כ הנאשם</w:t>
      </w:r>
    </w:p>
    <w:p w14:paraId="4D8AD46F" w14:textId="77777777" w:rsidR="00401B2C" w:rsidRDefault="00401B2C" w:rsidP="00401B2C">
      <w:pPr>
        <w:spacing w:after="160" w:line="360" w:lineRule="auto"/>
        <w:ind w:left="720" w:hanging="720"/>
        <w:jc w:val="both"/>
        <w:rPr>
          <w:rFonts w:ascii="Arial" w:hAnsi="Arial"/>
          <w:rtl/>
        </w:rPr>
      </w:pPr>
      <w:r>
        <w:rPr>
          <w:rFonts w:ascii="Arial" w:hAnsi="Arial" w:hint="cs"/>
          <w:rtl/>
        </w:rPr>
        <w:t>5.</w:t>
      </w:r>
      <w:r w:rsidR="004D2A51">
        <w:rPr>
          <w:rFonts w:ascii="Arial" w:hAnsi="Arial" w:hint="cs"/>
          <w:rtl/>
        </w:rPr>
        <w:t xml:space="preserve">        </w:t>
      </w:r>
      <w:r>
        <w:rPr>
          <w:rFonts w:ascii="Arial" w:hAnsi="Arial" w:hint="cs"/>
          <w:rtl/>
        </w:rPr>
        <w:t xml:space="preserve">  ב"כ הנאשם ביקשה להימנע מהרשעתו של הנאשם בדין, תוך הסתייגות מהקבוע בתסקיר. נטען, כי הנאשם צעיר, בן 27, נורמטיבי ונעדר עבר פלילי ששירת כלוחם בצה"ל. לנאשם מסעדה באשדוד, המעסיקה 20 עובדים, והוא נוהג לתרום לקהילה ולסייע למשפחות נזקקות ולנוער בסיכון. לנאשם אין נגיעה לעולם העברייני. הנאשם אף סיפק הסבר להחזקת הסם. הכמות שנתפסה קטנה. הנאשם נטל אחריות והודה במעשים בהזדמנות הראשונה, וכן שיתף פעולה עם המשטרה. במקרים דומים ואף חמורים מן המקרה דנן, בתי-המשפט ביטלו הרשעה. באשר לבדיקת השתן שבוצעה בשירות המבחן ונמצאה עם שרידי סם, הנאשם טען שמדובר בטעות, ולאחר שבוע מאותו מועד מסר בדיקה נקייה, וכך גם האחרות. </w:t>
      </w:r>
    </w:p>
    <w:p w14:paraId="62048A0D" w14:textId="77777777" w:rsidR="00401B2C" w:rsidRDefault="00401B2C" w:rsidP="00401B2C">
      <w:pPr>
        <w:spacing w:after="160" w:line="360" w:lineRule="auto"/>
        <w:ind w:left="720"/>
        <w:jc w:val="both"/>
        <w:rPr>
          <w:rFonts w:ascii="Arial" w:hAnsi="Arial"/>
          <w:rtl/>
        </w:rPr>
      </w:pPr>
      <w:r>
        <w:rPr>
          <w:rFonts w:ascii="Arial" w:hAnsi="Arial" w:hint="cs"/>
          <w:rtl/>
        </w:rPr>
        <w:t>המלצת שירות המבחן, נטען, אינה מביאה בחשבון כי הנאשם למד לימודי מכינה להנדסה, ומתעתד להשתלב בלימודים אקדמיים כמהנדס בניין. כאשר בשל ההליך הפלילי הנאשם נמנע מלהתחיל את לימודיו.</w:t>
      </w:r>
    </w:p>
    <w:p w14:paraId="63310BDB" w14:textId="77777777" w:rsidR="00401B2C" w:rsidRDefault="00401B2C" w:rsidP="00401B2C">
      <w:pPr>
        <w:spacing w:after="160" w:line="360" w:lineRule="auto"/>
        <w:ind w:firstLine="720"/>
        <w:jc w:val="both"/>
        <w:rPr>
          <w:rFonts w:ascii="Arial" w:hAnsi="Arial"/>
          <w:u w:val="single"/>
          <w:rtl/>
        </w:rPr>
      </w:pPr>
    </w:p>
    <w:p w14:paraId="6BA0C96A" w14:textId="77777777" w:rsidR="00401B2C" w:rsidRDefault="00401B2C" w:rsidP="00401B2C">
      <w:pPr>
        <w:spacing w:after="160" w:line="360" w:lineRule="auto"/>
        <w:ind w:firstLine="720"/>
        <w:jc w:val="both"/>
        <w:rPr>
          <w:rFonts w:ascii="Arial" w:hAnsi="Arial"/>
          <w:u w:val="single"/>
          <w:rtl/>
        </w:rPr>
      </w:pPr>
      <w:r>
        <w:rPr>
          <w:rFonts w:ascii="Arial" w:hAnsi="Arial" w:hint="cs"/>
          <w:u w:val="single"/>
          <w:rtl/>
        </w:rPr>
        <w:t>דברי הנאשם</w:t>
      </w:r>
    </w:p>
    <w:p w14:paraId="125BE730" w14:textId="77777777" w:rsidR="00401B2C" w:rsidRDefault="00401B2C" w:rsidP="00401B2C">
      <w:pPr>
        <w:spacing w:after="160" w:line="360" w:lineRule="auto"/>
        <w:ind w:left="720" w:hanging="720"/>
        <w:jc w:val="both"/>
        <w:rPr>
          <w:rFonts w:ascii="Arial" w:hAnsi="Arial"/>
          <w:rtl/>
        </w:rPr>
      </w:pPr>
      <w:r>
        <w:rPr>
          <w:rFonts w:ascii="Arial" w:hAnsi="Arial" w:hint="cs"/>
          <w:rtl/>
        </w:rPr>
        <w:t>6.</w:t>
      </w:r>
      <w:r w:rsidR="004D2A51">
        <w:rPr>
          <w:rFonts w:ascii="Arial" w:hAnsi="Arial" w:hint="cs"/>
          <w:rtl/>
        </w:rPr>
        <w:t xml:space="preserve">        </w:t>
      </w:r>
      <w:r>
        <w:rPr>
          <w:rFonts w:ascii="Arial" w:hAnsi="Arial" w:hint="cs"/>
          <w:rtl/>
        </w:rPr>
        <w:t xml:space="preserve">  הנאשם מסר לבית-המשפט כי מודע לחומרת העבירה, וכי מאז ביצועה חלפו כשלוש שנים, וחייו עברו שינוי. לדברי הנאשם הוא מנהל עסק חברתי התורם לקהילה. כן מסר כי נרשם ללימודים אקדמיים מספר פעמים אך מסיבות שונות, שהאחרונה בהן היא פתיחת ההליך הפלילי נגדו, עיכב את לימודיו. הוא נמנע עד היום מלהתחיל לימודים מחשש שיורשע בהליך וימצא את עצמו נעדר יכולת לעסוק במקצוע. </w:t>
      </w:r>
    </w:p>
    <w:p w14:paraId="6AC0E3B1" w14:textId="77777777" w:rsidR="00401B2C" w:rsidRDefault="004D2A51" w:rsidP="00401B2C">
      <w:pPr>
        <w:spacing w:after="160" w:line="360" w:lineRule="auto"/>
        <w:jc w:val="both"/>
        <w:rPr>
          <w:rFonts w:ascii="Arial" w:hAnsi="Arial"/>
          <w:rtl/>
        </w:rPr>
      </w:pPr>
      <w:r>
        <w:rPr>
          <w:rFonts w:ascii="Arial" w:hAnsi="Arial" w:hint="cs"/>
          <w:rtl/>
        </w:rPr>
        <w:t xml:space="preserve">   </w:t>
      </w:r>
    </w:p>
    <w:p w14:paraId="04EBF38B" w14:textId="77777777" w:rsidR="00401B2C" w:rsidRDefault="00401B2C" w:rsidP="00401B2C">
      <w:pPr>
        <w:spacing w:line="360" w:lineRule="auto"/>
        <w:jc w:val="both"/>
        <w:rPr>
          <w:rFonts w:ascii="Arial" w:hAnsi="Arial"/>
          <w:rtl/>
        </w:rPr>
      </w:pPr>
      <w:r>
        <w:rPr>
          <w:rFonts w:ascii="Arial" w:hAnsi="Arial" w:hint="cs"/>
          <w:b/>
          <w:bCs/>
          <w:u w:val="single"/>
          <w:rtl/>
        </w:rPr>
        <w:t>שאלת ההרשעה בדין</w:t>
      </w:r>
    </w:p>
    <w:p w14:paraId="6AEAC0BC" w14:textId="77777777" w:rsidR="00401B2C" w:rsidRDefault="00401B2C" w:rsidP="00401B2C">
      <w:pPr>
        <w:spacing w:line="360" w:lineRule="auto"/>
        <w:jc w:val="both"/>
        <w:rPr>
          <w:rFonts w:ascii="Arial" w:hAnsi="Arial"/>
          <w:rtl/>
        </w:rPr>
      </w:pPr>
    </w:p>
    <w:p w14:paraId="4AF0D0B3" w14:textId="77777777" w:rsidR="00401B2C" w:rsidRDefault="00401B2C" w:rsidP="00401B2C">
      <w:pPr>
        <w:spacing w:line="360" w:lineRule="auto"/>
        <w:ind w:left="720" w:hanging="720"/>
        <w:jc w:val="both"/>
        <w:rPr>
          <w:rFonts w:ascii="Arial" w:hAnsi="Arial"/>
          <w:rtl/>
        </w:rPr>
      </w:pPr>
      <w:r>
        <w:rPr>
          <w:rFonts w:ascii="Arial" w:hAnsi="Arial" w:hint="cs"/>
          <w:rtl/>
        </w:rPr>
        <w:t>7.</w:t>
      </w:r>
      <w:r>
        <w:rPr>
          <w:rFonts w:ascii="Arial" w:hAnsi="Arial" w:hint="cs"/>
          <w:rtl/>
        </w:rPr>
        <w:tab/>
        <w:t>המחלוקת היחידה בין הצדדים הנה, כאמור, שאלת ההרשעה בדין, שכן מוסכם כי עונש השל"צ וצו המבחן הנו עונש ראוי לנאשם. החלטתי להכריע במחלוקת זו לטובת הנאשם, ולבטל את הרשעתו בגין העבירה היחידה שביצע לפני למעלה משלוש וחצי שנים. אבהיר להלן את נימוקי החלטתי.</w:t>
      </w:r>
    </w:p>
    <w:p w14:paraId="13834C28" w14:textId="77777777" w:rsidR="00401B2C" w:rsidRDefault="00401B2C" w:rsidP="00401B2C">
      <w:pPr>
        <w:spacing w:line="360" w:lineRule="auto"/>
        <w:jc w:val="both"/>
        <w:rPr>
          <w:rFonts w:ascii="Arial" w:hAnsi="Arial"/>
          <w:rtl/>
        </w:rPr>
      </w:pPr>
    </w:p>
    <w:p w14:paraId="2F0D47F0" w14:textId="77777777" w:rsidR="00401B2C" w:rsidRDefault="00401B2C" w:rsidP="00401B2C">
      <w:pPr>
        <w:spacing w:line="360" w:lineRule="auto"/>
        <w:jc w:val="both"/>
        <w:rPr>
          <w:rFonts w:ascii="Arial" w:hAnsi="Arial"/>
          <w:rtl/>
        </w:rPr>
      </w:pPr>
      <w:r>
        <w:rPr>
          <w:rFonts w:ascii="Arial" w:hAnsi="Arial" w:hint="cs"/>
          <w:rtl/>
        </w:rPr>
        <w:t>8.</w:t>
      </w:r>
      <w:r w:rsidR="004D2A51">
        <w:rPr>
          <w:rFonts w:ascii="Arial" w:hAnsi="Arial" w:hint="cs"/>
          <w:rtl/>
        </w:rPr>
        <w:t xml:space="preserve">        </w:t>
      </w:r>
      <w:r>
        <w:rPr>
          <w:rFonts w:ascii="Arial" w:hAnsi="Arial" w:hint="cs"/>
          <w:rtl/>
        </w:rPr>
        <w:t xml:space="preserve"> </w:t>
      </w:r>
      <w:r>
        <w:rPr>
          <w:rFonts w:ascii="Arial" w:hAnsi="Arial" w:hint="cs"/>
          <w:rtl/>
        </w:rPr>
        <w:tab/>
        <w:t>הכלל בהליך הפלילי הוא כי נאשם בגיר, שהוכחה אשמתו - יורשע בדין.</w:t>
      </w:r>
    </w:p>
    <w:p w14:paraId="2B8D9EE0" w14:textId="77777777" w:rsidR="00401B2C" w:rsidRDefault="00401B2C" w:rsidP="00401B2C">
      <w:pPr>
        <w:spacing w:line="360" w:lineRule="auto"/>
        <w:ind w:left="720"/>
        <w:jc w:val="both"/>
        <w:rPr>
          <w:rFonts w:ascii="Arial" w:hAnsi="Arial"/>
          <w:rtl/>
        </w:rPr>
      </w:pPr>
      <w:r>
        <w:rPr>
          <w:rFonts w:ascii="Arial" w:hAnsi="Arial" w:hint="cs"/>
          <w:rtl/>
        </w:rPr>
        <w:t>הימנעות מהרשעה הינה חריג לכלל, שהנו מוצדק רק במקרים נדירים וחריגים, בהם אין יחס סביר בין הנזק הצפוי לנאשם מן ההרשעה, אשר יש לקבוע כי הוא ממשי וחריף, לבין היעדר חומרתה של העבירה, שניתן להימנע מהרשעת מבצעה, מבלי שהדבר יפגע באינטרס הציבורי ובערך המוגן.</w:t>
      </w:r>
    </w:p>
    <w:p w14:paraId="7314C54C" w14:textId="77777777" w:rsidR="00401B2C" w:rsidRDefault="00401B2C" w:rsidP="00401B2C">
      <w:pPr>
        <w:spacing w:line="360" w:lineRule="auto"/>
        <w:ind w:left="850" w:right="850"/>
        <w:jc w:val="both"/>
        <w:rPr>
          <w:rFonts w:ascii="Arial" w:hAnsi="Arial"/>
          <w:b/>
          <w:bCs/>
          <w:rtl/>
        </w:rPr>
      </w:pPr>
    </w:p>
    <w:p w14:paraId="7EE1F136" w14:textId="77777777" w:rsidR="00401B2C" w:rsidRDefault="00401B2C" w:rsidP="00401B2C">
      <w:pPr>
        <w:spacing w:line="360" w:lineRule="auto"/>
        <w:ind w:left="720"/>
        <w:jc w:val="both"/>
        <w:rPr>
          <w:rFonts w:ascii="Arial" w:hAnsi="Arial"/>
          <w:rtl/>
        </w:rPr>
      </w:pPr>
      <w:r>
        <w:rPr>
          <w:rFonts w:ascii="Arial" w:hAnsi="Arial" w:hint="cs"/>
          <w:rtl/>
        </w:rPr>
        <w:t>הכלל המנחה לגבי הימנעות מהרשעה, נקבע ב</w:t>
      </w:r>
      <w:hyperlink r:id="rId14" w:history="1">
        <w:r w:rsidR="004D2A51" w:rsidRPr="004D2A51">
          <w:rPr>
            <w:rStyle w:val="Hyperlink"/>
            <w:rFonts w:ascii="Arial" w:hAnsi="Arial" w:hint="eastAsia"/>
            <w:color w:val="0000FF"/>
            <w:rtl/>
          </w:rPr>
          <w:t>ע</w:t>
        </w:r>
        <w:r w:rsidR="004D2A51" w:rsidRPr="004D2A51">
          <w:rPr>
            <w:rStyle w:val="Hyperlink"/>
            <w:rFonts w:ascii="Arial" w:hAnsi="Arial"/>
            <w:color w:val="0000FF"/>
            <w:rtl/>
          </w:rPr>
          <w:t>"פ 2083/96</w:t>
        </w:r>
      </w:hyperlink>
      <w:r>
        <w:rPr>
          <w:rFonts w:ascii="Arial" w:hAnsi="Arial" w:hint="cs"/>
          <w:rtl/>
        </w:rPr>
        <w:t xml:space="preserve"> </w:t>
      </w:r>
      <w:r>
        <w:rPr>
          <w:rFonts w:ascii="Arial" w:hAnsi="Arial" w:hint="cs"/>
          <w:b/>
          <w:bCs/>
          <w:rtl/>
        </w:rPr>
        <w:t>תמר כתב נגד מדינת ישראל</w:t>
      </w:r>
      <w:r>
        <w:rPr>
          <w:rFonts w:ascii="Arial" w:hAnsi="Arial" w:hint="cs"/>
          <w:rtl/>
        </w:rPr>
        <w:t xml:space="preserve"> </w:t>
      </w:r>
      <w:r>
        <w:rPr>
          <w:rFonts w:ascii="Arial" w:hAnsi="Arial" w:hint="cs"/>
          <w:b/>
          <w:bCs/>
          <w:rtl/>
        </w:rPr>
        <w:t>(21.08.97)</w:t>
      </w:r>
      <w:r>
        <w:rPr>
          <w:rFonts w:ascii="Arial" w:hAnsi="Arial" w:hint="cs"/>
          <w:rtl/>
        </w:rPr>
        <w:t xml:space="preserve">, שם נקבע כי הימנעות מהרשעה תהיה מוצדקת רק בהתקיים שני תנאים מצטברים: </w:t>
      </w:r>
    </w:p>
    <w:p w14:paraId="3CEFA784" w14:textId="77777777" w:rsidR="00401B2C" w:rsidRDefault="00401B2C" w:rsidP="00401B2C">
      <w:pPr>
        <w:spacing w:line="360" w:lineRule="auto"/>
        <w:ind w:left="1440" w:right="850"/>
        <w:jc w:val="both"/>
        <w:rPr>
          <w:rFonts w:ascii="Arial" w:hAnsi="Arial"/>
          <w:b/>
          <w:bCs/>
          <w:rtl/>
        </w:rPr>
      </w:pPr>
      <w:r>
        <w:rPr>
          <w:rFonts w:ascii="Arial" w:hAnsi="Arial" w:hint="cs"/>
          <w:b/>
          <w:bCs/>
          <w:rtl/>
        </w:rPr>
        <w:t>"ראשית, על ההרשעה לפגוע פגיעה חמורה בשיקום הנאשם, ושנית, סוג העבירה מאפשר לוותר בנסיבות המקרה המסוים על ההרשעה בלי לפגוע באופן מהותי בשיקולי הענישה.."</w:t>
      </w:r>
      <w:r w:rsidR="004D2A51">
        <w:rPr>
          <w:rFonts w:ascii="Arial" w:hAnsi="Arial" w:hint="cs"/>
          <w:b/>
          <w:bCs/>
          <w:rtl/>
        </w:rPr>
        <w:t xml:space="preserve"> </w:t>
      </w:r>
      <w:r>
        <w:rPr>
          <w:rFonts w:ascii="Arial" w:hAnsi="Arial" w:hint="cs"/>
          <w:b/>
          <w:bCs/>
          <w:rtl/>
        </w:rPr>
        <w:t xml:space="preserve"> </w:t>
      </w:r>
    </w:p>
    <w:p w14:paraId="50FA5961" w14:textId="77777777" w:rsidR="00401B2C" w:rsidRDefault="00401B2C" w:rsidP="00401B2C">
      <w:pPr>
        <w:spacing w:line="360" w:lineRule="auto"/>
        <w:ind w:left="720"/>
        <w:jc w:val="both"/>
        <w:rPr>
          <w:rFonts w:ascii="Arial" w:hAnsi="Arial"/>
          <w:rtl/>
        </w:rPr>
      </w:pPr>
    </w:p>
    <w:p w14:paraId="2F43C3B1" w14:textId="77777777" w:rsidR="00401B2C" w:rsidRDefault="00401B2C" w:rsidP="00401B2C">
      <w:pPr>
        <w:spacing w:line="360" w:lineRule="auto"/>
        <w:ind w:left="720"/>
        <w:jc w:val="both"/>
        <w:rPr>
          <w:rFonts w:ascii="Arial" w:hAnsi="Arial"/>
          <w:b/>
          <w:bCs/>
          <w:rtl/>
        </w:rPr>
      </w:pPr>
      <w:r>
        <w:rPr>
          <w:rFonts w:ascii="Arial" w:hAnsi="Arial" w:hint="cs"/>
          <w:rtl/>
        </w:rPr>
        <w:t>ב</w:t>
      </w:r>
      <w:hyperlink r:id="rId15" w:history="1">
        <w:r w:rsidR="004D2A51" w:rsidRPr="004D2A51">
          <w:rPr>
            <w:rStyle w:val="Hyperlink"/>
            <w:rFonts w:ascii="Arial" w:hAnsi="Arial" w:hint="eastAsia"/>
            <w:color w:val="0000FF"/>
            <w:rtl/>
          </w:rPr>
          <w:t>ע</w:t>
        </w:r>
        <w:r w:rsidR="004D2A51" w:rsidRPr="004D2A51">
          <w:rPr>
            <w:rStyle w:val="Hyperlink"/>
            <w:rFonts w:ascii="Arial" w:hAnsi="Arial"/>
            <w:color w:val="0000FF"/>
            <w:rtl/>
          </w:rPr>
          <w:t>"פ 2513/96</w:t>
        </w:r>
      </w:hyperlink>
      <w:r>
        <w:rPr>
          <w:rFonts w:ascii="Arial" w:hAnsi="Arial" w:hint="cs"/>
          <w:rtl/>
        </w:rPr>
        <w:t xml:space="preserve"> </w:t>
      </w:r>
      <w:r>
        <w:rPr>
          <w:rFonts w:ascii="Arial" w:hAnsi="Arial" w:hint="cs"/>
          <w:b/>
          <w:bCs/>
          <w:rtl/>
        </w:rPr>
        <w:t>מדינת ישראל נגד ויקטור שמש (02.09.96)</w:t>
      </w:r>
      <w:r>
        <w:rPr>
          <w:rFonts w:ascii="Arial" w:hAnsi="Arial" w:hint="cs"/>
          <w:rtl/>
        </w:rPr>
        <w:t>, נקבע כי ניתן להסתפק במבחן בלי הרשעה, רק במקרים מיוחדים ויוצאי דופן. הימנעות מהרשעה על ידי בית המשפט כאשר אין לכך צידוק ממשי מפרה את הכלל בדבר הרשעה ובכך פוגעים גם בעקרון השוויון בפני החוק.</w:t>
      </w:r>
    </w:p>
    <w:p w14:paraId="55B734E4" w14:textId="77777777" w:rsidR="00401B2C" w:rsidRDefault="00401B2C" w:rsidP="00401B2C">
      <w:pPr>
        <w:spacing w:line="360" w:lineRule="auto"/>
        <w:jc w:val="both"/>
        <w:rPr>
          <w:rFonts w:ascii="Arial" w:hAnsi="Arial"/>
          <w:b/>
          <w:bCs/>
          <w:rtl/>
        </w:rPr>
      </w:pPr>
    </w:p>
    <w:p w14:paraId="7074F5A1" w14:textId="77777777" w:rsidR="00401B2C" w:rsidRDefault="00401B2C" w:rsidP="00401B2C">
      <w:pPr>
        <w:spacing w:line="360" w:lineRule="auto"/>
        <w:ind w:left="720" w:hanging="720"/>
        <w:jc w:val="both"/>
        <w:rPr>
          <w:rFonts w:ascii="Arial" w:hAnsi="Arial"/>
          <w:b/>
          <w:bCs/>
          <w:rtl/>
        </w:rPr>
      </w:pPr>
      <w:r>
        <w:rPr>
          <w:rFonts w:ascii="Arial" w:hAnsi="Arial" w:hint="cs"/>
          <w:rtl/>
        </w:rPr>
        <w:t>9.</w:t>
      </w:r>
      <w:r w:rsidR="004D2A51">
        <w:rPr>
          <w:rFonts w:ascii="Arial" w:hAnsi="Arial" w:hint="cs"/>
          <w:rtl/>
        </w:rPr>
        <w:t xml:space="preserve">        </w:t>
      </w:r>
      <w:r>
        <w:rPr>
          <w:rFonts w:ascii="Arial" w:hAnsi="Arial" w:hint="cs"/>
          <w:rtl/>
        </w:rPr>
        <w:t xml:space="preserve">  לאור האמור לעיל, ניתן לומר כי השאלה אם ניתן להימנע מהרשעת נאשם נענית תוך איזון הדדי בין שני שיקולים שמשקלם משפיע זה על זה – ככל שהעבירה חמורה יותר, נסיבותיה קשות, ופגיעתה בערכים ובמוסכמות החברתיות גבוהה יותר, אזי הימנעות מהרשעה של מבצעה תהיה פחות סבירה ומוצדקת, ותתאפשר, אם בכלל, רק מקום בו תוכח פגיעה ניכרת וקשה בעתידו של הנאשם.</w:t>
      </w:r>
    </w:p>
    <w:p w14:paraId="5200036B" w14:textId="77777777" w:rsidR="00401B2C" w:rsidRDefault="00401B2C" w:rsidP="00401B2C">
      <w:pPr>
        <w:spacing w:line="360" w:lineRule="auto"/>
        <w:jc w:val="both"/>
        <w:rPr>
          <w:rFonts w:ascii="Arial" w:hAnsi="Arial"/>
          <w:b/>
          <w:bCs/>
          <w:rtl/>
        </w:rPr>
      </w:pPr>
    </w:p>
    <w:p w14:paraId="6590094B" w14:textId="77777777" w:rsidR="00401B2C" w:rsidRDefault="00401B2C" w:rsidP="00401B2C">
      <w:pPr>
        <w:spacing w:line="360" w:lineRule="auto"/>
        <w:ind w:left="720" w:hanging="720"/>
        <w:jc w:val="both"/>
        <w:rPr>
          <w:rFonts w:ascii="Arial" w:hAnsi="Arial"/>
          <w:rtl/>
        </w:rPr>
      </w:pPr>
      <w:r>
        <w:rPr>
          <w:rFonts w:ascii="Arial" w:hAnsi="Arial" w:hint="cs"/>
          <w:rtl/>
        </w:rPr>
        <w:t>10.</w:t>
      </w:r>
      <w:r w:rsidR="004D2A51">
        <w:rPr>
          <w:rFonts w:ascii="Arial" w:hAnsi="Arial" w:hint="cs"/>
          <w:rtl/>
        </w:rPr>
        <w:t xml:space="preserve">      </w:t>
      </w:r>
      <w:r>
        <w:rPr>
          <w:rFonts w:ascii="Arial" w:hAnsi="Arial" w:hint="cs"/>
          <w:rtl/>
        </w:rPr>
        <w:t xml:space="preserve"> </w:t>
      </w:r>
      <w:r>
        <w:rPr>
          <w:rFonts w:ascii="Arial" w:hAnsi="Arial" w:hint="cs"/>
          <w:rtl/>
        </w:rPr>
        <w:tab/>
        <w:t xml:space="preserve">הנאשם הורשע בעבירה של החזקת סמים לצריכה עצמית, לאחר שנמצא מחזיק ברשותו, במהלך מסיבת טבע, </w:t>
      </w:r>
      <w:r>
        <w:rPr>
          <w:rFonts w:ascii="Arial" w:hAnsi="Arial"/>
        </w:rPr>
        <w:t>LSD</w:t>
      </w:r>
      <w:r>
        <w:rPr>
          <w:rFonts w:ascii="Arial" w:hAnsi="Arial" w:hint="cs"/>
          <w:rtl/>
        </w:rPr>
        <w:t xml:space="preserve"> וקנאביס בכמויות קטנות. </w:t>
      </w:r>
    </w:p>
    <w:p w14:paraId="61C171E3" w14:textId="77777777" w:rsidR="00401B2C" w:rsidRDefault="00401B2C" w:rsidP="00401B2C">
      <w:pPr>
        <w:spacing w:line="360" w:lineRule="auto"/>
        <w:ind w:left="720"/>
        <w:jc w:val="both"/>
        <w:rPr>
          <w:rFonts w:ascii="Arial" w:hAnsi="Arial"/>
          <w:rtl/>
        </w:rPr>
      </w:pPr>
      <w:r>
        <w:rPr>
          <w:rFonts w:ascii="Arial" w:hAnsi="Arial" w:hint="cs"/>
          <w:rtl/>
        </w:rPr>
        <w:t xml:space="preserve">אמנם שימוש בסמים, ואפילו אלה המסווגים "כקלים", עלול, כפי שנקבע בהחלטות ובפסקי דין רבים, לשבש בריאות וליצור תלות והתדרדרות, ואולם אין מדובר בעבירה חמורה. </w:t>
      </w:r>
    </w:p>
    <w:p w14:paraId="553B0407" w14:textId="77777777" w:rsidR="00401B2C" w:rsidRDefault="00401B2C" w:rsidP="00401B2C">
      <w:pPr>
        <w:spacing w:line="360" w:lineRule="auto"/>
        <w:ind w:left="720"/>
        <w:jc w:val="both"/>
        <w:rPr>
          <w:rFonts w:ascii="Arial" w:hAnsi="Arial"/>
          <w:rtl/>
        </w:rPr>
      </w:pPr>
      <w:r>
        <w:rPr>
          <w:rFonts w:ascii="Arial" w:hAnsi="Arial" w:hint="cs"/>
          <w:rtl/>
        </w:rPr>
        <w:t xml:space="preserve">מדובר בכמות קטנה של סם, אותה החזיק הנאשם לשם שימושו העצמי בלבד. המעשים נעדרי תחכום או פליליות מיוחדת, ואינם מצביעים  על מעורבות בעולם עברייני. </w:t>
      </w:r>
    </w:p>
    <w:p w14:paraId="54167654" w14:textId="77777777" w:rsidR="00401B2C" w:rsidRDefault="00401B2C" w:rsidP="00401B2C">
      <w:pPr>
        <w:spacing w:line="360" w:lineRule="auto"/>
        <w:ind w:left="720"/>
        <w:jc w:val="both"/>
        <w:rPr>
          <w:rFonts w:ascii="Arial" w:hAnsi="Arial"/>
          <w:rtl/>
        </w:rPr>
      </w:pPr>
      <w:r>
        <w:rPr>
          <w:rFonts w:ascii="Arial" w:hAnsi="Arial" w:hint="cs"/>
          <w:rtl/>
        </w:rPr>
        <w:t xml:space="preserve">מדברי הנאשם בשירות המבחן עולה כי בתקופה שלאחר שחזר מטיול במזרח נהג לעשות שימוש בסמים אלה, בנסיבות חברתיות, ולדבריו מאז ביצוע העבירה נמנע מלעשות בהם שימוש. </w:t>
      </w:r>
    </w:p>
    <w:p w14:paraId="7CC66308" w14:textId="77777777" w:rsidR="00401B2C" w:rsidRDefault="00401B2C" w:rsidP="00401B2C">
      <w:pPr>
        <w:spacing w:line="360" w:lineRule="auto"/>
        <w:ind w:left="720"/>
        <w:jc w:val="both"/>
        <w:rPr>
          <w:rFonts w:ascii="Arial" w:hAnsi="Arial"/>
          <w:rtl/>
        </w:rPr>
      </w:pPr>
      <w:r>
        <w:rPr>
          <w:rFonts w:ascii="Arial" w:hAnsi="Arial" w:hint="cs"/>
          <w:rtl/>
        </w:rPr>
        <w:t>בנסיבות אלה, סבורה אני כי ניתן לסווג את הפגיעה בערכים המוגנים כנמוכה. מכל מקום, אין מדובר בחומרה אשר שוללת מני וביה כל אפשרות לביטול הרשעה, ונראה כי אינטרס הציבור לא ייפגע באופן בלתי-מידתי באם תבוטל ההרשעה.</w:t>
      </w:r>
    </w:p>
    <w:p w14:paraId="61D22709" w14:textId="77777777" w:rsidR="00401B2C" w:rsidRDefault="00401B2C" w:rsidP="00401B2C">
      <w:pPr>
        <w:spacing w:line="360" w:lineRule="auto"/>
        <w:ind w:left="720"/>
        <w:jc w:val="both"/>
        <w:rPr>
          <w:rFonts w:ascii="Arial" w:hAnsi="Arial"/>
          <w:rtl/>
        </w:rPr>
      </w:pPr>
    </w:p>
    <w:p w14:paraId="56306B4B" w14:textId="77777777" w:rsidR="00401B2C" w:rsidRDefault="00401B2C" w:rsidP="00401B2C">
      <w:pPr>
        <w:spacing w:line="360" w:lineRule="auto"/>
        <w:ind w:left="720" w:hanging="720"/>
        <w:jc w:val="both"/>
        <w:rPr>
          <w:rFonts w:ascii="Arial" w:hAnsi="Arial"/>
          <w:rtl/>
        </w:rPr>
      </w:pPr>
      <w:r>
        <w:rPr>
          <w:rFonts w:ascii="Arial" w:hAnsi="Arial" w:hint="cs"/>
          <w:rtl/>
        </w:rPr>
        <w:t>11.</w:t>
      </w:r>
      <w:r>
        <w:rPr>
          <w:rFonts w:ascii="Arial" w:hAnsi="Arial" w:hint="cs"/>
          <w:rtl/>
        </w:rPr>
        <w:tab/>
        <w:t xml:space="preserve">גם במקרים אחרים, הכירו בתי-המשפט באפשרות להימנע מהרשעתם של צעירים, נעדרי עבר פלילי, שביצעו עבירות סמים, חרף חומרתן ולמרות הנזק שהן גורמות לציבור. ראו לדוגמה: </w:t>
      </w:r>
      <w:hyperlink r:id="rId16" w:history="1">
        <w:r w:rsidR="004D2A51" w:rsidRPr="004D2A51">
          <w:rPr>
            <w:rStyle w:val="Hyperlink"/>
            <w:rFonts w:ascii="Arial" w:hAnsi="Arial" w:hint="eastAsia"/>
            <w:color w:val="0000FF"/>
            <w:rtl/>
          </w:rPr>
          <w:t>ע</w:t>
        </w:r>
        <w:r w:rsidR="004D2A51" w:rsidRPr="004D2A51">
          <w:rPr>
            <w:rStyle w:val="Hyperlink"/>
            <w:rFonts w:ascii="Arial" w:hAnsi="Arial"/>
            <w:color w:val="0000FF"/>
            <w:rtl/>
          </w:rPr>
          <w:t>"פ (י-ם) 33947-10-17</w:t>
        </w:r>
      </w:hyperlink>
      <w:r>
        <w:rPr>
          <w:rFonts w:ascii="Arial" w:hAnsi="Arial" w:hint="cs"/>
          <w:rtl/>
        </w:rPr>
        <w:t xml:space="preserve"> </w:t>
      </w:r>
      <w:r>
        <w:rPr>
          <w:rFonts w:ascii="Arial" w:hAnsi="Arial" w:hint="cs"/>
          <w:b/>
          <w:bCs/>
          <w:rtl/>
        </w:rPr>
        <w:t>מדינת ישראל נ' קרוקוצקי</w:t>
      </w:r>
      <w:r>
        <w:rPr>
          <w:rFonts w:ascii="Arial" w:hAnsi="Arial" w:hint="cs"/>
          <w:rtl/>
        </w:rPr>
        <w:t xml:space="preserve"> (20.3.18); </w:t>
      </w:r>
      <w:hyperlink r:id="rId17" w:history="1">
        <w:r w:rsidR="004D2A51" w:rsidRPr="004D2A51">
          <w:rPr>
            <w:rStyle w:val="Hyperlink"/>
            <w:rFonts w:ascii="Arial" w:hAnsi="Arial" w:hint="eastAsia"/>
            <w:color w:val="0000FF"/>
            <w:rtl/>
          </w:rPr>
          <w:t>ת</w:t>
        </w:r>
        <w:r w:rsidR="004D2A51" w:rsidRPr="004D2A51">
          <w:rPr>
            <w:rStyle w:val="Hyperlink"/>
            <w:rFonts w:ascii="Arial" w:hAnsi="Arial"/>
            <w:color w:val="0000FF"/>
            <w:rtl/>
          </w:rPr>
          <w:t>"פ (אי') 31509-01-17</w:t>
        </w:r>
      </w:hyperlink>
      <w:r>
        <w:rPr>
          <w:rFonts w:ascii="Arial" w:hAnsi="Arial" w:hint="cs"/>
          <w:rtl/>
        </w:rPr>
        <w:t xml:space="preserve"> </w:t>
      </w:r>
      <w:r>
        <w:rPr>
          <w:rFonts w:ascii="Arial" w:hAnsi="Arial" w:hint="cs"/>
          <w:b/>
          <w:bCs/>
          <w:rtl/>
        </w:rPr>
        <w:t>מדינת ישראל נ' שדה</w:t>
      </w:r>
      <w:r>
        <w:rPr>
          <w:rFonts w:ascii="Arial" w:hAnsi="Arial" w:hint="cs"/>
          <w:rtl/>
        </w:rPr>
        <w:t xml:space="preserve"> (18.3.18); </w:t>
      </w:r>
      <w:hyperlink r:id="rId18" w:history="1">
        <w:r w:rsidR="004D2A51" w:rsidRPr="004D2A51">
          <w:rPr>
            <w:rStyle w:val="Hyperlink"/>
            <w:rFonts w:ascii="Arial" w:hAnsi="Arial" w:hint="eastAsia"/>
            <w:color w:val="0000FF"/>
            <w:rtl/>
          </w:rPr>
          <w:t>ת</w:t>
        </w:r>
        <w:r w:rsidR="004D2A51" w:rsidRPr="004D2A51">
          <w:rPr>
            <w:rStyle w:val="Hyperlink"/>
            <w:rFonts w:ascii="Arial" w:hAnsi="Arial"/>
            <w:color w:val="0000FF"/>
            <w:rtl/>
          </w:rPr>
          <w:t>"פ (ק"ג) 53716-03-15</w:t>
        </w:r>
      </w:hyperlink>
      <w:r>
        <w:rPr>
          <w:rFonts w:ascii="Arial" w:hAnsi="Arial" w:hint="cs"/>
          <w:rtl/>
        </w:rPr>
        <w:t xml:space="preserve"> </w:t>
      </w:r>
      <w:r>
        <w:rPr>
          <w:rFonts w:ascii="Arial" w:hAnsi="Arial" w:hint="cs"/>
          <w:b/>
          <w:bCs/>
          <w:rtl/>
        </w:rPr>
        <w:t>מדינת ישראל נ' זגורי</w:t>
      </w:r>
      <w:r>
        <w:rPr>
          <w:rFonts w:ascii="Arial" w:hAnsi="Arial" w:hint="cs"/>
          <w:rtl/>
        </w:rPr>
        <w:t xml:space="preserve"> (5.4.16); </w:t>
      </w:r>
      <w:hyperlink r:id="rId19" w:history="1">
        <w:r w:rsidR="004D2A51" w:rsidRPr="004D2A51">
          <w:rPr>
            <w:rStyle w:val="Hyperlink"/>
            <w:rFonts w:ascii="Arial" w:hAnsi="Arial" w:hint="eastAsia"/>
            <w:color w:val="0000FF"/>
            <w:rtl/>
          </w:rPr>
          <w:t>ת</w:t>
        </w:r>
        <w:r w:rsidR="004D2A51" w:rsidRPr="004D2A51">
          <w:rPr>
            <w:rStyle w:val="Hyperlink"/>
            <w:rFonts w:ascii="Arial" w:hAnsi="Arial"/>
            <w:color w:val="0000FF"/>
            <w:rtl/>
          </w:rPr>
          <w:t>"פ (אש') 43935-05-15</w:t>
        </w:r>
      </w:hyperlink>
      <w:r>
        <w:rPr>
          <w:rFonts w:ascii="Arial" w:hAnsi="Arial" w:hint="cs"/>
          <w:rtl/>
        </w:rPr>
        <w:t xml:space="preserve"> </w:t>
      </w:r>
      <w:r>
        <w:rPr>
          <w:rFonts w:ascii="Arial" w:hAnsi="Arial" w:hint="cs"/>
          <w:b/>
          <w:bCs/>
          <w:rtl/>
        </w:rPr>
        <w:t>מדינת ישראל נ' אלמוג</w:t>
      </w:r>
      <w:r>
        <w:rPr>
          <w:rFonts w:ascii="Arial" w:hAnsi="Arial" w:hint="cs"/>
          <w:rtl/>
        </w:rPr>
        <w:t xml:space="preserve"> (20.12.15).</w:t>
      </w:r>
    </w:p>
    <w:p w14:paraId="1A911316" w14:textId="77777777" w:rsidR="00401B2C" w:rsidRDefault="00401B2C" w:rsidP="00401B2C">
      <w:pPr>
        <w:spacing w:line="360" w:lineRule="auto"/>
        <w:ind w:left="720"/>
        <w:jc w:val="both"/>
        <w:rPr>
          <w:rFonts w:ascii="Arial" w:hAnsi="Arial"/>
          <w:rtl/>
        </w:rPr>
      </w:pPr>
      <w:r>
        <w:rPr>
          <w:rFonts w:ascii="Arial" w:hAnsi="Arial" w:hint="cs"/>
          <w:rtl/>
        </w:rPr>
        <w:t xml:space="preserve">כמו-כן, לא ניתן להתעלם מכך כי מדיניות האכיפה והענישה בעבירות המתייחסות לסמים המסווגים "קלים" ולעבירה של החזקת סם לצריכה עצמית בלבד עוברת תמורות של ממש בימים אלה, אל הצד המקל. </w:t>
      </w:r>
    </w:p>
    <w:p w14:paraId="4A95E99D" w14:textId="77777777" w:rsidR="00401B2C" w:rsidRDefault="00401B2C" w:rsidP="00401B2C">
      <w:pPr>
        <w:spacing w:line="360" w:lineRule="auto"/>
        <w:ind w:left="720"/>
        <w:jc w:val="both"/>
        <w:rPr>
          <w:rFonts w:ascii="Arial" w:hAnsi="Arial"/>
          <w:rtl/>
        </w:rPr>
      </w:pPr>
    </w:p>
    <w:p w14:paraId="743015D5" w14:textId="77777777" w:rsidR="00401B2C" w:rsidRDefault="00401B2C" w:rsidP="00401B2C">
      <w:pPr>
        <w:spacing w:line="360" w:lineRule="auto"/>
        <w:ind w:left="720" w:hanging="720"/>
        <w:jc w:val="both"/>
        <w:rPr>
          <w:rFonts w:ascii="Arial" w:hAnsi="Arial"/>
          <w:rtl/>
        </w:rPr>
      </w:pPr>
      <w:r>
        <w:rPr>
          <w:rFonts w:ascii="Arial" w:hAnsi="Arial" w:hint="cs"/>
          <w:rtl/>
        </w:rPr>
        <w:t>12.</w:t>
      </w:r>
      <w:r w:rsidR="004D2A51">
        <w:rPr>
          <w:rFonts w:ascii="Arial" w:hAnsi="Arial" w:hint="cs"/>
          <w:rtl/>
        </w:rPr>
        <w:t xml:space="preserve">      </w:t>
      </w:r>
      <w:r>
        <w:rPr>
          <w:rFonts w:ascii="Arial" w:hAnsi="Arial" w:hint="cs"/>
          <w:rtl/>
        </w:rPr>
        <w:t xml:space="preserve">  לאור נתוניו, ראוי  להתייחס לנאשם כצעיר שמעד לראשונה בחייו, בשל שיקול דעת לקוי, בתקופה בה טרם גיבש את אישיותו, ובעת שהונע בתפיסות שאינן בוגרות ושקולות. </w:t>
      </w:r>
    </w:p>
    <w:p w14:paraId="73C2787F" w14:textId="77777777" w:rsidR="00401B2C" w:rsidRDefault="00401B2C" w:rsidP="00401B2C">
      <w:pPr>
        <w:spacing w:line="360" w:lineRule="auto"/>
        <w:ind w:left="720" w:hanging="720"/>
        <w:jc w:val="both"/>
        <w:rPr>
          <w:rFonts w:ascii="Arial" w:hAnsi="Arial"/>
          <w:rtl/>
        </w:rPr>
      </w:pPr>
      <w:r>
        <w:rPr>
          <w:rFonts w:ascii="Arial" w:hAnsi="Arial" w:hint="cs"/>
          <w:rtl/>
        </w:rPr>
        <w:tab/>
        <w:t xml:space="preserve">הנאשם בן למשפחה נורמטיבית, שגדל בסביבה תומכת ומציבת גבול. הנאשם סיים 12 שנות לימוד והוא בעל תעודת בגרות מלאה. הנאשם שירת שרות צבאי מלא כלוחם ביחידת חי"ר בתפקיד פיקודי. כיום, על פי הדיווח, הנאשם הוא בעל עסק, תורם לסביבה החברתית בה הוא מצוי, מתכנן להשתלב בלימודים אקדמיים אותם עיכב לדבריו עד שיסתיים ההליך הפלילי, על-מנת שלא יחל לימודיו ואפשרותו לעסוק במקצוע תיחסם עקב הרשעה בדין, והלימודים ירדו לטמיון. </w:t>
      </w:r>
    </w:p>
    <w:p w14:paraId="0695A48A" w14:textId="77777777" w:rsidR="00401B2C" w:rsidRDefault="00401B2C" w:rsidP="00401B2C">
      <w:pPr>
        <w:spacing w:line="360" w:lineRule="auto"/>
        <w:ind w:left="720"/>
        <w:jc w:val="both"/>
        <w:rPr>
          <w:rFonts w:ascii="Arial" w:hAnsi="Arial"/>
          <w:rtl/>
        </w:rPr>
      </w:pPr>
      <w:r>
        <w:rPr>
          <w:rFonts w:ascii="Arial" w:hAnsi="Arial" w:hint="cs"/>
          <w:rtl/>
        </w:rPr>
        <w:t>על פי האמור בתסקיר ובטיעונים לעונש – הנאשם  לא שיתף איש בדבר קיומו של ההליך הפלילי, מתוך חשש לאכזב את משפחתו, ובשל חרדה מתגובתם. גישה זו מלמדת על תפיסה נורמטיבית ומוסרית, ועל חרטה. הנאשם התייצב שוב ושוב לדיונים בתיק זה, תוך נסיעה חוזרת מאשדוד לקריית שמונה, לא הסתפק בהצעת המאשימה להשית ענישה מקילה, ונלחם לבטל הרשעתו. התרשמתי כי הנאשם מכה על חטא, וכי הוא מבקש בכנות למנוע פגיעה בעתידו.</w:t>
      </w:r>
    </w:p>
    <w:p w14:paraId="35D5F41C" w14:textId="77777777" w:rsidR="00401B2C" w:rsidRDefault="00401B2C" w:rsidP="00401B2C">
      <w:pPr>
        <w:spacing w:line="360" w:lineRule="auto"/>
        <w:ind w:left="720"/>
        <w:jc w:val="both"/>
        <w:rPr>
          <w:rFonts w:ascii="Arial" w:hAnsi="Arial"/>
          <w:rtl/>
        </w:rPr>
      </w:pPr>
    </w:p>
    <w:p w14:paraId="6C02B5EE" w14:textId="77777777" w:rsidR="00401B2C" w:rsidRDefault="00401B2C" w:rsidP="00401B2C">
      <w:pPr>
        <w:spacing w:line="360" w:lineRule="auto"/>
        <w:ind w:left="720" w:hanging="720"/>
        <w:jc w:val="both"/>
        <w:rPr>
          <w:rFonts w:ascii="Arial" w:hAnsi="Arial"/>
          <w:rtl/>
        </w:rPr>
      </w:pPr>
      <w:r>
        <w:rPr>
          <w:rFonts w:ascii="Arial" w:hAnsi="Arial" w:hint="cs"/>
          <w:rtl/>
        </w:rPr>
        <w:t>13.</w:t>
      </w:r>
      <w:r>
        <w:rPr>
          <w:rFonts w:ascii="Arial" w:hAnsi="Arial" w:hint="cs"/>
          <w:rtl/>
        </w:rPr>
        <w:tab/>
        <w:t xml:space="preserve">הנאשם שיתף פעולה עם רשויות האכיפה, הודה במעשים בהזדמנות ראשונה, אף לא במסגרת הסדר טיעון ומבלי שהובטח לו דבר לעניין הרשעתו או לגבי העונש הצפוי לו. </w:t>
      </w:r>
    </w:p>
    <w:p w14:paraId="3F0A4A8C" w14:textId="77777777" w:rsidR="00401B2C" w:rsidRDefault="00401B2C" w:rsidP="00401B2C">
      <w:pPr>
        <w:spacing w:line="360" w:lineRule="auto"/>
        <w:ind w:left="720"/>
        <w:jc w:val="both"/>
        <w:rPr>
          <w:rFonts w:ascii="Arial" w:hAnsi="Arial"/>
          <w:rtl/>
        </w:rPr>
      </w:pPr>
      <w:r>
        <w:rPr>
          <w:rFonts w:ascii="Arial" w:hAnsi="Arial" w:hint="cs"/>
          <w:rtl/>
        </w:rPr>
        <w:t xml:space="preserve">הנאשם מסר מספר בדיקות שתן בשירות המבחן, שנמצאו כולן נקיות למעט אחת, שבהקשר לה הכחיש שימוש בסמים וטען כי מדובר בטעות. אניח, לטובתו של הנאשם, ובהתייחס ליתר הבדיקות הנקיות שמסר, לפני ואחרי הבדיקה שנמצאה בלתי נקיה, כי אכן מדובר בטעות, וכי הנאשם אכן הפסיק את השימוש בסמים בעקבות הסתבכותו בעבירה. ממילא, שירות המבחן לא התרשם מקיומה של נזקקות טיפולית בנושא זה. </w:t>
      </w:r>
    </w:p>
    <w:p w14:paraId="08DAA3AC" w14:textId="77777777" w:rsidR="00401B2C" w:rsidRDefault="00401B2C" w:rsidP="00401B2C">
      <w:pPr>
        <w:spacing w:line="360" w:lineRule="auto"/>
        <w:ind w:left="720"/>
        <w:jc w:val="both"/>
        <w:rPr>
          <w:rFonts w:ascii="Arial" w:hAnsi="Arial"/>
          <w:rtl/>
        </w:rPr>
      </w:pPr>
    </w:p>
    <w:p w14:paraId="46C5A38C" w14:textId="77777777" w:rsidR="00401B2C" w:rsidRDefault="00401B2C" w:rsidP="00401B2C">
      <w:pPr>
        <w:spacing w:line="360" w:lineRule="auto"/>
        <w:ind w:left="720" w:hanging="720"/>
        <w:jc w:val="both"/>
        <w:rPr>
          <w:rFonts w:ascii="Arial" w:hAnsi="Arial"/>
          <w:rtl/>
        </w:rPr>
      </w:pPr>
      <w:r>
        <w:rPr>
          <w:rFonts w:ascii="Arial" w:hAnsi="Arial" w:hint="cs"/>
          <w:rtl/>
        </w:rPr>
        <w:t>14.</w:t>
      </w:r>
      <w:r>
        <w:rPr>
          <w:rFonts w:ascii="Arial" w:hAnsi="Arial" w:hint="cs"/>
          <w:rtl/>
        </w:rPr>
        <w:tab/>
        <w:t>הנתונים שהובאו שכנעוני  כי הותרת ההרשעה על כנה תפגע בעתידו ובסיכויי שיקומו של הנאשם, המתפקד ככלל באופן נורמטיבי. אמנם ההרשעה לא תגרום מיידית לתוצאה קונקרטית של אובדן משרה או חסימת מסלול לימודי שכבר החל, אך הותרת ההרשעה בדין על כנה, עלולה לחסום אותו מפני עיסוק עתידי בתחום הנדסת הבניין אותו מתעתד ללמוד, ולהותיר עליו כתם חברתי, הן בהיבט של דימויו העצמי והן בהיבט של דימויו בפני סביבתו הקרובה. הזמן הניכר שחלף מאז ביצועה של העבירה הנו גורם נוסף, בהיעדר כל הסתבכות נוספת.</w:t>
      </w:r>
    </w:p>
    <w:p w14:paraId="27201631" w14:textId="77777777" w:rsidR="00401B2C" w:rsidRDefault="00401B2C" w:rsidP="00401B2C">
      <w:pPr>
        <w:spacing w:line="360" w:lineRule="auto"/>
        <w:ind w:left="720" w:hanging="720"/>
        <w:jc w:val="both"/>
        <w:rPr>
          <w:rFonts w:ascii="Arial" w:hAnsi="Arial"/>
          <w:rtl/>
        </w:rPr>
      </w:pPr>
    </w:p>
    <w:p w14:paraId="15001199" w14:textId="77777777" w:rsidR="00401B2C" w:rsidRDefault="00401B2C" w:rsidP="00401B2C">
      <w:pPr>
        <w:spacing w:line="360" w:lineRule="auto"/>
        <w:ind w:left="720" w:hanging="720"/>
        <w:jc w:val="both"/>
        <w:rPr>
          <w:rFonts w:ascii="Arial" w:hAnsi="Arial"/>
          <w:rtl/>
        </w:rPr>
      </w:pPr>
      <w:r>
        <w:rPr>
          <w:rFonts w:ascii="Arial" w:hAnsi="Arial" w:hint="cs"/>
          <w:rtl/>
        </w:rPr>
        <w:t>15.</w:t>
      </w:r>
      <w:r>
        <w:rPr>
          <w:rFonts w:ascii="Arial" w:hAnsi="Arial" w:hint="cs"/>
          <w:rtl/>
        </w:rPr>
        <w:tab/>
        <w:t>זה המקום להזכיר שוב, כי היעדר חומרה מיוחדת בעבירה שהנאשם ביצע, היא המאפשרת את ביטול ההרשעה גם בהיעדרו של נזק דרמטי. מדובר במעין "מקבילית כוחות" בה מאוזנים זה כנגד זה שיקולי הפגיעה בערכים החברתיים, שיקולי הגמול, ושיקולי המסר שבגזר הדין, מול שיקוליו של הנאשם הפרטי, ומול נזקו כתוצאה מהענישה. אני סבורה כי צעיר, שמעד באופן חד פעמי בעבירת סמים בלתי חמורה, ושמוכיח נורמטיביות ותפקוד חיובי, זכאי במקרה זה לביטול הרשעתו. המסר לציבור לא יהיה בלתי הולם, ועיקרו הוא כי גם מי שמועד כמו כאן, זכאי למחילה, לתקנה ולהסרת אות הקין מעליו.</w:t>
      </w:r>
    </w:p>
    <w:p w14:paraId="3EAFCC1C" w14:textId="77777777" w:rsidR="00401B2C" w:rsidRDefault="00401B2C" w:rsidP="00401B2C">
      <w:pPr>
        <w:spacing w:line="360" w:lineRule="auto"/>
        <w:ind w:left="720" w:hanging="720"/>
        <w:jc w:val="both"/>
        <w:rPr>
          <w:rFonts w:ascii="Arial" w:hAnsi="Arial"/>
          <w:rtl/>
        </w:rPr>
      </w:pPr>
    </w:p>
    <w:p w14:paraId="79362A7B" w14:textId="77777777" w:rsidR="00401B2C" w:rsidRDefault="00401B2C" w:rsidP="00401B2C">
      <w:pPr>
        <w:spacing w:line="360" w:lineRule="auto"/>
        <w:ind w:left="720" w:hanging="720"/>
        <w:jc w:val="both"/>
        <w:rPr>
          <w:rFonts w:ascii="Arial" w:hAnsi="Arial"/>
          <w:rtl/>
        </w:rPr>
      </w:pPr>
      <w:r>
        <w:rPr>
          <w:rFonts w:ascii="Arial" w:hAnsi="Arial" w:hint="cs"/>
          <w:rtl/>
        </w:rPr>
        <w:t xml:space="preserve"> 16.</w:t>
      </w:r>
      <w:r>
        <w:rPr>
          <w:rFonts w:ascii="Arial" w:hAnsi="Arial" w:hint="cs"/>
          <w:rtl/>
        </w:rPr>
        <w:tab/>
        <w:t>די בהטלת צו שירות לתועלת הציבור, במקביל למעקב בדיקות שתן בפיקוח שירות המבחן, בהטלת התחייבות כספית משמעותית, ובהרתעה שנוצרה בעקבות ניהולו של ההליך הפלילי נגד הנאשם, כדי לגלם הן את הרכיב ההרתעתי והן את הרכיב העונשי עבורו.</w:t>
      </w:r>
    </w:p>
    <w:p w14:paraId="2E08A87F" w14:textId="77777777" w:rsidR="00401B2C" w:rsidRDefault="00401B2C" w:rsidP="00401B2C">
      <w:pPr>
        <w:spacing w:line="360" w:lineRule="auto"/>
        <w:ind w:left="720"/>
        <w:jc w:val="both"/>
        <w:rPr>
          <w:rFonts w:ascii="Arial" w:hAnsi="Arial"/>
          <w:rtl/>
        </w:rPr>
      </w:pPr>
      <w:r>
        <w:rPr>
          <w:rFonts w:ascii="Arial" w:hAnsi="Arial" w:hint="cs"/>
          <w:rtl/>
        </w:rPr>
        <w:t xml:space="preserve">החלטתי לפיכך כי בנסיבות העניין ראוי לבטל את הרשעתו של הנאשם ולתת לו הזדמנות לשקם את דרכו. </w:t>
      </w:r>
    </w:p>
    <w:p w14:paraId="1D34D4B3" w14:textId="77777777" w:rsidR="00401B2C" w:rsidRDefault="00401B2C" w:rsidP="00401B2C">
      <w:pPr>
        <w:spacing w:line="360" w:lineRule="auto"/>
        <w:ind w:left="720"/>
        <w:jc w:val="both"/>
        <w:rPr>
          <w:rFonts w:ascii="Arial" w:hAnsi="Arial"/>
          <w:rtl/>
        </w:rPr>
      </w:pPr>
    </w:p>
    <w:p w14:paraId="0ED09239" w14:textId="77777777" w:rsidR="00401B2C" w:rsidRDefault="00401B2C" w:rsidP="00401B2C">
      <w:pPr>
        <w:spacing w:line="360" w:lineRule="auto"/>
        <w:jc w:val="both"/>
        <w:rPr>
          <w:rFonts w:ascii="Arial" w:hAnsi="Arial"/>
          <w:b/>
          <w:bCs/>
          <w:u w:val="single"/>
          <w:rtl/>
        </w:rPr>
      </w:pPr>
      <w:r>
        <w:rPr>
          <w:rFonts w:ascii="Arial" w:hAnsi="Arial" w:hint="cs"/>
          <w:b/>
          <w:bCs/>
          <w:u w:val="single"/>
          <w:rtl/>
        </w:rPr>
        <w:t>סוף דבר</w:t>
      </w:r>
    </w:p>
    <w:p w14:paraId="72865B36" w14:textId="77777777" w:rsidR="00401B2C" w:rsidRDefault="00401B2C" w:rsidP="00401B2C">
      <w:pPr>
        <w:spacing w:line="360" w:lineRule="auto"/>
        <w:jc w:val="both"/>
        <w:rPr>
          <w:rFonts w:ascii="Arial" w:hAnsi="Arial"/>
          <w:b/>
          <w:bCs/>
          <w:u w:val="single"/>
          <w:rtl/>
        </w:rPr>
      </w:pPr>
    </w:p>
    <w:p w14:paraId="276623E6" w14:textId="77777777" w:rsidR="00401B2C" w:rsidRDefault="00401B2C" w:rsidP="00401B2C">
      <w:pPr>
        <w:spacing w:line="360" w:lineRule="auto"/>
        <w:ind w:left="720" w:hanging="720"/>
        <w:jc w:val="both"/>
        <w:rPr>
          <w:rFonts w:ascii="Arial" w:hAnsi="Arial"/>
          <w:rtl/>
        </w:rPr>
      </w:pPr>
      <w:r>
        <w:rPr>
          <w:rFonts w:ascii="Arial" w:hAnsi="Arial" w:hint="cs"/>
          <w:rtl/>
        </w:rPr>
        <w:t>17.</w:t>
      </w:r>
      <w:r w:rsidR="004D2A51">
        <w:rPr>
          <w:rFonts w:ascii="Arial" w:hAnsi="Arial" w:hint="cs"/>
          <w:rtl/>
        </w:rPr>
        <w:t xml:space="preserve">      </w:t>
      </w:r>
      <w:r>
        <w:rPr>
          <w:rFonts w:ascii="Arial" w:hAnsi="Arial" w:hint="cs"/>
          <w:rtl/>
        </w:rPr>
        <w:t xml:space="preserve">  לאור כל האמור לעיל, </w:t>
      </w:r>
      <w:r>
        <w:rPr>
          <w:rFonts w:ascii="Arial" w:hAnsi="Arial" w:hint="cs"/>
          <w:b/>
          <w:bCs/>
          <w:rtl/>
        </w:rPr>
        <w:t>אני מבטלת</w:t>
      </w:r>
      <w:r>
        <w:rPr>
          <w:rFonts w:ascii="Arial" w:hAnsi="Arial" w:hint="cs"/>
          <w:rtl/>
        </w:rPr>
        <w:t xml:space="preserve"> את הרשעתו של הנאשם על פי סמכותי </w:t>
      </w:r>
      <w:hyperlink r:id="rId20" w:history="1">
        <w:r w:rsidR="00B625AB" w:rsidRPr="00B625AB">
          <w:rPr>
            <w:rFonts w:ascii="Arial" w:hAnsi="Arial"/>
            <w:color w:val="0000FF"/>
            <w:u w:val="single"/>
            <w:rtl/>
          </w:rPr>
          <w:t>בסעיף 192א</w:t>
        </w:r>
      </w:hyperlink>
      <w:r>
        <w:rPr>
          <w:rFonts w:ascii="Arial" w:hAnsi="Arial" w:hint="cs"/>
          <w:rtl/>
        </w:rPr>
        <w:t xml:space="preserve"> ל</w:t>
      </w:r>
      <w:hyperlink r:id="rId21" w:history="1">
        <w:r w:rsidR="004D2A51" w:rsidRPr="004D2A51">
          <w:rPr>
            <w:rStyle w:val="Hyperlink"/>
            <w:rFonts w:ascii="Arial" w:hAnsi="Arial" w:hint="eastAsia"/>
            <w:color w:val="0000FF"/>
            <w:rtl/>
          </w:rPr>
          <w:t>חוק</w:t>
        </w:r>
        <w:r w:rsidR="004D2A51" w:rsidRPr="004D2A51">
          <w:rPr>
            <w:rStyle w:val="Hyperlink"/>
            <w:rFonts w:ascii="Arial" w:hAnsi="Arial"/>
            <w:color w:val="0000FF"/>
            <w:rtl/>
          </w:rPr>
          <w:t xml:space="preserve"> סדר הדין הפלילי</w:t>
        </w:r>
      </w:hyperlink>
      <w:r>
        <w:rPr>
          <w:rFonts w:ascii="Arial" w:hAnsi="Arial" w:hint="cs"/>
          <w:rtl/>
        </w:rPr>
        <w:t xml:space="preserve"> [נוסח משולב], התשמ"ב-1982, ומטילה עליו צו שירות לתועלת הציבור בהיקף של 140 שעות ולמשך 12 חודשים מהיום, במהלכן יבצע עבודות החזקה בבית החולים הסיעודי-שיקומי "נווה הדר" באשדוד. בתקופה זו על הנאשם לעמוד בתנאי הצו בפיקוח שרות המבחן ולבצע את כל אשר יוטל עליו, לרבות שיתוף פעולה במסירת בדיקות שתן לגילוי סמים בהתאם לדרישות שירות המבחן. </w:t>
      </w:r>
    </w:p>
    <w:p w14:paraId="147BFD02" w14:textId="77777777" w:rsidR="00401B2C" w:rsidRDefault="00401B2C" w:rsidP="00401B2C">
      <w:pPr>
        <w:spacing w:line="360" w:lineRule="auto"/>
        <w:ind w:left="720"/>
        <w:jc w:val="both"/>
        <w:rPr>
          <w:rFonts w:ascii="Arial" w:hAnsi="Arial"/>
          <w:rtl/>
        </w:rPr>
      </w:pPr>
    </w:p>
    <w:p w14:paraId="73A5F005" w14:textId="77777777" w:rsidR="00401B2C" w:rsidRDefault="00401B2C" w:rsidP="00401B2C">
      <w:pPr>
        <w:spacing w:line="360" w:lineRule="auto"/>
        <w:ind w:left="720"/>
        <w:jc w:val="both"/>
        <w:rPr>
          <w:rFonts w:ascii="Arial" w:hAnsi="Arial"/>
          <w:rtl/>
        </w:rPr>
      </w:pPr>
      <w:r>
        <w:rPr>
          <w:rFonts w:ascii="Arial" w:hAnsi="Arial" w:hint="cs"/>
          <w:rtl/>
        </w:rPr>
        <w:t xml:space="preserve">בית המשפט מסביר בזאת לנאשם בלשון פשוטה את משמעות הצו ומזהיר אותו, שאם לא ימלא אחר הצו מכל בחינה שהיא או יעבור עבירה נוספת יהיה צפוי לעונש על העבירה שבגללה ניתן הצו ובית המשפט יוכל לגזור את דינו מחדש, ואף לשוב ולהרשיעו בדין. </w:t>
      </w:r>
    </w:p>
    <w:p w14:paraId="3FF5D5CB" w14:textId="77777777" w:rsidR="00401B2C" w:rsidRDefault="00401B2C" w:rsidP="00401B2C">
      <w:pPr>
        <w:spacing w:line="360" w:lineRule="auto"/>
        <w:ind w:left="720"/>
        <w:jc w:val="both"/>
        <w:rPr>
          <w:rFonts w:ascii="Arial" w:hAnsi="Arial"/>
          <w:rtl/>
        </w:rPr>
      </w:pPr>
    </w:p>
    <w:p w14:paraId="5517AED4" w14:textId="77777777" w:rsidR="00401B2C" w:rsidRDefault="00401B2C" w:rsidP="00401B2C">
      <w:pPr>
        <w:spacing w:line="360" w:lineRule="auto"/>
        <w:ind w:left="720"/>
        <w:jc w:val="both"/>
        <w:rPr>
          <w:rFonts w:ascii="Arial" w:hAnsi="Arial"/>
          <w:rtl/>
        </w:rPr>
      </w:pPr>
      <w:r>
        <w:rPr>
          <w:rFonts w:ascii="Arial" w:hAnsi="Arial" w:hint="cs"/>
          <w:rtl/>
        </w:rPr>
        <w:t xml:space="preserve">הנאשם יחתום על התחייבות על סך 3,000 ₪ שלא לעבור במשך שלוש שנים מהיום כל עבירה על </w:t>
      </w:r>
      <w:hyperlink r:id="rId22" w:history="1">
        <w:r w:rsidR="004D2A51" w:rsidRPr="004D2A51">
          <w:rPr>
            <w:rStyle w:val="Hyperlink"/>
            <w:rFonts w:ascii="Arial" w:hAnsi="Arial" w:hint="eastAsia"/>
            <w:color w:val="0000FF"/>
            <w:rtl/>
          </w:rPr>
          <w:t>פקודת</w:t>
        </w:r>
        <w:r w:rsidR="004D2A51" w:rsidRPr="004D2A51">
          <w:rPr>
            <w:rStyle w:val="Hyperlink"/>
            <w:rFonts w:ascii="Arial" w:hAnsi="Arial"/>
            <w:color w:val="0000FF"/>
            <w:rtl/>
          </w:rPr>
          <w:t xml:space="preserve"> הסמים המסוכנים</w:t>
        </w:r>
      </w:hyperlink>
      <w:r>
        <w:rPr>
          <w:rFonts w:ascii="Arial" w:hAnsi="Arial" w:hint="cs"/>
          <w:rtl/>
        </w:rPr>
        <w:t xml:space="preserve">. אם לא יחתום בתוך 7 ימים ייאסר למשך יומיים. </w:t>
      </w:r>
    </w:p>
    <w:p w14:paraId="089ACBF1" w14:textId="77777777" w:rsidR="00401B2C" w:rsidRDefault="00401B2C" w:rsidP="00401B2C">
      <w:pPr>
        <w:spacing w:line="360" w:lineRule="auto"/>
        <w:jc w:val="both"/>
        <w:rPr>
          <w:rFonts w:ascii="Arial" w:hAnsi="Arial"/>
          <w:rtl/>
        </w:rPr>
      </w:pPr>
    </w:p>
    <w:p w14:paraId="358E969F" w14:textId="77777777" w:rsidR="00401B2C" w:rsidRDefault="00401B2C" w:rsidP="00401B2C">
      <w:pPr>
        <w:spacing w:line="360" w:lineRule="auto"/>
        <w:rPr>
          <w:rFonts w:ascii="Arial" w:hAnsi="Arial"/>
          <w:b/>
          <w:bCs/>
          <w:rtl/>
        </w:rPr>
      </w:pPr>
      <w:r>
        <w:rPr>
          <w:rFonts w:ascii="Arial" w:hAnsi="Arial" w:hint="cs"/>
          <w:b/>
          <w:bCs/>
          <w:u w:val="single"/>
          <w:rtl/>
        </w:rPr>
        <w:t>המזכירות תשלח עותק גזר הדין לשרות המבחן</w:t>
      </w:r>
      <w:r>
        <w:rPr>
          <w:rFonts w:ascii="Arial" w:hAnsi="Arial" w:hint="cs"/>
          <w:b/>
          <w:bCs/>
          <w:rtl/>
        </w:rPr>
        <w:t>.</w:t>
      </w:r>
    </w:p>
    <w:p w14:paraId="3A3522D6" w14:textId="77777777" w:rsidR="00401B2C" w:rsidRDefault="00401B2C" w:rsidP="00401B2C">
      <w:pPr>
        <w:spacing w:line="360" w:lineRule="auto"/>
        <w:rPr>
          <w:rFonts w:ascii="Arial" w:hAnsi="Arial"/>
          <w:rtl/>
        </w:rPr>
      </w:pPr>
    </w:p>
    <w:p w14:paraId="238633C0" w14:textId="77777777" w:rsidR="00401B2C" w:rsidRDefault="00B625AB" w:rsidP="00401B2C">
      <w:pPr>
        <w:spacing w:line="360" w:lineRule="auto"/>
        <w:rPr>
          <w:rFonts w:ascii="Arial" w:hAnsi="Arial"/>
          <w:rtl/>
        </w:rPr>
      </w:pPr>
      <w:r w:rsidRPr="00B625AB">
        <w:rPr>
          <w:rFonts w:ascii="Arial" w:hAnsi="Arial"/>
          <w:b/>
          <w:bCs/>
          <w:color w:val="FFFFFF"/>
          <w:sz w:val="2"/>
          <w:szCs w:val="2"/>
          <w:u w:val="single"/>
          <w:rtl/>
        </w:rPr>
        <w:t>5129371</w:t>
      </w:r>
      <w:r w:rsidR="00401B2C">
        <w:rPr>
          <w:rFonts w:ascii="Arial" w:hAnsi="Arial" w:hint="cs"/>
          <w:b/>
          <w:bCs/>
          <w:u w:val="single"/>
          <w:rtl/>
        </w:rPr>
        <w:t>זכות ערעור תוך 45 יום</w:t>
      </w:r>
      <w:r w:rsidR="00401B2C">
        <w:rPr>
          <w:rFonts w:ascii="Arial" w:hAnsi="Arial" w:hint="cs"/>
          <w:b/>
          <w:bCs/>
          <w:rtl/>
        </w:rPr>
        <w:t xml:space="preserve">. </w:t>
      </w:r>
    </w:p>
    <w:p w14:paraId="6E7C1594" w14:textId="77777777" w:rsidR="00401B2C" w:rsidRPr="00B625AB" w:rsidRDefault="00B625AB" w:rsidP="00401B2C">
      <w:pPr>
        <w:spacing w:line="360" w:lineRule="auto"/>
        <w:jc w:val="both"/>
        <w:rPr>
          <w:rFonts w:ascii="Arial" w:hAnsi="Arial"/>
          <w:noProof w:val="0"/>
          <w:color w:val="FFFFFF"/>
          <w:sz w:val="2"/>
          <w:szCs w:val="2"/>
          <w:rtl/>
        </w:rPr>
      </w:pPr>
      <w:r w:rsidRPr="00B625AB">
        <w:rPr>
          <w:rFonts w:ascii="Arial" w:hAnsi="Arial"/>
          <w:noProof w:val="0"/>
          <w:color w:val="FFFFFF"/>
          <w:sz w:val="2"/>
          <w:szCs w:val="2"/>
          <w:rtl/>
        </w:rPr>
        <w:t>54678313</w:t>
      </w:r>
    </w:p>
    <w:p w14:paraId="2954BDE3" w14:textId="77777777" w:rsidR="00401B2C" w:rsidRDefault="00401B2C" w:rsidP="00401B2C">
      <w:pPr>
        <w:spacing w:line="360" w:lineRule="auto"/>
        <w:jc w:val="both"/>
        <w:rPr>
          <w:rFonts w:ascii="Arial" w:hAnsi="Arial"/>
          <w:noProof w:val="0"/>
          <w:rtl/>
        </w:rPr>
      </w:pPr>
      <w:r>
        <w:rPr>
          <w:rFonts w:ascii="Arial" w:hAnsi="Arial"/>
          <w:noProof w:val="0"/>
          <w:rtl/>
        </w:rPr>
        <w:t>נית</w:t>
      </w:r>
      <w:r>
        <w:rPr>
          <w:rFonts w:ascii="Arial" w:hAnsi="Arial" w:hint="cs"/>
          <w:noProof w:val="0"/>
          <w:rtl/>
        </w:rPr>
        <w:t>נה</w:t>
      </w:r>
      <w:r>
        <w:rPr>
          <w:rFonts w:ascii="Arial" w:hAnsi="Arial"/>
          <w:noProof w:val="0"/>
          <w:rtl/>
        </w:rPr>
        <w:t xml:space="preserve"> היום, י"ב חשוון תש"פ, 10 נובמבר 2019, ב</w:t>
      </w:r>
      <w:r>
        <w:rPr>
          <w:rFonts w:ascii="Arial" w:hAnsi="Arial" w:hint="cs"/>
          <w:noProof w:val="0"/>
          <w:rtl/>
        </w:rPr>
        <w:t>מעמד</w:t>
      </w:r>
      <w:r>
        <w:rPr>
          <w:rFonts w:ascii="Arial" w:hAnsi="Arial"/>
          <w:noProof w:val="0"/>
          <w:rtl/>
        </w:rPr>
        <w:t xml:space="preserve"> הצדדים.</w:t>
      </w:r>
    </w:p>
    <w:p w14:paraId="33056F54" w14:textId="77777777" w:rsidR="00401B2C" w:rsidRDefault="00401B2C" w:rsidP="00401B2C">
      <w:pPr>
        <w:tabs>
          <w:tab w:val="left" w:pos="2553"/>
        </w:tabs>
        <w:ind w:left="5040"/>
        <w:rPr>
          <w:rtl/>
        </w:rPr>
      </w:pPr>
      <w:r>
        <w:rPr>
          <w:rFonts w:hint="cs"/>
          <w:rtl/>
        </w:rPr>
        <w:t xml:space="preserve">     </w:t>
      </w:r>
    </w:p>
    <w:p w14:paraId="728CB664" w14:textId="77777777" w:rsidR="00401B2C" w:rsidRDefault="00401B2C" w:rsidP="00B625AB">
      <w:pPr>
        <w:tabs>
          <w:tab w:val="left" w:pos="2553"/>
        </w:tabs>
      </w:pPr>
      <w:r>
        <w:rPr>
          <w:rFonts w:hint="cs"/>
          <w:rtl/>
        </w:rPr>
        <w:tab/>
      </w:r>
      <w:r>
        <w:rPr>
          <w:rFonts w:hint="cs"/>
          <w:rtl/>
        </w:rPr>
        <w:tab/>
      </w:r>
      <w:r>
        <w:rPr>
          <w:rFonts w:hint="cs"/>
          <w:rtl/>
        </w:rPr>
        <w:tab/>
      </w:r>
      <w:r>
        <w:rPr>
          <w:rFonts w:hint="cs"/>
          <w:rtl/>
        </w:rPr>
        <w:tab/>
        <w:t xml:space="preserve">        </w:t>
      </w:r>
    </w:p>
    <w:p w14:paraId="1B3E021B" w14:textId="77777777" w:rsidR="00401B2C" w:rsidRDefault="00401B2C" w:rsidP="00401B2C">
      <w:pPr>
        <w:tabs>
          <w:tab w:val="left" w:pos="2553"/>
        </w:tabs>
        <w:rPr>
          <w:rFonts w:ascii="Arial" w:hAnsi="Arial"/>
          <w:noProof w:val="0"/>
          <w:rtl/>
        </w:rPr>
      </w:pPr>
    </w:p>
    <w:p w14:paraId="34E38F50" w14:textId="77777777" w:rsidR="00B625AB" w:rsidRPr="00B625AB" w:rsidRDefault="00B625AB" w:rsidP="00B625AB">
      <w:pPr>
        <w:keepNext/>
        <w:rPr>
          <w:rFonts w:ascii="David" w:hAnsi="David"/>
          <w:color w:val="000000"/>
          <w:sz w:val="22"/>
          <w:szCs w:val="22"/>
          <w:rtl/>
        </w:rPr>
      </w:pPr>
    </w:p>
    <w:p w14:paraId="18FDD12C" w14:textId="77777777" w:rsidR="00B625AB" w:rsidRPr="00B625AB" w:rsidRDefault="00B625AB" w:rsidP="00B625AB">
      <w:pPr>
        <w:keepNext/>
        <w:rPr>
          <w:rFonts w:ascii="David" w:hAnsi="David"/>
          <w:color w:val="000000"/>
          <w:sz w:val="22"/>
          <w:szCs w:val="22"/>
          <w:rtl/>
        </w:rPr>
      </w:pPr>
      <w:r w:rsidRPr="00B625AB">
        <w:rPr>
          <w:rFonts w:ascii="David" w:hAnsi="David"/>
          <w:color w:val="000000"/>
          <w:sz w:val="22"/>
          <w:szCs w:val="22"/>
          <w:rtl/>
        </w:rPr>
        <w:t>רות שפילברג כהן 54678313-/</w:t>
      </w:r>
    </w:p>
    <w:p w14:paraId="5C4E480B" w14:textId="77777777" w:rsidR="00537B77" w:rsidRDefault="00B625AB" w:rsidP="00B625AB">
      <w:r w:rsidRPr="00B625AB">
        <w:rPr>
          <w:color w:val="000000"/>
          <w:rtl/>
        </w:rPr>
        <w:t>נוסח מסמך זה כפוף לשינויי ניסוח ועריכה</w:t>
      </w:r>
    </w:p>
    <w:sectPr w:rsidR="00537B77" w:rsidSect="00B625AB">
      <w:headerReference w:type="even" r:id="rId23"/>
      <w:headerReference w:type="default" r:id="rId24"/>
      <w:footerReference w:type="even" r:id="rId25"/>
      <w:footerReference w:type="default" r:id="rId26"/>
      <w:pgSz w:w="11907" w:h="16840" w:code="9"/>
      <w:pgMar w:top="1440" w:right="1800" w:bottom="1440" w:left="1800" w:header="720" w:footer="510" w:gutter="0"/>
      <w:lnNumType w:countBy="1"/>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836BC5" w14:textId="77777777" w:rsidR="001214F6" w:rsidRDefault="001214F6">
      <w:r>
        <w:separator/>
      </w:r>
    </w:p>
  </w:endnote>
  <w:endnote w:type="continuationSeparator" w:id="0">
    <w:p w14:paraId="34B29C87" w14:textId="77777777" w:rsidR="001214F6" w:rsidRDefault="0012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38922F" w14:textId="77777777" w:rsidR="00B625AB" w:rsidRDefault="00B625AB" w:rsidP="00B625A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7</w:t>
    </w:r>
    <w:r>
      <w:rPr>
        <w:rFonts w:ascii="FrankRuehl" w:hAnsi="FrankRuehl" w:cs="FrankRuehl"/>
        <w:rtl/>
      </w:rPr>
      <w:fldChar w:fldCharType="end"/>
    </w:r>
  </w:p>
  <w:p w14:paraId="4B4CE2ED" w14:textId="77777777" w:rsidR="00B625AB" w:rsidRPr="00B625AB" w:rsidRDefault="00B625AB" w:rsidP="00B625AB">
    <w:pPr>
      <w:pStyle w:val="a5"/>
      <w:pBdr>
        <w:top w:val="single" w:sz="4" w:space="1" w:color="auto"/>
        <w:between w:val="single" w:sz="4" w:space="0" w:color="auto"/>
      </w:pBdr>
      <w:spacing w:after="60"/>
      <w:jc w:val="center"/>
      <w:rPr>
        <w:rFonts w:ascii="FrankRuehl" w:hAnsi="FrankRuehl" w:cs="FrankRuehl"/>
        <w:color w:val="000000"/>
      </w:rPr>
    </w:pPr>
    <w:r w:rsidRPr="00B625A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2B619" w14:textId="77777777" w:rsidR="00B625AB" w:rsidRDefault="00B625AB" w:rsidP="00B625AB">
    <w:pPr>
      <w:pStyle w:val="a5"/>
      <w:jc w:val="center"/>
      <w:rPr>
        <w:rStyle w:val="a8"/>
        <w:rFonts w:ascii="FrankRuehl" w:hAnsi="FrankRuehl" w:cs="FrankRueh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9564E2">
      <w:rPr>
        <w:rStyle w:val="a8"/>
        <w:rFonts w:ascii="FrankRuehl" w:hAnsi="FrankRuehl" w:cs="FrankRuehl"/>
        <w:rtl/>
      </w:rPr>
      <w:t>1</w:t>
    </w:r>
    <w:r>
      <w:rPr>
        <w:rStyle w:val="a8"/>
        <w:rFonts w:ascii="FrankRuehl" w:hAnsi="FrankRuehl" w:cs="FrankRuehl"/>
        <w:rtl/>
      </w:rPr>
      <w:fldChar w:fldCharType="end"/>
    </w:r>
  </w:p>
  <w:p w14:paraId="3C8095BA" w14:textId="77777777" w:rsidR="00063DDF" w:rsidRPr="00B625AB" w:rsidRDefault="00B625AB" w:rsidP="00B625AB">
    <w:pPr>
      <w:pStyle w:val="a5"/>
      <w:pBdr>
        <w:top w:val="single" w:sz="4" w:space="1" w:color="auto"/>
        <w:between w:val="single" w:sz="4" w:space="0" w:color="auto"/>
      </w:pBdr>
      <w:spacing w:after="60"/>
      <w:jc w:val="center"/>
      <w:rPr>
        <w:rStyle w:val="a8"/>
        <w:rFonts w:ascii="FrankRuehl" w:hAnsi="FrankRuehl" w:cs="FrankRuehl" w:hint="cs"/>
        <w:color w:val="000000"/>
      </w:rPr>
    </w:pPr>
    <w:r w:rsidRPr="00B625AB">
      <w:rPr>
        <w:rStyle w:val="a8"/>
        <w:rFonts w:ascii="FrankRuehl" w:hAnsi="FrankRuehl" w:cs="FrankRuehl" w:hint="cs"/>
        <w:color w:val="000000"/>
      </w:rPr>
      <w:pict w14:anchorId="330E64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2E08C8" w14:textId="77777777" w:rsidR="001214F6" w:rsidRDefault="001214F6">
      <w:r>
        <w:separator/>
      </w:r>
    </w:p>
  </w:footnote>
  <w:footnote w:type="continuationSeparator" w:id="0">
    <w:p w14:paraId="3156DDC9" w14:textId="77777777" w:rsidR="001214F6" w:rsidRDefault="0012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17A9D4" w14:textId="77777777" w:rsidR="00B625AB" w:rsidRPr="00B625AB" w:rsidRDefault="00B625AB" w:rsidP="00B625A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2077-12-17</w:t>
    </w:r>
    <w:r>
      <w:rPr>
        <w:rFonts w:ascii="David" w:hAnsi="David"/>
        <w:color w:val="000000"/>
        <w:sz w:val="22"/>
        <w:szCs w:val="22"/>
        <w:rtl/>
      </w:rPr>
      <w:tab/>
      <w:t xml:space="preserve"> שלוחת תביעות מרום הגליל והגולן נ' דוד אנוכשוילי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4F957" w14:textId="77777777" w:rsidR="00063DDF" w:rsidRPr="00B625AB" w:rsidRDefault="00B625AB" w:rsidP="00B625A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2077-12-17</w:t>
    </w:r>
    <w:r>
      <w:rPr>
        <w:rFonts w:ascii="David" w:hAnsi="David"/>
        <w:color w:val="000000"/>
        <w:sz w:val="22"/>
        <w:szCs w:val="22"/>
        <w:rtl/>
      </w:rPr>
      <w:tab/>
      <w:t xml:space="preserve"> שלוחת תביעות מרום הגליל והגולן נ' דוד אנוכשוילי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01B2C"/>
    <w:rsid w:val="00063DDF"/>
    <w:rsid w:val="001214F6"/>
    <w:rsid w:val="00381020"/>
    <w:rsid w:val="00401B2C"/>
    <w:rsid w:val="004D2A51"/>
    <w:rsid w:val="00537B77"/>
    <w:rsid w:val="005A726D"/>
    <w:rsid w:val="007028AE"/>
    <w:rsid w:val="008B09E1"/>
    <w:rsid w:val="009564E2"/>
    <w:rsid w:val="00B625AB"/>
    <w:rsid w:val="00C30AFD"/>
    <w:rsid w:val="00FF468D"/>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10/wordprocessingCanvas"/>
  <w:attachedSchema w:val="http://schemas.microsoft.com/office/drawing/2014/chartex"/>
  <w:attachedSchema w:val="http://schemas.openxmlformats.org/markup-compatibility/2006"/>
  <w:attachedSchema w:val="http://schemas.microsoft.com/office/word/2006/wordml"/>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E4CD5EF"/>
  <w15:chartTrackingRefBased/>
  <w15:docId w15:val="{EE6629A6-0B8C-4549-A5E1-4BBF430E0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01B2C"/>
    <w:pPr>
      <w:bidi/>
    </w:pPr>
    <w:rPr>
      <w:rFonts w:ascii="Times New Roman" w:eastAsia="Times New Roman" w:hAnsi="Times New Roman"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401B2C"/>
    <w:pPr>
      <w:tabs>
        <w:tab w:val="center" w:pos="4153"/>
        <w:tab w:val="right" w:pos="8306"/>
      </w:tabs>
    </w:pPr>
  </w:style>
  <w:style w:type="character" w:customStyle="1" w:styleId="a4">
    <w:name w:val="כותרת עליונה תו"/>
    <w:link w:val="a3"/>
    <w:rsid w:val="00401B2C"/>
    <w:rPr>
      <w:rFonts w:ascii="Times New Roman" w:eastAsia="Times New Roman" w:hAnsi="Times New Roman" w:cs="David"/>
      <w:noProof/>
      <w:sz w:val="24"/>
      <w:szCs w:val="24"/>
    </w:rPr>
  </w:style>
  <w:style w:type="paragraph" w:styleId="a5">
    <w:name w:val="footer"/>
    <w:basedOn w:val="a"/>
    <w:link w:val="a6"/>
    <w:rsid w:val="00401B2C"/>
    <w:pPr>
      <w:tabs>
        <w:tab w:val="center" w:pos="4153"/>
        <w:tab w:val="right" w:pos="8306"/>
      </w:tabs>
    </w:pPr>
  </w:style>
  <w:style w:type="character" w:customStyle="1" w:styleId="a6">
    <w:name w:val="כותרת תחתונה תו"/>
    <w:link w:val="a5"/>
    <w:rsid w:val="00401B2C"/>
    <w:rPr>
      <w:rFonts w:ascii="Times New Roman" w:eastAsia="Times New Roman" w:hAnsi="Times New Roman" w:cs="David"/>
      <w:noProof/>
      <w:sz w:val="24"/>
      <w:szCs w:val="24"/>
    </w:rPr>
  </w:style>
  <w:style w:type="table" w:styleId="a7">
    <w:name w:val="Table Grid"/>
    <w:basedOn w:val="a1"/>
    <w:rsid w:val="00401B2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01B2C"/>
  </w:style>
  <w:style w:type="character" w:styleId="a9">
    <w:name w:val="line number"/>
    <w:rsid w:val="00401B2C"/>
  </w:style>
  <w:style w:type="character" w:styleId="Hyperlink">
    <w:name w:val="Hyperlink"/>
    <w:rsid w:val="004D2A5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law/4216" TargetMode="External"/><Relationship Id="rId18" Type="http://schemas.openxmlformats.org/officeDocument/2006/relationships/hyperlink" Target="http://www.nevo.co.il/case/20145219"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www.nevo.co.il/law/74903" TargetMode="External"/><Relationship Id="rId7" Type="http://schemas.openxmlformats.org/officeDocument/2006/relationships/hyperlink" Target="http://www.nevo.co.il/law/4216/7.a" TargetMode="External"/><Relationship Id="rId12" Type="http://schemas.openxmlformats.org/officeDocument/2006/relationships/hyperlink" Target="http://www.nevo.co.il/law/4216/7.c" TargetMode="External"/><Relationship Id="rId17" Type="http://schemas.openxmlformats.org/officeDocument/2006/relationships/hyperlink" Target="http://www.nevo.co.il/case/22142118"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case/23158178" TargetMode="External"/><Relationship Id="rId20" Type="http://schemas.openxmlformats.org/officeDocument/2006/relationships/hyperlink" Target="http://www.nevo.co.il/law/74903/192a"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7.a" TargetMode="External"/><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case/17916229"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4903/192a" TargetMode="External"/><Relationship Id="rId19" Type="http://schemas.openxmlformats.org/officeDocument/2006/relationships/hyperlink" Target="http://www.nevo.co.il/case/20305474" TargetMode="External"/><Relationship Id="rId4" Type="http://schemas.openxmlformats.org/officeDocument/2006/relationships/footnotes" Target="footnotes.xml"/><Relationship Id="rId9" Type="http://schemas.openxmlformats.org/officeDocument/2006/relationships/hyperlink" Target="http://www.nevo.co.il/law/74903" TargetMode="External"/><Relationship Id="rId14" Type="http://schemas.openxmlformats.org/officeDocument/2006/relationships/hyperlink" Target="http://www.nevo.co.il/case/5810781" TargetMode="External"/><Relationship Id="rId22" Type="http://schemas.openxmlformats.org/officeDocument/2006/relationships/hyperlink" Target="http://www.nevo.co.il/law/4216"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2219</Words>
  <Characters>11095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13288</CharactersWithSpaces>
  <SharedDoc>false</SharedDoc>
  <HLinks>
    <vt:vector size="102" baseType="variant">
      <vt:variant>
        <vt:i4>8257637</vt:i4>
      </vt:variant>
      <vt:variant>
        <vt:i4>48</vt:i4>
      </vt:variant>
      <vt:variant>
        <vt:i4>0</vt:i4>
      </vt:variant>
      <vt:variant>
        <vt:i4>5</vt:i4>
      </vt:variant>
      <vt:variant>
        <vt:lpwstr>http://www.nevo.co.il/law/4216</vt:lpwstr>
      </vt:variant>
      <vt:variant>
        <vt:lpwstr/>
      </vt:variant>
      <vt:variant>
        <vt:i4>8257646</vt:i4>
      </vt:variant>
      <vt:variant>
        <vt:i4>45</vt:i4>
      </vt:variant>
      <vt:variant>
        <vt:i4>0</vt:i4>
      </vt:variant>
      <vt:variant>
        <vt:i4>5</vt:i4>
      </vt:variant>
      <vt:variant>
        <vt:lpwstr>http://www.nevo.co.il/law/74903</vt:lpwstr>
      </vt:variant>
      <vt:variant>
        <vt:lpwstr/>
      </vt:variant>
      <vt:variant>
        <vt:i4>589918</vt:i4>
      </vt:variant>
      <vt:variant>
        <vt:i4>42</vt:i4>
      </vt:variant>
      <vt:variant>
        <vt:i4>0</vt:i4>
      </vt:variant>
      <vt:variant>
        <vt:i4>5</vt:i4>
      </vt:variant>
      <vt:variant>
        <vt:lpwstr>http://www.nevo.co.il/law/74903/192a</vt:lpwstr>
      </vt:variant>
      <vt:variant>
        <vt:lpwstr/>
      </vt:variant>
      <vt:variant>
        <vt:i4>3342448</vt:i4>
      </vt:variant>
      <vt:variant>
        <vt:i4>39</vt:i4>
      </vt:variant>
      <vt:variant>
        <vt:i4>0</vt:i4>
      </vt:variant>
      <vt:variant>
        <vt:i4>5</vt:i4>
      </vt:variant>
      <vt:variant>
        <vt:lpwstr>http://www.nevo.co.il/case/20305474</vt:lpwstr>
      </vt:variant>
      <vt:variant>
        <vt:lpwstr/>
      </vt:variant>
      <vt:variant>
        <vt:i4>3604594</vt:i4>
      </vt:variant>
      <vt:variant>
        <vt:i4>36</vt:i4>
      </vt:variant>
      <vt:variant>
        <vt:i4>0</vt:i4>
      </vt:variant>
      <vt:variant>
        <vt:i4>5</vt:i4>
      </vt:variant>
      <vt:variant>
        <vt:lpwstr>http://www.nevo.co.il/case/20145219</vt:lpwstr>
      </vt:variant>
      <vt:variant>
        <vt:lpwstr/>
      </vt:variant>
      <vt:variant>
        <vt:i4>3145843</vt:i4>
      </vt:variant>
      <vt:variant>
        <vt:i4>33</vt:i4>
      </vt:variant>
      <vt:variant>
        <vt:i4>0</vt:i4>
      </vt:variant>
      <vt:variant>
        <vt:i4>5</vt:i4>
      </vt:variant>
      <vt:variant>
        <vt:lpwstr>http://www.nevo.co.il/case/22142118</vt:lpwstr>
      </vt:variant>
      <vt:variant>
        <vt:lpwstr/>
      </vt:variant>
      <vt:variant>
        <vt:i4>3932275</vt:i4>
      </vt:variant>
      <vt:variant>
        <vt:i4>30</vt:i4>
      </vt:variant>
      <vt:variant>
        <vt:i4>0</vt:i4>
      </vt:variant>
      <vt:variant>
        <vt:i4>5</vt:i4>
      </vt:variant>
      <vt:variant>
        <vt:lpwstr>http://www.nevo.co.il/case/23158178</vt:lpwstr>
      </vt:variant>
      <vt:variant>
        <vt:lpwstr/>
      </vt:variant>
      <vt:variant>
        <vt:i4>3932272</vt:i4>
      </vt:variant>
      <vt:variant>
        <vt:i4>27</vt:i4>
      </vt:variant>
      <vt:variant>
        <vt:i4>0</vt:i4>
      </vt:variant>
      <vt:variant>
        <vt:i4>5</vt:i4>
      </vt:variant>
      <vt:variant>
        <vt:lpwstr>http://www.nevo.co.il/case/17916229</vt:lpwstr>
      </vt:variant>
      <vt:variant>
        <vt:lpwstr/>
      </vt:variant>
      <vt:variant>
        <vt:i4>3276916</vt:i4>
      </vt:variant>
      <vt:variant>
        <vt:i4>24</vt:i4>
      </vt:variant>
      <vt:variant>
        <vt:i4>0</vt:i4>
      </vt:variant>
      <vt:variant>
        <vt:i4>5</vt:i4>
      </vt:variant>
      <vt:variant>
        <vt:lpwstr>http://www.nevo.co.il/case/5810781</vt:lpwstr>
      </vt:variant>
      <vt:variant>
        <vt:lpwstr/>
      </vt:variant>
      <vt:variant>
        <vt:i4>8257637</vt:i4>
      </vt:variant>
      <vt:variant>
        <vt:i4>21</vt:i4>
      </vt:variant>
      <vt:variant>
        <vt:i4>0</vt:i4>
      </vt:variant>
      <vt:variant>
        <vt:i4>5</vt:i4>
      </vt:variant>
      <vt:variant>
        <vt:lpwstr>http://www.nevo.co.il/law/4216</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589918</vt:i4>
      </vt:variant>
      <vt:variant>
        <vt:i4>12</vt:i4>
      </vt:variant>
      <vt:variant>
        <vt:i4>0</vt:i4>
      </vt:variant>
      <vt:variant>
        <vt:i4>5</vt:i4>
      </vt:variant>
      <vt:variant>
        <vt:lpwstr>http://www.nevo.co.il/law/74903/192a</vt:lpwstr>
      </vt:variant>
      <vt:variant>
        <vt:lpwstr/>
      </vt:variant>
      <vt:variant>
        <vt:i4>8257646</vt:i4>
      </vt:variant>
      <vt:variant>
        <vt:i4>9</vt:i4>
      </vt:variant>
      <vt:variant>
        <vt:i4>0</vt:i4>
      </vt:variant>
      <vt:variant>
        <vt:i4>5</vt:i4>
      </vt:variant>
      <vt:variant>
        <vt:lpwstr>http://www.nevo.co.il/law/74903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2025-04-22T23:36:00Z</dcterms:created>
  <dcterms:modified xsi:type="dcterms:W3CDTF">2025-04-22T23:36:00Z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SESLISTTMP1">
    <vt:lpwstr>5810781;23158178;22142118;20145219;20305474</vt:lpwstr>
  </property>
  <property fmtid="{D5CDD505-2E9C-101B-9397-08002B2CF9AE}" pid="3" name="WORDNUMPAGES">
    <vt:lpwstr>7</vt:lpwstr>
  </property>
  <property fmtid="{D5CDD505-2E9C-101B-9397-08002B2CF9AE}" pid="4" name="CITY">
    <vt:lpwstr>ק"ש</vt:lpwstr>
  </property>
  <property fmtid="{D5CDD505-2E9C-101B-9397-08002B2CF9AE}" pid="5" name="NEWPROC">
    <vt:lpwstr>תפ</vt:lpwstr>
  </property>
  <property fmtid="{D5CDD505-2E9C-101B-9397-08002B2CF9AE}" pid="6" name="NEWPARTA">
    <vt:lpwstr>2077</vt:lpwstr>
  </property>
  <property fmtid="{D5CDD505-2E9C-101B-9397-08002B2CF9AE}" pid="7" name="NEWPARTB">
    <vt:lpwstr>12</vt:lpwstr>
  </property>
  <property fmtid="{D5CDD505-2E9C-101B-9397-08002B2CF9AE}" pid="8" name="NEWPARTC">
    <vt:lpwstr>17</vt:lpwstr>
  </property>
  <property fmtid="{D5CDD505-2E9C-101B-9397-08002B2CF9AE}" pid="9" name="JUDGE">
    <vt:lpwstr>רות שפילברג כהן</vt:lpwstr>
  </property>
  <property fmtid="{D5CDD505-2E9C-101B-9397-08002B2CF9AE}" pid="10" name="APPELLANT">
    <vt:lpwstr>שלוחת תביעות מרום הגליל והגולן</vt:lpwstr>
  </property>
  <property fmtid="{D5CDD505-2E9C-101B-9397-08002B2CF9AE}" pid="11" name="APPELLEE">
    <vt:lpwstr>דוד אנוכשוילי</vt:lpwstr>
  </property>
  <property fmtid="{D5CDD505-2E9C-101B-9397-08002B2CF9AE}" pid="12" name="PSAKDIN">
    <vt:lpwstr>גזר-דין</vt:lpwstr>
  </property>
  <property fmtid="{D5CDD505-2E9C-101B-9397-08002B2CF9AE}" pid="13" name="ISABSTRACT">
    <vt:lpwstr>Y</vt:lpwstr>
  </property>
  <property fmtid="{D5CDD505-2E9C-101B-9397-08002B2CF9AE}" pid="14" name="LAWYER">
    <vt:lpwstr/>
  </property>
  <property fmtid="{D5CDD505-2E9C-101B-9397-08002B2CF9AE}" pid="15" name="APPELLANT1">
    <vt:lpwstr/>
  </property>
  <property fmtid="{D5CDD505-2E9C-101B-9397-08002B2CF9AE}" pid="16" name="APPELLANT2">
    <vt:lpwstr/>
  </property>
  <property fmtid="{D5CDD505-2E9C-101B-9397-08002B2CF9AE}" pid="17" name="APPELLEE1">
    <vt:lpwstr/>
  </property>
  <property fmtid="{D5CDD505-2E9C-101B-9397-08002B2CF9AE}" pid="18" name="APPELLEE2">
    <vt:lpwstr/>
  </property>
  <property fmtid="{D5CDD505-2E9C-101B-9397-08002B2CF9AE}" pid="19" name="PROCESS">
    <vt:lpwstr/>
  </property>
  <property fmtid="{D5CDD505-2E9C-101B-9397-08002B2CF9AE}" pid="20" name="PROCNUM">
    <vt:lpwstr/>
  </property>
  <property fmtid="{D5CDD505-2E9C-101B-9397-08002B2CF9AE}" pid="21" name="PROCYEAR">
    <vt:lpwstr/>
  </property>
  <property fmtid="{D5CDD505-2E9C-101B-9397-08002B2CF9AE}" pid="22" name="TYPE">
    <vt:lpwstr>3</vt:lpwstr>
  </property>
  <property fmtid="{D5CDD505-2E9C-101B-9397-08002B2CF9AE}" pid="23" name="VOLUME">
    <vt:lpwstr/>
  </property>
  <property fmtid="{D5CDD505-2E9C-101B-9397-08002B2CF9AE}" pid="24" name="PART">
    <vt:lpwstr/>
  </property>
  <property fmtid="{D5CDD505-2E9C-101B-9397-08002B2CF9AE}" pid="25" name="PAGE">
    <vt:lpwstr/>
  </property>
  <property fmtid="{D5CDD505-2E9C-101B-9397-08002B2CF9AE}" pid="26" name="PADIMAIL">
    <vt:lpwstr/>
  </property>
  <property fmtid="{D5CDD505-2E9C-101B-9397-08002B2CF9AE}" pid="27" name="DELEMATA">
    <vt:lpwstr/>
  </property>
  <property fmtid="{D5CDD505-2E9C-101B-9397-08002B2CF9AE}" pid="28" name="LINKK1">
    <vt:lpwstr/>
  </property>
  <property fmtid="{D5CDD505-2E9C-101B-9397-08002B2CF9AE}" pid="29" name="LINKK2">
    <vt:lpwstr/>
  </property>
  <property fmtid="{D5CDD505-2E9C-101B-9397-08002B2CF9AE}" pid="30" name="LINKK3">
    <vt:lpwstr/>
  </property>
  <property fmtid="{D5CDD505-2E9C-101B-9397-08002B2CF9AE}" pid="31" name="LINKK4">
    <vt:lpwstr/>
  </property>
  <property fmtid="{D5CDD505-2E9C-101B-9397-08002B2CF9AE}" pid="32" name="LINKK5">
    <vt:lpwstr/>
  </property>
  <property fmtid="{D5CDD505-2E9C-101B-9397-08002B2CF9AE}" pid="33" name="DATE">
    <vt:lpwstr>20191110</vt:lpwstr>
  </property>
  <property fmtid="{D5CDD505-2E9C-101B-9397-08002B2CF9AE}" pid="34" name="TYPE_N_DATE">
    <vt:lpwstr>38020191110</vt:lpwstr>
  </property>
  <property fmtid="{D5CDD505-2E9C-101B-9397-08002B2CF9AE}" pid="35" name="TYPE_ABS_DATE">
    <vt:lpwstr>380020191110</vt:lpwstr>
  </property>
  <property fmtid="{D5CDD505-2E9C-101B-9397-08002B2CF9AE}" pid="36" name="LAWLISTTMP1">
    <vt:lpwstr>4216/007.a;007.c</vt:lpwstr>
  </property>
  <property fmtid="{D5CDD505-2E9C-101B-9397-08002B2CF9AE}" pid="37" name="LAWLISTTMP2">
    <vt:lpwstr>74903/192a</vt:lpwstr>
  </property>
</Properties>
</file>