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A6AA1" w:rsidRPr="001C4965" w14:paraId="140D8347" w14:textId="77777777" w:rsidTr="00853BC8">
        <w:trPr>
          <w:trHeight w:hRule="exact" w:val="418"/>
          <w:jc w:val="center"/>
        </w:trPr>
        <w:tc>
          <w:tcPr>
            <w:tcW w:w="8721" w:type="dxa"/>
            <w:gridSpan w:val="2"/>
          </w:tcPr>
          <w:p w14:paraId="3D6CDAAA" w14:textId="77777777" w:rsidR="00AA6AA1" w:rsidRPr="001C4965" w:rsidRDefault="00AA6AA1" w:rsidP="00351DD6">
            <w:pPr>
              <w:pStyle w:val="a3"/>
              <w:jc w:val="center"/>
              <w:rPr>
                <w:rFonts w:ascii="Tahoma" w:hAnsi="Tahoma" w:cs="Tahoma"/>
                <w:color w:val="000080"/>
                <w:rtl/>
              </w:rPr>
            </w:pPr>
            <w:bookmarkStart w:id="0" w:name="LastJudge"/>
            <w:r w:rsidRPr="001C4965">
              <w:rPr>
                <w:rFonts w:ascii="Tahoma" w:hAnsi="Tahoma" w:cs="Tahoma"/>
                <w:b/>
                <w:bCs/>
                <w:color w:val="000080"/>
                <w:rtl/>
              </w:rPr>
              <w:t>בית משפט השלום בירושלים</w:t>
            </w:r>
          </w:p>
        </w:tc>
      </w:tr>
      <w:tr w:rsidR="00AA6AA1" w:rsidRPr="001C4965" w14:paraId="7A44DB2A" w14:textId="77777777" w:rsidTr="00853BC8">
        <w:trPr>
          <w:trHeight w:val="337"/>
          <w:jc w:val="center"/>
        </w:trPr>
        <w:tc>
          <w:tcPr>
            <w:tcW w:w="5054" w:type="dxa"/>
          </w:tcPr>
          <w:p w14:paraId="6571F443" w14:textId="77777777" w:rsidR="00AA6AA1" w:rsidRPr="001C4965" w:rsidRDefault="00AA6AA1" w:rsidP="00351DD6">
            <w:pPr>
              <w:rPr>
                <w:rFonts w:cs="FrankRuehl"/>
                <w:sz w:val="28"/>
                <w:szCs w:val="28"/>
                <w:rtl/>
              </w:rPr>
            </w:pPr>
            <w:r w:rsidRPr="001C4965">
              <w:rPr>
                <w:rFonts w:cs="FrankRuehl"/>
                <w:sz w:val="28"/>
                <w:szCs w:val="28"/>
                <w:rtl/>
              </w:rPr>
              <w:t>ת"פ</w:t>
            </w:r>
            <w:r w:rsidRPr="001C4965">
              <w:rPr>
                <w:rFonts w:cs="FrankRuehl" w:hint="cs"/>
                <w:sz w:val="28"/>
                <w:szCs w:val="28"/>
                <w:rtl/>
              </w:rPr>
              <w:t xml:space="preserve"> </w:t>
            </w:r>
            <w:r w:rsidRPr="001C4965">
              <w:rPr>
                <w:rFonts w:cs="FrankRuehl"/>
                <w:sz w:val="28"/>
                <w:szCs w:val="28"/>
                <w:rtl/>
              </w:rPr>
              <w:t>30311-12-17</w:t>
            </w:r>
            <w:r w:rsidRPr="001C4965">
              <w:rPr>
                <w:rFonts w:cs="FrankRuehl" w:hint="cs"/>
                <w:sz w:val="28"/>
                <w:szCs w:val="28"/>
                <w:rtl/>
              </w:rPr>
              <w:t xml:space="preserve"> </w:t>
            </w:r>
            <w:r w:rsidRPr="001C4965">
              <w:rPr>
                <w:rFonts w:cs="FrankRuehl"/>
                <w:sz w:val="28"/>
                <w:szCs w:val="28"/>
                <w:rtl/>
              </w:rPr>
              <w:t>מדינת ישראל נ' שיך עלי</w:t>
            </w:r>
          </w:p>
          <w:p w14:paraId="5FB49464" w14:textId="77777777" w:rsidR="00AA6AA1" w:rsidRPr="001C4965" w:rsidRDefault="00AA6AA1" w:rsidP="00351DD6">
            <w:pPr>
              <w:pStyle w:val="a3"/>
              <w:rPr>
                <w:rFonts w:cs="FrankRuehl"/>
                <w:sz w:val="28"/>
                <w:szCs w:val="28"/>
                <w:rtl/>
              </w:rPr>
            </w:pPr>
          </w:p>
        </w:tc>
        <w:tc>
          <w:tcPr>
            <w:tcW w:w="3667" w:type="dxa"/>
          </w:tcPr>
          <w:p w14:paraId="2DADA94E" w14:textId="77777777" w:rsidR="00AA6AA1" w:rsidRPr="001C4965" w:rsidRDefault="00AA6AA1" w:rsidP="00351DD6">
            <w:pPr>
              <w:pStyle w:val="a3"/>
              <w:jc w:val="right"/>
              <w:rPr>
                <w:rFonts w:cs="FrankRuehl"/>
                <w:sz w:val="28"/>
                <w:szCs w:val="28"/>
                <w:rtl/>
              </w:rPr>
            </w:pPr>
          </w:p>
        </w:tc>
      </w:tr>
    </w:tbl>
    <w:p w14:paraId="3E98E58D" w14:textId="77777777" w:rsidR="00AA6AA1" w:rsidRPr="001C4965" w:rsidRDefault="00AA6AA1" w:rsidP="00AA6AA1">
      <w:pPr>
        <w:pStyle w:val="a3"/>
        <w:rPr>
          <w:rtl/>
        </w:rPr>
      </w:pPr>
      <w:r w:rsidRPr="001C4965">
        <w:rPr>
          <w:rFonts w:hint="cs"/>
          <w:rtl/>
        </w:rPr>
        <w:t xml:space="preserve"> </w:t>
      </w:r>
    </w:p>
    <w:p w14:paraId="0AAB1F7A" w14:textId="77777777" w:rsidR="00AA6AA1" w:rsidRPr="001C4965" w:rsidRDefault="00AA6AA1" w:rsidP="00AA6AA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A6AA1" w:rsidRPr="001C4965" w14:paraId="71F39788" w14:textId="77777777" w:rsidTr="00AA6AA1">
        <w:trPr>
          <w:trHeight w:val="295"/>
          <w:jc w:val="center"/>
        </w:trPr>
        <w:tc>
          <w:tcPr>
            <w:tcW w:w="923" w:type="dxa"/>
            <w:tcBorders>
              <w:top w:val="nil"/>
              <w:left w:val="nil"/>
              <w:bottom w:val="nil"/>
              <w:right w:val="nil"/>
            </w:tcBorders>
            <w:shd w:val="clear" w:color="auto" w:fill="auto"/>
          </w:tcPr>
          <w:p w14:paraId="61E34936" w14:textId="77777777" w:rsidR="00AA6AA1" w:rsidRPr="001C4965" w:rsidRDefault="00AA6AA1" w:rsidP="00AA6AA1">
            <w:pPr>
              <w:jc w:val="both"/>
              <w:rPr>
                <w:rFonts w:ascii="Arial" w:hAnsi="Arial" w:cs="FrankRuehl"/>
                <w:sz w:val="28"/>
                <w:szCs w:val="28"/>
              </w:rPr>
            </w:pPr>
            <w:r w:rsidRPr="001C4965">
              <w:rPr>
                <w:rFonts w:ascii="Arial" w:hAnsi="Arial" w:cs="FrankRuehl" w:hint="cs"/>
                <w:sz w:val="28"/>
                <w:szCs w:val="28"/>
                <w:rtl/>
              </w:rPr>
              <w:t>ב</w:t>
            </w:r>
            <w:r w:rsidRPr="001C496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77C77CE" w14:textId="77777777" w:rsidR="00AA6AA1" w:rsidRPr="001C4965" w:rsidRDefault="00AA6AA1" w:rsidP="00351DD6">
            <w:pPr>
              <w:rPr>
                <w:rFonts w:ascii="Arial" w:hAnsi="Arial"/>
                <w:b/>
                <w:bCs/>
                <w:rtl/>
              </w:rPr>
            </w:pPr>
            <w:r w:rsidRPr="001C4965">
              <w:rPr>
                <w:rFonts w:ascii="Arial" w:hAnsi="Arial" w:hint="cs"/>
                <w:b/>
                <w:bCs/>
                <w:rtl/>
              </w:rPr>
              <w:t>כבוד ה</w:t>
            </w:r>
            <w:r w:rsidRPr="001C4965">
              <w:rPr>
                <w:rFonts w:ascii="Arial" w:hAnsi="Arial"/>
                <w:b/>
                <w:bCs/>
                <w:rtl/>
              </w:rPr>
              <w:t>שופטת</w:t>
            </w:r>
            <w:r w:rsidRPr="001C4965">
              <w:rPr>
                <w:rFonts w:ascii="Arial" w:hAnsi="Arial" w:hint="cs"/>
                <w:b/>
                <w:bCs/>
                <w:rtl/>
              </w:rPr>
              <w:t xml:space="preserve">  </w:t>
            </w:r>
            <w:r w:rsidRPr="001C4965">
              <w:rPr>
                <w:rFonts w:ascii="Arial" w:hAnsi="Arial"/>
                <w:b/>
                <w:bCs/>
                <w:rtl/>
              </w:rPr>
              <w:t>ג'ויה סקפה שפירא</w:t>
            </w:r>
          </w:p>
          <w:p w14:paraId="2D0CF5D9" w14:textId="77777777" w:rsidR="00AA6AA1" w:rsidRPr="001C4965" w:rsidRDefault="00AA6AA1" w:rsidP="00351DD6">
            <w:pPr>
              <w:rPr>
                <w:rtl/>
              </w:rPr>
            </w:pPr>
          </w:p>
          <w:p w14:paraId="654061C4" w14:textId="77777777" w:rsidR="00AA6AA1" w:rsidRPr="001C4965" w:rsidRDefault="00AA6AA1" w:rsidP="00AA6AA1">
            <w:pPr>
              <w:jc w:val="both"/>
              <w:rPr>
                <w:rFonts w:ascii="Arial" w:hAnsi="Arial" w:cs="FrankRuehl"/>
                <w:sz w:val="28"/>
                <w:szCs w:val="28"/>
              </w:rPr>
            </w:pPr>
          </w:p>
        </w:tc>
      </w:tr>
      <w:tr w:rsidR="00AA6AA1" w:rsidRPr="001C4965" w14:paraId="6C949282" w14:textId="77777777" w:rsidTr="00AA6AA1">
        <w:trPr>
          <w:trHeight w:val="355"/>
          <w:jc w:val="center"/>
        </w:trPr>
        <w:tc>
          <w:tcPr>
            <w:tcW w:w="923" w:type="dxa"/>
            <w:tcBorders>
              <w:top w:val="nil"/>
              <w:left w:val="nil"/>
              <w:bottom w:val="nil"/>
              <w:right w:val="nil"/>
            </w:tcBorders>
            <w:shd w:val="clear" w:color="auto" w:fill="auto"/>
          </w:tcPr>
          <w:p w14:paraId="29093BDC" w14:textId="77777777" w:rsidR="00AA6AA1" w:rsidRPr="001C4965" w:rsidRDefault="00AA6AA1" w:rsidP="00AA6AA1">
            <w:pPr>
              <w:jc w:val="both"/>
              <w:rPr>
                <w:rFonts w:ascii="Arial" w:hAnsi="Arial" w:cs="FrankRuehl"/>
                <w:sz w:val="28"/>
                <w:szCs w:val="28"/>
              </w:rPr>
            </w:pPr>
            <w:bookmarkStart w:id="1" w:name="FirstAppellant"/>
            <w:r w:rsidRPr="001C496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24A3FB6" w14:textId="77777777" w:rsidR="00AA6AA1" w:rsidRPr="001C4965" w:rsidRDefault="00AA6AA1" w:rsidP="00351DD6">
            <w:r w:rsidRPr="001C496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57B0C52" w14:textId="77777777" w:rsidR="00AA6AA1" w:rsidRPr="001C4965" w:rsidRDefault="00AA6AA1" w:rsidP="00AA6AA1">
            <w:pPr>
              <w:jc w:val="both"/>
              <w:rPr>
                <w:rFonts w:ascii="Arial" w:hAnsi="Arial" w:cs="FrankRuehl"/>
                <w:sz w:val="28"/>
                <w:szCs w:val="28"/>
              </w:rPr>
            </w:pPr>
          </w:p>
        </w:tc>
      </w:tr>
      <w:bookmarkEnd w:id="1"/>
      <w:tr w:rsidR="00AA6AA1" w:rsidRPr="001C4965" w14:paraId="446B1CE8" w14:textId="77777777" w:rsidTr="00AA6AA1">
        <w:trPr>
          <w:trHeight w:val="355"/>
          <w:jc w:val="center"/>
        </w:trPr>
        <w:tc>
          <w:tcPr>
            <w:tcW w:w="923" w:type="dxa"/>
            <w:tcBorders>
              <w:top w:val="nil"/>
              <w:left w:val="nil"/>
              <w:bottom w:val="nil"/>
              <w:right w:val="nil"/>
            </w:tcBorders>
            <w:shd w:val="clear" w:color="auto" w:fill="auto"/>
          </w:tcPr>
          <w:p w14:paraId="1AC57493" w14:textId="77777777" w:rsidR="00AA6AA1" w:rsidRPr="001C4965" w:rsidRDefault="00AA6AA1" w:rsidP="00AA6AA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415DBE2" w14:textId="77777777" w:rsidR="00AA6AA1" w:rsidRPr="001C4965" w:rsidRDefault="00AA6AA1" w:rsidP="00AA6AA1">
            <w:pPr>
              <w:jc w:val="both"/>
              <w:rPr>
                <w:rtl/>
              </w:rPr>
            </w:pPr>
          </w:p>
        </w:tc>
        <w:tc>
          <w:tcPr>
            <w:tcW w:w="3771" w:type="dxa"/>
            <w:tcBorders>
              <w:top w:val="nil"/>
              <w:left w:val="nil"/>
              <w:bottom w:val="nil"/>
              <w:right w:val="nil"/>
            </w:tcBorders>
            <w:shd w:val="clear" w:color="auto" w:fill="auto"/>
          </w:tcPr>
          <w:p w14:paraId="75A13495" w14:textId="77777777" w:rsidR="00AA6AA1" w:rsidRPr="001C4965" w:rsidRDefault="00AA6AA1" w:rsidP="00AA6AA1">
            <w:pPr>
              <w:jc w:val="right"/>
              <w:rPr>
                <w:rFonts w:ascii="Arial" w:hAnsi="Arial" w:cs="FrankRuehl"/>
                <w:sz w:val="28"/>
                <w:szCs w:val="28"/>
                <w:rtl/>
              </w:rPr>
            </w:pPr>
            <w:r w:rsidRPr="001C4965">
              <w:rPr>
                <w:rFonts w:ascii="Arial" w:hAnsi="Arial" w:cs="FrankRuehl" w:hint="cs"/>
                <w:sz w:val="28"/>
                <w:szCs w:val="28"/>
                <w:rtl/>
              </w:rPr>
              <w:t>ה</w:t>
            </w:r>
            <w:r w:rsidRPr="001C4965">
              <w:rPr>
                <w:rFonts w:ascii="Arial" w:hAnsi="Arial" w:cs="FrankRuehl"/>
                <w:sz w:val="28"/>
                <w:szCs w:val="28"/>
                <w:rtl/>
              </w:rPr>
              <w:t>מאשימה</w:t>
            </w:r>
          </w:p>
        </w:tc>
      </w:tr>
      <w:tr w:rsidR="00AA6AA1" w:rsidRPr="001C4965" w14:paraId="5530B74F" w14:textId="77777777" w:rsidTr="00AA6AA1">
        <w:trPr>
          <w:trHeight w:val="355"/>
          <w:jc w:val="center"/>
        </w:trPr>
        <w:tc>
          <w:tcPr>
            <w:tcW w:w="923" w:type="dxa"/>
            <w:tcBorders>
              <w:top w:val="nil"/>
              <w:left w:val="nil"/>
              <w:bottom w:val="nil"/>
              <w:right w:val="nil"/>
            </w:tcBorders>
            <w:shd w:val="clear" w:color="auto" w:fill="auto"/>
          </w:tcPr>
          <w:p w14:paraId="5C40D5F5" w14:textId="77777777" w:rsidR="00AA6AA1" w:rsidRPr="001C4965" w:rsidRDefault="00AA6AA1" w:rsidP="00AA6AA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E5D0480" w14:textId="77777777" w:rsidR="00AA6AA1" w:rsidRPr="001C4965" w:rsidRDefault="00AA6AA1" w:rsidP="00AA6AA1">
            <w:pPr>
              <w:jc w:val="center"/>
              <w:rPr>
                <w:rFonts w:ascii="Arial" w:hAnsi="Arial" w:cs="FrankRuehl"/>
                <w:b/>
                <w:bCs/>
                <w:sz w:val="28"/>
                <w:szCs w:val="28"/>
                <w:rtl/>
              </w:rPr>
            </w:pPr>
          </w:p>
          <w:p w14:paraId="11827CF1" w14:textId="77777777" w:rsidR="00AA6AA1" w:rsidRPr="001C4965" w:rsidRDefault="00AA6AA1" w:rsidP="00AA6AA1">
            <w:pPr>
              <w:jc w:val="center"/>
              <w:rPr>
                <w:rFonts w:ascii="Arial" w:hAnsi="Arial" w:cs="FrankRuehl"/>
                <w:b/>
                <w:bCs/>
                <w:sz w:val="28"/>
                <w:szCs w:val="28"/>
                <w:rtl/>
              </w:rPr>
            </w:pPr>
            <w:r w:rsidRPr="001C4965">
              <w:rPr>
                <w:rFonts w:ascii="Arial" w:hAnsi="Arial" w:cs="FrankRuehl"/>
                <w:b/>
                <w:bCs/>
                <w:sz w:val="28"/>
                <w:szCs w:val="28"/>
                <w:rtl/>
              </w:rPr>
              <w:t>נגד</w:t>
            </w:r>
          </w:p>
          <w:p w14:paraId="55FFE63E" w14:textId="77777777" w:rsidR="00AA6AA1" w:rsidRPr="001C4965" w:rsidRDefault="00AA6AA1" w:rsidP="00AA6AA1">
            <w:pPr>
              <w:jc w:val="both"/>
              <w:rPr>
                <w:rFonts w:ascii="Arial" w:hAnsi="Arial" w:cs="FrankRuehl"/>
                <w:sz w:val="28"/>
                <w:szCs w:val="28"/>
              </w:rPr>
            </w:pPr>
          </w:p>
        </w:tc>
      </w:tr>
      <w:tr w:rsidR="00AA6AA1" w:rsidRPr="001C4965" w14:paraId="2C70DE21" w14:textId="77777777" w:rsidTr="00AA6AA1">
        <w:trPr>
          <w:trHeight w:val="355"/>
          <w:jc w:val="center"/>
        </w:trPr>
        <w:tc>
          <w:tcPr>
            <w:tcW w:w="923" w:type="dxa"/>
            <w:tcBorders>
              <w:top w:val="nil"/>
              <w:left w:val="nil"/>
              <w:bottom w:val="nil"/>
              <w:right w:val="nil"/>
            </w:tcBorders>
            <w:shd w:val="clear" w:color="auto" w:fill="auto"/>
          </w:tcPr>
          <w:p w14:paraId="48F522EC" w14:textId="77777777" w:rsidR="00AA6AA1" w:rsidRPr="001C4965" w:rsidRDefault="00AA6AA1" w:rsidP="00351DD6">
            <w:pPr>
              <w:rPr>
                <w:rFonts w:ascii="Arial" w:hAnsi="Arial" w:cs="FrankRuehl"/>
                <w:sz w:val="28"/>
                <w:szCs w:val="28"/>
                <w:rtl/>
              </w:rPr>
            </w:pPr>
          </w:p>
        </w:tc>
        <w:tc>
          <w:tcPr>
            <w:tcW w:w="4126" w:type="dxa"/>
            <w:tcBorders>
              <w:top w:val="nil"/>
              <w:left w:val="nil"/>
              <w:bottom w:val="nil"/>
              <w:right w:val="nil"/>
            </w:tcBorders>
            <w:shd w:val="clear" w:color="auto" w:fill="auto"/>
          </w:tcPr>
          <w:p w14:paraId="7F498DAC" w14:textId="77777777" w:rsidR="00AA6AA1" w:rsidRPr="001C4965" w:rsidRDefault="00AA6AA1" w:rsidP="00351DD6">
            <w:pPr>
              <w:rPr>
                <w:rtl/>
              </w:rPr>
            </w:pPr>
            <w:r w:rsidRPr="001C4965">
              <w:rPr>
                <w:rFonts w:ascii="Arial" w:hAnsi="Arial" w:cs="FrankRuehl"/>
                <w:sz w:val="28"/>
                <w:szCs w:val="28"/>
                <w:rtl/>
              </w:rPr>
              <w:t>אברהים שיך עלי</w:t>
            </w:r>
          </w:p>
        </w:tc>
        <w:tc>
          <w:tcPr>
            <w:tcW w:w="3771" w:type="dxa"/>
            <w:tcBorders>
              <w:top w:val="nil"/>
              <w:left w:val="nil"/>
              <w:bottom w:val="nil"/>
              <w:right w:val="nil"/>
            </w:tcBorders>
            <w:shd w:val="clear" w:color="auto" w:fill="auto"/>
          </w:tcPr>
          <w:p w14:paraId="43CD0CCD" w14:textId="77777777" w:rsidR="00AA6AA1" w:rsidRPr="001C4965" w:rsidRDefault="00AA6AA1" w:rsidP="00AA6AA1">
            <w:pPr>
              <w:jc w:val="right"/>
              <w:rPr>
                <w:rFonts w:ascii="Arial" w:hAnsi="Arial" w:cs="FrankRuehl"/>
                <w:sz w:val="28"/>
                <w:szCs w:val="28"/>
              </w:rPr>
            </w:pPr>
          </w:p>
        </w:tc>
      </w:tr>
      <w:tr w:rsidR="00AA6AA1" w:rsidRPr="001C4965" w14:paraId="32B361D9" w14:textId="77777777" w:rsidTr="00AA6AA1">
        <w:trPr>
          <w:trHeight w:val="355"/>
          <w:jc w:val="center"/>
        </w:trPr>
        <w:tc>
          <w:tcPr>
            <w:tcW w:w="923" w:type="dxa"/>
            <w:tcBorders>
              <w:top w:val="nil"/>
              <w:left w:val="nil"/>
              <w:bottom w:val="nil"/>
              <w:right w:val="nil"/>
            </w:tcBorders>
            <w:shd w:val="clear" w:color="auto" w:fill="auto"/>
          </w:tcPr>
          <w:p w14:paraId="010660AC" w14:textId="77777777" w:rsidR="00AA6AA1" w:rsidRPr="001C4965" w:rsidRDefault="00AA6AA1" w:rsidP="00AA6AA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CB7614D" w14:textId="77777777" w:rsidR="00AA6AA1" w:rsidRPr="001C4965" w:rsidRDefault="00AA6AA1" w:rsidP="00AA6AA1">
            <w:pPr>
              <w:jc w:val="both"/>
              <w:rPr>
                <w:rtl/>
              </w:rPr>
            </w:pPr>
          </w:p>
        </w:tc>
        <w:tc>
          <w:tcPr>
            <w:tcW w:w="3771" w:type="dxa"/>
            <w:tcBorders>
              <w:top w:val="nil"/>
              <w:left w:val="nil"/>
              <w:bottom w:val="nil"/>
              <w:right w:val="nil"/>
            </w:tcBorders>
            <w:shd w:val="clear" w:color="auto" w:fill="auto"/>
          </w:tcPr>
          <w:p w14:paraId="521CB75E" w14:textId="77777777" w:rsidR="00AA6AA1" w:rsidRPr="001C4965" w:rsidRDefault="00AA6AA1" w:rsidP="00AA6AA1">
            <w:pPr>
              <w:jc w:val="right"/>
              <w:rPr>
                <w:rFonts w:ascii="Arial" w:hAnsi="Arial" w:cs="FrankRuehl"/>
                <w:sz w:val="28"/>
                <w:szCs w:val="28"/>
              </w:rPr>
            </w:pPr>
            <w:r w:rsidRPr="001C4965">
              <w:rPr>
                <w:rFonts w:ascii="Arial" w:hAnsi="Arial" w:cs="FrankRuehl" w:hint="cs"/>
                <w:sz w:val="28"/>
                <w:szCs w:val="28"/>
                <w:rtl/>
              </w:rPr>
              <w:t>ה</w:t>
            </w:r>
            <w:r w:rsidRPr="001C4965">
              <w:rPr>
                <w:rFonts w:ascii="Arial" w:hAnsi="Arial" w:cs="FrankRuehl"/>
                <w:sz w:val="28"/>
                <w:szCs w:val="28"/>
                <w:rtl/>
              </w:rPr>
              <w:t>נאשם</w:t>
            </w:r>
          </w:p>
        </w:tc>
      </w:tr>
    </w:tbl>
    <w:p w14:paraId="26BD8D5D" w14:textId="77777777" w:rsidR="00AA6AA1" w:rsidRPr="001C4965" w:rsidRDefault="00AA6AA1" w:rsidP="00AA6AA1">
      <w:pPr>
        <w:rPr>
          <w:rtl/>
        </w:rPr>
      </w:pPr>
    </w:p>
    <w:p w14:paraId="50E4DFDB" w14:textId="77777777" w:rsidR="00AA6AA1" w:rsidRPr="001C4965" w:rsidRDefault="00AA6AA1" w:rsidP="00AA6AA1">
      <w:pPr>
        <w:spacing w:line="360" w:lineRule="auto"/>
        <w:rPr>
          <w:rtl/>
        </w:rPr>
      </w:pPr>
      <w:bookmarkStart w:id="2" w:name="FirstLawyer"/>
      <w:r w:rsidRPr="001C4965">
        <w:rPr>
          <w:rFonts w:hint="cs"/>
          <w:rtl/>
        </w:rPr>
        <w:t>ב"כ</w:t>
      </w:r>
      <w:bookmarkEnd w:id="2"/>
      <w:r w:rsidRPr="001C4965">
        <w:rPr>
          <w:rFonts w:hint="cs"/>
          <w:rtl/>
        </w:rPr>
        <w:t xml:space="preserve"> המאשימה: עו"ד ליטל אריאלי</w:t>
      </w:r>
    </w:p>
    <w:p w14:paraId="776CC1CD" w14:textId="77777777" w:rsidR="00CB3664" w:rsidRDefault="00AA6AA1" w:rsidP="00AA6AA1">
      <w:pPr>
        <w:spacing w:line="360" w:lineRule="auto"/>
        <w:rPr>
          <w:rtl/>
        </w:rPr>
      </w:pPr>
      <w:r w:rsidRPr="001C4965">
        <w:rPr>
          <w:rFonts w:hint="cs"/>
          <w:rtl/>
        </w:rPr>
        <w:t>ב"כ הנאשם: עו"ד אשרף חסן</w:t>
      </w:r>
      <w:bookmarkStart w:id="3" w:name="LawTable"/>
      <w:bookmarkEnd w:id="3"/>
    </w:p>
    <w:p w14:paraId="2253CF3C" w14:textId="77777777" w:rsidR="00CB3664" w:rsidRPr="00CB3664" w:rsidRDefault="00CB3664" w:rsidP="00CB3664">
      <w:pPr>
        <w:spacing w:after="120" w:line="240" w:lineRule="exact"/>
        <w:ind w:left="283" w:hanging="283"/>
        <w:jc w:val="both"/>
        <w:rPr>
          <w:rFonts w:ascii="FrankRuehl" w:hAnsi="FrankRuehl" w:cs="FrankRuehl"/>
          <w:rtl/>
        </w:rPr>
      </w:pPr>
    </w:p>
    <w:p w14:paraId="0441EAB8" w14:textId="77777777" w:rsidR="00CB3664" w:rsidRPr="00CB3664" w:rsidRDefault="00CB3664" w:rsidP="00CB3664">
      <w:pPr>
        <w:spacing w:after="120" w:line="240" w:lineRule="exact"/>
        <w:ind w:left="283" w:hanging="283"/>
        <w:jc w:val="both"/>
        <w:rPr>
          <w:rFonts w:ascii="FrankRuehl" w:hAnsi="FrankRuehl" w:cs="FrankRuehl"/>
          <w:rtl/>
        </w:rPr>
      </w:pPr>
      <w:r w:rsidRPr="00CB3664">
        <w:rPr>
          <w:rFonts w:ascii="FrankRuehl" w:hAnsi="FrankRuehl" w:cs="FrankRuehl"/>
          <w:rtl/>
        </w:rPr>
        <w:t xml:space="preserve">חקיקה שאוזכרה: </w:t>
      </w:r>
    </w:p>
    <w:p w14:paraId="6FD657FA" w14:textId="77777777" w:rsidR="00CB3664" w:rsidRPr="00CB3664" w:rsidRDefault="00CB3664" w:rsidP="00CB3664">
      <w:pPr>
        <w:spacing w:after="120" w:line="240" w:lineRule="exact"/>
        <w:ind w:left="283" w:hanging="283"/>
        <w:jc w:val="both"/>
        <w:rPr>
          <w:rFonts w:ascii="FrankRuehl" w:hAnsi="FrankRuehl" w:cs="FrankRuehl"/>
          <w:rtl/>
        </w:rPr>
      </w:pPr>
      <w:hyperlink r:id="rId7" w:history="1">
        <w:r w:rsidRPr="00CB3664">
          <w:rPr>
            <w:rFonts w:ascii="FrankRuehl" w:hAnsi="FrankRuehl" w:cs="FrankRuehl"/>
            <w:color w:val="0000FF"/>
            <w:u w:val="single"/>
            <w:rtl/>
          </w:rPr>
          <w:t>פקודת הסמים המסוכנים [נוסח חדש], תשל"ג-1973</w:t>
        </w:r>
      </w:hyperlink>
    </w:p>
    <w:p w14:paraId="0CFA086F" w14:textId="77777777" w:rsidR="001C4965" w:rsidRPr="001C4965" w:rsidRDefault="001C4965" w:rsidP="001C4965">
      <w:pPr>
        <w:spacing w:after="120" w:line="240" w:lineRule="exact"/>
        <w:ind w:left="283" w:hanging="283"/>
        <w:jc w:val="both"/>
        <w:rPr>
          <w:rFonts w:ascii="FrankRuehl" w:hAnsi="FrankRuehl" w:cs="FrankRuehl"/>
          <w:rtl/>
        </w:rPr>
      </w:pPr>
    </w:p>
    <w:p w14:paraId="6F22527A" w14:textId="77777777" w:rsidR="001C4965" w:rsidRPr="001C4965" w:rsidRDefault="001C4965" w:rsidP="00AA6AA1">
      <w:pPr>
        <w:rPr>
          <w:rtl/>
        </w:rPr>
      </w:pPr>
    </w:p>
    <w:p w14:paraId="12C30F74" w14:textId="77777777" w:rsidR="00AA6AA1" w:rsidRPr="001C4965" w:rsidRDefault="00AA6AA1" w:rsidP="00AA6AA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6AA1" w14:paraId="7C3B43AF" w14:textId="77777777" w:rsidTr="00AA6AA1">
        <w:trPr>
          <w:trHeight w:val="355"/>
          <w:jc w:val="center"/>
        </w:trPr>
        <w:tc>
          <w:tcPr>
            <w:tcW w:w="8820" w:type="dxa"/>
            <w:tcBorders>
              <w:top w:val="nil"/>
              <w:left w:val="nil"/>
              <w:bottom w:val="nil"/>
              <w:right w:val="nil"/>
            </w:tcBorders>
            <w:shd w:val="clear" w:color="auto" w:fill="auto"/>
          </w:tcPr>
          <w:p w14:paraId="603495CD" w14:textId="77777777" w:rsidR="001C4965" w:rsidRPr="001C4965" w:rsidRDefault="001C4965" w:rsidP="001C4965">
            <w:pPr>
              <w:jc w:val="center"/>
              <w:rPr>
                <w:rFonts w:ascii="Arial" w:hAnsi="Arial" w:cs="FrankRuehl"/>
                <w:b/>
                <w:bCs/>
                <w:sz w:val="32"/>
                <w:szCs w:val="32"/>
                <w:u w:val="single"/>
                <w:rtl/>
              </w:rPr>
            </w:pPr>
            <w:bookmarkStart w:id="4" w:name="PsakDin" w:colFirst="0" w:colLast="0"/>
            <w:bookmarkEnd w:id="0"/>
            <w:r w:rsidRPr="001C4965">
              <w:rPr>
                <w:rFonts w:ascii="Arial" w:hAnsi="Arial" w:cs="FrankRuehl"/>
                <w:b/>
                <w:bCs/>
                <w:sz w:val="32"/>
                <w:szCs w:val="32"/>
                <w:u w:val="single"/>
                <w:rtl/>
              </w:rPr>
              <w:t>גזר דין</w:t>
            </w:r>
          </w:p>
          <w:p w14:paraId="5C63D04F" w14:textId="77777777" w:rsidR="00AA6AA1" w:rsidRPr="001C4965" w:rsidRDefault="00AA6AA1" w:rsidP="001C4965">
            <w:pPr>
              <w:jc w:val="center"/>
              <w:rPr>
                <w:rFonts w:ascii="Arial" w:hAnsi="Arial" w:cs="FrankRuehl"/>
                <w:bCs/>
                <w:sz w:val="32"/>
                <w:szCs w:val="32"/>
                <w:u w:val="single"/>
                <w:rtl/>
              </w:rPr>
            </w:pPr>
          </w:p>
        </w:tc>
      </w:tr>
      <w:bookmarkEnd w:id="4"/>
    </w:tbl>
    <w:p w14:paraId="08A07A60" w14:textId="77777777" w:rsidR="00AA6AA1" w:rsidRDefault="00AA6AA1" w:rsidP="00AA6AA1">
      <w:pPr>
        <w:rPr>
          <w:rFonts w:ascii="Arial" w:hAnsi="Arial"/>
          <w:b/>
          <w:bCs/>
          <w:u w:val="single"/>
          <w:rtl/>
        </w:rPr>
      </w:pPr>
    </w:p>
    <w:p w14:paraId="0F837AA3" w14:textId="77777777" w:rsidR="00AA6AA1" w:rsidRPr="00AF1511" w:rsidRDefault="00AA6AA1" w:rsidP="00AA6AA1">
      <w:pPr>
        <w:rPr>
          <w:rFonts w:ascii="Arial" w:hAnsi="Arial"/>
          <w:b/>
          <w:bCs/>
          <w:u w:val="single"/>
          <w:rtl/>
        </w:rPr>
      </w:pPr>
      <w:r>
        <w:rPr>
          <w:rFonts w:ascii="Arial" w:hAnsi="Arial" w:hint="cs"/>
          <w:b/>
          <w:bCs/>
          <w:u w:val="single"/>
          <w:rtl/>
        </w:rPr>
        <w:t>כללי</w:t>
      </w:r>
    </w:p>
    <w:p w14:paraId="420476D0" w14:textId="77777777" w:rsidR="00AA6AA1" w:rsidRDefault="00AA6AA1" w:rsidP="00AA6AA1">
      <w:pPr>
        <w:pStyle w:val="ListParagraph"/>
        <w:numPr>
          <w:ilvl w:val="0"/>
          <w:numId w:val="1"/>
        </w:numPr>
        <w:spacing w:line="360" w:lineRule="auto"/>
        <w:jc w:val="both"/>
        <w:rPr>
          <w:rtl/>
        </w:rPr>
      </w:pPr>
      <w:bookmarkStart w:id="5" w:name="ABSTRACT_START"/>
      <w:bookmarkEnd w:id="5"/>
      <w:r>
        <w:rPr>
          <w:rFonts w:hint="cs"/>
          <w:rtl/>
        </w:rPr>
        <w:t xml:space="preserve">הנאשם הורשע על פי הודאתו בעובדות כתב האישום המתוקן בעבירת ניסיון הספקת סמים מסוכנים. ביום 23.8.17 בשעת צהריים הגיע הנאשם לבית המשפט השלום, לדיון שנקבע בעניינו של אביו אשר שהה במעצר. בתום הדיון ניסה הנאשם להעביר לאביו סם מסוכן מסוג "הירואין" במשקל 1.1671 גרם, בתוך שקית, תוך כדי שהאב מלווה על ידי סוהרי יחידת "נחשון" של שירות בתי הסוהר. משהבחינו הסוהרים במתרחש השליך הנאשם את השקית על הרצפה. </w:t>
      </w:r>
    </w:p>
    <w:p w14:paraId="404EDADC" w14:textId="77777777" w:rsidR="00AA6AA1" w:rsidRDefault="00AA6AA1" w:rsidP="00AA6AA1">
      <w:pPr>
        <w:spacing w:line="360" w:lineRule="auto"/>
        <w:jc w:val="both"/>
        <w:rPr>
          <w:rtl/>
        </w:rPr>
      </w:pPr>
    </w:p>
    <w:p w14:paraId="2C2F06D6" w14:textId="77777777" w:rsidR="00AA6AA1" w:rsidRDefault="00AA6AA1" w:rsidP="00AA6AA1">
      <w:pPr>
        <w:pStyle w:val="ListParagraph"/>
        <w:numPr>
          <w:ilvl w:val="0"/>
          <w:numId w:val="1"/>
        </w:numPr>
        <w:spacing w:line="360" w:lineRule="auto"/>
        <w:jc w:val="both"/>
      </w:pPr>
      <w:r>
        <w:rPr>
          <w:rFonts w:hint="cs"/>
          <w:rtl/>
        </w:rPr>
        <w:t xml:space="preserve">בעניינו של הנאשם התבקשה חוות דעת הממונה על עבודות השירות. הנאשם זומן מספר פעמים לראיון לצורך בחינת התאמתו ולא התייצב, ומשכך לא נמצא כשיר לרצות עונש זה. </w:t>
      </w:r>
    </w:p>
    <w:p w14:paraId="2325FC36" w14:textId="77777777" w:rsidR="00AA6AA1" w:rsidRPr="00E40A9D" w:rsidRDefault="00AA6AA1" w:rsidP="00AA6AA1">
      <w:pPr>
        <w:pStyle w:val="ListParagraph"/>
        <w:spacing w:line="360" w:lineRule="auto"/>
        <w:jc w:val="both"/>
      </w:pPr>
    </w:p>
    <w:p w14:paraId="03496D80" w14:textId="77777777" w:rsidR="00AA6AA1" w:rsidRDefault="00AA6AA1" w:rsidP="00AA6AA1">
      <w:pPr>
        <w:pStyle w:val="ListParagraph"/>
        <w:numPr>
          <w:ilvl w:val="0"/>
          <w:numId w:val="1"/>
        </w:numPr>
        <w:spacing w:line="360" w:lineRule="auto"/>
        <w:jc w:val="both"/>
      </w:pPr>
      <w:r>
        <w:rPr>
          <w:rFonts w:hint="cs"/>
          <w:rtl/>
        </w:rPr>
        <w:lastRenderedPageBreak/>
        <w:t>ב"כ המאשימה ביקשה לקבוע בעניינו של הנאשם מתחם עונש הולם שנע בין עשרה לעשרים חודשי מאסר בפועל וביקשה לגזור עליו עונש המצוי ברף הבינוני של המתחם - שנים- עשר חודשי מאסר בפועל, מאסר מותנה וקנס. ב"כ המאשימה הדגישה את העובדה שהמעשה בוצע בין כותלי בית המשפט, את כמות הסם וסוגו, את עברו הפלילי של הנאשם והעובדה שכשל בהליך שיקומי בקהילה טיפולית למכורים לסמים.</w:t>
      </w:r>
    </w:p>
    <w:p w14:paraId="32FA7EB9" w14:textId="77777777" w:rsidR="00AA6AA1" w:rsidRPr="00180B85" w:rsidRDefault="00AA6AA1" w:rsidP="00AA6AA1">
      <w:pPr>
        <w:pStyle w:val="ListParagraph"/>
        <w:spacing w:line="360" w:lineRule="auto"/>
        <w:jc w:val="both"/>
      </w:pPr>
      <w:bookmarkStart w:id="6" w:name="ABSTRACT_END"/>
      <w:bookmarkEnd w:id="6"/>
    </w:p>
    <w:p w14:paraId="4EDC5407" w14:textId="77777777" w:rsidR="00AA6AA1" w:rsidRDefault="00AA6AA1" w:rsidP="00AA6AA1">
      <w:pPr>
        <w:pStyle w:val="ListParagraph"/>
        <w:numPr>
          <w:ilvl w:val="0"/>
          <w:numId w:val="1"/>
        </w:numPr>
        <w:spacing w:line="360" w:lineRule="auto"/>
        <w:jc w:val="both"/>
      </w:pPr>
      <w:r>
        <w:rPr>
          <w:rFonts w:hint="cs"/>
          <w:rtl/>
        </w:rPr>
        <w:t xml:space="preserve">ב"כ הנאשם ביקש לקבוע מתחם עונש הנאשם הולם הנע בין מאסר מותנה לבין מאסר קצר בפועל, וביקש להסתפק בעניינו של הנאשם בענישה צופת פני עתיד, תוך שהדגיש כי הנאשם העביר את הסמים לאביו, ולא לאדם אקראי, בשל התמכרות האב לסמים וכי בסופו של יום העבירה לא הושלמה. עוד הודגשו גילו הצעיר של הנאשם, נסיבות חייו המורכבות וחשיפתו לשימוש בסמים מגיל צעיר. ב"כ הנאשם תמך עמדתו בפסיקה. </w:t>
      </w:r>
    </w:p>
    <w:p w14:paraId="759072B2" w14:textId="77777777" w:rsidR="00AA6AA1" w:rsidRPr="00180B85" w:rsidRDefault="00AA6AA1" w:rsidP="00AA6AA1">
      <w:pPr>
        <w:pStyle w:val="ListParagraph"/>
        <w:spacing w:line="360" w:lineRule="auto"/>
        <w:jc w:val="both"/>
      </w:pPr>
    </w:p>
    <w:p w14:paraId="418D14EB" w14:textId="77777777" w:rsidR="00AA6AA1" w:rsidRDefault="00AA6AA1" w:rsidP="00AA6AA1">
      <w:pPr>
        <w:pStyle w:val="ListParagraph"/>
        <w:numPr>
          <w:ilvl w:val="0"/>
          <w:numId w:val="1"/>
        </w:numPr>
        <w:spacing w:line="360" w:lineRule="auto"/>
        <w:jc w:val="both"/>
        <w:rPr>
          <w:rtl/>
        </w:rPr>
      </w:pPr>
      <w:r>
        <w:rPr>
          <w:rFonts w:hint="cs"/>
          <w:rtl/>
        </w:rPr>
        <w:t>הנאשם בדברו האחרון, הביע חרטה על מעשיו והסביר כי רצה לעזור לאביו אשר מצבו הבריאותי היה קשה בשל התמכרותו לסמים, והוא סבר כי הסמים יביאו מזור לכאביו. הנאשם אמר שמבין כי טעה וכי לא ישוב לבצע עבירה דומה.</w:t>
      </w:r>
    </w:p>
    <w:p w14:paraId="5C6857C2" w14:textId="77777777" w:rsidR="00AA6AA1" w:rsidRDefault="00AA6AA1" w:rsidP="00AA6AA1">
      <w:pPr>
        <w:spacing w:line="360" w:lineRule="auto"/>
        <w:jc w:val="both"/>
        <w:rPr>
          <w:rtl/>
        </w:rPr>
      </w:pPr>
    </w:p>
    <w:p w14:paraId="29FB85E5" w14:textId="77777777" w:rsidR="00AA6AA1" w:rsidRPr="00A62510" w:rsidRDefault="00AA6AA1" w:rsidP="00AA6AA1">
      <w:pPr>
        <w:spacing w:line="360" w:lineRule="auto"/>
        <w:jc w:val="both"/>
        <w:rPr>
          <w:b/>
          <w:bCs/>
          <w:u w:val="single"/>
        </w:rPr>
      </w:pPr>
      <w:r w:rsidRPr="00A62510">
        <w:rPr>
          <w:rFonts w:hint="cs"/>
          <w:b/>
          <w:bCs/>
          <w:u w:val="single"/>
          <w:rtl/>
        </w:rPr>
        <w:t xml:space="preserve">מתחם העונש ההולם </w:t>
      </w:r>
    </w:p>
    <w:p w14:paraId="314C628E" w14:textId="77777777" w:rsidR="00AA6AA1" w:rsidRDefault="00AA6AA1" w:rsidP="00AA6AA1">
      <w:pPr>
        <w:pStyle w:val="ListParagraph"/>
        <w:numPr>
          <w:ilvl w:val="0"/>
          <w:numId w:val="1"/>
        </w:numPr>
        <w:spacing w:line="360" w:lineRule="auto"/>
        <w:jc w:val="both"/>
      </w:pPr>
      <w:r>
        <w:rPr>
          <w:rFonts w:hint="cs"/>
          <w:rtl/>
        </w:rPr>
        <w:t xml:space="preserve">עבירות הסמים נועדו להגן על הציבור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w:t>
      </w:r>
      <w:r>
        <w:rPr>
          <w:rFonts w:ascii="David" w:hAnsi="David" w:hint="cs"/>
          <w:color w:val="000000"/>
          <w:rtl/>
        </w:rPr>
        <w:t>שימוש ב</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מסוכנים</w:t>
      </w:r>
      <w:r>
        <w:rPr>
          <w:rFonts w:ascii="David" w:hAnsi="David" w:hint="cs"/>
          <w:color w:val="000000"/>
          <w:rtl/>
        </w:rPr>
        <w:t>. במקרה דנן העבירה פגעה גם בסדר הציבורי בתוך מוסדות המדינה- בית המשפט ובית הסוהר.</w:t>
      </w:r>
    </w:p>
    <w:p w14:paraId="5A6DBC8C" w14:textId="77777777" w:rsidR="00AA6AA1" w:rsidRDefault="00AA6AA1" w:rsidP="00AA6AA1">
      <w:pPr>
        <w:pStyle w:val="ListParagraph"/>
        <w:spacing w:line="360" w:lineRule="auto"/>
        <w:jc w:val="both"/>
      </w:pPr>
    </w:p>
    <w:p w14:paraId="3EE73454" w14:textId="77777777" w:rsidR="00AA6AA1" w:rsidRDefault="00AA6AA1" w:rsidP="00AA6AA1">
      <w:pPr>
        <w:pStyle w:val="ListParagraph"/>
        <w:numPr>
          <w:ilvl w:val="0"/>
          <w:numId w:val="1"/>
        </w:numPr>
        <w:spacing w:line="360" w:lineRule="auto"/>
        <w:jc w:val="both"/>
      </w:pPr>
      <w:r>
        <w:rPr>
          <w:rFonts w:hint="cs"/>
          <w:rtl/>
        </w:rPr>
        <w:t xml:space="preserve">הסם שאותו ניסה הנאשם לספק לאביו נמנה על הסמים הנחשבים "קשים", סמים שנזקיהם הבריאותיים חמורים. אין מדובר בכמות זניחה, אלא בכמות העולה פי כמה וכמה על הכמות שקבע המחוקק, ככזו המקימה חזקה שהיא נועדה לצריכה עצמית בלבד. </w:t>
      </w:r>
    </w:p>
    <w:p w14:paraId="46CF62D1" w14:textId="77777777" w:rsidR="00AA6AA1" w:rsidRPr="00D3563F" w:rsidRDefault="00AA6AA1" w:rsidP="00AA6AA1">
      <w:pPr>
        <w:pStyle w:val="ListParagraph"/>
        <w:spacing w:line="360" w:lineRule="auto"/>
        <w:jc w:val="both"/>
      </w:pPr>
    </w:p>
    <w:p w14:paraId="1D0EBFC6" w14:textId="77777777" w:rsidR="00AA6AA1" w:rsidRDefault="00AA6AA1" w:rsidP="00AA6AA1">
      <w:pPr>
        <w:pStyle w:val="ListParagraph"/>
        <w:numPr>
          <w:ilvl w:val="0"/>
          <w:numId w:val="1"/>
        </w:numPr>
        <w:spacing w:line="360" w:lineRule="auto"/>
        <w:jc w:val="both"/>
      </w:pPr>
      <w:r>
        <w:rPr>
          <w:rFonts w:hint="cs"/>
          <w:rtl/>
        </w:rPr>
        <w:t xml:space="preserve">ביצוע העבירה בנסיבות המקרה דנן חייב תכנון מראש והצטיידות בכמות בלתי מבוטלת של סמים. מעשיו של הנאשם, אשר ניסה להעביר סמים לאביו בתוך בית המשפט, ותחת עינם הפקוחה של סוהרי שירות בתי הסוהר שליוו את האב, חייב אף מידה רבה של תעוזה ונחישות. </w:t>
      </w:r>
    </w:p>
    <w:p w14:paraId="59DFCC38" w14:textId="77777777" w:rsidR="00AA6AA1" w:rsidRDefault="00AA6AA1" w:rsidP="00AA6AA1">
      <w:pPr>
        <w:pStyle w:val="ListParagraph"/>
        <w:spacing w:line="360" w:lineRule="auto"/>
        <w:jc w:val="both"/>
      </w:pPr>
    </w:p>
    <w:p w14:paraId="79AA7082" w14:textId="77777777" w:rsidR="00AA6AA1" w:rsidRDefault="00AA6AA1" w:rsidP="00AA6AA1">
      <w:pPr>
        <w:pStyle w:val="ListParagraph"/>
        <w:numPr>
          <w:ilvl w:val="0"/>
          <w:numId w:val="1"/>
        </w:numPr>
        <w:spacing w:line="360" w:lineRule="auto"/>
        <w:jc w:val="both"/>
      </w:pPr>
      <w:r>
        <w:rPr>
          <w:rFonts w:hint="cs"/>
          <w:rtl/>
        </w:rPr>
        <w:t xml:space="preserve">תכלית העברה הייתה החדרתם של הסמים אל תוך בית המעצר, אליו לווה האב, ואולם, למרבה המזל, תוצאה זו נמנעה משנתפס הנאשם בשעת מעשה. </w:t>
      </w:r>
    </w:p>
    <w:p w14:paraId="1AAB2836" w14:textId="77777777" w:rsidR="00AA6AA1" w:rsidRPr="0096420A" w:rsidRDefault="00AA6AA1" w:rsidP="00AA6AA1">
      <w:pPr>
        <w:pStyle w:val="ListParagraph"/>
        <w:spacing w:line="360" w:lineRule="auto"/>
        <w:jc w:val="both"/>
      </w:pPr>
    </w:p>
    <w:p w14:paraId="33325232" w14:textId="77777777" w:rsidR="00AA6AA1" w:rsidRDefault="00AA6AA1" w:rsidP="00AA6AA1">
      <w:pPr>
        <w:pStyle w:val="ListParagraph"/>
        <w:numPr>
          <w:ilvl w:val="0"/>
          <w:numId w:val="1"/>
        </w:numPr>
        <w:spacing w:line="360" w:lineRule="auto"/>
        <w:jc w:val="both"/>
      </w:pPr>
      <w:r>
        <w:rPr>
          <w:rFonts w:ascii="David" w:hAnsi="David" w:hint="cs"/>
          <w:color w:val="000000"/>
          <w:rtl/>
        </w:rPr>
        <w:lastRenderedPageBreak/>
        <w:t xml:space="preserve">החדרת סמים לבית הכלא מוסיפה חומרה יתרה לעבירה של הספקת סם. </w:t>
      </w:r>
      <w:r>
        <w:rPr>
          <w:rFonts w:hint="cs"/>
          <w:rtl/>
        </w:rPr>
        <w:t>מעשה זה</w:t>
      </w:r>
      <w:r>
        <w:rPr>
          <w:rtl/>
        </w:rPr>
        <w:t xml:space="preserve"> עלול ל</w:t>
      </w:r>
      <w:r>
        <w:rPr>
          <w:rFonts w:hint="cs"/>
          <w:rtl/>
        </w:rPr>
        <w:t>הוביל</w:t>
      </w:r>
      <w:r>
        <w:rPr>
          <w:rtl/>
        </w:rPr>
        <w:t xml:space="preserve"> לכך שהסם יהפ</w:t>
      </w:r>
      <w:r>
        <w:rPr>
          <w:rFonts w:hint="cs"/>
          <w:rtl/>
        </w:rPr>
        <w:t>וך</w:t>
      </w:r>
      <w:r>
        <w:rPr>
          <w:rtl/>
        </w:rPr>
        <w:t xml:space="preserve"> למוקד לסחר </w:t>
      </w:r>
      <w:r>
        <w:rPr>
          <w:rFonts w:hint="cs"/>
          <w:rtl/>
        </w:rPr>
        <w:t xml:space="preserve">ולניצול בין העצורים והאסירים </w:t>
      </w:r>
      <w:r>
        <w:rPr>
          <w:rtl/>
        </w:rPr>
        <w:t xml:space="preserve">וכן </w:t>
      </w:r>
      <w:r>
        <w:rPr>
          <w:rFonts w:hint="cs"/>
          <w:rtl/>
        </w:rPr>
        <w:t xml:space="preserve">הוא </w:t>
      </w:r>
      <w:r>
        <w:rPr>
          <w:rtl/>
        </w:rPr>
        <w:t xml:space="preserve">עלול לפגוע בניסיונות </w:t>
      </w:r>
      <w:r>
        <w:rPr>
          <w:rFonts w:hint="cs"/>
          <w:rtl/>
        </w:rPr>
        <w:t xml:space="preserve">של </w:t>
      </w:r>
      <w:r>
        <w:rPr>
          <w:rtl/>
        </w:rPr>
        <w:t xml:space="preserve">אסירים </w:t>
      </w:r>
      <w:r>
        <w:rPr>
          <w:rFonts w:hint="cs"/>
          <w:rtl/>
        </w:rPr>
        <w:t xml:space="preserve">ועצורים </w:t>
      </w:r>
      <w:r>
        <w:rPr>
          <w:rtl/>
        </w:rPr>
        <w:t>אחרים לשמור על ניקיו</w:t>
      </w:r>
      <w:r>
        <w:rPr>
          <w:rFonts w:hint="cs"/>
          <w:rtl/>
        </w:rPr>
        <w:t>ן</w:t>
      </w:r>
      <w:r>
        <w:rPr>
          <w:rtl/>
        </w:rPr>
        <w:t xml:space="preserve"> מסמים.</w:t>
      </w:r>
      <w:r>
        <w:rPr>
          <w:rFonts w:hint="cs"/>
          <w:rtl/>
        </w:rPr>
        <w:t xml:space="preserve"> </w:t>
      </w:r>
      <w:r w:rsidRPr="003F7881">
        <w:rPr>
          <w:rFonts w:ascii="David" w:hAnsi="David" w:hint="eastAsia"/>
          <w:color w:val="000000"/>
          <w:rtl/>
        </w:rPr>
        <w:t>על</w:t>
      </w:r>
      <w:r w:rsidRPr="003F7881">
        <w:rPr>
          <w:rFonts w:ascii="David" w:hAnsi="David"/>
          <w:color w:val="000000"/>
          <w:rtl/>
        </w:rPr>
        <w:t xml:space="preserve"> </w:t>
      </w:r>
      <w:r>
        <w:rPr>
          <w:rFonts w:ascii="David" w:hAnsi="David" w:hint="cs"/>
          <w:color w:val="000000"/>
          <w:rtl/>
        </w:rPr>
        <w:t xml:space="preserve">ייחודן ומשקלן של נסיבות אלה של ביצוע העבירה </w:t>
      </w:r>
      <w:r w:rsidRPr="003F7881">
        <w:rPr>
          <w:rFonts w:ascii="David" w:hAnsi="David" w:hint="cs"/>
          <w:color w:val="000000"/>
          <w:rtl/>
        </w:rPr>
        <w:t xml:space="preserve">עמד כב' השופט א' א' לוי </w:t>
      </w:r>
      <w:r w:rsidRPr="00861DCC">
        <w:rPr>
          <w:rFonts w:ascii="David" w:hAnsi="David" w:hint="eastAsia"/>
          <w:rtl/>
        </w:rPr>
        <w:t>ב</w:t>
      </w:r>
      <w:hyperlink r:id="rId8" w:history="1">
        <w:r w:rsidR="001C4965" w:rsidRPr="001C4965">
          <w:rPr>
            <w:rFonts w:ascii="David" w:hAnsi="David"/>
            <w:color w:val="0000FF"/>
            <w:u w:val="single"/>
            <w:rtl/>
          </w:rPr>
          <w:t>ע"פ 5388/09</w:t>
        </w:r>
      </w:hyperlink>
      <w:r w:rsidRPr="00861DCC">
        <w:rPr>
          <w:rFonts w:ascii="David" w:hAnsi="David"/>
          <w:rtl/>
        </w:rPr>
        <w:t xml:space="preserve"> </w:t>
      </w:r>
      <w:r w:rsidRPr="00861DCC">
        <w:rPr>
          <w:rFonts w:ascii="David" w:hAnsi="David" w:hint="eastAsia"/>
          <w:b/>
          <w:bCs/>
          <w:rtl/>
        </w:rPr>
        <w:t>מדינת</w:t>
      </w:r>
      <w:r w:rsidRPr="00861DCC">
        <w:rPr>
          <w:rFonts w:ascii="David" w:hAnsi="David"/>
          <w:b/>
          <w:bCs/>
          <w:rtl/>
        </w:rPr>
        <w:t xml:space="preserve"> </w:t>
      </w:r>
      <w:r w:rsidRPr="00861DCC">
        <w:rPr>
          <w:rFonts w:ascii="David" w:hAnsi="David" w:hint="eastAsia"/>
          <w:b/>
          <w:bCs/>
          <w:rtl/>
        </w:rPr>
        <w:t>ישראל</w:t>
      </w:r>
      <w:r w:rsidRPr="00861DCC">
        <w:rPr>
          <w:rFonts w:ascii="David" w:hAnsi="David"/>
          <w:b/>
          <w:bCs/>
          <w:rtl/>
        </w:rPr>
        <w:t xml:space="preserve"> </w:t>
      </w:r>
      <w:r w:rsidRPr="00861DCC">
        <w:rPr>
          <w:rFonts w:ascii="David" w:hAnsi="David" w:hint="eastAsia"/>
          <w:b/>
          <w:bCs/>
          <w:color w:val="000000"/>
          <w:rtl/>
        </w:rPr>
        <w:t>נ</w:t>
      </w:r>
      <w:r w:rsidRPr="00861DCC">
        <w:rPr>
          <w:rFonts w:ascii="David" w:hAnsi="David"/>
          <w:b/>
          <w:bCs/>
          <w:color w:val="000000"/>
          <w:rtl/>
        </w:rPr>
        <w:t xml:space="preserve">' </w:t>
      </w:r>
      <w:r w:rsidRPr="00861DCC">
        <w:rPr>
          <w:rFonts w:ascii="David" w:hAnsi="David" w:hint="eastAsia"/>
          <w:b/>
          <w:bCs/>
          <w:color w:val="000000"/>
          <w:rtl/>
        </w:rPr>
        <w:t>פלוני</w:t>
      </w:r>
      <w:r w:rsidRPr="00861DCC">
        <w:rPr>
          <w:rFonts w:ascii="David" w:hAnsi="David"/>
          <w:color w:val="000000"/>
          <w:rtl/>
        </w:rPr>
        <w:t xml:space="preserve"> (</w:t>
      </w:r>
      <w:r w:rsidRPr="00861DCC">
        <w:rPr>
          <w:rFonts w:ascii="David" w:hAnsi="David" w:hint="cs"/>
          <w:color w:val="000000"/>
          <w:rtl/>
        </w:rPr>
        <w:t xml:space="preserve">פורסם בנבו </w:t>
      </w:r>
      <w:r w:rsidRPr="00861DCC">
        <w:rPr>
          <w:rFonts w:ascii="David" w:hAnsi="David"/>
          <w:color w:val="000000"/>
          <w:rtl/>
        </w:rPr>
        <w:t>9.1</w:t>
      </w:r>
      <w:r w:rsidRPr="003F7881">
        <w:rPr>
          <w:rFonts w:ascii="David" w:hAnsi="David"/>
          <w:color w:val="000000"/>
          <w:rtl/>
        </w:rPr>
        <w:t xml:space="preserve">1.09): </w:t>
      </w:r>
    </w:p>
    <w:p w14:paraId="2C8812F2" w14:textId="77777777" w:rsidR="00AA6AA1" w:rsidRPr="003F7881" w:rsidRDefault="00AA6AA1" w:rsidP="00AA6AA1">
      <w:pPr>
        <w:pStyle w:val="ListParagraph"/>
        <w:spacing w:line="360" w:lineRule="auto"/>
        <w:jc w:val="both"/>
      </w:pPr>
    </w:p>
    <w:p w14:paraId="7B4B8C07" w14:textId="77777777" w:rsidR="00AA6AA1" w:rsidRPr="00861DCC" w:rsidRDefault="00AA6AA1" w:rsidP="00AA6AA1">
      <w:pPr>
        <w:spacing w:after="120" w:line="360" w:lineRule="auto"/>
        <w:ind w:left="1440" w:right="426"/>
        <w:jc w:val="both"/>
        <w:rPr>
          <w:rFonts w:ascii="David" w:hAnsi="David"/>
          <w:b/>
          <w:bCs/>
          <w:color w:val="000000"/>
        </w:rPr>
      </w:pPr>
      <w:r w:rsidRPr="00861DCC">
        <w:rPr>
          <w:rFonts w:ascii="David" w:hAnsi="David"/>
          <w:b/>
          <w:bCs/>
          <w:color w:val="000000"/>
          <w:rtl/>
        </w:rPr>
        <w:t>"</w:t>
      </w:r>
      <w:r w:rsidRPr="00861DCC">
        <w:rPr>
          <w:rFonts w:ascii="David" w:hAnsi="David" w:hint="eastAsia"/>
          <w:b/>
          <w:bCs/>
          <w:color w:val="000000"/>
          <w:rtl/>
        </w:rPr>
        <w:t>נדמה</w:t>
      </w:r>
      <w:r w:rsidRPr="00861DCC">
        <w:rPr>
          <w:rFonts w:ascii="David" w:hAnsi="David"/>
          <w:b/>
          <w:bCs/>
          <w:color w:val="000000"/>
          <w:rtl/>
        </w:rPr>
        <w:t xml:space="preserve"> </w:t>
      </w:r>
      <w:r w:rsidRPr="00861DCC">
        <w:rPr>
          <w:rFonts w:ascii="David" w:hAnsi="David" w:hint="eastAsia"/>
          <w:b/>
          <w:bCs/>
          <w:color w:val="000000"/>
          <w:rtl/>
        </w:rPr>
        <w:t>כי</w:t>
      </w:r>
      <w:r w:rsidRPr="00861DCC">
        <w:rPr>
          <w:rFonts w:ascii="David" w:hAnsi="David"/>
          <w:b/>
          <w:bCs/>
          <w:color w:val="000000"/>
          <w:rtl/>
        </w:rPr>
        <w:t xml:space="preserve"> </w:t>
      </w:r>
      <w:r w:rsidRPr="00861DCC">
        <w:rPr>
          <w:rFonts w:ascii="David" w:hAnsi="David" w:hint="eastAsia"/>
          <w:b/>
          <w:bCs/>
          <w:color w:val="000000"/>
          <w:rtl/>
        </w:rPr>
        <w:t>אין</w:t>
      </w:r>
      <w:r w:rsidRPr="00861DCC">
        <w:rPr>
          <w:rFonts w:ascii="David" w:hAnsi="David"/>
          <w:b/>
          <w:bCs/>
          <w:color w:val="000000"/>
          <w:rtl/>
        </w:rPr>
        <w:t xml:space="preserve"> </w:t>
      </w:r>
      <w:r w:rsidRPr="00861DCC">
        <w:rPr>
          <w:rFonts w:ascii="David" w:hAnsi="David" w:hint="eastAsia"/>
          <w:b/>
          <w:bCs/>
          <w:color w:val="000000"/>
          <w:rtl/>
        </w:rPr>
        <w:t>מחלוקת</w:t>
      </w:r>
      <w:r w:rsidRPr="00861DCC">
        <w:rPr>
          <w:rFonts w:ascii="David" w:hAnsi="David"/>
          <w:b/>
          <w:bCs/>
          <w:color w:val="000000"/>
          <w:rtl/>
        </w:rPr>
        <w:t xml:space="preserve"> </w:t>
      </w:r>
      <w:r w:rsidRPr="00861DCC">
        <w:rPr>
          <w:rFonts w:ascii="David" w:hAnsi="David" w:hint="eastAsia"/>
          <w:b/>
          <w:bCs/>
          <w:color w:val="000000"/>
          <w:rtl/>
        </w:rPr>
        <w:t>על</w:t>
      </w:r>
      <w:r w:rsidRPr="00861DCC">
        <w:rPr>
          <w:rFonts w:ascii="David" w:hAnsi="David"/>
          <w:b/>
          <w:bCs/>
          <w:color w:val="000000"/>
          <w:rtl/>
        </w:rPr>
        <w:t xml:space="preserve"> </w:t>
      </w:r>
      <w:r w:rsidRPr="00861DCC">
        <w:rPr>
          <w:rFonts w:ascii="David" w:hAnsi="David" w:hint="eastAsia"/>
          <w:b/>
          <w:bCs/>
          <w:color w:val="000000"/>
          <w:rtl/>
        </w:rPr>
        <w:t>חומרתו</w:t>
      </w:r>
      <w:r w:rsidRPr="00861DCC">
        <w:rPr>
          <w:rFonts w:ascii="David" w:hAnsi="David"/>
          <w:b/>
          <w:bCs/>
          <w:color w:val="000000"/>
          <w:rtl/>
        </w:rPr>
        <w:t xml:space="preserve"> </w:t>
      </w:r>
      <w:r w:rsidRPr="00861DCC">
        <w:rPr>
          <w:rFonts w:ascii="David" w:hAnsi="David" w:hint="eastAsia"/>
          <w:b/>
          <w:bCs/>
          <w:color w:val="000000"/>
          <w:rtl/>
        </w:rPr>
        <w:t>של</w:t>
      </w:r>
      <w:r w:rsidRPr="00861DCC">
        <w:rPr>
          <w:rFonts w:ascii="David" w:hAnsi="David"/>
          <w:b/>
          <w:bCs/>
          <w:color w:val="000000"/>
          <w:rtl/>
        </w:rPr>
        <w:t xml:space="preserve"> </w:t>
      </w:r>
      <w:r w:rsidRPr="00861DCC">
        <w:rPr>
          <w:rFonts w:ascii="David" w:hAnsi="David" w:hint="eastAsia"/>
          <w:b/>
          <w:bCs/>
          <w:color w:val="000000"/>
          <w:rtl/>
        </w:rPr>
        <w:t>נגע</w:t>
      </w:r>
      <w:r w:rsidRPr="00861DCC">
        <w:rPr>
          <w:rFonts w:ascii="David" w:hAnsi="David"/>
          <w:b/>
          <w:bCs/>
          <w:color w:val="000000"/>
          <w:rtl/>
        </w:rPr>
        <w:t xml:space="preserve"> </w:t>
      </w:r>
      <w:r w:rsidRPr="00861DCC">
        <w:rPr>
          <w:rFonts w:ascii="David" w:hAnsi="David" w:hint="eastAsia"/>
          <w:b/>
          <w:bCs/>
          <w:color w:val="000000"/>
          <w:rtl/>
        </w:rPr>
        <w:t>הסמים</w:t>
      </w:r>
      <w:r w:rsidRPr="00861DCC">
        <w:rPr>
          <w:rFonts w:ascii="David" w:hAnsi="David"/>
          <w:b/>
          <w:bCs/>
          <w:color w:val="000000"/>
          <w:rtl/>
        </w:rPr>
        <w:t xml:space="preserve">, </w:t>
      </w:r>
      <w:r w:rsidRPr="00861DCC">
        <w:rPr>
          <w:rFonts w:ascii="David" w:hAnsi="David" w:hint="eastAsia"/>
          <w:b/>
          <w:bCs/>
          <w:color w:val="000000"/>
          <w:rtl/>
        </w:rPr>
        <w:t>וחמור</w:t>
      </w:r>
      <w:r w:rsidRPr="00861DCC">
        <w:rPr>
          <w:rFonts w:ascii="David" w:hAnsi="David"/>
          <w:b/>
          <w:bCs/>
          <w:color w:val="000000"/>
          <w:rtl/>
        </w:rPr>
        <w:t xml:space="preserve"> </w:t>
      </w:r>
      <w:r w:rsidRPr="00861DCC">
        <w:rPr>
          <w:rFonts w:ascii="David" w:hAnsi="David" w:hint="eastAsia"/>
          <w:b/>
          <w:bCs/>
          <w:color w:val="000000"/>
          <w:rtl/>
        </w:rPr>
        <w:t>לא</w:t>
      </w:r>
      <w:r w:rsidRPr="00861DCC">
        <w:rPr>
          <w:rFonts w:ascii="David" w:hAnsi="David"/>
          <w:b/>
          <w:bCs/>
          <w:color w:val="000000"/>
          <w:rtl/>
        </w:rPr>
        <w:t xml:space="preserve"> </w:t>
      </w:r>
      <w:r w:rsidRPr="00861DCC">
        <w:rPr>
          <w:rFonts w:ascii="David" w:hAnsi="David" w:hint="eastAsia"/>
          <w:b/>
          <w:bCs/>
          <w:color w:val="000000"/>
          <w:rtl/>
        </w:rPr>
        <w:t>פחות</w:t>
      </w:r>
      <w:r w:rsidRPr="00861DCC">
        <w:rPr>
          <w:rFonts w:ascii="David" w:hAnsi="David"/>
          <w:b/>
          <w:bCs/>
          <w:color w:val="000000"/>
          <w:rtl/>
        </w:rPr>
        <w:t xml:space="preserve"> </w:t>
      </w:r>
      <w:r w:rsidRPr="00861DCC">
        <w:rPr>
          <w:rFonts w:ascii="David" w:hAnsi="David" w:hint="eastAsia"/>
          <w:b/>
          <w:bCs/>
          <w:color w:val="000000"/>
          <w:rtl/>
        </w:rPr>
        <w:t>הוא</w:t>
      </w:r>
      <w:r w:rsidRPr="00861DCC">
        <w:rPr>
          <w:rFonts w:ascii="David" w:hAnsi="David"/>
          <w:b/>
          <w:bCs/>
          <w:color w:val="000000"/>
          <w:rtl/>
        </w:rPr>
        <w:t xml:space="preserve"> </w:t>
      </w:r>
      <w:r w:rsidRPr="00861DCC">
        <w:rPr>
          <w:rFonts w:ascii="David" w:hAnsi="David" w:hint="eastAsia"/>
          <w:b/>
          <w:bCs/>
          <w:color w:val="000000"/>
          <w:rtl/>
        </w:rPr>
        <w:t>הניסיון</w:t>
      </w:r>
      <w:r w:rsidRPr="00861DCC">
        <w:rPr>
          <w:rFonts w:ascii="David" w:hAnsi="David"/>
          <w:b/>
          <w:bCs/>
          <w:color w:val="000000"/>
          <w:rtl/>
        </w:rPr>
        <w:t xml:space="preserve"> </w:t>
      </w:r>
      <w:r w:rsidRPr="00861DCC">
        <w:rPr>
          <w:rFonts w:ascii="David" w:hAnsi="David" w:hint="eastAsia"/>
          <w:b/>
          <w:bCs/>
          <w:color w:val="000000"/>
          <w:rtl/>
        </w:rPr>
        <w:t>להחדיר</w:t>
      </w:r>
      <w:r w:rsidRPr="00861DCC">
        <w:rPr>
          <w:rFonts w:ascii="David" w:hAnsi="David"/>
          <w:b/>
          <w:bCs/>
          <w:color w:val="000000"/>
          <w:rtl/>
        </w:rPr>
        <w:t xml:space="preserve"> </w:t>
      </w:r>
      <w:r w:rsidRPr="00861DCC">
        <w:rPr>
          <w:rFonts w:ascii="David" w:hAnsi="David" w:hint="eastAsia"/>
          <w:b/>
          <w:bCs/>
          <w:color w:val="000000"/>
          <w:rtl/>
        </w:rPr>
        <w:t>סמים</w:t>
      </w:r>
      <w:r w:rsidRPr="00861DCC">
        <w:rPr>
          <w:rFonts w:ascii="David" w:hAnsi="David"/>
          <w:b/>
          <w:bCs/>
          <w:color w:val="000000"/>
          <w:rtl/>
        </w:rPr>
        <w:t xml:space="preserve"> </w:t>
      </w:r>
      <w:r w:rsidRPr="00861DCC">
        <w:rPr>
          <w:rFonts w:ascii="David" w:hAnsi="David" w:hint="eastAsia"/>
          <w:b/>
          <w:bCs/>
          <w:color w:val="000000"/>
          <w:rtl/>
        </w:rPr>
        <w:t>אל</w:t>
      </w:r>
      <w:r w:rsidRPr="00861DCC">
        <w:rPr>
          <w:rFonts w:ascii="David" w:hAnsi="David"/>
          <w:b/>
          <w:bCs/>
          <w:color w:val="000000"/>
          <w:rtl/>
        </w:rPr>
        <w:t xml:space="preserve"> </w:t>
      </w:r>
      <w:r w:rsidRPr="00861DCC">
        <w:rPr>
          <w:rFonts w:ascii="David" w:hAnsi="David" w:hint="eastAsia"/>
          <w:b/>
          <w:bCs/>
          <w:color w:val="000000"/>
          <w:rtl/>
        </w:rPr>
        <w:t>תוך</w:t>
      </w:r>
      <w:r w:rsidRPr="00861DCC">
        <w:rPr>
          <w:rFonts w:ascii="David" w:hAnsi="David"/>
          <w:b/>
          <w:bCs/>
          <w:color w:val="000000"/>
          <w:rtl/>
        </w:rPr>
        <w:t xml:space="preserve"> </w:t>
      </w:r>
      <w:r w:rsidRPr="00861DCC">
        <w:rPr>
          <w:rFonts w:ascii="David" w:hAnsi="David" w:hint="eastAsia"/>
          <w:b/>
          <w:bCs/>
          <w:color w:val="000000"/>
          <w:rtl/>
        </w:rPr>
        <w:t>הכלא</w:t>
      </w:r>
      <w:r w:rsidRPr="00861DCC">
        <w:rPr>
          <w:rFonts w:ascii="David" w:hAnsi="David"/>
          <w:b/>
          <w:bCs/>
          <w:color w:val="000000"/>
          <w:rtl/>
        </w:rPr>
        <w:t xml:space="preserve">. </w:t>
      </w:r>
      <w:r w:rsidRPr="00861DCC">
        <w:rPr>
          <w:rFonts w:ascii="David" w:hAnsi="David" w:hint="eastAsia"/>
          <w:b/>
          <w:bCs/>
          <w:color w:val="000000"/>
          <w:rtl/>
        </w:rPr>
        <w:t>גורמי</w:t>
      </w:r>
      <w:r w:rsidRPr="00861DCC">
        <w:rPr>
          <w:rFonts w:ascii="David" w:hAnsi="David"/>
          <w:b/>
          <w:bCs/>
          <w:color w:val="000000"/>
          <w:rtl/>
        </w:rPr>
        <w:t xml:space="preserve"> </w:t>
      </w:r>
      <w:r w:rsidRPr="00861DCC">
        <w:rPr>
          <w:rFonts w:ascii="David" w:hAnsi="David" w:hint="eastAsia"/>
          <w:b/>
          <w:bCs/>
          <w:color w:val="000000"/>
          <w:rtl/>
        </w:rPr>
        <w:t>שב</w:t>
      </w:r>
      <w:r w:rsidRPr="00861DCC">
        <w:rPr>
          <w:rFonts w:ascii="David" w:hAnsi="David"/>
          <w:b/>
          <w:bCs/>
          <w:color w:val="000000"/>
          <w:rtl/>
        </w:rPr>
        <w:t>"</w:t>
      </w:r>
      <w:r w:rsidRPr="00861DCC">
        <w:rPr>
          <w:rFonts w:ascii="David" w:hAnsi="David" w:hint="eastAsia"/>
          <w:b/>
          <w:bCs/>
          <w:color w:val="000000"/>
          <w:rtl/>
        </w:rPr>
        <w:t>ס</w:t>
      </w:r>
      <w:r w:rsidRPr="00861DCC">
        <w:rPr>
          <w:rFonts w:ascii="David" w:hAnsi="David"/>
          <w:b/>
          <w:bCs/>
          <w:color w:val="000000"/>
          <w:rtl/>
        </w:rPr>
        <w:t xml:space="preserve"> </w:t>
      </w:r>
      <w:r w:rsidRPr="00861DCC">
        <w:rPr>
          <w:rFonts w:ascii="David" w:hAnsi="David" w:hint="eastAsia"/>
          <w:b/>
          <w:bCs/>
          <w:color w:val="000000"/>
          <w:rtl/>
        </w:rPr>
        <w:t>נלחמים</w:t>
      </w:r>
      <w:r w:rsidRPr="00861DCC">
        <w:rPr>
          <w:rFonts w:ascii="David" w:hAnsi="David"/>
          <w:b/>
          <w:bCs/>
          <w:color w:val="000000"/>
          <w:rtl/>
        </w:rPr>
        <w:t xml:space="preserve"> </w:t>
      </w:r>
      <w:r w:rsidRPr="00861DCC">
        <w:rPr>
          <w:rFonts w:ascii="David" w:hAnsi="David" w:hint="eastAsia"/>
          <w:b/>
          <w:bCs/>
          <w:color w:val="000000"/>
          <w:rtl/>
        </w:rPr>
        <w:t>בתופעה</w:t>
      </w:r>
      <w:r w:rsidRPr="00861DCC">
        <w:rPr>
          <w:rFonts w:ascii="David" w:hAnsi="David"/>
          <w:b/>
          <w:bCs/>
          <w:color w:val="000000"/>
          <w:rtl/>
        </w:rPr>
        <w:t xml:space="preserve"> </w:t>
      </w:r>
      <w:r w:rsidRPr="00861DCC">
        <w:rPr>
          <w:rFonts w:ascii="David" w:hAnsi="David" w:hint="eastAsia"/>
          <w:b/>
          <w:bCs/>
          <w:color w:val="000000"/>
          <w:rtl/>
        </w:rPr>
        <w:t>זו</w:t>
      </w:r>
      <w:r w:rsidRPr="00861DCC">
        <w:rPr>
          <w:rFonts w:ascii="David" w:hAnsi="David"/>
          <w:b/>
          <w:bCs/>
          <w:color w:val="000000"/>
          <w:rtl/>
        </w:rPr>
        <w:t xml:space="preserve"> </w:t>
      </w:r>
      <w:r w:rsidRPr="00861DCC">
        <w:rPr>
          <w:rFonts w:ascii="David" w:hAnsi="David" w:hint="eastAsia"/>
          <w:b/>
          <w:bCs/>
          <w:color w:val="000000"/>
          <w:rtl/>
        </w:rPr>
        <w:t>עקב</w:t>
      </w:r>
      <w:r w:rsidRPr="00861DCC">
        <w:rPr>
          <w:rFonts w:ascii="David" w:hAnsi="David"/>
          <w:b/>
          <w:bCs/>
          <w:color w:val="000000"/>
          <w:rtl/>
        </w:rPr>
        <w:t xml:space="preserve"> </w:t>
      </w:r>
      <w:r w:rsidRPr="00861DCC">
        <w:rPr>
          <w:rFonts w:ascii="David" w:hAnsi="David" w:hint="eastAsia"/>
          <w:b/>
          <w:bCs/>
          <w:color w:val="000000"/>
          <w:rtl/>
        </w:rPr>
        <w:t>השלכותיה</w:t>
      </w:r>
      <w:r w:rsidRPr="00861DCC">
        <w:rPr>
          <w:rFonts w:ascii="David" w:hAnsi="David"/>
          <w:b/>
          <w:bCs/>
          <w:color w:val="000000"/>
          <w:rtl/>
        </w:rPr>
        <w:t xml:space="preserve"> </w:t>
      </w:r>
      <w:r w:rsidRPr="00861DCC">
        <w:rPr>
          <w:rFonts w:ascii="David" w:hAnsi="David" w:hint="eastAsia"/>
          <w:b/>
          <w:bCs/>
          <w:color w:val="000000"/>
          <w:rtl/>
        </w:rPr>
        <w:t>על</w:t>
      </w:r>
      <w:r w:rsidRPr="00861DCC">
        <w:rPr>
          <w:rFonts w:ascii="David" w:hAnsi="David"/>
          <w:b/>
          <w:bCs/>
          <w:color w:val="000000"/>
          <w:rtl/>
        </w:rPr>
        <w:t xml:space="preserve"> </w:t>
      </w:r>
      <w:r w:rsidRPr="00861DCC">
        <w:rPr>
          <w:rFonts w:ascii="David" w:hAnsi="David" w:hint="eastAsia"/>
          <w:b/>
          <w:bCs/>
          <w:color w:val="000000"/>
          <w:rtl/>
        </w:rPr>
        <w:t>החיים</w:t>
      </w:r>
      <w:r w:rsidRPr="00861DCC">
        <w:rPr>
          <w:rFonts w:ascii="David" w:hAnsi="David"/>
          <w:b/>
          <w:bCs/>
          <w:color w:val="000000"/>
          <w:rtl/>
        </w:rPr>
        <w:t xml:space="preserve"> </w:t>
      </w:r>
      <w:r w:rsidRPr="00861DCC">
        <w:rPr>
          <w:rFonts w:ascii="David" w:hAnsi="David" w:hint="eastAsia"/>
          <w:b/>
          <w:bCs/>
          <w:color w:val="000000"/>
          <w:rtl/>
        </w:rPr>
        <w:t>בתוך</w:t>
      </w:r>
      <w:r w:rsidRPr="00861DCC">
        <w:rPr>
          <w:rFonts w:ascii="David" w:hAnsi="David"/>
          <w:b/>
          <w:bCs/>
          <w:color w:val="000000"/>
          <w:rtl/>
        </w:rPr>
        <w:t xml:space="preserve"> </w:t>
      </w:r>
      <w:r w:rsidRPr="00861DCC">
        <w:rPr>
          <w:rFonts w:ascii="David" w:hAnsi="David" w:hint="eastAsia"/>
          <w:b/>
          <w:bCs/>
          <w:color w:val="000000"/>
          <w:rtl/>
        </w:rPr>
        <w:t>הכלא</w:t>
      </w:r>
      <w:r w:rsidRPr="00861DCC">
        <w:rPr>
          <w:rFonts w:ascii="David" w:hAnsi="David"/>
          <w:b/>
          <w:bCs/>
          <w:color w:val="000000"/>
          <w:rtl/>
        </w:rPr>
        <w:t xml:space="preserve">, </w:t>
      </w:r>
      <w:r w:rsidRPr="00861DCC">
        <w:rPr>
          <w:rFonts w:ascii="David" w:hAnsi="David" w:hint="eastAsia"/>
          <w:b/>
          <w:bCs/>
          <w:color w:val="000000"/>
          <w:rtl/>
        </w:rPr>
        <w:t>ולצורך</w:t>
      </w:r>
      <w:r w:rsidRPr="00861DCC">
        <w:rPr>
          <w:rFonts w:ascii="David" w:hAnsi="David"/>
          <w:b/>
          <w:bCs/>
          <w:color w:val="000000"/>
          <w:rtl/>
        </w:rPr>
        <w:t xml:space="preserve"> </w:t>
      </w:r>
      <w:r w:rsidRPr="00861DCC">
        <w:rPr>
          <w:rFonts w:ascii="David" w:hAnsi="David" w:hint="eastAsia"/>
          <w:b/>
          <w:bCs/>
          <w:color w:val="000000"/>
          <w:rtl/>
        </w:rPr>
        <w:t>זה</w:t>
      </w:r>
      <w:r w:rsidRPr="00861DCC">
        <w:rPr>
          <w:rFonts w:ascii="David" w:hAnsi="David"/>
          <w:b/>
          <w:bCs/>
          <w:color w:val="000000"/>
          <w:rtl/>
        </w:rPr>
        <w:t xml:space="preserve"> </w:t>
      </w:r>
      <w:r w:rsidRPr="00861DCC">
        <w:rPr>
          <w:rFonts w:ascii="David" w:hAnsi="David" w:hint="eastAsia"/>
          <w:b/>
          <w:bCs/>
          <w:color w:val="000000"/>
          <w:rtl/>
        </w:rPr>
        <w:t>הם</w:t>
      </w:r>
      <w:r w:rsidRPr="00861DCC">
        <w:rPr>
          <w:rFonts w:ascii="David" w:hAnsi="David"/>
          <w:b/>
          <w:bCs/>
          <w:color w:val="000000"/>
          <w:rtl/>
        </w:rPr>
        <w:t xml:space="preserve"> </w:t>
      </w:r>
      <w:r w:rsidRPr="00861DCC">
        <w:rPr>
          <w:rFonts w:ascii="David" w:hAnsi="David" w:hint="eastAsia"/>
          <w:b/>
          <w:bCs/>
          <w:color w:val="000000"/>
          <w:rtl/>
        </w:rPr>
        <w:t>נוקטים</w:t>
      </w:r>
      <w:r w:rsidRPr="00861DCC">
        <w:rPr>
          <w:rFonts w:ascii="David" w:hAnsi="David"/>
          <w:b/>
          <w:bCs/>
          <w:color w:val="000000"/>
          <w:rtl/>
        </w:rPr>
        <w:t xml:space="preserve"> </w:t>
      </w:r>
      <w:r w:rsidRPr="00861DCC">
        <w:rPr>
          <w:rFonts w:ascii="David" w:hAnsi="David" w:hint="eastAsia"/>
          <w:b/>
          <w:bCs/>
          <w:color w:val="000000"/>
          <w:rtl/>
        </w:rPr>
        <w:t>באמצעים</w:t>
      </w:r>
      <w:r w:rsidRPr="00861DCC">
        <w:rPr>
          <w:rFonts w:ascii="David" w:hAnsi="David"/>
          <w:b/>
          <w:bCs/>
          <w:color w:val="000000"/>
          <w:rtl/>
        </w:rPr>
        <w:t xml:space="preserve"> </w:t>
      </w:r>
      <w:r w:rsidRPr="00861DCC">
        <w:rPr>
          <w:rFonts w:ascii="David" w:hAnsi="David" w:hint="eastAsia"/>
          <w:b/>
          <w:bCs/>
          <w:color w:val="000000"/>
          <w:rtl/>
        </w:rPr>
        <w:t>מגוונים</w:t>
      </w:r>
      <w:r w:rsidRPr="00861DCC">
        <w:rPr>
          <w:rFonts w:ascii="David" w:hAnsi="David"/>
          <w:b/>
          <w:bCs/>
          <w:color w:val="000000"/>
          <w:rtl/>
        </w:rPr>
        <w:t xml:space="preserve">. </w:t>
      </w:r>
      <w:r w:rsidRPr="00861DCC">
        <w:rPr>
          <w:rFonts w:ascii="David" w:hAnsi="David" w:hint="eastAsia"/>
          <w:b/>
          <w:bCs/>
          <w:color w:val="000000"/>
          <w:rtl/>
        </w:rPr>
        <w:t>אולם</w:t>
      </w:r>
      <w:r w:rsidRPr="00861DCC">
        <w:rPr>
          <w:rFonts w:ascii="David" w:hAnsi="David"/>
          <w:b/>
          <w:bCs/>
          <w:color w:val="000000"/>
          <w:rtl/>
        </w:rPr>
        <w:t xml:space="preserve">, </w:t>
      </w:r>
      <w:r w:rsidRPr="00861DCC">
        <w:rPr>
          <w:rFonts w:ascii="David" w:hAnsi="David" w:hint="eastAsia"/>
          <w:b/>
          <w:bCs/>
          <w:color w:val="000000"/>
          <w:rtl/>
        </w:rPr>
        <w:t>הניסיונות</w:t>
      </w:r>
      <w:r w:rsidRPr="00861DCC">
        <w:rPr>
          <w:rFonts w:ascii="David" w:hAnsi="David"/>
          <w:b/>
          <w:bCs/>
          <w:color w:val="000000"/>
          <w:rtl/>
        </w:rPr>
        <w:t xml:space="preserve"> </w:t>
      </w:r>
      <w:r w:rsidRPr="00861DCC">
        <w:rPr>
          <w:rFonts w:ascii="David" w:hAnsi="David" w:hint="eastAsia"/>
          <w:b/>
          <w:bCs/>
          <w:color w:val="000000"/>
          <w:rtl/>
        </w:rPr>
        <w:t>לעקוף</w:t>
      </w:r>
      <w:r w:rsidRPr="00861DCC">
        <w:rPr>
          <w:rFonts w:ascii="David" w:hAnsi="David"/>
          <w:b/>
          <w:bCs/>
          <w:color w:val="000000"/>
          <w:rtl/>
        </w:rPr>
        <w:t xml:space="preserve"> </w:t>
      </w:r>
      <w:r w:rsidRPr="00861DCC">
        <w:rPr>
          <w:rFonts w:ascii="David" w:hAnsi="David" w:hint="eastAsia"/>
          <w:b/>
          <w:bCs/>
          <w:color w:val="000000"/>
          <w:rtl/>
        </w:rPr>
        <w:t>את</w:t>
      </w:r>
      <w:r w:rsidRPr="00861DCC">
        <w:rPr>
          <w:rFonts w:ascii="David" w:hAnsi="David"/>
          <w:b/>
          <w:bCs/>
          <w:color w:val="000000"/>
          <w:rtl/>
        </w:rPr>
        <w:t xml:space="preserve"> </w:t>
      </w:r>
      <w:r w:rsidRPr="00861DCC">
        <w:rPr>
          <w:rFonts w:ascii="David" w:hAnsi="David" w:hint="eastAsia"/>
          <w:b/>
          <w:bCs/>
          <w:color w:val="000000"/>
          <w:rtl/>
        </w:rPr>
        <w:t>אמצעי</w:t>
      </w:r>
      <w:r w:rsidRPr="00861DCC">
        <w:rPr>
          <w:rFonts w:ascii="David" w:hAnsi="David"/>
          <w:b/>
          <w:bCs/>
          <w:color w:val="000000"/>
          <w:rtl/>
        </w:rPr>
        <w:t xml:space="preserve"> </w:t>
      </w:r>
      <w:r w:rsidRPr="00861DCC">
        <w:rPr>
          <w:rFonts w:ascii="David" w:hAnsi="David" w:hint="eastAsia"/>
          <w:b/>
          <w:bCs/>
          <w:color w:val="000000"/>
          <w:rtl/>
        </w:rPr>
        <w:t>הבקרה</w:t>
      </w:r>
      <w:r w:rsidRPr="00861DCC">
        <w:rPr>
          <w:rFonts w:ascii="David" w:hAnsi="David"/>
          <w:b/>
          <w:bCs/>
          <w:color w:val="000000"/>
          <w:rtl/>
        </w:rPr>
        <w:t xml:space="preserve"> </w:t>
      </w:r>
      <w:r w:rsidRPr="00861DCC">
        <w:rPr>
          <w:rFonts w:ascii="David" w:hAnsi="David" w:hint="eastAsia"/>
          <w:b/>
          <w:bCs/>
          <w:color w:val="000000"/>
          <w:rtl/>
        </w:rPr>
        <w:t>נמשכים</w:t>
      </w:r>
      <w:r w:rsidRPr="00861DCC">
        <w:rPr>
          <w:rFonts w:ascii="David" w:hAnsi="David"/>
          <w:b/>
          <w:bCs/>
          <w:color w:val="000000"/>
          <w:rtl/>
        </w:rPr>
        <w:t xml:space="preserve"> </w:t>
      </w:r>
      <w:r w:rsidRPr="00861DCC">
        <w:rPr>
          <w:rFonts w:ascii="David" w:hAnsi="David" w:hint="eastAsia"/>
          <w:b/>
          <w:bCs/>
          <w:color w:val="000000"/>
          <w:rtl/>
        </w:rPr>
        <w:t>ללא</w:t>
      </w:r>
      <w:r w:rsidRPr="00861DCC">
        <w:rPr>
          <w:rFonts w:ascii="David" w:hAnsi="David"/>
          <w:b/>
          <w:bCs/>
          <w:color w:val="000000"/>
          <w:rtl/>
        </w:rPr>
        <w:t xml:space="preserve"> </w:t>
      </w:r>
      <w:r w:rsidRPr="00861DCC">
        <w:rPr>
          <w:rFonts w:ascii="David" w:hAnsi="David" w:hint="eastAsia"/>
          <w:b/>
          <w:bCs/>
          <w:color w:val="000000"/>
          <w:rtl/>
        </w:rPr>
        <w:t>הרף</w:t>
      </w:r>
      <w:r w:rsidRPr="00861DCC">
        <w:rPr>
          <w:rFonts w:ascii="David" w:hAnsi="David"/>
          <w:b/>
          <w:bCs/>
          <w:color w:val="000000"/>
          <w:rtl/>
        </w:rPr>
        <w:t xml:space="preserve">, </w:t>
      </w:r>
      <w:r w:rsidRPr="00861DCC">
        <w:rPr>
          <w:rFonts w:ascii="David" w:hAnsi="David" w:hint="eastAsia"/>
          <w:b/>
          <w:bCs/>
          <w:color w:val="000000"/>
          <w:rtl/>
        </w:rPr>
        <w:t>ואחד</w:t>
      </w:r>
      <w:r w:rsidRPr="00861DCC">
        <w:rPr>
          <w:rFonts w:ascii="David" w:hAnsi="David"/>
          <w:b/>
          <w:bCs/>
          <w:color w:val="000000"/>
          <w:rtl/>
        </w:rPr>
        <w:t xml:space="preserve"> </w:t>
      </w:r>
      <w:r w:rsidRPr="00861DCC">
        <w:rPr>
          <w:rFonts w:ascii="David" w:hAnsi="David" w:hint="eastAsia"/>
          <w:b/>
          <w:bCs/>
          <w:color w:val="000000"/>
          <w:rtl/>
        </w:rPr>
        <w:t>האמצעים</w:t>
      </w:r>
      <w:r w:rsidRPr="00861DCC">
        <w:rPr>
          <w:rFonts w:ascii="David" w:hAnsi="David"/>
          <w:b/>
          <w:bCs/>
          <w:color w:val="000000"/>
          <w:rtl/>
        </w:rPr>
        <w:t xml:space="preserve"> </w:t>
      </w:r>
      <w:r w:rsidRPr="00861DCC">
        <w:rPr>
          <w:rFonts w:ascii="David" w:hAnsi="David" w:hint="eastAsia"/>
          <w:b/>
          <w:bCs/>
          <w:color w:val="000000"/>
          <w:rtl/>
        </w:rPr>
        <w:t>המשמשים</w:t>
      </w:r>
      <w:r w:rsidRPr="00861DCC">
        <w:rPr>
          <w:rFonts w:ascii="David" w:hAnsi="David"/>
          <w:b/>
          <w:bCs/>
          <w:color w:val="000000"/>
          <w:rtl/>
        </w:rPr>
        <w:t xml:space="preserve"> </w:t>
      </w:r>
      <w:r w:rsidRPr="00861DCC">
        <w:rPr>
          <w:rFonts w:ascii="David" w:hAnsi="David" w:hint="eastAsia"/>
          <w:b/>
          <w:bCs/>
          <w:color w:val="000000"/>
          <w:rtl/>
        </w:rPr>
        <w:t>לכך</w:t>
      </w:r>
      <w:r w:rsidRPr="00861DCC">
        <w:rPr>
          <w:rFonts w:ascii="David" w:hAnsi="David"/>
          <w:b/>
          <w:bCs/>
          <w:color w:val="000000"/>
          <w:rtl/>
        </w:rPr>
        <w:t xml:space="preserve"> </w:t>
      </w:r>
      <w:r w:rsidRPr="00861DCC">
        <w:rPr>
          <w:rFonts w:ascii="David" w:hAnsi="David" w:hint="eastAsia"/>
          <w:b/>
          <w:bCs/>
          <w:color w:val="000000"/>
          <w:rtl/>
        </w:rPr>
        <w:t>הוא</w:t>
      </w:r>
      <w:r w:rsidRPr="00861DCC">
        <w:rPr>
          <w:rFonts w:ascii="David" w:hAnsi="David"/>
          <w:b/>
          <w:bCs/>
          <w:color w:val="000000"/>
          <w:rtl/>
        </w:rPr>
        <w:t xml:space="preserve"> </w:t>
      </w:r>
      <w:r w:rsidRPr="00861DCC">
        <w:rPr>
          <w:rFonts w:ascii="David" w:hAnsi="David" w:hint="eastAsia"/>
          <w:b/>
          <w:bCs/>
          <w:color w:val="000000"/>
          <w:rtl/>
        </w:rPr>
        <w:t>החדרת</w:t>
      </w:r>
      <w:r w:rsidRPr="00861DCC">
        <w:rPr>
          <w:rFonts w:ascii="David" w:hAnsi="David"/>
          <w:b/>
          <w:bCs/>
          <w:color w:val="000000"/>
          <w:rtl/>
        </w:rPr>
        <w:t xml:space="preserve"> </w:t>
      </w:r>
      <w:r w:rsidRPr="00861DCC">
        <w:rPr>
          <w:rFonts w:ascii="David" w:hAnsi="David" w:hint="eastAsia"/>
          <w:b/>
          <w:bCs/>
          <w:color w:val="000000"/>
          <w:rtl/>
        </w:rPr>
        <w:t>הסם</w:t>
      </w:r>
      <w:r w:rsidRPr="00861DCC">
        <w:rPr>
          <w:rFonts w:ascii="David" w:hAnsi="David"/>
          <w:b/>
          <w:bCs/>
          <w:color w:val="000000"/>
          <w:rtl/>
        </w:rPr>
        <w:t xml:space="preserve"> </w:t>
      </w:r>
      <w:r w:rsidRPr="00861DCC">
        <w:rPr>
          <w:rFonts w:ascii="David" w:hAnsi="David" w:hint="eastAsia"/>
          <w:b/>
          <w:bCs/>
          <w:color w:val="000000"/>
          <w:rtl/>
        </w:rPr>
        <w:t>באמצעות</w:t>
      </w:r>
      <w:r w:rsidRPr="00861DCC">
        <w:rPr>
          <w:rFonts w:ascii="David" w:hAnsi="David"/>
          <w:b/>
          <w:bCs/>
          <w:color w:val="000000"/>
          <w:rtl/>
        </w:rPr>
        <w:t xml:space="preserve"> </w:t>
      </w:r>
      <w:r w:rsidRPr="00861DCC">
        <w:rPr>
          <w:rFonts w:ascii="David" w:hAnsi="David" w:hint="eastAsia"/>
          <w:b/>
          <w:bCs/>
          <w:color w:val="000000"/>
          <w:rtl/>
        </w:rPr>
        <w:t>בלדרים</w:t>
      </w:r>
      <w:r w:rsidRPr="00861DCC">
        <w:rPr>
          <w:rFonts w:ascii="David" w:hAnsi="David"/>
          <w:b/>
          <w:bCs/>
          <w:color w:val="000000"/>
          <w:rtl/>
        </w:rPr>
        <w:t xml:space="preserve"> </w:t>
      </w:r>
      <w:r w:rsidRPr="00861DCC">
        <w:rPr>
          <w:rFonts w:ascii="David" w:hAnsi="David" w:hint="eastAsia"/>
          <w:b/>
          <w:bCs/>
          <w:color w:val="000000"/>
          <w:rtl/>
        </w:rPr>
        <w:t>בעלי</w:t>
      </w:r>
      <w:r w:rsidRPr="00861DCC">
        <w:rPr>
          <w:rFonts w:ascii="David" w:hAnsi="David"/>
          <w:b/>
          <w:bCs/>
          <w:color w:val="000000"/>
          <w:rtl/>
        </w:rPr>
        <w:t xml:space="preserve"> </w:t>
      </w:r>
      <w:r w:rsidRPr="00861DCC">
        <w:rPr>
          <w:rFonts w:ascii="David" w:hAnsi="David" w:hint="eastAsia"/>
          <w:b/>
          <w:bCs/>
          <w:color w:val="000000"/>
          <w:rtl/>
        </w:rPr>
        <w:t>חזות</w:t>
      </w:r>
      <w:r w:rsidRPr="00861DCC">
        <w:rPr>
          <w:rFonts w:ascii="David" w:hAnsi="David"/>
          <w:b/>
          <w:bCs/>
          <w:color w:val="000000"/>
          <w:rtl/>
        </w:rPr>
        <w:t xml:space="preserve"> </w:t>
      </w:r>
      <w:r w:rsidRPr="00861DCC">
        <w:rPr>
          <w:rFonts w:ascii="David" w:hAnsi="David" w:hint="eastAsia"/>
          <w:b/>
          <w:bCs/>
          <w:color w:val="000000"/>
          <w:rtl/>
        </w:rPr>
        <w:t>תמימה</w:t>
      </w:r>
      <w:r w:rsidRPr="00861DCC">
        <w:rPr>
          <w:rFonts w:ascii="David" w:hAnsi="David"/>
          <w:b/>
          <w:bCs/>
          <w:color w:val="000000"/>
          <w:rtl/>
        </w:rPr>
        <w:t xml:space="preserve">, </w:t>
      </w:r>
      <w:r w:rsidRPr="00861DCC">
        <w:rPr>
          <w:rFonts w:ascii="David" w:hAnsi="David" w:hint="eastAsia"/>
          <w:b/>
          <w:bCs/>
          <w:color w:val="000000"/>
          <w:rtl/>
        </w:rPr>
        <w:t>ללא</w:t>
      </w:r>
      <w:r w:rsidRPr="00861DCC">
        <w:rPr>
          <w:rFonts w:ascii="David" w:hAnsi="David"/>
          <w:b/>
          <w:bCs/>
          <w:color w:val="000000"/>
          <w:rtl/>
        </w:rPr>
        <w:t xml:space="preserve"> </w:t>
      </w:r>
      <w:r w:rsidRPr="00861DCC">
        <w:rPr>
          <w:rFonts w:ascii="David" w:hAnsi="David" w:hint="eastAsia"/>
          <w:b/>
          <w:bCs/>
          <w:color w:val="000000"/>
          <w:rtl/>
        </w:rPr>
        <w:t>עבר</w:t>
      </w:r>
      <w:r w:rsidRPr="00861DCC">
        <w:rPr>
          <w:rFonts w:ascii="David" w:hAnsi="David"/>
          <w:b/>
          <w:bCs/>
          <w:color w:val="000000"/>
          <w:rtl/>
        </w:rPr>
        <w:t xml:space="preserve"> </w:t>
      </w:r>
      <w:r w:rsidRPr="00861DCC">
        <w:rPr>
          <w:rFonts w:ascii="David" w:hAnsi="David" w:hint="eastAsia"/>
          <w:b/>
          <w:bCs/>
          <w:color w:val="000000"/>
          <w:rtl/>
        </w:rPr>
        <w:t>פלילי</w:t>
      </w:r>
      <w:r w:rsidRPr="00861DCC">
        <w:rPr>
          <w:rFonts w:ascii="David" w:hAnsi="David"/>
          <w:b/>
          <w:bCs/>
          <w:color w:val="000000"/>
          <w:rtl/>
        </w:rPr>
        <w:t xml:space="preserve">, </w:t>
      </w:r>
      <w:r w:rsidRPr="00861DCC">
        <w:rPr>
          <w:rFonts w:ascii="David" w:hAnsi="David" w:hint="eastAsia"/>
          <w:b/>
          <w:bCs/>
          <w:color w:val="000000"/>
          <w:rtl/>
        </w:rPr>
        <w:t>וככל</w:t>
      </w:r>
      <w:r w:rsidRPr="00861DCC">
        <w:rPr>
          <w:rFonts w:ascii="David" w:hAnsi="David"/>
          <w:b/>
          <w:bCs/>
          <w:color w:val="000000"/>
          <w:rtl/>
        </w:rPr>
        <w:t xml:space="preserve"> </w:t>
      </w:r>
      <w:r w:rsidRPr="00861DCC">
        <w:rPr>
          <w:rFonts w:ascii="David" w:hAnsi="David" w:hint="eastAsia"/>
          <w:b/>
          <w:bCs/>
          <w:color w:val="000000"/>
          <w:rtl/>
        </w:rPr>
        <w:t>שצעירים</w:t>
      </w:r>
      <w:r w:rsidRPr="00861DCC">
        <w:rPr>
          <w:rFonts w:ascii="David" w:hAnsi="David"/>
          <w:b/>
          <w:bCs/>
          <w:color w:val="000000"/>
          <w:rtl/>
        </w:rPr>
        <w:t xml:space="preserve"> </w:t>
      </w:r>
      <w:r w:rsidRPr="00861DCC">
        <w:rPr>
          <w:rFonts w:ascii="David" w:hAnsi="David" w:hint="eastAsia"/>
          <w:b/>
          <w:bCs/>
          <w:color w:val="000000"/>
          <w:rtl/>
        </w:rPr>
        <w:t>הם</w:t>
      </w:r>
      <w:r w:rsidRPr="00861DCC">
        <w:rPr>
          <w:rFonts w:ascii="David" w:hAnsi="David"/>
          <w:b/>
          <w:bCs/>
          <w:color w:val="000000"/>
          <w:rtl/>
        </w:rPr>
        <w:t xml:space="preserve"> </w:t>
      </w:r>
      <w:r w:rsidRPr="00861DCC">
        <w:rPr>
          <w:rFonts w:ascii="David" w:hAnsi="David" w:hint="eastAsia"/>
          <w:b/>
          <w:bCs/>
          <w:color w:val="000000"/>
          <w:rtl/>
        </w:rPr>
        <w:t>כן</w:t>
      </w:r>
      <w:r w:rsidRPr="00861DCC">
        <w:rPr>
          <w:rFonts w:ascii="David" w:hAnsi="David"/>
          <w:b/>
          <w:bCs/>
          <w:color w:val="000000"/>
          <w:rtl/>
        </w:rPr>
        <w:t xml:space="preserve"> </w:t>
      </w:r>
      <w:r w:rsidRPr="00861DCC">
        <w:rPr>
          <w:rFonts w:ascii="David" w:hAnsi="David" w:hint="eastAsia"/>
          <w:b/>
          <w:bCs/>
          <w:color w:val="000000"/>
          <w:rtl/>
        </w:rPr>
        <w:t>ייטב</w:t>
      </w:r>
      <w:r w:rsidRPr="00861DCC">
        <w:rPr>
          <w:rFonts w:ascii="David" w:hAnsi="David"/>
          <w:b/>
          <w:bCs/>
          <w:color w:val="000000"/>
          <w:rtl/>
        </w:rPr>
        <w:t>."</w:t>
      </w:r>
    </w:p>
    <w:p w14:paraId="1C47D8A3" w14:textId="77777777" w:rsidR="00AA6AA1" w:rsidRDefault="00AA6AA1" w:rsidP="00AA6AA1">
      <w:pPr>
        <w:pStyle w:val="ListParagraph"/>
        <w:spacing w:line="360" w:lineRule="auto"/>
        <w:jc w:val="both"/>
      </w:pPr>
    </w:p>
    <w:p w14:paraId="0B4EB4DE" w14:textId="77777777" w:rsidR="00AA6AA1" w:rsidRDefault="00AA6AA1" w:rsidP="00AA6AA1">
      <w:pPr>
        <w:pStyle w:val="ListParagraph"/>
        <w:numPr>
          <w:ilvl w:val="0"/>
          <w:numId w:val="1"/>
        </w:numPr>
        <w:spacing w:line="360" w:lineRule="auto"/>
        <w:jc w:val="both"/>
      </w:pPr>
      <w:r w:rsidRPr="005F7663">
        <w:rPr>
          <w:rFonts w:ascii="David" w:hAnsi="David" w:hint="eastAsia"/>
          <w:color w:val="000000"/>
          <w:rtl/>
        </w:rPr>
        <w:t>בחינת</w:t>
      </w:r>
      <w:r w:rsidRPr="005F7663">
        <w:rPr>
          <w:rFonts w:ascii="David" w:hAnsi="David"/>
          <w:color w:val="000000"/>
          <w:rtl/>
        </w:rPr>
        <w:t xml:space="preserve"> </w:t>
      </w:r>
      <w:r w:rsidRPr="005F7663">
        <w:rPr>
          <w:rFonts w:ascii="David" w:hAnsi="David" w:hint="cs"/>
          <w:color w:val="000000"/>
          <w:rtl/>
        </w:rPr>
        <w:t xml:space="preserve">הפסיקה מלמדת כי בגין מעשים דומים של ניסיון הספקת סמים מסוכנים לעצורים ואסירים בבתי הכלא נגזרו, ככלל, עונשי מאסר בפועל. ראו למשל </w:t>
      </w:r>
      <w:hyperlink r:id="rId9" w:history="1">
        <w:r w:rsidR="001C4965" w:rsidRPr="001C4965">
          <w:rPr>
            <w:color w:val="0000FF"/>
            <w:u w:val="single"/>
            <w:rtl/>
          </w:rPr>
          <w:t>רע"פ 4144/15</w:t>
        </w:r>
      </w:hyperlink>
      <w:r w:rsidRPr="0057403C">
        <w:rPr>
          <w:rtl/>
        </w:rPr>
        <w:t xml:space="preserve"> </w:t>
      </w:r>
      <w:r w:rsidRPr="005F7663">
        <w:rPr>
          <w:b/>
          <w:bCs/>
          <w:rtl/>
        </w:rPr>
        <w:t>אלאטיף נ' מדינת ישראל</w:t>
      </w:r>
      <w:r>
        <w:rPr>
          <w:rtl/>
        </w:rPr>
        <w:t xml:space="preserve"> (</w:t>
      </w:r>
      <w:r>
        <w:rPr>
          <w:rFonts w:hint="cs"/>
          <w:rtl/>
        </w:rPr>
        <w:t>פורסם בנבו</w:t>
      </w:r>
      <w:r>
        <w:rPr>
          <w:rtl/>
        </w:rPr>
        <w:t xml:space="preserve"> 16.6.15)</w:t>
      </w:r>
      <w:r>
        <w:rPr>
          <w:rFonts w:hint="cs"/>
          <w:rtl/>
        </w:rPr>
        <w:t>;</w:t>
      </w:r>
      <w:r w:rsidRPr="00DD4337">
        <w:rPr>
          <w:rtl/>
        </w:rPr>
        <w:t xml:space="preserve"> </w:t>
      </w:r>
      <w:hyperlink r:id="rId10" w:history="1">
        <w:r w:rsidR="001C4965" w:rsidRPr="001C4965">
          <w:rPr>
            <w:color w:val="0000FF"/>
            <w:u w:val="single"/>
            <w:rtl/>
          </w:rPr>
          <w:t>רע"פ 1485/10</w:t>
        </w:r>
      </w:hyperlink>
      <w:r w:rsidRPr="0057403C">
        <w:rPr>
          <w:rtl/>
        </w:rPr>
        <w:t xml:space="preserve"> </w:t>
      </w:r>
      <w:r w:rsidRPr="005F7663">
        <w:rPr>
          <w:b/>
          <w:bCs/>
          <w:rtl/>
        </w:rPr>
        <w:t>זאן נ' מדינת ישראל</w:t>
      </w:r>
      <w:r w:rsidRPr="0057403C">
        <w:rPr>
          <w:rtl/>
        </w:rPr>
        <w:t xml:space="preserve"> (</w:t>
      </w:r>
      <w:r>
        <w:rPr>
          <w:rFonts w:hint="cs"/>
          <w:rtl/>
        </w:rPr>
        <w:t xml:space="preserve">פורסם בנבו </w:t>
      </w:r>
      <w:r w:rsidRPr="0057403C">
        <w:rPr>
          <w:rtl/>
        </w:rPr>
        <w:t>2.3.10)</w:t>
      </w:r>
      <w:r>
        <w:rPr>
          <w:rFonts w:hint="cs"/>
          <w:rtl/>
        </w:rPr>
        <w:t>;</w:t>
      </w:r>
      <w:r w:rsidRPr="003E3760">
        <w:rPr>
          <w:rtl/>
        </w:rPr>
        <w:t xml:space="preserve"> </w:t>
      </w:r>
      <w:hyperlink r:id="rId11" w:history="1">
        <w:r w:rsidR="001C4965" w:rsidRPr="001C4965">
          <w:rPr>
            <w:color w:val="0000FF"/>
            <w:u w:val="single"/>
            <w:rtl/>
          </w:rPr>
          <w:t>רע"פ 1950/03</w:t>
        </w:r>
      </w:hyperlink>
      <w:r>
        <w:rPr>
          <w:rFonts w:hint="cs"/>
          <w:rtl/>
        </w:rPr>
        <w:t xml:space="preserve"> </w:t>
      </w:r>
      <w:r w:rsidRPr="005F7663">
        <w:rPr>
          <w:rFonts w:hint="cs"/>
          <w:b/>
          <w:bCs/>
          <w:rtl/>
        </w:rPr>
        <w:t xml:space="preserve">עזריה נ' מדינת ישראל </w:t>
      </w:r>
      <w:r>
        <w:rPr>
          <w:rFonts w:hint="cs"/>
          <w:rtl/>
        </w:rPr>
        <w:t xml:space="preserve">(פורסם בנבו 27.2.03); </w:t>
      </w:r>
      <w:hyperlink r:id="rId12" w:history="1">
        <w:r w:rsidR="001C4965" w:rsidRPr="001C4965">
          <w:rPr>
            <w:color w:val="0000FF"/>
            <w:u w:val="single"/>
            <w:rtl/>
          </w:rPr>
          <w:t>עפ"ג 3000-03-08</w:t>
        </w:r>
      </w:hyperlink>
      <w:r>
        <w:rPr>
          <w:rFonts w:hint="cs"/>
          <w:rtl/>
        </w:rPr>
        <w:t xml:space="preserve"> </w:t>
      </w:r>
      <w:r w:rsidRPr="005F7663">
        <w:rPr>
          <w:rFonts w:hint="cs"/>
          <w:b/>
          <w:bCs/>
          <w:rtl/>
        </w:rPr>
        <w:t xml:space="preserve">מרדכייב נ' מדינת ישראל </w:t>
      </w:r>
      <w:r>
        <w:rPr>
          <w:rFonts w:hint="cs"/>
          <w:rtl/>
        </w:rPr>
        <w:t>(פורסם בנבו 5.5.08)</w:t>
      </w:r>
      <w:r>
        <w:rPr>
          <w:rtl/>
        </w:rPr>
        <w:t>.</w:t>
      </w:r>
      <w:r w:rsidRPr="00FD7F3A">
        <w:rPr>
          <w:rtl/>
        </w:rPr>
        <w:t xml:space="preserve"> </w:t>
      </w:r>
      <w:r>
        <w:rPr>
          <w:rFonts w:hint="cs"/>
          <w:rtl/>
        </w:rPr>
        <w:t xml:space="preserve">אציין כי הפסיקה שהוגשה מטעם ההגנה אינה מתאימה בנסיבותיה לנסיבות המקרה דנן, שכן רובה ככולה התייחסה לעבירות של אספקת סמים בנסיבות שונות, ולסמים הנחשבים ל"סמים קלים". </w:t>
      </w:r>
    </w:p>
    <w:p w14:paraId="657D5F58" w14:textId="77777777" w:rsidR="00AA6AA1" w:rsidRPr="003706D0" w:rsidRDefault="00AA6AA1" w:rsidP="00AA6AA1">
      <w:pPr>
        <w:pStyle w:val="ListParagraph"/>
        <w:spacing w:line="360" w:lineRule="auto"/>
        <w:jc w:val="both"/>
      </w:pPr>
    </w:p>
    <w:p w14:paraId="15BFA3BD" w14:textId="77777777" w:rsidR="00AA6AA1" w:rsidRPr="00B05847" w:rsidRDefault="00AA6AA1" w:rsidP="00AA6AA1">
      <w:pPr>
        <w:pStyle w:val="ListParagraph"/>
        <w:numPr>
          <w:ilvl w:val="0"/>
          <w:numId w:val="1"/>
        </w:numPr>
        <w:spacing w:line="360" w:lineRule="auto"/>
        <w:jc w:val="both"/>
        <w:rPr>
          <w:rtl/>
        </w:rPr>
      </w:pPr>
      <w:r>
        <w:rPr>
          <w:rFonts w:hint="cs"/>
          <w:rtl/>
        </w:rPr>
        <w:t xml:space="preserve">לנוכח האמור לעיל, מתחם העונש ההולם את נסיבות ביצוע העבירה שבה הורשע הנאשם מתחיל משישה חודשי מאסר בפועל ומגיע עד לשמונה- עשר חודשי מאסר בפועל, לצד מאסר מותנה וקנס. </w:t>
      </w:r>
    </w:p>
    <w:p w14:paraId="73F94B4B" w14:textId="77777777" w:rsidR="00AA6AA1" w:rsidRDefault="00AA6AA1" w:rsidP="00AA6AA1">
      <w:pPr>
        <w:pStyle w:val="ListParagraph"/>
        <w:spacing w:line="360" w:lineRule="auto"/>
        <w:jc w:val="both"/>
      </w:pPr>
    </w:p>
    <w:p w14:paraId="3DCA80F2" w14:textId="77777777" w:rsidR="00AA6AA1" w:rsidRPr="00FD7F3A" w:rsidRDefault="00AA6AA1" w:rsidP="00AA6AA1">
      <w:pPr>
        <w:spacing w:line="360" w:lineRule="auto"/>
        <w:jc w:val="both"/>
        <w:rPr>
          <w:b/>
          <w:bCs/>
          <w:u w:val="single"/>
        </w:rPr>
      </w:pPr>
      <w:r w:rsidRPr="00FD7F3A">
        <w:rPr>
          <w:rFonts w:hint="cs"/>
          <w:b/>
          <w:bCs/>
          <w:u w:val="single"/>
          <w:rtl/>
        </w:rPr>
        <w:t>העונש המתאים לנאשם</w:t>
      </w:r>
    </w:p>
    <w:p w14:paraId="1CC191C4" w14:textId="77777777" w:rsidR="00AA6AA1" w:rsidRDefault="00AA6AA1" w:rsidP="00AA6AA1">
      <w:pPr>
        <w:pStyle w:val="ListParagraph"/>
        <w:numPr>
          <w:ilvl w:val="0"/>
          <w:numId w:val="1"/>
        </w:numPr>
        <w:spacing w:line="360" w:lineRule="auto"/>
        <w:jc w:val="both"/>
      </w:pPr>
      <w:r w:rsidRPr="00AB707B">
        <w:rPr>
          <w:rFonts w:hint="cs"/>
          <w:rtl/>
        </w:rPr>
        <w:t xml:space="preserve">הנאשם בן 24 ולחובתו </w:t>
      </w:r>
      <w:r>
        <w:rPr>
          <w:rFonts w:hint="cs"/>
          <w:rtl/>
        </w:rPr>
        <w:t xml:space="preserve">שלוש הרשעות קודמות בעבירות רכוש ואלימות, בגינן ריצה עונשי מאסר בפועל. </w:t>
      </w:r>
    </w:p>
    <w:p w14:paraId="4901DB7A" w14:textId="77777777" w:rsidR="00AA6AA1" w:rsidRPr="003706D0" w:rsidRDefault="00AA6AA1" w:rsidP="00AA6AA1">
      <w:pPr>
        <w:pStyle w:val="ListParagraph"/>
        <w:spacing w:line="360" w:lineRule="auto"/>
        <w:jc w:val="both"/>
      </w:pPr>
    </w:p>
    <w:p w14:paraId="674DB7E7" w14:textId="77777777" w:rsidR="00AA6AA1" w:rsidRDefault="00AA6AA1" w:rsidP="00AA6AA1">
      <w:pPr>
        <w:pStyle w:val="ListParagraph"/>
        <w:numPr>
          <w:ilvl w:val="0"/>
          <w:numId w:val="1"/>
        </w:numPr>
        <w:spacing w:line="360" w:lineRule="auto"/>
        <w:jc w:val="both"/>
      </w:pPr>
      <w:r>
        <w:rPr>
          <w:rFonts w:hint="cs"/>
          <w:rtl/>
        </w:rPr>
        <w:t xml:space="preserve">אשקול לזכות הנאשם את הודאתו בכתב האישום המתוקן בשלב מוקדם יחסית של ההליך ומבלי שהובטח לו דבר. בצדה של ההודאה חסכון בזמן שיפוטי וקבלת אחריות על המעשים. עם זאת, לא ניתן להתעלם מהעובדה כי גם בעת שמיעת הטיעונים לעונש הנאשם שב והצדיק את מעשיו ותלה אותם ברצונו להקל על סבלו של אביו שהוא מכור לסמים. טענה זו מחזקת את החשש, שמא הנאשם לא הפנים באופן מלא את הפסול שבמעשה. חשש זה מחייב שקילת שיקולי הרתעה אישית, אשר יבואו לביטוי בתוך מתחם העונש ההולם. </w:t>
      </w:r>
    </w:p>
    <w:p w14:paraId="2B94F7EE" w14:textId="77777777" w:rsidR="00AA6AA1" w:rsidRPr="00D3563F" w:rsidRDefault="00AA6AA1" w:rsidP="00AA6AA1">
      <w:pPr>
        <w:pStyle w:val="ListParagraph"/>
        <w:spacing w:line="360" w:lineRule="auto"/>
        <w:jc w:val="both"/>
      </w:pPr>
    </w:p>
    <w:p w14:paraId="0CF8253A" w14:textId="77777777" w:rsidR="00AA6AA1" w:rsidRDefault="00AA6AA1" w:rsidP="00AA6AA1">
      <w:pPr>
        <w:pStyle w:val="ListParagraph"/>
        <w:numPr>
          <w:ilvl w:val="0"/>
          <w:numId w:val="1"/>
        </w:numPr>
        <w:spacing w:line="360" w:lineRule="auto"/>
        <w:jc w:val="both"/>
      </w:pPr>
      <w:r>
        <w:rPr>
          <w:rFonts w:hint="cs"/>
          <w:rtl/>
        </w:rPr>
        <w:t xml:space="preserve">במהלך הדיונים נחשף בית המשפט לעובדה כי הנאשם שולב בקהילה הטיפולית "מלכישוע" לצורך גמילה מסמים החל מיום 7.3.18. עם זאת, בהמשך התברר, כי זמן קצר לאחר מכן הנאשם עזב את הקהילה הטיפולית, ומשכך ניתן להבין כי הוא עודו מכור לסמים, עובדה המעצימה את הסיכון להישנות עבירות בתחום זה. </w:t>
      </w:r>
    </w:p>
    <w:p w14:paraId="26B8EBA7" w14:textId="77777777" w:rsidR="00AA6AA1" w:rsidRPr="0096420A" w:rsidRDefault="00AA6AA1" w:rsidP="00AA6AA1">
      <w:pPr>
        <w:pStyle w:val="ListParagraph"/>
        <w:spacing w:line="360" w:lineRule="auto"/>
        <w:jc w:val="both"/>
      </w:pPr>
    </w:p>
    <w:p w14:paraId="1F352762" w14:textId="77777777" w:rsidR="00AA6AA1" w:rsidRDefault="00AA6AA1" w:rsidP="00AA6AA1">
      <w:pPr>
        <w:pStyle w:val="ListParagraph"/>
        <w:numPr>
          <w:ilvl w:val="0"/>
          <w:numId w:val="1"/>
        </w:numPr>
        <w:spacing w:line="360" w:lineRule="auto"/>
        <w:jc w:val="both"/>
      </w:pPr>
      <w:r>
        <w:rPr>
          <w:rFonts w:hint="cs"/>
          <w:rtl/>
        </w:rPr>
        <w:t xml:space="preserve">עם זאת, יש לתת משקל מסוים גם לנסיבות חייו הקשות של הנאשם, והעובדה שנחשף לשימוש בסמים מגיל צעיר על רקע נסיבות אלה, שלא הייתה לו כל שליטה עליהן. </w:t>
      </w:r>
    </w:p>
    <w:p w14:paraId="5534998A" w14:textId="77777777" w:rsidR="00AA6AA1" w:rsidRDefault="00AA6AA1" w:rsidP="00AA6AA1">
      <w:pPr>
        <w:pStyle w:val="ListParagraph"/>
        <w:spacing w:line="360" w:lineRule="auto"/>
        <w:jc w:val="both"/>
      </w:pPr>
    </w:p>
    <w:p w14:paraId="5DF33326" w14:textId="77777777" w:rsidR="00AA6AA1" w:rsidRDefault="00AA6AA1" w:rsidP="00AA6AA1">
      <w:pPr>
        <w:pStyle w:val="ListParagraph"/>
        <w:numPr>
          <w:ilvl w:val="0"/>
          <w:numId w:val="1"/>
        </w:numPr>
        <w:spacing w:line="360" w:lineRule="auto"/>
        <w:jc w:val="both"/>
      </w:pPr>
      <w:r>
        <w:rPr>
          <w:rFonts w:hint="cs"/>
          <w:rtl/>
        </w:rPr>
        <w:t xml:space="preserve">לנוכח האמור לעיל יש לגזור על הנאשם עונש המצוי בחלקו התחתון של מתחם העונש ההולם, אך לא בתחתית המתחם. אני גוזרת על הנאשם את העונשים הבאים: </w:t>
      </w:r>
    </w:p>
    <w:p w14:paraId="55FE27D9" w14:textId="77777777" w:rsidR="00AA6AA1" w:rsidRDefault="00AA6AA1" w:rsidP="00AA6AA1">
      <w:pPr>
        <w:pStyle w:val="ListParagraph"/>
        <w:spacing w:line="360" w:lineRule="auto"/>
        <w:jc w:val="both"/>
      </w:pPr>
    </w:p>
    <w:p w14:paraId="124B9104" w14:textId="77777777" w:rsidR="00AA6AA1" w:rsidRDefault="00AA6AA1" w:rsidP="00AA6AA1">
      <w:pPr>
        <w:pStyle w:val="ListParagraph"/>
        <w:numPr>
          <w:ilvl w:val="0"/>
          <w:numId w:val="2"/>
        </w:numPr>
        <w:spacing w:line="360" w:lineRule="auto"/>
        <w:jc w:val="both"/>
      </w:pPr>
      <w:r>
        <w:rPr>
          <w:rFonts w:hint="cs"/>
          <w:rtl/>
        </w:rPr>
        <w:t xml:space="preserve">תשעה חודשי מאסר בפועל בניכוי ימי מעצרו בתיק זה. </w:t>
      </w:r>
    </w:p>
    <w:p w14:paraId="7807107B" w14:textId="77777777" w:rsidR="00AA6AA1" w:rsidRPr="006561F2" w:rsidRDefault="00AA6AA1" w:rsidP="00AA6AA1">
      <w:pPr>
        <w:pStyle w:val="ListParagraph"/>
        <w:spacing w:line="360" w:lineRule="auto"/>
        <w:ind w:left="1440"/>
        <w:jc w:val="both"/>
      </w:pPr>
    </w:p>
    <w:p w14:paraId="42102A35" w14:textId="77777777" w:rsidR="00AA6AA1" w:rsidRDefault="00AA6AA1" w:rsidP="00AA6AA1">
      <w:pPr>
        <w:pStyle w:val="ListParagraph"/>
        <w:numPr>
          <w:ilvl w:val="0"/>
          <w:numId w:val="2"/>
        </w:numPr>
        <w:spacing w:line="360" w:lineRule="auto"/>
        <w:jc w:val="both"/>
      </w:pPr>
      <w:r>
        <w:rPr>
          <w:rFonts w:hint="cs"/>
          <w:rtl/>
        </w:rPr>
        <w:t xml:space="preserve">שישה חודשי מאסר על תנאי למשך שלוש שנים מיום שחרורו ממאסר, שלא יעבור עבירה לפי </w:t>
      </w:r>
      <w:hyperlink r:id="rId13" w:history="1">
        <w:r w:rsidR="001C4965" w:rsidRPr="001C4965">
          <w:rPr>
            <w:color w:val="0000FF"/>
            <w:u w:val="single"/>
            <w:rtl/>
          </w:rPr>
          <w:t>פקודת הסמים המסוכנים</w:t>
        </w:r>
      </w:hyperlink>
      <w:r>
        <w:rPr>
          <w:rFonts w:hint="cs"/>
          <w:rtl/>
        </w:rPr>
        <w:t>, למעט החזקת סמים לצריכה עצמית או כלים.</w:t>
      </w:r>
    </w:p>
    <w:p w14:paraId="012FFFE9" w14:textId="77777777" w:rsidR="00AA6AA1" w:rsidRDefault="00AA6AA1" w:rsidP="00AA6AA1">
      <w:pPr>
        <w:pStyle w:val="ListParagraph"/>
        <w:spacing w:line="360" w:lineRule="auto"/>
        <w:ind w:left="1440"/>
        <w:jc w:val="both"/>
      </w:pPr>
    </w:p>
    <w:p w14:paraId="29793A27" w14:textId="77777777" w:rsidR="00AA6AA1" w:rsidRDefault="00AA6AA1" w:rsidP="00AA6AA1">
      <w:pPr>
        <w:pStyle w:val="ListParagraph"/>
        <w:numPr>
          <w:ilvl w:val="0"/>
          <w:numId w:val="2"/>
        </w:numPr>
        <w:spacing w:line="360" w:lineRule="auto"/>
        <w:jc w:val="both"/>
      </w:pPr>
      <w:r>
        <w:rPr>
          <w:rFonts w:hint="cs"/>
          <w:rtl/>
        </w:rPr>
        <w:t xml:space="preserve">חודש מאסר על תנאי למשך שלוש שנים מיום שחרורו ממאסר, שלא יעבור עבירה של החזקת סמים לצריכה עצמית או כלים.  </w:t>
      </w:r>
    </w:p>
    <w:p w14:paraId="2AB8BFF7" w14:textId="77777777" w:rsidR="00AA6AA1" w:rsidRPr="00055E48" w:rsidRDefault="00AA6AA1" w:rsidP="00AA6AA1">
      <w:pPr>
        <w:pStyle w:val="ListParagraph"/>
        <w:spacing w:line="360" w:lineRule="auto"/>
        <w:jc w:val="both"/>
      </w:pPr>
    </w:p>
    <w:p w14:paraId="0CA924E3" w14:textId="77777777" w:rsidR="00AA6AA1" w:rsidRDefault="00AA6AA1" w:rsidP="00AA6AA1">
      <w:pPr>
        <w:pStyle w:val="ListParagraph"/>
        <w:numPr>
          <w:ilvl w:val="0"/>
          <w:numId w:val="1"/>
        </w:numPr>
        <w:spacing w:line="360" w:lineRule="auto"/>
        <w:jc w:val="both"/>
      </w:pPr>
      <w:r>
        <w:rPr>
          <w:rFonts w:hint="cs"/>
          <w:rtl/>
        </w:rPr>
        <w:t xml:space="preserve">הסם יושמד. </w:t>
      </w:r>
    </w:p>
    <w:p w14:paraId="4FF8D27F" w14:textId="77777777" w:rsidR="00AA6AA1" w:rsidRDefault="00AA6AA1" w:rsidP="00AA6AA1">
      <w:pPr>
        <w:pStyle w:val="ListParagraph"/>
        <w:spacing w:line="360" w:lineRule="auto"/>
        <w:jc w:val="both"/>
      </w:pPr>
    </w:p>
    <w:p w14:paraId="17B032E9" w14:textId="77777777" w:rsidR="00AA6AA1" w:rsidRDefault="00AA6AA1" w:rsidP="00AA6AA1">
      <w:pPr>
        <w:pStyle w:val="ListParagraph"/>
        <w:numPr>
          <w:ilvl w:val="0"/>
          <w:numId w:val="1"/>
        </w:numPr>
        <w:spacing w:line="360" w:lineRule="auto"/>
        <w:jc w:val="both"/>
      </w:pPr>
      <w:r>
        <w:rPr>
          <w:rFonts w:hint="cs"/>
          <w:rtl/>
        </w:rPr>
        <w:t xml:space="preserve">זכות ערעור לבית המשפט המחוזי בירושלים בתוך 45 ימים מהיום. </w:t>
      </w:r>
    </w:p>
    <w:p w14:paraId="5D9DCB7E" w14:textId="77777777" w:rsidR="00AA6AA1" w:rsidRPr="006561F2" w:rsidRDefault="00AA6AA1" w:rsidP="00AA6AA1">
      <w:pPr>
        <w:pStyle w:val="ListParagraph"/>
        <w:spacing w:line="360" w:lineRule="auto"/>
        <w:jc w:val="both"/>
      </w:pPr>
    </w:p>
    <w:p w14:paraId="0994791E" w14:textId="77777777" w:rsidR="00AA6AA1" w:rsidRPr="001C4965" w:rsidRDefault="001C4965" w:rsidP="00AA6AA1">
      <w:pPr>
        <w:spacing w:line="360" w:lineRule="auto"/>
        <w:jc w:val="both"/>
        <w:rPr>
          <w:rFonts w:ascii="Arial" w:hAnsi="Arial"/>
          <w:color w:val="FFFFFF"/>
          <w:sz w:val="2"/>
          <w:szCs w:val="2"/>
          <w:rtl/>
        </w:rPr>
      </w:pPr>
      <w:r w:rsidRPr="001C4965">
        <w:rPr>
          <w:rFonts w:ascii="Arial" w:hAnsi="Arial"/>
          <w:color w:val="FFFFFF"/>
          <w:sz w:val="2"/>
          <w:szCs w:val="2"/>
          <w:rtl/>
        </w:rPr>
        <w:t>5129371</w:t>
      </w:r>
    </w:p>
    <w:p w14:paraId="1FF72D4C" w14:textId="77777777" w:rsidR="00AA6AA1" w:rsidRDefault="001C4965" w:rsidP="00AA6AA1">
      <w:pPr>
        <w:rPr>
          <w:rFonts w:cs="FrankRuehl"/>
          <w:sz w:val="28"/>
          <w:szCs w:val="28"/>
          <w:rtl/>
        </w:rPr>
      </w:pPr>
      <w:r w:rsidRPr="001C4965">
        <w:rPr>
          <w:rFonts w:ascii="Arial" w:hAnsi="Arial"/>
          <w:color w:val="FFFFFF"/>
          <w:sz w:val="2"/>
          <w:szCs w:val="2"/>
          <w:rtl/>
        </w:rPr>
        <w:t>54678313</w:t>
      </w:r>
      <w:r>
        <w:rPr>
          <w:rFonts w:ascii="Arial" w:hAnsi="Arial"/>
          <w:rtl/>
        </w:rPr>
        <w:t xml:space="preserve">ניתן היום,  ו' כסלו תשע"ט, 14 נובמבר 2018, בנוכחות הצדדים. </w:t>
      </w:r>
    </w:p>
    <w:p w14:paraId="68917554" w14:textId="77777777" w:rsidR="00AA6AA1" w:rsidRDefault="00AA6AA1" w:rsidP="00AA6AA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F4F049D" w14:textId="77777777" w:rsidR="00AA6AA1" w:rsidRDefault="00AA6AA1" w:rsidP="00AA6AA1">
      <w:pPr>
        <w:jc w:val="center"/>
        <w:rPr>
          <w:rFonts w:ascii="Arial" w:hAnsi="Arial" w:cs="FrankRuehl"/>
          <w:sz w:val="28"/>
          <w:szCs w:val="28"/>
          <w:rtl/>
        </w:rPr>
      </w:pPr>
    </w:p>
    <w:p w14:paraId="0570C07F" w14:textId="77777777" w:rsidR="00AA6AA1" w:rsidRDefault="00AA6AA1" w:rsidP="00AA6AA1">
      <w:pPr>
        <w:rPr>
          <w:rFonts w:cs="FrankRuehl"/>
          <w:sz w:val="28"/>
          <w:szCs w:val="28"/>
          <w:rtl/>
        </w:rPr>
      </w:pPr>
    </w:p>
    <w:p w14:paraId="51958A39" w14:textId="77777777" w:rsidR="00AA6AA1" w:rsidRPr="00CB3664" w:rsidRDefault="00CB3664" w:rsidP="00AA6AA1">
      <w:pPr>
        <w:pStyle w:val="a3"/>
        <w:jc w:val="center"/>
        <w:rPr>
          <w:color w:val="FFFFFF"/>
          <w:sz w:val="2"/>
          <w:szCs w:val="2"/>
          <w:rtl/>
        </w:rPr>
      </w:pPr>
      <w:r w:rsidRPr="00CB3664">
        <w:rPr>
          <w:color w:val="FFFFFF"/>
          <w:sz w:val="2"/>
          <w:szCs w:val="2"/>
          <w:rtl/>
        </w:rPr>
        <w:t>5129371</w:t>
      </w:r>
    </w:p>
    <w:p w14:paraId="70E48E7C" w14:textId="77777777" w:rsidR="00AE77B9" w:rsidRPr="00CB3664" w:rsidRDefault="00CB3664" w:rsidP="001C4965">
      <w:pPr>
        <w:keepNext/>
        <w:rPr>
          <w:rFonts w:ascii="David" w:hAnsi="David"/>
          <w:color w:val="FFFFFF"/>
          <w:sz w:val="2"/>
          <w:szCs w:val="2"/>
          <w:rtl/>
        </w:rPr>
      </w:pPr>
      <w:r w:rsidRPr="00CB3664">
        <w:rPr>
          <w:rFonts w:ascii="David" w:hAnsi="David"/>
          <w:color w:val="FFFFFF"/>
          <w:sz w:val="2"/>
          <w:szCs w:val="2"/>
          <w:rtl/>
        </w:rPr>
        <w:t>54678313</w:t>
      </w:r>
    </w:p>
    <w:p w14:paraId="0B3B2CD4" w14:textId="77777777" w:rsidR="001C4965" w:rsidRPr="001C4965" w:rsidRDefault="001C4965" w:rsidP="001C4965">
      <w:pPr>
        <w:keepNext/>
        <w:rPr>
          <w:rFonts w:ascii="David" w:hAnsi="David"/>
          <w:color w:val="000000"/>
          <w:sz w:val="22"/>
          <w:szCs w:val="22"/>
          <w:rtl/>
        </w:rPr>
      </w:pPr>
      <w:r w:rsidRPr="001C4965">
        <w:rPr>
          <w:rFonts w:ascii="David" w:hAnsi="David"/>
          <w:color w:val="000000"/>
          <w:sz w:val="22"/>
          <w:szCs w:val="22"/>
          <w:rtl/>
        </w:rPr>
        <w:t>ג'ויה סקפה שפירא 54678313</w:t>
      </w:r>
    </w:p>
    <w:p w14:paraId="78336534" w14:textId="77777777" w:rsidR="001C4965" w:rsidRDefault="001C4965" w:rsidP="001C4965">
      <w:r w:rsidRPr="001C4965">
        <w:rPr>
          <w:color w:val="000000"/>
          <w:rtl/>
        </w:rPr>
        <w:t>נוסח מסמך זה כפוף לשינויי ניסוח ועריכה</w:t>
      </w:r>
    </w:p>
    <w:p w14:paraId="66BE71D3" w14:textId="77777777" w:rsidR="001C4965" w:rsidRDefault="001C4965" w:rsidP="001C4965">
      <w:pPr>
        <w:rPr>
          <w:rtl/>
        </w:rPr>
      </w:pPr>
    </w:p>
    <w:p w14:paraId="3321A842" w14:textId="77777777" w:rsidR="001C4965" w:rsidRDefault="001C4965" w:rsidP="001C4965">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2D40C871" w14:textId="77777777" w:rsidR="001C4965" w:rsidRPr="00CB3664" w:rsidRDefault="001C4965" w:rsidP="00CB3664">
      <w:pPr>
        <w:rPr>
          <w:color w:val="0000FF"/>
          <w:u w:val="single"/>
        </w:rPr>
      </w:pPr>
    </w:p>
    <w:sectPr w:rsidR="001C4965" w:rsidRPr="00CB3664" w:rsidSect="00CB3664">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1D8F4" w14:textId="77777777" w:rsidR="00F5547A" w:rsidRDefault="00F5547A" w:rsidP="0071499D">
      <w:r>
        <w:separator/>
      </w:r>
    </w:p>
  </w:endnote>
  <w:endnote w:type="continuationSeparator" w:id="0">
    <w:p w14:paraId="7AACC728" w14:textId="77777777" w:rsidR="00F5547A" w:rsidRDefault="00F5547A" w:rsidP="0071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485D8" w14:textId="77777777" w:rsidR="00CB3664" w:rsidRDefault="00CB3664" w:rsidP="00CB36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0FA3B0" w14:textId="77777777" w:rsidR="00351DD6" w:rsidRPr="00CB3664" w:rsidRDefault="00CB3664" w:rsidP="00CB3664">
    <w:pPr>
      <w:pStyle w:val="a5"/>
      <w:pBdr>
        <w:top w:val="single" w:sz="4" w:space="1" w:color="auto"/>
        <w:between w:val="single" w:sz="4" w:space="0" w:color="auto"/>
      </w:pBdr>
      <w:spacing w:after="60"/>
      <w:jc w:val="center"/>
      <w:rPr>
        <w:rFonts w:ascii="FrankRuehl" w:hAnsi="FrankRuehl" w:cs="FrankRuehl"/>
        <w:color w:val="000000"/>
      </w:rPr>
    </w:pPr>
    <w:r w:rsidRPr="00CB36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2849" w14:textId="77777777" w:rsidR="00CB3664" w:rsidRDefault="00CB3664" w:rsidP="00CB36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37A2">
      <w:rPr>
        <w:rFonts w:ascii="FrankRuehl" w:hAnsi="FrankRuehl" w:cs="FrankRuehl"/>
        <w:noProof/>
        <w:rtl/>
      </w:rPr>
      <w:t>1</w:t>
    </w:r>
    <w:r>
      <w:rPr>
        <w:rFonts w:ascii="FrankRuehl" w:hAnsi="FrankRuehl" w:cs="FrankRuehl"/>
        <w:rtl/>
      </w:rPr>
      <w:fldChar w:fldCharType="end"/>
    </w:r>
  </w:p>
  <w:p w14:paraId="1C125369" w14:textId="77777777" w:rsidR="00351DD6" w:rsidRPr="00CB3664" w:rsidRDefault="00CB3664" w:rsidP="00CB3664">
    <w:pPr>
      <w:pStyle w:val="a5"/>
      <w:pBdr>
        <w:top w:val="single" w:sz="4" w:space="1" w:color="auto"/>
        <w:between w:val="single" w:sz="4" w:space="0" w:color="auto"/>
      </w:pBdr>
      <w:spacing w:after="60"/>
      <w:jc w:val="center"/>
      <w:rPr>
        <w:rFonts w:ascii="FrankRuehl" w:hAnsi="FrankRuehl" w:cs="FrankRuehl"/>
        <w:color w:val="000000"/>
      </w:rPr>
    </w:pPr>
    <w:r w:rsidRPr="00CB3664">
      <w:rPr>
        <w:rFonts w:ascii="FrankRuehl" w:hAnsi="FrankRuehl" w:cs="FrankRuehl"/>
        <w:color w:val="000000"/>
      </w:rPr>
      <w:pict w14:anchorId="12E11A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AA524" w14:textId="77777777" w:rsidR="00F5547A" w:rsidRDefault="00F5547A" w:rsidP="0071499D">
      <w:r>
        <w:separator/>
      </w:r>
    </w:p>
  </w:footnote>
  <w:footnote w:type="continuationSeparator" w:id="0">
    <w:p w14:paraId="446A5751" w14:textId="77777777" w:rsidR="00F5547A" w:rsidRDefault="00F5547A" w:rsidP="00714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BBC15" w14:textId="77777777" w:rsidR="001C4965" w:rsidRPr="00CB3664" w:rsidRDefault="00CB3664" w:rsidP="00CB36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30311-12-17</w:t>
    </w:r>
    <w:r>
      <w:rPr>
        <w:rFonts w:ascii="David" w:hAnsi="David"/>
        <w:color w:val="000000"/>
        <w:sz w:val="22"/>
        <w:szCs w:val="22"/>
        <w:rtl/>
      </w:rPr>
      <w:tab/>
      <w:t xml:space="preserve"> מדינת ישראל נ' אברהים שיך 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6E8EB" w14:textId="77777777" w:rsidR="001C4965" w:rsidRPr="00CB3664" w:rsidRDefault="00CB3664" w:rsidP="00CB36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30311-12-17</w:t>
    </w:r>
    <w:r>
      <w:rPr>
        <w:rFonts w:ascii="David" w:hAnsi="David"/>
        <w:color w:val="000000"/>
        <w:sz w:val="22"/>
        <w:szCs w:val="22"/>
        <w:rtl/>
      </w:rPr>
      <w:tab/>
      <w:t xml:space="preserve"> מדינת ישראל נ' אברהים שיך עלי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4046A"/>
    <w:multiLevelType w:val="hybridMultilevel"/>
    <w:tmpl w:val="9A82DB5C"/>
    <w:lvl w:ilvl="0" w:tplc="C35AC54C">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14E5C"/>
    <w:multiLevelType w:val="hybridMultilevel"/>
    <w:tmpl w:val="B3A43A1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2847732">
    <w:abstractNumId w:val="0"/>
  </w:num>
  <w:num w:numId="2" w16cid:durableId="1757558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6AA1"/>
    <w:rsid w:val="000D20FD"/>
    <w:rsid w:val="001C4965"/>
    <w:rsid w:val="00351DD6"/>
    <w:rsid w:val="00353EF1"/>
    <w:rsid w:val="0044208B"/>
    <w:rsid w:val="005137A2"/>
    <w:rsid w:val="0071499D"/>
    <w:rsid w:val="00853BC8"/>
    <w:rsid w:val="00AA6AA1"/>
    <w:rsid w:val="00AE77B9"/>
    <w:rsid w:val="00CB3664"/>
    <w:rsid w:val="00D41B6F"/>
    <w:rsid w:val="00F554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AED6CDF"/>
  <w15:chartTrackingRefBased/>
  <w15:docId w15:val="{FBAEB13E-ABC2-4A36-8E60-BBB0A969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6AA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6AA1"/>
    <w:pPr>
      <w:tabs>
        <w:tab w:val="center" w:pos="4153"/>
        <w:tab w:val="right" w:pos="8306"/>
      </w:tabs>
    </w:pPr>
  </w:style>
  <w:style w:type="character" w:customStyle="1" w:styleId="a4">
    <w:name w:val="כותרת עליונה תו"/>
    <w:link w:val="a3"/>
    <w:rsid w:val="00AA6AA1"/>
    <w:rPr>
      <w:rFonts w:ascii="Times New Roman" w:eastAsia="Times New Roman" w:hAnsi="Times New Roman" w:cs="David"/>
      <w:sz w:val="24"/>
      <w:szCs w:val="24"/>
    </w:rPr>
  </w:style>
  <w:style w:type="paragraph" w:styleId="a5">
    <w:name w:val="footer"/>
    <w:basedOn w:val="a"/>
    <w:link w:val="a6"/>
    <w:rsid w:val="00AA6AA1"/>
    <w:pPr>
      <w:tabs>
        <w:tab w:val="center" w:pos="4153"/>
        <w:tab w:val="right" w:pos="8306"/>
      </w:tabs>
    </w:pPr>
  </w:style>
  <w:style w:type="character" w:customStyle="1" w:styleId="a6">
    <w:name w:val="כותרת תחתונה תו"/>
    <w:link w:val="a5"/>
    <w:rsid w:val="00AA6AA1"/>
    <w:rPr>
      <w:rFonts w:ascii="Times New Roman" w:eastAsia="Times New Roman" w:hAnsi="Times New Roman" w:cs="David"/>
      <w:sz w:val="24"/>
      <w:szCs w:val="24"/>
    </w:rPr>
  </w:style>
  <w:style w:type="table" w:styleId="a7">
    <w:name w:val="Table Grid"/>
    <w:basedOn w:val="a1"/>
    <w:rsid w:val="00AA6A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6AA1"/>
  </w:style>
  <w:style w:type="paragraph" w:customStyle="1" w:styleId="ListParagraph">
    <w:name w:val="List Paragraph"/>
    <w:basedOn w:val="a"/>
    <w:qFormat/>
    <w:rsid w:val="00AA6AA1"/>
    <w:pPr>
      <w:ind w:left="720"/>
      <w:contextualSpacing/>
    </w:pPr>
  </w:style>
  <w:style w:type="character" w:styleId="Hyperlink">
    <w:name w:val="Hyperlink"/>
    <w:rsid w:val="001C49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246310"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536273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0190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case/577236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case/20356752"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5086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6091</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3932278</vt:i4>
      </vt:variant>
      <vt:variant>
        <vt:i4>15</vt:i4>
      </vt:variant>
      <vt:variant>
        <vt:i4>0</vt:i4>
      </vt:variant>
      <vt:variant>
        <vt:i4>5</vt:i4>
      </vt:variant>
      <vt:variant>
        <vt:lpwstr>http://www.nevo.co.il/case/5362738</vt:lpwstr>
      </vt:variant>
      <vt:variant>
        <vt:lpwstr/>
      </vt:variant>
      <vt:variant>
        <vt:i4>3866749</vt:i4>
      </vt:variant>
      <vt:variant>
        <vt:i4>12</vt:i4>
      </vt:variant>
      <vt:variant>
        <vt:i4>0</vt:i4>
      </vt:variant>
      <vt:variant>
        <vt:i4>5</vt:i4>
      </vt:variant>
      <vt:variant>
        <vt:lpwstr>http://www.nevo.co.il/case/5801907</vt:lpwstr>
      </vt:variant>
      <vt:variant>
        <vt:lpwstr/>
      </vt:variant>
      <vt:variant>
        <vt:i4>3735671</vt:i4>
      </vt:variant>
      <vt:variant>
        <vt:i4>9</vt:i4>
      </vt:variant>
      <vt:variant>
        <vt:i4>0</vt:i4>
      </vt:variant>
      <vt:variant>
        <vt:i4>5</vt:i4>
      </vt:variant>
      <vt:variant>
        <vt:lpwstr>http://www.nevo.co.il/case/5772368</vt:lpwstr>
      </vt:variant>
      <vt:variant>
        <vt:lpwstr/>
      </vt:variant>
      <vt:variant>
        <vt:i4>3276918</vt:i4>
      </vt:variant>
      <vt:variant>
        <vt:i4>6</vt:i4>
      </vt:variant>
      <vt:variant>
        <vt:i4>0</vt:i4>
      </vt:variant>
      <vt:variant>
        <vt:i4>5</vt:i4>
      </vt:variant>
      <vt:variant>
        <vt:lpwstr>http://www.nevo.co.il/case/20356752</vt:lpwstr>
      </vt:variant>
      <vt:variant>
        <vt:lpwstr/>
      </vt:variant>
      <vt:variant>
        <vt:i4>3211377</vt:i4>
      </vt:variant>
      <vt:variant>
        <vt:i4>3</vt:i4>
      </vt:variant>
      <vt:variant>
        <vt:i4>0</vt:i4>
      </vt:variant>
      <vt:variant>
        <vt:i4>5</vt:i4>
      </vt:variant>
      <vt:variant>
        <vt:lpwstr>http://www.nevo.co.il/case/6246310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2025-04-22T23:36:00Z</dcterms:created>
  <dcterms:modified xsi:type="dcterms:W3CDTF">2025-04-22T23:36:00Z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30311</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אברהים שיך עלי</vt:lpwstr>
  </property>
  <property fmtid="{D5CDD505-2E9C-101B-9397-08002B2CF9AE}" pid="10" name="LAWYER">
    <vt:lpwstr>ליטל אריאלי;אשרף חסן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20181114</vt:lpwstr>
  </property>
  <property fmtid="{D5CDD505-2E9C-101B-9397-08002B2CF9AE}" pid="14" name="TYPE_N_DATE">
    <vt:lpwstr>38020181114</vt:lpwstr>
  </property>
  <property fmtid="{D5CDD505-2E9C-101B-9397-08002B2CF9AE}" pid="15" name="CASESLISTTMP1">
    <vt:lpwstr>6246310;20356752;5772368;5801907;5362738</vt:lpwstr>
  </property>
  <property fmtid="{D5CDD505-2E9C-101B-9397-08002B2CF9AE}" pid="16" name="WORDNUMPAGES">
    <vt:lpwstr>5</vt:lpwstr>
  </property>
  <property fmtid="{D5CDD505-2E9C-101B-9397-08002B2CF9AE}" pid="17" name="TYPE_ABS_DATE">
    <vt:lpwstr>380020181114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vt:lpwstr>
  </property>
</Properties>
</file>