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76774" w:rsidRPr="00976EB1" w14:paraId="2B84D56B" w14:textId="77777777" w:rsidTr="00F437DB">
        <w:trPr>
          <w:trHeight w:hRule="exact" w:val="418"/>
          <w:jc w:val="center"/>
        </w:trPr>
        <w:tc>
          <w:tcPr>
            <w:tcW w:w="8721" w:type="dxa"/>
            <w:gridSpan w:val="2"/>
          </w:tcPr>
          <w:p w14:paraId="353E2100" w14:textId="77777777" w:rsidR="00C76774" w:rsidRPr="00976EB1" w:rsidRDefault="00C76774" w:rsidP="005B329A">
            <w:pPr>
              <w:pStyle w:val="a3"/>
              <w:jc w:val="center"/>
              <w:rPr>
                <w:rFonts w:ascii="Tahoma" w:hAnsi="Tahoma" w:cs="Tahoma"/>
                <w:color w:val="000080"/>
                <w:rtl/>
              </w:rPr>
            </w:pPr>
            <w:bookmarkStart w:id="0" w:name="LastJudge"/>
            <w:r w:rsidRPr="00976EB1">
              <w:rPr>
                <w:rFonts w:ascii="Tahoma" w:hAnsi="Tahoma" w:cs="Tahoma"/>
                <w:b/>
                <w:bCs/>
                <w:color w:val="000080"/>
                <w:rtl/>
              </w:rPr>
              <w:t>בית משפט השלום בראשון לציון</w:t>
            </w:r>
          </w:p>
        </w:tc>
      </w:tr>
      <w:tr w:rsidR="00C76774" w:rsidRPr="00D05667" w14:paraId="0AA83938" w14:textId="77777777" w:rsidTr="00F437DB">
        <w:trPr>
          <w:trHeight w:val="337"/>
          <w:jc w:val="center"/>
        </w:trPr>
        <w:tc>
          <w:tcPr>
            <w:tcW w:w="5054" w:type="dxa"/>
          </w:tcPr>
          <w:p w14:paraId="21FC2A3D" w14:textId="77777777" w:rsidR="00C76774" w:rsidRPr="00D05667" w:rsidRDefault="00C76774" w:rsidP="005B329A">
            <w:pPr>
              <w:rPr>
                <w:rFonts w:ascii="David" w:hAnsi="David"/>
                <w:b/>
                <w:bCs/>
                <w:sz w:val="26"/>
                <w:szCs w:val="26"/>
                <w:rtl/>
              </w:rPr>
            </w:pPr>
            <w:r w:rsidRPr="00D05667">
              <w:rPr>
                <w:rFonts w:ascii="David" w:hAnsi="David"/>
                <w:b/>
                <w:bCs/>
                <w:sz w:val="26"/>
                <w:szCs w:val="26"/>
                <w:rtl/>
              </w:rPr>
              <w:t>ת"פ 44871-12-17 מדינת ישראל נ' ביטון</w:t>
            </w:r>
          </w:p>
          <w:p w14:paraId="61ED1AC2" w14:textId="77777777" w:rsidR="00C76774" w:rsidRPr="00D05667" w:rsidRDefault="00C76774" w:rsidP="005B329A">
            <w:pPr>
              <w:pStyle w:val="a3"/>
              <w:rPr>
                <w:rFonts w:ascii="David" w:hAnsi="David"/>
                <w:b/>
                <w:bCs/>
                <w:sz w:val="26"/>
                <w:szCs w:val="26"/>
                <w:rtl/>
              </w:rPr>
            </w:pPr>
          </w:p>
        </w:tc>
        <w:tc>
          <w:tcPr>
            <w:tcW w:w="3667" w:type="dxa"/>
          </w:tcPr>
          <w:p w14:paraId="602871F2" w14:textId="77777777" w:rsidR="00C76774" w:rsidRPr="00D05667" w:rsidRDefault="00C76774" w:rsidP="005B329A">
            <w:pPr>
              <w:pStyle w:val="a3"/>
              <w:jc w:val="right"/>
              <w:rPr>
                <w:rFonts w:ascii="David" w:hAnsi="David"/>
                <w:b/>
                <w:bCs/>
                <w:sz w:val="26"/>
                <w:szCs w:val="26"/>
                <w:rtl/>
              </w:rPr>
            </w:pPr>
          </w:p>
        </w:tc>
      </w:tr>
    </w:tbl>
    <w:p w14:paraId="72A7C6D3" w14:textId="77777777" w:rsidR="00C76774" w:rsidRPr="00D05667" w:rsidRDefault="00C76774" w:rsidP="00C76774">
      <w:pPr>
        <w:rPr>
          <w:rFonts w:ascii="David" w:hAnsi="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76774" w:rsidRPr="00D05667" w14:paraId="2C7E834F" w14:textId="77777777" w:rsidTr="00C76774">
        <w:trPr>
          <w:trHeight w:val="295"/>
          <w:jc w:val="center"/>
        </w:trPr>
        <w:tc>
          <w:tcPr>
            <w:tcW w:w="923" w:type="dxa"/>
            <w:tcBorders>
              <w:top w:val="nil"/>
              <w:left w:val="nil"/>
              <w:bottom w:val="nil"/>
              <w:right w:val="nil"/>
            </w:tcBorders>
            <w:shd w:val="clear" w:color="auto" w:fill="auto"/>
          </w:tcPr>
          <w:p w14:paraId="2983704F" w14:textId="77777777" w:rsidR="00C76774" w:rsidRPr="00D05667" w:rsidRDefault="00C76774" w:rsidP="00C76774">
            <w:pPr>
              <w:jc w:val="both"/>
              <w:rPr>
                <w:rFonts w:ascii="David" w:hAnsi="David"/>
                <w:b/>
                <w:bCs/>
                <w:sz w:val="26"/>
                <w:szCs w:val="26"/>
              </w:rPr>
            </w:pPr>
            <w:r w:rsidRPr="00D05667">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27850A8" w14:textId="77777777" w:rsidR="00C76774" w:rsidRPr="00D05667" w:rsidRDefault="00C76774" w:rsidP="005B329A">
            <w:pPr>
              <w:rPr>
                <w:rFonts w:ascii="David" w:hAnsi="David"/>
                <w:b/>
                <w:bCs/>
                <w:sz w:val="26"/>
                <w:szCs w:val="26"/>
                <w:rtl/>
              </w:rPr>
            </w:pPr>
            <w:r w:rsidRPr="00D05667">
              <w:rPr>
                <w:rFonts w:ascii="David" w:hAnsi="David"/>
                <w:b/>
                <w:bCs/>
                <w:sz w:val="26"/>
                <w:szCs w:val="26"/>
                <w:rtl/>
              </w:rPr>
              <w:t>כבוד השופט  עמית מיכלס</w:t>
            </w:r>
          </w:p>
          <w:p w14:paraId="4CBAFB39" w14:textId="77777777" w:rsidR="00C76774" w:rsidRPr="00D05667" w:rsidRDefault="00C76774" w:rsidP="005B329A">
            <w:pPr>
              <w:rPr>
                <w:rFonts w:ascii="David" w:hAnsi="David"/>
                <w:b/>
                <w:bCs/>
                <w:sz w:val="26"/>
                <w:szCs w:val="26"/>
                <w:rtl/>
              </w:rPr>
            </w:pPr>
          </w:p>
          <w:p w14:paraId="3C448A68" w14:textId="77777777" w:rsidR="00C76774" w:rsidRPr="00D05667" w:rsidRDefault="00C76774" w:rsidP="00C76774">
            <w:pPr>
              <w:jc w:val="both"/>
              <w:rPr>
                <w:rFonts w:ascii="David" w:hAnsi="David"/>
                <w:b/>
                <w:bCs/>
                <w:sz w:val="26"/>
                <w:szCs w:val="26"/>
              </w:rPr>
            </w:pPr>
          </w:p>
        </w:tc>
      </w:tr>
      <w:tr w:rsidR="00C76774" w:rsidRPr="00D05667" w14:paraId="599F7B07" w14:textId="77777777" w:rsidTr="00C76774">
        <w:trPr>
          <w:trHeight w:val="355"/>
          <w:jc w:val="center"/>
        </w:trPr>
        <w:tc>
          <w:tcPr>
            <w:tcW w:w="923" w:type="dxa"/>
            <w:tcBorders>
              <w:top w:val="nil"/>
              <w:left w:val="nil"/>
              <w:bottom w:val="nil"/>
              <w:right w:val="nil"/>
            </w:tcBorders>
            <w:shd w:val="clear" w:color="auto" w:fill="auto"/>
          </w:tcPr>
          <w:p w14:paraId="0C804B23" w14:textId="77777777" w:rsidR="00C76774" w:rsidRPr="00D05667" w:rsidRDefault="00C76774" w:rsidP="00C76774">
            <w:pPr>
              <w:jc w:val="both"/>
              <w:rPr>
                <w:rFonts w:ascii="David" w:hAnsi="David"/>
                <w:b/>
                <w:bCs/>
                <w:sz w:val="26"/>
                <w:szCs w:val="26"/>
              </w:rPr>
            </w:pPr>
            <w:bookmarkStart w:id="1" w:name="FirstAppellant"/>
            <w:r w:rsidRPr="00D05667">
              <w:rPr>
                <w:rFonts w:ascii="David" w:hAnsi="David"/>
                <w:b/>
                <w:bCs/>
                <w:sz w:val="26"/>
                <w:szCs w:val="26"/>
                <w:rtl/>
              </w:rPr>
              <w:t>בעניין:</w:t>
            </w:r>
          </w:p>
        </w:tc>
        <w:tc>
          <w:tcPr>
            <w:tcW w:w="4126" w:type="dxa"/>
            <w:tcBorders>
              <w:top w:val="nil"/>
              <w:left w:val="nil"/>
              <w:bottom w:val="nil"/>
              <w:right w:val="nil"/>
            </w:tcBorders>
            <w:shd w:val="clear" w:color="auto" w:fill="auto"/>
          </w:tcPr>
          <w:p w14:paraId="30CF4499" w14:textId="77777777" w:rsidR="00C76774" w:rsidRPr="00D05667" w:rsidRDefault="00C76774" w:rsidP="005B329A">
            <w:pPr>
              <w:rPr>
                <w:rFonts w:ascii="David" w:hAnsi="David"/>
                <w:b/>
                <w:bCs/>
                <w:sz w:val="26"/>
                <w:szCs w:val="26"/>
              </w:rPr>
            </w:pPr>
            <w:r w:rsidRPr="00D05667">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1A8774FB" w14:textId="77777777" w:rsidR="00C76774" w:rsidRPr="00D05667" w:rsidRDefault="00C76774" w:rsidP="00C76774">
            <w:pPr>
              <w:jc w:val="both"/>
              <w:rPr>
                <w:rFonts w:ascii="David" w:hAnsi="David"/>
                <w:b/>
                <w:bCs/>
                <w:sz w:val="26"/>
                <w:szCs w:val="26"/>
              </w:rPr>
            </w:pPr>
          </w:p>
        </w:tc>
      </w:tr>
      <w:bookmarkEnd w:id="1"/>
      <w:tr w:rsidR="00C76774" w:rsidRPr="00D05667" w14:paraId="687A0E08" w14:textId="77777777" w:rsidTr="00C76774">
        <w:trPr>
          <w:trHeight w:val="355"/>
          <w:jc w:val="center"/>
        </w:trPr>
        <w:tc>
          <w:tcPr>
            <w:tcW w:w="923" w:type="dxa"/>
            <w:tcBorders>
              <w:top w:val="nil"/>
              <w:left w:val="nil"/>
              <w:bottom w:val="nil"/>
              <w:right w:val="nil"/>
            </w:tcBorders>
            <w:shd w:val="clear" w:color="auto" w:fill="auto"/>
          </w:tcPr>
          <w:p w14:paraId="563F9E13" w14:textId="77777777" w:rsidR="00C76774" w:rsidRPr="00D05667" w:rsidRDefault="00C76774" w:rsidP="00C76774">
            <w:pPr>
              <w:jc w:val="both"/>
              <w:rPr>
                <w:rFonts w:ascii="David" w:hAnsi="David"/>
                <w:b/>
                <w:bCs/>
                <w:sz w:val="26"/>
                <w:szCs w:val="26"/>
                <w:rtl/>
              </w:rPr>
            </w:pPr>
          </w:p>
        </w:tc>
        <w:tc>
          <w:tcPr>
            <w:tcW w:w="4126" w:type="dxa"/>
            <w:tcBorders>
              <w:top w:val="nil"/>
              <w:left w:val="nil"/>
              <w:bottom w:val="nil"/>
              <w:right w:val="nil"/>
            </w:tcBorders>
            <w:shd w:val="clear" w:color="auto" w:fill="auto"/>
          </w:tcPr>
          <w:p w14:paraId="61A01345" w14:textId="77777777" w:rsidR="00C76774" w:rsidRPr="00D05667" w:rsidRDefault="00C76774" w:rsidP="00C76774">
            <w:pPr>
              <w:jc w:val="both"/>
              <w:rPr>
                <w:rFonts w:ascii="David" w:hAnsi="David"/>
                <w:b/>
                <w:bCs/>
                <w:sz w:val="26"/>
                <w:szCs w:val="26"/>
                <w:rtl/>
              </w:rPr>
            </w:pPr>
          </w:p>
        </w:tc>
        <w:tc>
          <w:tcPr>
            <w:tcW w:w="3771" w:type="dxa"/>
            <w:tcBorders>
              <w:top w:val="nil"/>
              <w:left w:val="nil"/>
              <w:bottom w:val="nil"/>
              <w:right w:val="nil"/>
            </w:tcBorders>
            <w:shd w:val="clear" w:color="auto" w:fill="auto"/>
          </w:tcPr>
          <w:p w14:paraId="55102C23" w14:textId="77777777" w:rsidR="00C76774" w:rsidRPr="00D05667" w:rsidRDefault="00C76774" w:rsidP="00C76774">
            <w:pPr>
              <w:jc w:val="right"/>
              <w:rPr>
                <w:rFonts w:ascii="David" w:hAnsi="David"/>
                <w:b/>
                <w:bCs/>
                <w:sz w:val="26"/>
                <w:szCs w:val="26"/>
                <w:rtl/>
              </w:rPr>
            </w:pPr>
            <w:r w:rsidRPr="00D05667">
              <w:rPr>
                <w:rFonts w:ascii="David" w:hAnsi="David"/>
                <w:b/>
                <w:bCs/>
                <w:sz w:val="26"/>
                <w:szCs w:val="26"/>
                <w:rtl/>
              </w:rPr>
              <w:t>המאשימה</w:t>
            </w:r>
          </w:p>
        </w:tc>
      </w:tr>
      <w:tr w:rsidR="00C76774" w:rsidRPr="00D05667" w14:paraId="293C879B" w14:textId="77777777" w:rsidTr="00C76774">
        <w:trPr>
          <w:trHeight w:val="355"/>
          <w:jc w:val="center"/>
        </w:trPr>
        <w:tc>
          <w:tcPr>
            <w:tcW w:w="923" w:type="dxa"/>
            <w:tcBorders>
              <w:top w:val="nil"/>
              <w:left w:val="nil"/>
              <w:bottom w:val="nil"/>
              <w:right w:val="nil"/>
            </w:tcBorders>
            <w:shd w:val="clear" w:color="auto" w:fill="auto"/>
          </w:tcPr>
          <w:p w14:paraId="2D794883" w14:textId="77777777" w:rsidR="00C76774" w:rsidRPr="00D05667" w:rsidRDefault="00C76774" w:rsidP="00C76774">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0DF89E1" w14:textId="77777777" w:rsidR="00C76774" w:rsidRPr="00D05667" w:rsidRDefault="00C76774" w:rsidP="00C76774">
            <w:pPr>
              <w:jc w:val="center"/>
              <w:rPr>
                <w:rFonts w:ascii="David" w:hAnsi="David"/>
                <w:b/>
                <w:bCs/>
                <w:sz w:val="26"/>
                <w:szCs w:val="26"/>
                <w:rtl/>
              </w:rPr>
            </w:pPr>
          </w:p>
          <w:p w14:paraId="3AB950BC" w14:textId="77777777" w:rsidR="00C76774" w:rsidRPr="00D05667" w:rsidRDefault="00C76774" w:rsidP="00C76774">
            <w:pPr>
              <w:jc w:val="center"/>
              <w:rPr>
                <w:rFonts w:ascii="David" w:hAnsi="David"/>
                <w:b/>
                <w:bCs/>
                <w:sz w:val="26"/>
                <w:szCs w:val="26"/>
                <w:rtl/>
              </w:rPr>
            </w:pPr>
            <w:r w:rsidRPr="00D05667">
              <w:rPr>
                <w:rFonts w:ascii="David" w:hAnsi="David"/>
                <w:b/>
                <w:bCs/>
                <w:sz w:val="26"/>
                <w:szCs w:val="26"/>
                <w:rtl/>
              </w:rPr>
              <w:t>נגד</w:t>
            </w:r>
          </w:p>
          <w:p w14:paraId="725B0786" w14:textId="77777777" w:rsidR="00C76774" w:rsidRPr="00D05667" w:rsidRDefault="00C76774" w:rsidP="00C76774">
            <w:pPr>
              <w:jc w:val="both"/>
              <w:rPr>
                <w:rFonts w:ascii="David" w:hAnsi="David"/>
                <w:b/>
                <w:bCs/>
                <w:sz w:val="26"/>
                <w:szCs w:val="26"/>
              </w:rPr>
            </w:pPr>
          </w:p>
        </w:tc>
      </w:tr>
      <w:tr w:rsidR="00C76774" w:rsidRPr="00D05667" w14:paraId="6C2280DA" w14:textId="77777777" w:rsidTr="00C76774">
        <w:trPr>
          <w:trHeight w:val="355"/>
          <w:jc w:val="center"/>
        </w:trPr>
        <w:tc>
          <w:tcPr>
            <w:tcW w:w="923" w:type="dxa"/>
            <w:tcBorders>
              <w:top w:val="nil"/>
              <w:left w:val="nil"/>
              <w:bottom w:val="nil"/>
              <w:right w:val="nil"/>
            </w:tcBorders>
            <w:shd w:val="clear" w:color="auto" w:fill="auto"/>
          </w:tcPr>
          <w:p w14:paraId="122B1CC1" w14:textId="77777777" w:rsidR="00C76774" w:rsidRPr="00D05667" w:rsidRDefault="00C76774" w:rsidP="005B329A">
            <w:pPr>
              <w:rPr>
                <w:rFonts w:ascii="David" w:hAnsi="David"/>
                <w:b/>
                <w:bCs/>
                <w:sz w:val="26"/>
                <w:szCs w:val="26"/>
                <w:rtl/>
              </w:rPr>
            </w:pPr>
          </w:p>
        </w:tc>
        <w:tc>
          <w:tcPr>
            <w:tcW w:w="4126" w:type="dxa"/>
            <w:tcBorders>
              <w:top w:val="nil"/>
              <w:left w:val="nil"/>
              <w:bottom w:val="nil"/>
              <w:right w:val="nil"/>
            </w:tcBorders>
            <w:shd w:val="clear" w:color="auto" w:fill="auto"/>
          </w:tcPr>
          <w:p w14:paraId="1AFACA9E" w14:textId="77777777" w:rsidR="00C76774" w:rsidRPr="00D05667" w:rsidRDefault="00C76774" w:rsidP="005B329A">
            <w:pPr>
              <w:rPr>
                <w:rFonts w:ascii="David" w:hAnsi="David"/>
                <w:b/>
                <w:bCs/>
                <w:sz w:val="26"/>
                <w:szCs w:val="26"/>
                <w:rtl/>
              </w:rPr>
            </w:pPr>
            <w:r w:rsidRPr="00D05667">
              <w:rPr>
                <w:rFonts w:ascii="David" w:hAnsi="David"/>
                <w:b/>
                <w:bCs/>
                <w:sz w:val="26"/>
                <w:szCs w:val="26"/>
                <w:rtl/>
              </w:rPr>
              <w:t>חנניה ביטון</w:t>
            </w:r>
          </w:p>
        </w:tc>
        <w:tc>
          <w:tcPr>
            <w:tcW w:w="3771" w:type="dxa"/>
            <w:tcBorders>
              <w:top w:val="nil"/>
              <w:left w:val="nil"/>
              <w:bottom w:val="nil"/>
              <w:right w:val="nil"/>
            </w:tcBorders>
            <w:shd w:val="clear" w:color="auto" w:fill="auto"/>
          </w:tcPr>
          <w:p w14:paraId="223BD336" w14:textId="77777777" w:rsidR="00C76774" w:rsidRPr="00D05667" w:rsidRDefault="00C76774" w:rsidP="00C76774">
            <w:pPr>
              <w:jc w:val="right"/>
              <w:rPr>
                <w:rFonts w:ascii="David" w:hAnsi="David"/>
                <w:b/>
                <w:bCs/>
                <w:sz w:val="26"/>
                <w:szCs w:val="26"/>
              </w:rPr>
            </w:pPr>
          </w:p>
        </w:tc>
      </w:tr>
      <w:tr w:rsidR="00C76774" w:rsidRPr="00D05667" w14:paraId="5B6758E0" w14:textId="77777777" w:rsidTr="00C76774">
        <w:trPr>
          <w:trHeight w:val="355"/>
          <w:jc w:val="center"/>
        </w:trPr>
        <w:tc>
          <w:tcPr>
            <w:tcW w:w="923" w:type="dxa"/>
            <w:tcBorders>
              <w:top w:val="nil"/>
              <w:left w:val="nil"/>
              <w:bottom w:val="nil"/>
              <w:right w:val="nil"/>
            </w:tcBorders>
            <w:shd w:val="clear" w:color="auto" w:fill="auto"/>
          </w:tcPr>
          <w:p w14:paraId="02B61AEB" w14:textId="77777777" w:rsidR="00C76774" w:rsidRPr="00D05667" w:rsidRDefault="00C76774" w:rsidP="00C76774">
            <w:pPr>
              <w:jc w:val="both"/>
              <w:rPr>
                <w:rFonts w:ascii="David" w:hAnsi="David"/>
                <w:b/>
                <w:bCs/>
                <w:sz w:val="26"/>
                <w:szCs w:val="26"/>
                <w:rtl/>
              </w:rPr>
            </w:pPr>
          </w:p>
        </w:tc>
        <w:tc>
          <w:tcPr>
            <w:tcW w:w="4126" w:type="dxa"/>
            <w:tcBorders>
              <w:top w:val="nil"/>
              <w:left w:val="nil"/>
              <w:bottom w:val="nil"/>
              <w:right w:val="nil"/>
            </w:tcBorders>
            <w:shd w:val="clear" w:color="auto" w:fill="auto"/>
          </w:tcPr>
          <w:p w14:paraId="1F335641" w14:textId="77777777" w:rsidR="00C76774" w:rsidRPr="00D05667" w:rsidRDefault="00C76774" w:rsidP="00C76774">
            <w:pPr>
              <w:jc w:val="both"/>
              <w:rPr>
                <w:rFonts w:ascii="David" w:hAnsi="David"/>
                <w:b/>
                <w:bCs/>
                <w:sz w:val="26"/>
                <w:szCs w:val="26"/>
                <w:rtl/>
              </w:rPr>
            </w:pPr>
          </w:p>
        </w:tc>
        <w:tc>
          <w:tcPr>
            <w:tcW w:w="3771" w:type="dxa"/>
            <w:tcBorders>
              <w:top w:val="nil"/>
              <w:left w:val="nil"/>
              <w:bottom w:val="nil"/>
              <w:right w:val="nil"/>
            </w:tcBorders>
            <w:shd w:val="clear" w:color="auto" w:fill="auto"/>
          </w:tcPr>
          <w:p w14:paraId="0F80CDE4" w14:textId="77777777" w:rsidR="00C76774" w:rsidRPr="00D05667" w:rsidRDefault="00C76774" w:rsidP="00C76774">
            <w:pPr>
              <w:jc w:val="right"/>
              <w:rPr>
                <w:rFonts w:ascii="David" w:hAnsi="David"/>
                <w:b/>
                <w:bCs/>
                <w:sz w:val="26"/>
                <w:szCs w:val="26"/>
              </w:rPr>
            </w:pPr>
            <w:r w:rsidRPr="00D05667">
              <w:rPr>
                <w:rFonts w:ascii="David" w:hAnsi="David"/>
                <w:b/>
                <w:bCs/>
                <w:sz w:val="26"/>
                <w:szCs w:val="26"/>
                <w:rtl/>
              </w:rPr>
              <w:t>הנאשם</w:t>
            </w:r>
          </w:p>
        </w:tc>
      </w:tr>
    </w:tbl>
    <w:p w14:paraId="26C97A4B" w14:textId="77777777" w:rsidR="00C76774" w:rsidRPr="00976EB1" w:rsidRDefault="00C76774" w:rsidP="00C76774">
      <w:pPr>
        <w:rPr>
          <w:rtl/>
        </w:rPr>
      </w:pPr>
    </w:p>
    <w:p w14:paraId="1A655ED3" w14:textId="77777777" w:rsidR="00C76774" w:rsidRPr="007447A1" w:rsidRDefault="00C76774" w:rsidP="00C76774">
      <w:pPr>
        <w:rPr>
          <w:b/>
          <w:bCs/>
          <w:sz w:val="26"/>
          <w:szCs w:val="26"/>
          <w:rtl/>
        </w:rPr>
      </w:pPr>
      <w:bookmarkStart w:id="2" w:name="FirstLawyer"/>
      <w:r w:rsidRPr="007447A1">
        <w:rPr>
          <w:rFonts w:hint="cs"/>
          <w:b/>
          <w:bCs/>
          <w:sz w:val="26"/>
          <w:szCs w:val="26"/>
          <w:rtl/>
        </w:rPr>
        <w:t>בשם</w:t>
      </w:r>
      <w:bookmarkEnd w:id="2"/>
      <w:r w:rsidRPr="007447A1">
        <w:rPr>
          <w:rFonts w:hint="cs"/>
          <w:b/>
          <w:bCs/>
          <w:sz w:val="26"/>
          <w:szCs w:val="26"/>
          <w:rtl/>
        </w:rPr>
        <w:t xml:space="preserve"> המאשימה: עו"ד נעמה ניר, יחידת תביעות לה"ב 433</w:t>
      </w:r>
    </w:p>
    <w:p w14:paraId="3DF37462" w14:textId="77777777" w:rsidR="00976EB1" w:rsidRPr="007447A1" w:rsidRDefault="00C76774" w:rsidP="00976EB1">
      <w:pPr>
        <w:spacing w:before="120" w:after="120" w:line="240" w:lineRule="exact"/>
        <w:ind w:left="283" w:hanging="283"/>
        <w:jc w:val="both"/>
        <w:rPr>
          <w:rFonts w:ascii="FrankRuehl" w:hAnsi="FrankRuehl" w:cs="FrankRuehl"/>
          <w:b/>
          <w:bCs/>
          <w:sz w:val="26"/>
          <w:szCs w:val="26"/>
        </w:rPr>
      </w:pPr>
      <w:r w:rsidRPr="007447A1">
        <w:rPr>
          <w:rFonts w:hint="cs"/>
          <w:b/>
          <w:bCs/>
          <w:sz w:val="26"/>
          <w:szCs w:val="26"/>
          <w:rtl/>
        </w:rPr>
        <w:t>בשם הנאשם: עוה"ד ציון סהראי וניר לזר</w:t>
      </w:r>
    </w:p>
    <w:p w14:paraId="3FC4A220" w14:textId="77777777" w:rsidR="00976EB1" w:rsidRPr="007447A1" w:rsidRDefault="00976EB1" w:rsidP="00976EB1"/>
    <w:p w14:paraId="758C8D3F" w14:textId="77777777" w:rsidR="00D05667" w:rsidRPr="00D05667" w:rsidRDefault="00D05667" w:rsidP="00D05667">
      <w:pPr>
        <w:spacing w:before="120" w:after="120" w:line="240" w:lineRule="exact"/>
        <w:ind w:left="283" w:hanging="283"/>
        <w:jc w:val="both"/>
        <w:rPr>
          <w:rFonts w:ascii="FrankRuehl" w:hAnsi="FrankRuehl" w:cs="FrankRuehl"/>
          <w:rtl/>
        </w:rPr>
      </w:pPr>
      <w:bookmarkStart w:id="3" w:name="LawTable"/>
      <w:bookmarkEnd w:id="3"/>
      <w:r w:rsidRPr="00D05667">
        <w:rPr>
          <w:rFonts w:ascii="FrankRuehl" w:hAnsi="FrankRuehl" w:cs="FrankRuehl"/>
          <w:rtl/>
        </w:rPr>
        <w:t xml:space="preserve">חקיקה שאוזכרה: </w:t>
      </w:r>
    </w:p>
    <w:p w14:paraId="2C13B21C" w14:textId="77777777" w:rsidR="00D05667" w:rsidRPr="00D05667" w:rsidRDefault="00D05667" w:rsidP="00D05667">
      <w:pPr>
        <w:spacing w:before="120" w:after="120" w:line="240" w:lineRule="exact"/>
        <w:ind w:left="283" w:hanging="283"/>
        <w:jc w:val="both"/>
        <w:rPr>
          <w:rFonts w:ascii="FrankRuehl" w:hAnsi="FrankRuehl" w:cs="FrankRuehl"/>
          <w:color w:val="0000FF"/>
          <w:rtl/>
        </w:rPr>
      </w:pPr>
      <w:hyperlink r:id="rId7" w:history="1">
        <w:r w:rsidRPr="00D05667">
          <w:rPr>
            <w:rStyle w:val="Hyperlink"/>
            <w:rFonts w:ascii="FrankRuehl" w:hAnsi="FrankRuehl" w:cs="FrankRuehl"/>
            <w:rtl/>
          </w:rPr>
          <w:t>חוק העונשין, תשל"ז-1977</w:t>
        </w:r>
      </w:hyperlink>
      <w:r w:rsidRPr="00D05667">
        <w:rPr>
          <w:rFonts w:ascii="FrankRuehl" w:hAnsi="FrankRuehl" w:cs="FrankRuehl"/>
          <w:color w:val="0000FF"/>
          <w:u w:val="single"/>
          <w:rtl/>
        </w:rPr>
        <w:t xml:space="preserve">: סע'  </w:t>
      </w:r>
      <w:hyperlink r:id="rId8" w:history="1">
        <w:r w:rsidRPr="00D05667">
          <w:rPr>
            <w:rStyle w:val="Hyperlink"/>
            <w:rFonts w:ascii="FrankRuehl" w:hAnsi="FrankRuehl" w:cs="FrankRuehl"/>
          </w:rPr>
          <w:t>29</w:t>
        </w:r>
      </w:hyperlink>
      <w:r w:rsidRPr="00D05667">
        <w:rPr>
          <w:rFonts w:ascii="FrankRuehl" w:hAnsi="FrankRuehl" w:cs="FrankRuehl"/>
          <w:color w:val="0000FF"/>
          <w:rtl/>
        </w:rPr>
        <w:t xml:space="preserve">(א), </w:t>
      </w:r>
      <w:hyperlink r:id="rId9" w:history="1">
        <w:r w:rsidRPr="00D05667">
          <w:rPr>
            <w:rStyle w:val="Hyperlink"/>
            <w:rFonts w:ascii="FrankRuehl" w:hAnsi="FrankRuehl" w:cs="FrankRuehl"/>
          </w:rPr>
          <w:t>51</w:t>
        </w:r>
        <w:r w:rsidRPr="00D05667">
          <w:rPr>
            <w:rStyle w:val="Hyperlink"/>
            <w:rFonts w:ascii="FrankRuehl" w:hAnsi="FrankRuehl" w:cs="FrankRuehl"/>
            <w:rtl/>
          </w:rPr>
          <w:t>ג</w:t>
        </w:r>
      </w:hyperlink>
      <w:r w:rsidRPr="00D05667">
        <w:rPr>
          <w:rFonts w:ascii="FrankRuehl" w:hAnsi="FrankRuehl" w:cs="FrankRuehl"/>
          <w:color w:val="0000FF"/>
          <w:rtl/>
        </w:rPr>
        <w:t xml:space="preserve">(ג), </w:t>
      </w:r>
      <w:hyperlink r:id="rId10" w:history="1">
        <w:r w:rsidRPr="00D05667">
          <w:rPr>
            <w:rStyle w:val="Hyperlink"/>
            <w:rFonts w:ascii="FrankRuehl" w:hAnsi="FrankRuehl" w:cs="FrankRuehl"/>
          </w:rPr>
          <w:t xml:space="preserve">51 </w:t>
        </w:r>
        <w:r w:rsidRPr="00D05667">
          <w:rPr>
            <w:rStyle w:val="Hyperlink"/>
            <w:rFonts w:ascii="FrankRuehl" w:hAnsi="FrankRuehl" w:cs="FrankRuehl"/>
            <w:rtl/>
          </w:rPr>
          <w:t>ו</w:t>
        </w:r>
      </w:hyperlink>
      <w:r w:rsidRPr="00D05667">
        <w:rPr>
          <w:rFonts w:ascii="FrankRuehl" w:hAnsi="FrankRuehl" w:cs="FrankRuehl"/>
          <w:color w:val="0000FF"/>
          <w:rtl/>
        </w:rPr>
        <w:t xml:space="preserve">(ב), </w:t>
      </w:r>
      <w:hyperlink r:id="rId11" w:history="1">
        <w:r w:rsidRPr="00D05667">
          <w:rPr>
            <w:rStyle w:val="Hyperlink"/>
            <w:rFonts w:ascii="FrankRuehl" w:hAnsi="FrankRuehl" w:cs="FrankRuehl"/>
          </w:rPr>
          <w:t>225</w:t>
        </w:r>
      </w:hyperlink>
      <w:r w:rsidRPr="00D05667">
        <w:rPr>
          <w:rFonts w:ascii="FrankRuehl" w:hAnsi="FrankRuehl" w:cs="FrankRuehl"/>
          <w:color w:val="0000FF"/>
          <w:rtl/>
        </w:rPr>
        <w:t xml:space="preserve">, </w:t>
      </w:r>
      <w:hyperlink r:id="rId12" w:history="1">
        <w:r w:rsidRPr="00D05667">
          <w:rPr>
            <w:rStyle w:val="Hyperlink"/>
            <w:rFonts w:ascii="FrankRuehl" w:hAnsi="FrankRuehl" w:cs="FrankRuehl"/>
          </w:rPr>
          <w:t>226</w:t>
        </w:r>
      </w:hyperlink>
      <w:r w:rsidRPr="00D05667">
        <w:rPr>
          <w:rFonts w:ascii="FrankRuehl" w:hAnsi="FrankRuehl" w:cs="FrankRuehl"/>
          <w:color w:val="0000FF"/>
          <w:rtl/>
        </w:rPr>
        <w:t xml:space="preserve">, </w:t>
      </w:r>
      <w:hyperlink r:id="rId13" w:history="1">
        <w:r w:rsidRPr="00D05667">
          <w:rPr>
            <w:rStyle w:val="Hyperlink"/>
            <w:rFonts w:ascii="FrankRuehl" w:hAnsi="FrankRuehl" w:cs="FrankRuehl"/>
          </w:rPr>
          <w:t>228</w:t>
        </w:r>
      </w:hyperlink>
      <w:r w:rsidRPr="00D05667">
        <w:rPr>
          <w:rFonts w:ascii="FrankRuehl" w:hAnsi="FrankRuehl" w:cs="FrankRuehl"/>
          <w:color w:val="0000FF"/>
          <w:rtl/>
        </w:rPr>
        <w:t xml:space="preserve">, </w:t>
      </w:r>
      <w:hyperlink r:id="rId14" w:history="1">
        <w:r w:rsidRPr="00D05667">
          <w:rPr>
            <w:rStyle w:val="Hyperlink"/>
            <w:rFonts w:ascii="FrankRuehl" w:hAnsi="FrankRuehl" w:cs="FrankRuehl"/>
          </w:rPr>
          <w:t>499</w:t>
        </w:r>
      </w:hyperlink>
      <w:r w:rsidRPr="00D05667">
        <w:rPr>
          <w:rFonts w:ascii="FrankRuehl" w:hAnsi="FrankRuehl" w:cs="FrankRuehl"/>
          <w:color w:val="0000FF"/>
          <w:rtl/>
        </w:rPr>
        <w:t xml:space="preserve">(א)(2), </w:t>
      </w:r>
      <w:hyperlink r:id="rId15" w:history="1">
        <w:r w:rsidRPr="00D05667">
          <w:rPr>
            <w:rStyle w:val="Hyperlink"/>
            <w:rFonts w:ascii="FrankRuehl" w:hAnsi="FrankRuehl" w:cs="FrankRuehl"/>
            <w:rtl/>
          </w:rPr>
          <w:t>יב</w:t>
        </w:r>
      </w:hyperlink>
    </w:p>
    <w:p w14:paraId="0AA49858" w14:textId="77777777" w:rsidR="00D05667" w:rsidRPr="00D05667" w:rsidRDefault="00D05667" w:rsidP="00D05667">
      <w:pPr>
        <w:spacing w:before="120" w:after="120" w:line="240" w:lineRule="exact"/>
        <w:ind w:left="283" w:hanging="283"/>
        <w:jc w:val="both"/>
        <w:rPr>
          <w:rFonts w:ascii="FrankRuehl" w:hAnsi="FrankRuehl" w:cs="FrankRuehl"/>
          <w:color w:val="0000FF"/>
          <w:rtl/>
        </w:rPr>
      </w:pPr>
      <w:hyperlink r:id="rId16" w:history="1">
        <w:r w:rsidRPr="00D05667">
          <w:rPr>
            <w:rStyle w:val="Hyperlink"/>
            <w:rFonts w:ascii="FrankRuehl" w:hAnsi="FrankRuehl" w:cs="FrankRuehl"/>
            <w:rtl/>
          </w:rPr>
          <w:t>חוק איסור הלבנת הון, תש"ס-2000</w:t>
        </w:r>
      </w:hyperlink>
      <w:r w:rsidRPr="00D05667">
        <w:rPr>
          <w:rFonts w:ascii="FrankRuehl" w:hAnsi="FrankRuehl" w:cs="FrankRuehl"/>
          <w:color w:val="0000FF"/>
          <w:u w:val="single"/>
          <w:rtl/>
        </w:rPr>
        <w:t xml:space="preserve">: סע'  </w:t>
      </w:r>
      <w:hyperlink r:id="rId17" w:history="1">
        <w:r w:rsidRPr="00D05667">
          <w:rPr>
            <w:rStyle w:val="Hyperlink"/>
            <w:rFonts w:ascii="FrankRuehl" w:hAnsi="FrankRuehl" w:cs="FrankRuehl"/>
          </w:rPr>
          <w:t>3</w:t>
        </w:r>
      </w:hyperlink>
      <w:r w:rsidRPr="00D05667">
        <w:rPr>
          <w:rFonts w:ascii="FrankRuehl" w:hAnsi="FrankRuehl" w:cs="FrankRuehl"/>
          <w:color w:val="0000FF"/>
          <w:u w:val="single"/>
          <w:rtl/>
        </w:rPr>
        <w:t xml:space="preserve">, </w:t>
      </w:r>
      <w:hyperlink r:id="rId18" w:history="1">
        <w:r w:rsidRPr="00D05667">
          <w:rPr>
            <w:rStyle w:val="Hyperlink"/>
            <w:rFonts w:ascii="FrankRuehl" w:hAnsi="FrankRuehl" w:cs="FrankRuehl"/>
          </w:rPr>
          <w:t>4</w:t>
        </w:r>
      </w:hyperlink>
      <w:r w:rsidRPr="00D05667">
        <w:rPr>
          <w:rFonts w:ascii="FrankRuehl" w:hAnsi="FrankRuehl" w:cs="FrankRuehl"/>
          <w:color w:val="0000FF"/>
          <w:u w:val="single"/>
          <w:rtl/>
        </w:rPr>
        <w:t xml:space="preserve">, </w:t>
      </w:r>
      <w:hyperlink r:id="rId19" w:history="1">
        <w:r w:rsidRPr="00D05667">
          <w:rPr>
            <w:rStyle w:val="Hyperlink"/>
            <w:rFonts w:ascii="FrankRuehl" w:hAnsi="FrankRuehl" w:cs="FrankRuehl"/>
          </w:rPr>
          <w:t>21</w:t>
        </w:r>
      </w:hyperlink>
      <w:r w:rsidRPr="00D05667">
        <w:rPr>
          <w:rFonts w:ascii="FrankRuehl" w:hAnsi="FrankRuehl" w:cs="FrankRuehl"/>
          <w:color w:val="0000FF"/>
          <w:u w:val="single"/>
          <w:rtl/>
        </w:rPr>
        <w:t xml:space="preserve">, </w:t>
      </w:r>
      <w:hyperlink r:id="rId20" w:history="1">
        <w:r w:rsidRPr="00D05667">
          <w:rPr>
            <w:rStyle w:val="Hyperlink"/>
            <w:rFonts w:ascii="FrankRuehl" w:hAnsi="FrankRuehl" w:cs="FrankRuehl"/>
          </w:rPr>
          <w:t xml:space="preserve">21 </w:t>
        </w:r>
      </w:hyperlink>
      <w:r w:rsidRPr="00D05667">
        <w:rPr>
          <w:rFonts w:ascii="FrankRuehl" w:hAnsi="FrankRuehl" w:cs="FrankRuehl"/>
          <w:color w:val="0000FF"/>
          <w:rtl/>
        </w:rPr>
        <w:t xml:space="preserve">(א), </w:t>
      </w:r>
      <w:hyperlink r:id="rId21" w:history="1">
        <w:r w:rsidRPr="00D05667">
          <w:rPr>
            <w:rStyle w:val="Hyperlink"/>
            <w:rFonts w:ascii="FrankRuehl" w:hAnsi="FrankRuehl" w:cs="FrankRuehl"/>
          </w:rPr>
          <w:t>23</w:t>
        </w:r>
      </w:hyperlink>
      <w:r w:rsidRPr="00D05667">
        <w:rPr>
          <w:rFonts w:ascii="FrankRuehl" w:hAnsi="FrankRuehl" w:cs="FrankRuehl"/>
          <w:color w:val="0000FF"/>
          <w:rtl/>
        </w:rPr>
        <w:t xml:space="preserve">, </w:t>
      </w:r>
      <w:hyperlink r:id="rId22" w:history="1">
        <w:r w:rsidRPr="00D05667">
          <w:rPr>
            <w:rStyle w:val="Hyperlink"/>
            <w:rFonts w:ascii="FrankRuehl" w:hAnsi="FrankRuehl" w:cs="FrankRuehl"/>
          </w:rPr>
          <w:t>5</w:t>
        </w:r>
      </w:hyperlink>
    </w:p>
    <w:p w14:paraId="677515F9" w14:textId="77777777" w:rsidR="00D05667" w:rsidRPr="00D05667" w:rsidRDefault="00D05667" w:rsidP="00D05667">
      <w:pPr>
        <w:spacing w:before="120" w:after="120" w:line="240" w:lineRule="exact"/>
        <w:ind w:left="283" w:hanging="283"/>
        <w:jc w:val="both"/>
        <w:rPr>
          <w:rFonts w:ascii="FrankRuehl" w:hAnsi="FrankRuehl" w:cs="FrankRuehl"/>
          <w:color w:val="0000FF"/>
          <w:rtl/>
        </w:rPr>
      </w:pPr>
      <w:hyperlink r:id="rId23" w:history="1">
        <w:r w:rsidRPr="00D05667">
          <w:rPr>
            <w:rStyle w:val="Hyperlink"/>
            <w:rFonts w:ascii="FrankRuehl" w:hAnsi="FrankRuehl" w:cs="FrankRuehl"/>
            <w:rtl/>
          </w:rPr>
          <w:t>פקודת הסמים המסוכנים [נוסח חדש], תשל"ג-1973</w:t>
        </w:r>
      </w:hyperlink>
      <w:r w:rsidRPr="00D05667">
        <w:rPr>
          <w:rFonts w:ascii="FrankRuehl" w:hAnsi="FrankRuehl" w:cs="FrankRuehl"/>
          <w:color w:val="0000FF"/>
          <w:u w:val="single"/>
          <w:rtl/>
        </w:rPr>
        <w:t xml:space="preserve">: סע'  </w:t>
      </w:r>
      <w:hyperlink r:id="rId24" w:history="1">
        <w:r w:rsidRPr="00D05667">
          <w:rPr>
            <w:rStyle w:val="Hyperlink"/>
            <w:rFonts w:ascii="FrankRuehl" w:hAnsi="FrankRuehl" w:cs="FrankRuehl"/>
          </w:rPr>
          <w:t>36</w:t>
        </w:r>
        <w:r w:rsidRPr="00D05667">
          <w:rPr>
            <w:rStyle w:val="Hyperlink"/>
            <w:rFonts w:ascii="FrankRuehl" w:hAnsi="FrankRuehl" w:cs="FrankRuehl"/>
            <w:rtl/>
          </w:rPr>
          <w:t>ג</w:t>
        </w:r>
      </w:hyperlink>
      <w:r w:rsidRPr="00D05667">
        <w:rPr>
          <w:rFonts w:ascii="FrankRuehl" w:hAnsi="FrankRuehl" w:cs="FrankRuehl"/>
          <w:color w:val="0000FF"/>
          <w:rtl/>
        </w:rPr>
        <w:t>(א)</w:t>
      </w:r>
    </w:p>
    <w:p w14:paraId="11D8DF88" w14:textId="77777777" w:rsidR="00C76774" w:rsidRDefault="00C76774" w:rsidP="00D05667">
      <w:pPr>
        <w:rPr>
          <w:rFonts w:hint="cs"/>
          <w:rtl/>
        </w:rPr>
      </w:pPr>
      <w:bookmarkStart w:id="4" w:name="LawTable_End"/>
      <w:bookmarkEnd w:id="4"/>
    </w:p>
    <w:p w14:paraId="4804115D" w14:textId="77777777" w:rsidR="007447A1" w:rsidRDefault="007447A1" w:rsidP="007447A1">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5F1AF606" w14:textId="77777777" w:rsidR="007447A1" w:rsidRPr="007447A1" w:rsidRDefault="007447A1" w:rsidP="007447A1">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7447A1">
        <w:rPr>
          <w:rFonts w:cs="FrankRuehl"/>
          <w:szCs w:val="26"/>
          <w:rtl/>
        </w:rPr>
        <w:t>גזר דין לנאשם שהורשע על פי הודאתו בארגון הימורים על משחקי ספורט באתרים שונים באינטרנט. בית המשפט מצא שהעונש המוחשי המרכזי בהסדר הטיעון חורג באופן קיצוני מרמת הענישה הנוהגת, ואינו עולה בקנה אחד עם האינטרס הציבורי שבמיגור תופעת ההימורים הלא חוקיים בכלל, וההימורים</w:t>
      </w:r>
      <w:r>
        <w:rPr>
          <w:rFonts w:cs="FrankRuehl"/>
          <w:szCs w:val="26"/>
          <w:rtl/>
        </w:rPr>
        <w:t xml:space="preserve"> </w:t>
      </w:r>
      <w:r w:rsidRPr="007447A1">
        <w:rPr>
          <w:rFonts w:cs="FrankRuehl"/>
          <w:szCs w:val="26"/>
          <w:rtl/>
        </w:rPr>
        <w:t>הלא חוקיים במרשתת בפרט, ולפיכך קבע שיש להתערב בו לחומרה.</w:t>
      </w:r>
    </w:p>
    <w:p w14:paraId="285D2AD5" w14:textId="77777777" w:rsidR="007447A1" w:rsidRDefault="007447A1" w:rsidP="007447A1">
      <w:pPr>
        <w:pBdr>
          <w:top w:val="single" w:sz="4" w:space="1" w:color="auto"/>
          <w:bottom w:val="single" w:sz="4" w:space="1" w:color="auto"/>
        </w:pBdr>
        <w:spacing w:after="120" w:line="320" w:lineRule="exact"/>
        <w:jc w:val="both"/>
        <w:rPr>
          <w:rFonts w:cs="FrankRuehl"/>
          <w:szCs w:val="26"/>
          <w:rtl/>
        </w:rPr>
      </w:pPr>
      <w:r>
        <w:rPr>
          <w:rFonts w:cs="FrankRuehl"/>
          <w:szCs w:val="26"/>
          <w:rtl/>
        </w:rPr>
        <w:t>* דיון פלילי – הסדר טיעון – סטייה ממנו</w:t>
      </w:r>
    </w:p>
    <w:p w14:paraId="19410160" w14:textId="77777777" w:rsidR="007447A1" w:rsidRDefault="007447A1" w:rsidP="007447A1">
      <w:pPr>
        <w:pBdr>
          <w:top w:val="single" w:sz="4" w:space="1" w:color="auto"/>
          <w:bottom w:val="single" w:sz="4" w:space="1" w:color="auto"/>
        </w:pBdr>
        <w:spacing w:after="120" w:line="320" w:lineRule="exact"/>
        <w:jc w:val="both"/>
        <w:rPr>
          <w:rFonts w:cs="FrankRuehl"/>
          <w:szCs w:val="26"/>
          <w:rtl/>
        </w:rPr>
      </w:pPr>
      <w:r>
        <w:rPr>
          <w:rFonts w:cs="FrankRuehl"/>
          <w:szCs w:val="26"/>
          <w:rtl/>
        </w:rPr>
        <w:t>* דיון פלילי – הסדר טיעון – מעורבות בית-המשפט</w:t>
      </w:r>
    </w:p>
    <w:p w14:paraId="6DDE8B1A" w14:textId="77777777" w:rsidR="007447A1" w:rsidRDefault="007447A1" w:rsidP="007447A1">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שיקולים</w:t>
      </w:r>
    </w:p>
    <w:p w14:paraId="0D8B4C60" w14:textId="77777777" w:rsidR="007447A1" w:rsidRDefault="007447A1" w:rsidP="007447A1">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הלבנת הון</w:t>
      </w:r>
    </w:p>
    <w:p w14:paraId="33FDAFF4" w14:textId="77777777" w:rsidR="007447A1" w:rsidRDefault="007447A1" w:rsidP="007447A1">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דרכי ענישה: חילוט</w:t>
      </w:r>
    </w:p>
    <w:p w14:paraId="2653FC82" w14:textId="77777777" w:rsidR="007447A1" w:rsidRDefault="007447A1" w:rsidP="007447A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F0ACB08" w14:textId="77777777" w:rsidR="007447A1" w:rsidRPr="007447A1" w:rsidRDefault="007447A1" w:rsidP="007447A1">
      <w:pPr>
        <w:pBdr>
          <w:top w:val="single" w:sz="4" w:space="1" w:color="auto"/>
          <w:bottom w:val="single" w:sz="4" w:space="1" w:color="auto"/>
        </w:pBdr>
        <w:spacing w:after="120" w:line="320" w:lineRule="exact"/>
        <w:jc w:val="both"/>
        <w:rPr>
          <w:rFonts w:cs="FrankRuehl"/>
          <w:szCs w:val="26"/>
          <w:rtl/>
        </w:rPr>
      </w:pPr>
      <w:r w:rsidRPr="007447A1">
        <w:rPr>
          <w:rFonts w:cs="FrankRuehl"/>
          <w:szCs w:val="26"/>
          <w:rtl/>
        </w:rPr>
        <w:lastRenderedPageBreak/>
        <w:t>נגד הנאשם הוגש כתב אישום המייחס לו עבירות של ארגון הגרלות והימורים אסורים בצוותא; החזקת מקום להימורים או הגרלות בצוותא; קשירת קשר לעשות עוון ועשיית פעולה ברכוש אסור בצוותא. הנאשם הודה במיוחס לו במסגרת הסדר טיעון והורשע.</w:t>
      </w:r>
    </w:p>
    <w:p w14:paraId="5C1C00DE" w14:textId="77777777" w:rsidR="007447A1" w:rsidRPr="007447A1" w:rsidRDefault="007447A1" w:rsidP="007447A1">
      <w:pPr>
        <w:pBdr>
          <w:top w:val="single" w:sz="4" w:space="1" w:color="auto"/>
          <w:bottom w:val="single" w:sz="4" w:space="1" w:color="auto"/>
        </w:pBdr>
        <w:spacing w:after="120" w:line="320" w:lineRule="exact"/>
        <w:contextualSpacing/>
        <w:jc w:val="both"/>
        <w:rPr>
          <w:rFonts w:cs="FrankRuehl"/>
          <w:szCs w:val="26"/>
          <w:rtl/>
        </w:rPr>
      </w:pPr>
      <w:r w:rsidRPr="007447A1">
        <w:rPr>
          <w:rFonts w:cs="FrankRuehl"/>
          <w:szCs w:val="26"/>
          <w:rtl/>
        </w:rPr>
        <w:t>בין הצדדים התגבשה הסכמה עונשית לפיה יוטל על הנאשם עונש של 6 חודשי מאסר שירוצו בעבודות שירות. עוד הוסכם שיוטל על הנאשם קנס ששיעורו ייקבע על ידי בית המשפט. סוגיה נוספת אותה הותירו הצדדים להכרעת בית המשפט היא סוגיית החילוט, כאשר בא כוחו של הנאשם ביקש להימנע מהטלתו.</w:t>
      </w:r>
    </w:p>
    <w:p w14:paraId="395A345E" w14:textId="77777777" w:rsidR="007447A1" w:rsidRDefault="007447A1" w:rsidP="007447A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497CD51" w14:textId="77777777" w:rsidR="007447A1" w:rsidRPr="007447A1" w:rsidRDefault="007447A1" w:rsidP="007447A1">
      <w:pPr>
        <w:pBdr>
          <w:top w:val="single" w:sz="4" w:space="1" w:color="auto"/>
          <w:bottom w:val="single" w:sz="4" w:space="1" w:color="auto"/>
        </w:pBdr>
        <w:spacing w:after="120" w:line="320" w:lineRule="exact"/>
        <w:jc w:val="both"/>
        <w:rPr>
          <w:rFonts w:cs="FrankRuehl"/>
          <w:szCs w:val="26"/>
          <w:rtl/>
        </w:rPr>
      </w:pPr>
      <w:r w:rsidRPr="007447A1">
        <w:rPr>
          <w:rFonts w:cs="FrankRuehl"/>
          <w:szCs w:val="26"/>
          <w:rtl/>
        </w:rPr>
        <w:t>בית המשפט גזר את דינו כד</w:t>
      </w:r>
      <w:r w:rsidRPr="007447A1">
        <w:rPr>
          <w:rFonts w:cs="FrankRuehl" w:hint="cs"/>
          <w:szCs w:val="26"/>
          <w:rtl/>
        </w:rPr>
        <w:t>לק</w:t>
      </w:r>
      <w:r w:rsidRPr="007447A1">
        <w:rPr>
          <w:rFonts w:cs="FrankRuehl"/>
          <w:szCs w:val="26"/>
          <w:rtl/>
        </w:rPr>
        <w:t>מן:</w:t>
      </w:r>
    </w:p>
    <w:p w14:paraId="5EAC8E17" w14:textId="77777777" w:rsidR="007447A1" w:rsidRPr="007447A1" w:rsidRDefault="007447A1" w:rsidP="007447A1">
      <w:pPr>
        <w:pBdr>
          <w:top w:val="single" w:sz="4" w:space="1" w:color="auto"/>
          <w:bottom w:val="single" w:sz="4" w:space="1" w:color="auto"/>
        </w:pBdr>
        <w:spacing w:after="120" w:line="320" w:lineRule="exact"/>
        <w:contextualSpacing/>
        <w:jc w:val="both"/>
        <w:rPr>
          <w:rFonts w:cs="FrankRuehl"/>
          <w:szCs w:val="26"/>
          <w:rtl/>
        </w:rPr>
      </w:pPr>
      <w:r w:rsidRPr="007447A1">
        <w:rPr>
          <w:rFonts w:cs="FrankRuehl"/>
          <w:szCs w:val="26"/>
          <w:rtl/>
        </w:rPr>
        <w:t xml:space="preserve">במקרה שלפנינו מידת הפגיעה בערך המוגן הינה גבוהה, זאת בשים לב לסכומי הכסף הגבוהים אותם גלגלו הנאשם ושותפו, המעידים על הצלחת העסק והנגשתו למהמרים רבים או, לחלופין, למהמרים כבדים, כל זאת לאורך זמן ממושך ובמספר דרכים. </w:t>
      </w:r>
    </w:p>
    <w:p w14:paraId="1CD3F740" w14:textId="77777777" w:rsidR="007447A1" w:rsidRPr="007447A1" w:rsidRDefault="007447A1" w:rsidP="007447A1">
      <w:pPr>
        <w:pBdr>
          <w:top w:val="single" w:sz="4" w:space="1" w:color="auto"/>
          <w:bottom w:val="single" w:sz="4" w:space="1" w:color="auto"/>
        </w:pBdr>
        <w:spacing w:after="120" w:line="320" w:lineRule="exact"/>
        <w:contextualSpacing/>
        <w:jc w:val="both"/>
        <w:rPr>
          <w:rFonts w:cs="FrankRuehl"/>
          <w:szCs w:val="26"/>
          <w:rtl/>
        </w:rPr>
      </w:pPr>
      <w:r w:rsidRPr="007447A1">
        <w:rPr>
          <w:rFonts w:cs="FrankRuehl"/>
          <w:szCs w:val="26"/>
          <w:rtl/>
        </w:rPr>
        <w:t>בית המשפט קבע כי הצדדים הגיעו להסכמה עונשית, הרחוקה עד מאוד מאמות המידה המחמירות שנקבעו בפסיקה, בהיותה נעדרת רכיב של מאסר בפועל. אין חולק על כך שעונש זה סוטה סטייה משמעותית ממתחמי הענישה הנוהגת לעבירות מסוג זה, בפרט כאשר העבירות נעברו בנסיבות המחמירות עליהן עמד פסק הדין. בית המשפט מצא שחרף מצבו הרפואי של הבן, שהיווה טענה לקולא, קיים קושי של ממש לאמץ את רמת הענישה שהוצגה במסגרת הסדר הטיעון.</w:t>
      </w:r>
    </w:p>
    <w:p w14:paraId="0AC12580" w14:textId="77777777" w:rsidR="007447A1" w:rsidRPr="007447A1" w:rsidRDefault="007447A1" w:rsidP="007447A1">
      <w:pPr>
        <w:pBdr>
          <w:top w:val="single" w:sz="4" w:space="1" w:color="auto"/>
          <w:bottom w:val="single" w:sz="4" w:space="1" w:color="auto"/>
        </w:pBdr>
        <w:spacing w:after="120" w:line="320" w:lineRule="exact"/>
        <w:jc w:val="both"/>
        <w:rPr>
          <w:rFonts w:cs="FrankRuehl"/>
          <w:szCs w:val="26"/>
          <w:rtl/>
        </w:rPr>
      </w:pPr>
      <w:r w:rsidRPr="007447A1">
        <w:rPr>
          <w:rFonts w:cs="FrankRuehl"/>
          <w:szCs w:val="26"/>
          <w:rtl/>
        </w:rPr>
        <w:t>בית המשפט לא מצא טעם להבדל בעונש שנגזר על שותפו של הנאשם</w:t>
      </w:r>
      <w:r>
        <w:rPr>
          <w:rFonts w:cs="FrankRuehl"/>
          <w:szCs w:val="26"/>
          <w:rtl/>
        </w:rPr>
        <w:t xml:space="preserve"> </w:t>
      </w:r>
      <w:r w:rsidRPr="007447A1">
        <w:rPr>
          <w:rFonts w:cs="FrankRuehl"/>
          <w:szCs w:val="26"/>
          <w:rtl/>
        </w:rPr>
        <w:t>ובין הנאשם. ככל שהדבר נוגע לנסיבות ביצוע העבירות, מצביעות עובדות כתב האישום על כך שתרומת הנאשם לפעילות העבריינית אינה נופלת מתרומתו של שותפו, כאשר השוני במעשיהם, נבע כל כולו מחלוקת תפקידים אותה קבעו מראש. מצופה היה, כך לעמדת בית המשפט, שהפער בין הנאשם לבין שותפו יבוא לידי ביטוי במשך המאסר בפועל, ולא בביטולו או בביצועו בדרך של עבודות שירות.</w:t>
      </w:r>
    </w:p>
    <w:p w14:paraId="2EC84B69" w14:textId="77777777" w:rsidR="007447A1" w:rsidRPr="007447A1" w:rsidRDefault="007447A1" w:rsidP="007447A1">
      <w:pPr>
        <w:pBdr>
          <w:top w:val="single" w:sz="4" w:space="1" w:color="auto"/>
          <w:bottom w:val="single" w:sz="4" w:space="1" w:color="auto"/>
        </w:pBdr>
        <w:spacing w:after="120" w:line="320" w:lineRule="exact"/>
        <w:jc w:val="both"/>
        <w:rPr>
          <w:rFonts w:cs="FrankRuehl"/>
          <w:szCs w:val="26"/>
          <w:rtl/>
        </w:rPr>
      </w:pPr>
      <w:r w:rsidRPr="007447A1">
        <w:rPr>
          <w:rFonts w:cs="FrankRuehl"/>
          <w:szCs w:val="26"/>
          <w:rtl/>
        </w:rPr>
        <w:t>לעמדת בית המשפט, נתון נוסף המכריע את הכף לכיוון החמרת הענישה, טמון בעובדה שבמסגרת הליך זה, שנמשך כ-3 שנים, לא עבר הנאשם הליך שיקומי מכל סוג שהוא.</w:t>
      </w:r>
    </w:p>
    <w:p w14:paraId="5501BF8E" w14:textId="77777777" w:rsidR="007447A1" w:rsidRPr="007447A1" w:rsidRDefault="007447A1" w:rsidP="007447A1">
      <w:pPr>
        <w:pBdr>
          <w:top w:val="single" w:sz="4" w:space="1" w:color="auto"/>
          <w:bottom w:val="single" w:sz="4" w:space="1" w:color="auto"/>
        </w:pBdr>
        <w:spacing w:after="120" w:line="320" w:lineRule="exact"/>
        <w:jc w:val="both"/>
        <w:rPr>
          <w:rFonts w:cs="FrankRuehl"/>
          <w:szCs w:val="26"/>
          <w:rtl/>
        </w:rPr>
      </w:pPr>
      <w:r w:rsidRPr="007447A1">
        <w:rPr>
          <w:rFonts w:cs="FrankRuehl"/>
          <w:szCs w:val="26"/>
          <w:rtl/>
        </w:rPr>
        <w:t>במצב דברים זה לאחר שנמצא שהעונש המוחשי המרכזי אותו הציגו הצדדים חורג באופן קיצוני מרמת הענישה הנוהגת, ואינו עולה בקנה אחד עם האינטרס הציבורי שבמיגור תופעת ההימורים הלא חוקיים בכלל, וההימורים</w:t>
      </w:r>
      <w:r>
        <w:rPr>
          <w:rFonts w:cs="FrankRuehl"/>
          <w:szCs w:val="26"/>
          <w:rtl/>
        </w:rPr>
        <w:t xml:space="preserve"> </w:t>
      </w:r>
      <w:r w:rsidRPr="007447A1">
        <w:rPr>
          <w:rFonts w:cs="FrankRuehl"/>
          <w:szCs w:val="26"/>
          <w:rtl/>
        </w:rPr>
        <w:t>הלא חוקיים במרשתת בפרט, עמדת בית המשפט היא שיש להתערב בו לחומרה. לצד זאת, נוכח ההלכה הנוהגת לפיה בתי המשפט יחרגו מהסדרי טיעון רק במקרים נדירים וחריגים, ובשים לב לנימוקים שהביאו את הצדדים להסתפק בעונש עבודות השירות, כמו גם ציפיית הנאשם לכיבוד הסדר הטיעון, מצא בית המשפט לחרוג מההסדר באופן מידתי, במובן זה שהחריגה תבוא לידי ביטוי לא בסוג העונש, אלא במשכו בלבד.</w:t>
      </w:r>
    </w:p>
    <w:p w14:paraId="3F1E7E35" w14:textId="77777777" w:rsidR="007447A1" w:rsidRPr="007447A1" w:rsidRDefault="007447A1" w:rsidP="007447A1">
      <w:pPr>
        <w:pBdr>
          <w:top w:val="single" w:sz="4" w:space="1" w:color="auto"/>
          <w:bottom w:val="single" w:sz="4" w:space="1" w:color="auto"/>
        </w:pBdr>
        <w:spacing w:after="120" w:line="320" w:lineRule="exact"/>
        <w:jc w:val="both"/>
        <w:rPr>
          <w:rFonts w:cs="FrankRuehl"/>
          <w:szCs w:val="26"/>
          <w:rtl/>
        </w:rPr>
      </w:pPr>
      <w:r w:rsidRPr="007447A1">
        <w:rPr>
          <w:rFonts w:cs="FrankRuehl"/>
          <w:szCs w:val="26"/>
          <w:rtl/>
        </w:rPr>
        <w:t xml:space="preserve">נקודת המוצא לעניין שאלת היקפו של הרכוש בר החילוט, מצויה בהוראות </w:t>
      </w:r>
      <w:hyperlink r:id="rId25" w:history="1">
        <w:r w:rsidRPr="007447A1">
          <w:rPr>
            <w:rStyle w:val="Hyperlink"/>
            <w:rFonts w:cs="FrankRuehl"/>
            <w:color w:val="auto"/>
            <w:szCs w:val="26"/>
            <w:u w:val="none"/>
            <w:rtl/>
          </w:rPr>
          <w:t>סעיף 21 (א)</w:t>
        </w:r>
      </w:hyperlink>
      <w:r w:rsidRPr="007447A1">
        <w:rPr>
          <w:rFonts w:cs="FrankRuehl"/>
          <w:szCs w:val="26"/>
          <w:rtl/>
        </w:rPr>
        <w:t xml:space="preserve"> ל</w:t>
      </w:r>
      <w:hyperlink r:id="rId26" w:history="1">
        <w:r w:rsidRPr="007447A1">
          <w:rPr>
            <w:rFonts w:cs="FrankRuehl"/>
            <w:szCs w:val="26"/>
            <w:rtl/>
          </w:rPr>
          <w:t>חוק איסור הלבנת הון</w:t>
        </w:r>
      </w:hyperlink>
      <w:r w:rsidRPr="007447A1">
        <w:rPr>
          <w:rFonts w:cs="FrankRuehl"/>
          <w:szCs w:val="26"/>
          <w:rtl/>
        </w:rPr>
        <w:t xml:space="preserve">. עוד נקבע כי ניתן לחלט רכוש בשווי הרכוש בו נעברה עבירת הלבנת ההון כולה, זאת ללא תלות בשאלה האם הרכוש האמור הגיע כולו או חלקו לכיסם של מבצעי עבירת הלבנת ההון. </w:t>
      </w:r>
      <w:r w:rsidRPr="007447A1">
        <w:rPr>
          <w:rStyle w:val="default"/>
          <w:rFonts w:cs="FrankRuehl"/>
          <w:szCs w:val="26"/>
          <w:rtl/>
        </w:rPr>
        <w:t xml:space="preserve">מהאמור עולה כי יש לגזור את היקף הסכום המיועד לחילוט מהיקפה של עבירת הלבנת ההון כולה – דהיינו פעולתם של הנאשם ושותפו יחד לשם הסוואת מקורו של הרכוש האסור, כאשר ברירת המחדל היא </w:t>
      </w:r>
      <w:r w:rsidRPr="007447A1">
        <w:rPr>
          <w:rStyle w:val="default"/>
          <w:rFonts w:cs="FrankRuehl"/>
          <w:szCs w:val="26"/>
          <w:rtl/>
        </w:rPr>
        <w:lastRenderedPageBreak/>
        <w:t>להורות על חילוט מלוא סכום שווי העבירה.</w:t>
      </w:r>
      <w:r w:rsidRPr="007447A1">
        <w:rPr>
          <w:rFonts w:cs="FrankRuehl"/>
          <w:szCs w:val="26"/>
          <w:rtl/>
        </w:rPr>
        <w:t xml:space="preserve"> בהינתן ששווי הרכוש התפוס, המסתכם בכ-3 מיליון ₪ בלבד, הינו סכום הקטן בהרבה משווי העבירה, הרי שניתן להורות על חילוט מלוא הסכום. </w:t>
      </w:r>
    </w:p>
    <w:p w14:paraId="0FDC8602" w14:textId="77777777" w:rsidR="007447A1" w:rsidRPr="007447A1" w:rsidRDefault="007447A1" w:rsidP="007447A1">
      <w:pPr>
        <w:pStyle w:val="Ruller41"/>
        <w:pBdr>
          <w:top w:val="single" w:sz="4" w:space="1" w:color="auto"/>
          <w:bottom w:val="single" w:sz="4" w:space="1" w:color="auto"/>
        </w:pBdr>
        <w:spacing w:after="120" w:line="320" w:lineRule="exact"/>
        <w:rPr>
          <w:rFonts w:ascii="Times New Roman" w:hAnsi="Times New Roman"/>
          <w:spacing w:val="0"/>
          <w:sz w:val="24"/>
          <w:szCs w:val="26"/>
          <w:rtl/>
        </w:rPr>
      </w:pPr>
      <w:hyperlink r:id="rId27" w:history="1">
        <w:r w:rsidRPr="007447A1">
          <w:rPr>
            <w:rStyle w:val="Hyperlink"/>
            <w:rFonts w:ascii="Times New Roman" w:hAnsi="Times New Roman"/>
            <w:color w:val="auto"/>
            <w:spacing w:val="0"/>
            <w:sz w:val="24"/>
            <w:szCs w:val="26"/>
            <w:u w:val="none"/>
            <w:rtl/>
          </w:rPr>
          <w:t>סעיף 21</w:t>
        </w:r>
      </w:hyperlink>
      <w:r w:rsidRPr="007447A1">
        <w:rPr>
          <w:rFonts w:ascii="Times New Roman" w:hAnsi="Times New Roman"/>
          <w:spacing w:val="0"/>
          <w:sz w:val="24"/>
          <w:szCs w:val="26"/>
          <w:rtl/>
        </w:rPr>
        <w:t xml:space="preserve"> ל</w:t>
      </w:r>
      <w:hyperlink r:id="rId28" w:history="1">
        <w:r w:rsidRPr="007447A1">
          <w:rPr>
            <w:rFonts w:ascii="Times New Roman" w:hAnsi="Times New Roman"/>
            <w:spacing w:val="0"/>
            <w:sz w:val="24"/>
            <w:szCs w:val="26"/>
            <w:rtl/>
          </w:rPr>
          <w:t>חוק איסור הלבנת הון</w:t>
        </w:r>
      </w:hyperlink>
      <w:r w:rsidRPr="007447A1">
        <w:rPr>
          <w:rFonts w:ascii="Times New Roman" w:hAnsi="Times New Roman"/>
          <w:spacing w:val="0"/>
          <w:sz w:val="24"/>
          <w:szCs w:val="26"/>
          <w:rtl/>
        </w:rPr>
        <w:t>, קובע כי מסורה לבית המשפט האפשרות להימנע מלהורות על חילוט מלוא הרכוש בר החילוט, זאת בהתקיימם של "נימוקים מיוחדים" לסטות מברירת המחדל האמורה. בחינת עניינו של הנאשם בהתאם לאמות המידה שנקבעו בפסיקה, מובילה למסקנה שלא מתקיימים בעניינו "נימוקים מיוחדים" המצדיקים הימנעות מחילוט או צמצום היקפו. לצד זאת סבר בית המשפט שיש להשיב לנאשם, מטעמים שלפנים משורת הדין, חלק מהכסף שנתפס.</w:t>
      </w:r>
    </w:p>
    <w:p w14:paraId="1A0DAA89" w14:textId="77777777" w:rsidR="007447A1" w:rsidRDefault="007447A1" w:rsidP="00D05667">
      <w:pPr>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76774" w14:paraId="4580730F" w14:textId="77777777" w:rsidTr="00C76774">
        <w:trPr>
          <w:trHeight w:val="355"/>
          <w:jc w:val="center"/>
        </w:trPr>
        <w:tc>
          <w:tcPr>
            <w:tcW w:w="8820" w:type="dxa"/>
            <w:tcBorders>
              <w:top w:val="nil"/>
              <w:left w:val="nil"/>
              <w:bottom w:val="nil"/>
              <w:right w:val="nil"/>
            </w:tcBorders>
            <w:shd w:val="clear" w:color="auto" w:fill="auto"/>
          </w:tcPr>
          <w:p w14:paraId="1953F8E7" w14:textId="77777777" w:rsidR="00C76774" w:rsidRPr="00976EB1" w:rsidRDefault="00976EB1" w:rsidP="00976EB1">
            <w:pPr>
              <w:jc w:val="center"/>
              <w:rPr>
                <w:rFonts w:ascii="Arial" w:hAnsi="Arial" w:cs="FrankRuehl"/>
                <w:bCs/>
                <w:sz w:val="32"/>
                <w:szCs w:val="32"/>
                <w:u w:val="single"/>
                <w:rtl/>
              </w:rPr>
            </w:pPr>
            <w:bookmarkStart w:id="7" w:name="PsakDin" w:colFirst="0" w:colLast="0"/>
            <w:bookmarkEnd w:id="0"/>
            <w:r w:rsidRPr="00976EB1">
              <w:rPr>
                <w:rFonts w:ascii="Arial" w:hAnsi="Arial" w:cs="FrankRuehl"/>
                <w:b/>
                <w:bCs/>
                <w:sz w:val="32"/>
                <w:szCs w:val="32"/>
                <w:u w:val="single"/>
                <w:rtl/>
              </w:rPr>
              <w:t>גזר דין</w:t>
            </w:r>
          </w:p>
        </w:tc>
      </w:tr>
      <w:bookmarkEnd w:id="7"/>
    </w:tbl>
    <w:p w14:paraId="6BCAE8AE" w14:textId="77777777" w:rsidR="00C76774" w:rsidRDefault="00C76774" w:rsidP="00C76774">
      <w:pPr>
        <w:spacing w:after="160" w:line="360" w:lineRule="auto"/>
        <w:rPr>
          <w:rFonts w:ascii="Arial" w:hAnsi="Arial"/>
          <w:rtl/>
        </w:rPr>
      </w:pPr>
    </w:p>
    <w:p w14:paraId="624D3A12" w14:textId="77777777" w:rsidR="00C76774" w:rsidRDefault="00C76774" w:rsidP="00C76774">
      <w:pPr>
        <w:spacing w:after="160" w:line="360" w:lineRule="auto"/>
        <w:rPr>
          <w:rFonts w:ascii="Miriam" w:hAnsi="Miriam" w:cs="Miriam"/>
          <w:b/>
          <w:sz w:val="28"/>
          <w:szCs w:val="28"/>
          <w:rtl/>
        </w:rPr>
      </w:pPr>
      <w:r>
        <w:rPr>
          <w:rFonts w:ascii="Calibri" w:hAnsi="Calibri" w:cs="Miriam" w:hint="cs"/>
          <w:b/>
          <w:sz w:val="28"/>
          <w:szCs w:val="28"/>
          <w:rtl/>
        </w:rPr>
        <w:t>רקע ועובדות כתב האישום</w:t>
      </w:r>
    </w:p>
    <w:p w14:paraId="47B99CE1" w14:textId="77777777" w:rsidR="00C76774" w:rsidRDefault="00C76774" w:rsidP="00C76774">
      <w:pPr>
        <w:spacing w:after="160" w:line="360" w:lineRule="auto"/>
        <w:contextualSpacing/>
        <w:jc w:val="both"/>
        <w:rPr>
          <w:rFonts w:ascii="FrankRuehl" w:hAnsi="FrankRuehl" w:cs="FrankRuehl"/>
          <w:sz w:val="28"/>
          <w:szCs w:val="28"/>
        </w:rPr>
      </w:pPr>
      <w:r>
        <w:rPr>
          <w:rFonts w:ascii="Calibri" w:hAnsi="Calibri" w:cs="FrankRuehl" w:hint="cs"/>
          <w:sz w:val="28"/>
          <w:szCs w:val="28"/>
          <w:rtl/>
        </w:rPr>
        <w:t>1.</w:t>
      </w:r>
      <w:r>
        <w:rPr>
          <w:rFonts w:ascii="Calibri" w:hAnsi="Calibri" w:cs="FrankRuehl" w:hint="cs"/>
          <w:sz w:val="28"/>
          <w:szCs w:val="28"/>
          <w:rtl/>
        </w:rPr>
        <w:tab/>
        <w:t xml:space="preserve">הנאשם הורשע, על יסוד הודאתו ובמסגרת הסדר טיעון, בעובדות כתב אישום מתוקן, בעבירות הבאות: </w:t>
      </w:r>
      <w:r w:rsidRPr="00774C2B">
        <w:rPr>
          <w:rFonts w:ascii="Calibri" w:hAnsi="Calibri" w:cs="FrankRuehl" w:hint="cs"/>
          <w:b/>
          <w:bCs/>
          <w:sz w:val="28"/>
          <w:szCs w:val="28"/>
          <w:rtl/>
        </w:rPr>
        <w:t xml:space="preserve">ארגון הגרלות והימורים אסורים בצוותא </w:t>
      </w:r>
      <w:r>
        <w:rPr>
          <w:rFonts w:ascii="Calibri" w:hAnsi="Calibri" w:cs="FrankRuehl" w:hint="cs"/>
          <w:sz w:val="28"/>
          <w:szCs w:val="28"/>
          <w:rtl/>
        </w:rPr>
        <w:t xml:space="preserve">(ריבוי עבירות), לפי </w:t>
      </w:r>
      <w:hyperlink r:id="rId29" w:history="1">
        <w:r w:rsidR="00F437DB" w:rsidRPr="00F437DB">
          <w:rPr>
            <w:rStyle w:val="Hyperlink"/>
            <w:rFonts w:ascii="Calibri" w:hAnsi="Calibri" w:cs="FrankRuehl" w:hint="eastAsia"/>
            <w:sz w:val="28"/>
            <w:szCs w:val="28"/>
            <w:rtl/>
          </w:rPr>
          <w:t>סעיפים</w:t>
        </w:r>
        <w:r w:rsidR="00F437DB" w:rsidRPr="00F437DB">
          <w:rPr>
            <w:rStyle w:val="Hyperlink"/>
            <w:rFonts w:ascii="Calibri" w:hAnsi="Calibri" w:cs="FrankRuehl"/>
            <w:sz w:val="28"/>
            <w:szCs w:val="28"/>
            <w:rtl/>
          </w:rPr>
          <w:t xml:space="preserve"> 225</w:t>
        </w:r>
      </w:hyperlink>
      <w:r>
        <w:rPr>
          <w:rFonts w:ascii="Calibri" w:hAnsi="Calibri" w:cs="FrankRuehl" w:hint="cs"/>
          <w:sz w:val="28"/>
          <w:szCs w:val="28"/>
          <w:rtl/>
        </w:rPr>
        <w:t xml:space="preserve"> ו-</w:t>
      </w:r>
      <w:hyperlink r:id="rId30" w:history="1">
        <w:r w:rsidR="00F437DB" w:rsidRPr="00F437DB">
          <w:rPr>
            <w:rStyle w:val="Hyperlink"/>
            <w:rFonts w:ascii="Calibri" w:hAnsi="Calibri" w:cs="FrankRuehl"/>
            <w:sz w:val="28"/>
            <w:szCs w:val="28"/>
            <w:rtl/>
          </w:rPr>
          <w:t>29(</w:t>
        </w:r>
        <w:r w:rsidR="00F437DB" w:rsidRPr="00F437DB">
          <w:rPr>
            <w:rStyle w:val="Hyperlink"/>
            <w:rFonts w:ascii="Calibri" w:hAnsi="Calibri" w:cs="FrankRuehl" w:hint="eastAsia"/>
            <w:sz w:val="28"/>
            <w:szCs w:val="28"/>
            <w:rtl/>
          </w:rPr>
          <w:t>א</w:t>
        </w:r>
        <w:r w:rsidR="00F437DB" w:rsidRPr="00F437DB">
          <w:rPr>
            <w:rStyle w:val="Hyperlink"/>
            <w:rFonts w:ascii="Calibri" w:hAnsi="Calibri" w:cs="FrankRuehl"/>
            <w:sz w:val="28"/>
            <w:szCs w:val="28"/>
            <w:rtl/>
          </w:rPr>
          <w:t>)</w:t>
        </w:r>
      </w:hyperlink>
      <w:r>
        <w:rPr>
          <w:rFonts w:ascii="Calibri" w:hAnsi="Calibri" w:cs="FrankRuehl" w:hint="cs"/>
          <w:sz w:val="28"/>
          <w:szCs w:val="28"/>
          <w:rtl/>
        </w:rPr>
        <w:t xml:space="preserve"> ל</w:t>
      </w:r>
      <w:hyperlink r:id="rId31" w:history="1">
        <w:r w:rsidR="00976EB1" w:rsidRPr="00976EB1">
          <w:rPr>
            <w:rFonts w:ascii="Calibri" w:hAnsi="Calibri" w:cs="FrankRuehl" w:hint="eastAsia"/>
            <w:color w:val="0000FF"/>
            <w:sz w:val="28"/>
            <w:szCs w:val="28"/>
            <w:u w:val="single"/>
            <w:rtl/>
          </w:rPr>
          <w:t>חוק</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העונשין</w:t>
        </w:r>
      </w:hyperlink>
      <w:r>
        <w:rPr>
          <w:rFonts w:ascii="Calibri" w:hAnsi="Calibri" w:cs="FrankRuehl" w:hint="cs"/>
          <w:sz w:val="28"/>
          <w:szCs w:val="28"/>
          <w:rtl/>
        </w:rPr>
        <w:t>, התשל"ז-1977 (להלן:</w:t>
      </w:r>
      <w:r w:rsidRPr="00774C2B">
        <w:rPr>
          <w:rFonts w:ascii="Calibri" w:hAnsi="Calibri" w:cs="Miriam" w:hint="cs"/>
          <w:rtl/>
        </w:rPr>
        <w:t xml:space="preserve"> חוק העונשין</w:t>
      </w:r>
      <w:r>
        <w:rPr>
          <w:rFonts w:ascii="Calibri" w:hAnsi="Calibri" w:cs="FrankRuehl" w:hint="cs"/>
          <w:sz w:val="28"/>
          <w:szCs w:val="28"/>
          <w:rtl/>
        </w:rPr>
        <w:t xml:space="preserve">); </w:t>
      </w:r>
      <w:r w:rsidRPr="00774C2B">
        <w:rPr>
          <w:rFonts w:ascii="Calibri" w:hAnsi="Calibri" w:cs="FrankRuehl" w:hint="cs"/>
          <w:b/>
          <w:bCs/>
          <w:sz w:val="28"/>
          <w:szCs w:val="28"/>
          <w:rtl/>
        </w:rPr>
        <w:t>החזקת מקום להימורים או הגרלות בצוותא</w:t>
      </w:r>
      <w:r>
        <w:rPr>
          <w:rFonts w:ascii="Calibri" w:hAnsi="Calibri" w:cs="FrankRuehl" w:hint="cs"/>
          <w:sz w:val="28"/>
          <w:szCs w:val="28"/>
          <w:rtl/>
        </w:rPr>
        <w:t xml:space="preserve">, לפי </w:t>
      </w:r>
      <w:hyperlink r:id="rId32" w:history="1">
        <w:r w:rsidR="00F437DB" w:rsidRPr="00F437DB">
          <w:rPr>
            <w:rStyle w:val="Hyperlink"/>
            <w:rFonts w:ascii="Calibri" w:hAnsi="Calibri" w:cs="FrankRuehl" w:hint="eastAsia"/>
            <w:sz w:val="28"/>
            <w:szCs w:val="28"/>
            <w:rtl/>
          </w:rPr>
          <w:t>סעיפים</w:t>
        </w:r>
        <w:r w:rsidR="00F437DB" w:rsidRPr="00F437DB">
          <w:rPr>
            <w:rStyle w:val="Hyperlink"/>
            <w:rFonts w:ascii="Calibri" w:hAnsi="Calibri" w:cs="FrankRuehl"/>
            <w:sz w:val="28"/>
            <w:szCs w:val="28"/>
            <w:rtl/>
          </w:rPr>
          <w:t xml:space="preserve"> 228</w:t>
        </w:r>
      </w:hyperlink>
      <w:r>
        <w:rPr>
          <w:rFonts w:ascii="Calibri" w:hAnsi="Calibri" w:cs="FrankRuehl" w:hint="cs"/>
          <w:sz w:val="28"/>
          <w:szCs w:val="28"/>
          <w:rtl/>
        </w:rPr>
        <w:t xml:space="preserve"> רישא ו-</w:t>
      </w:r>
      <w:hyperlink r:id="rId33" w:history="1">
        <w:r w:rsidR="00F437DB" w:rsidRPr="00F437DB">
          <w:rPr>
            <w:rStyle w:val="Hyperlink"/>
            <w:rFonts w:ascii="Calibri" w:hAnsi="Calibri" w:cs="FrankRuehl"/>
            <w:sz w:val="28"/>
            <w:szCs w:val="28"/>
            <w:rtl/>
          </w:rPr>
          <w:t>29(</w:t>
        </w:r>
        <w:r w:rsidR="00F437DB" w:rsidRPr="00F437DB">
          <w:rPr>
            <w:rStyle w:val="Hyperlink"/>
            <w:rFonts w:ascii="Calibri" w:hAnsi="Calibri" w:cs="FrankRuehl" w:hint="eastAsia"/>
            <w:sz w:val="28"/>
            <w:szCs w:val="28"/>
            <w:rtl/>
          </w:rPr>
          <w:t>א</w:t>
        </w:r>
        <w:r w:rsidR="00F437DB" w:rsidRPr="00F437DB">
          <w:rPr>
            <w:rStyle w:val="Hyperlink"/>
            <w:rFonts w:ascii="Calibri" w:hAnsi="Calibri" w:cs="FrankRuehl"/>
            <w:sz w:val="28"/>
            <w:szCs w:val="28"/>
            <w:rtl/>
          </w:rPr>
          <w:t>)</w:t>
        </w:r>
      </w:hyperlink>
      <w:r>
        <w:rPr>
          <w:rFonts w:ascii="Calibri" w:hAnsi="Calibri" w:cs="FrankRuehl" w:hint="cs"/>
          <w:sz w:val="28"/>
          <w:szCs w:val="28"/>
          <w:rtl/>
        </w:rPr>
        <w:t xml:space="preserve"> לחוק העונשין; </w:t>
      </w:r>
      <w:r w:rsidRPr="00774C2B">
        <w:rPr>
          <w:rFonts w:ascii="Calibri" w:hAnsi="Calibri" w:cs="FrankRuehl" w:hint="cs"/>
          <w:b/>
          <w:bCs/>
          <w:sz w:val="28"/>
          <w:szCs w:val="28"/>
          <w:rtl/>
        </w:rPr>
        <w:t>קשירת קשר לעשות עוון</w:t>
      </w:r>
      <w:r>
        <w:rPr>
          <w:rFonts w:ascii="Calibri" w:hAnsi="Calibri" w:cs="FrankRuehl" w:hint="cs"/>
          <w:sz w:val="28"/>
          <w:szCs w:val="28"/>
          <w:rtl/>
        </w:rPr>
        <w:t xml:space="preserve">, לפי </w:t>
      </w:r>
      <w:hyperlink r:id="rId34" w:history="1">
        <w:r w:rsidR="00F437DB" w:rsidRPr="00F437DB">
          <w:rPr>
            <w:rStyle w:val="Hyperlink"/>
            <w:rFonts w:ascii="Calibri" w:hAnsi="Calibri" w:cs="FrankRuehl" w:hint="eastAsia"/>
            <w:sz w:val="28"/>
            <w:szCs w:val="28"/>
            <w:rtl/>
          </w:rPr>
          <w:t>סעיף</w:t>
        </w:r>
        <w:r w:rsidR="00F437DB" w:rsidRPr="00F437DB">
          <w:rPr>
            <w:rStyle w:val="Hyperlink"/>
            <w:rFonts w:ascii="Calibri" w:hAnsi="Calibri" w:cs="FrankRuehl"/>
            <w:sz w:val="28"/>
            <w:szCs w:val="28"/>
            <w:rtl/>
          </w:rPr>
          <w:t xml:space="preserve"> 499(</w:t>
        </w:r>
        <w:r w:rsidR="00F437DB" w:rsidRPr="00F437DB">
          <w:rPr>
            <w:rStyle w:val="Hyperlink"/>
            <w:rFonts w:ascii="Calibri" w:hAnsi="Calibri" w:cs="FrankRuehl" w:hint="eastAsia"/>
            <w:sz w:val="28"/>
            <w:szCs w:val="28"/>
            <w:rtl/>
          </w:rPr>
          <w:t>א</w:t>
        </w:r>
        <w:r w:rsidR="00F437DB" w:rsidRPr="00F437DB">
          <w:rPr>
            <w:rStyle w:val="Hyperlink"/>
            <w:rFonts w:ascii="Calibri" w:hAnsi="Calibri" w:cs="FrankRuehl"/>
            <w:sz w:val="28"/>
            <w:szCs w:val="28"/>
            <w:rtl/>
          </w:rPr>
          <w:t>)(2)</w:t>
        </w:r>
      </w:hyperlink>
      <w:r>
        <w:rPr>
          <w:rFonts w:ascii="Calibri" w:hAnsi="Calibri" w:cs="FrankRuehl" w:hint="cs"/>
          <w:sz w:val="28"/>
          <w:szCs w:val="28"/>
          <w:rtl/>
        </w:rPr>
        <w:t xml:space="preserve"> לחוק העונשין; </w:t>
      </w:r>
      <w:r w:rsidRPr="00241A4E">
        <w:rPr>
          <w:rFonts w:ascii="Calibri" w:hAnsi="Calibri" w:cs="FrankRuehl" w:hint="cs"/>
          <w:b/>
          <w:bCs/>
          <w:sz w:val="28"/>
          <w:szCs w:val="28"/>
          <w:rtl/>
        </w:rPr>
        <w:t>עשיית פעולה ברכוש אסור בצוותא</w:t>
      </w:r>
      <w:r>
        <w:rPr>
          <w:rFonts w:ascii="Calibri" w:hAnsi="Calibri" w:cs="FrankRuehl" w:hint="cs"/>
          <w:sz w:val="28"/>
          <w:szCs w:val="28"/>
          <w:rtl/>
        </w:rPr>
        <w:t xml:space="preserve">, לפי </w:t>
      </w:r>
      <w:hyperlink r:id="rId35" w:history="1">
        <w:r w:rsidR="00F437DB" w:rsidRPr="00F437DB">
          <w:rPr>
            <w:rStyle w:val="Hyperlink"/>
            <w:rFonts w:ascii="Calibri" w:hAnsi="Calibri" w:cs="FrankRuehl" w:hint="eastAsia"/>
            <w:sz w:val="28"/>
            <w:szCs w:val="28"/>
            <w:rtl/>
          </w:rPr>
          <w:t>סעיף</w:t>
        </w:r>
        <w:r w:rsidR="00F437DB" w:rsidRPr="00F437DB">
          <w:rPr>
            <w:rStyle w:val="Hyperlink"/>
            <w:rFonts w:ascii="Calibri" w:hAnsi="Calibri" w:cs="FrankRuehl"/>
            <w:sz w:val="28"/>
            <w:szCs w:val="28"/>
            <w:rtl/>
          </w:rPr>
          <w:t xml:space="preserve"> 4</w:t>
        </w:r>
      </w:hyperlink>
      <w:r>
        <w:rPr>
          <w:rFonts w:ascii="Calibri" w:hAnsi="Calibri" w:cs="FrankRuehl" w:hint="cs"/>
          <w:sz w:val="28"/>
          <w:szCs w:val="28"/>
          <w:rtl/>
        </w:rPr>
        <w:t xml:space="preserve"> ל</w:t>
      </w:r>
      <w:hyperlink r:id="rId36" w:history="1">
        <w:r w:rsidR="00976EB1" w:rsidRPr="00976EB1">
          <w:rPr>
            <w:rFonts w:ascii="Calibri" w:hAnsi="Calibri" w:cs="FrankRuehl" w:hint="eastAsia"/>
            <w:color w:val="0000FF"/>
            <w:sz w:val="28"/>
            <w:szCs w:val="28"/>
            <w:u w:val="single"/>
            <w:rtl/>
          </w:rPr>
          <w:t>חוק</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איסור</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הלבנת</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הון</w:t>
        </w:r>
      </w:hyperlink>
      <w:r>
        <w:rPr>
          <w:rFonts w:ascii="Calibri" w:hAnsi="Calibri" w:cs="FrankRuehl" w:hint="cs"/>
          <w:sz w:val="28"/>
          <w:szCs w:val="28"/>
          <w:rtl/>
        </w:rPr>
        <w:t>, התש"ס-2000 (להלן:</w:t>
      </w:r>
      <w:r w:rsidRPr="00241A4E">
        <w:rPr>
          <w:rFonts w:ascii="Calibri" w:hAnsi="Calibri" w:cs="Miriam" w:hint="cs"/>
          <w:rtl/>
        </w:rPr>
        <w:t xml:space="preserve"> חוק איסור הלבנת הון</w:t>
      </w:r>
      <w:r>
        <w:rPr>
          <w:rFonts w:ascii="Calibri" w:hAnsi="Calibri" w:cs="FrankRuehl" w:hint="cs"/>
          <w:sz w:val="28"/>
          <w:szCs w:val="28"/>
          <w:rtl/>
        </w:rPr>
        <w:t xml:space="preserve">) </w:t>
      </w:r>
      <w:hyperlink r:id="rId37" w:history="1">
        <w:r w:rsidR="00F437DB" w:rsidRPr="00F437DB">
          <w:rPr>
            <w:rStyle w:val="Hyperlink"/>
            <w:rFonts w:ascii="Calibri" w:hAnsi="Calibri" w:cs="FrankRuehl" w:hint="eastAsia"/>
            <w:sz w:val="28"/>
            <w:szCs w:val="28"/>
            <w:rtl/>
          </w:rPr>
          <w:t>וסעיף</w:t>
        </w:r>
        <w:r w:rsidR="00F437DB" w:rsidRPr="00F437DB">
          <w:rPr>
            <w:rStyle w:val="Hyperlink"/>
            <w:rFonts w:ascii="Calibri" w:hAnsi="Calibri" w:cs="FrankRuehl"/>
            <w:sz w:val="28"/>
            <w:szCs w:val="28"/>
            <w:rtl/>
          </w:rPr>
          <w:t xml:space="preserve"> 29(</w:t>
        </w:r>
        <w:r w:rsidR="00F437DB" w:rsidRPr="00F437DB">
          <w:rPr>
            <w:rStyle w:val="Hyperlink"/>
            <w:rFonts w:ascii="Calibri" w:hAnsi="Calibri" w:cs="FrankRuehl" w:hint="eastAsia"/>
            <w:sz w:val="28"/>
            <w:szCs w:val="28"/>
            <w:rtl/>
          </w:rPr>
          <w:t>א</w:t>
        </w:r>
        <w:r w:rsidR="00F437DB" w:rsidRPr="00F437DB">
          <w:rPr>
            <w:rStyle w:val="Hyperlink"/>
            <w:rFonts w:ascii="Calibri" w:hAnsi="Calibri" w:cs="FrankRuehl"/>
            <w:sz w:val="28"/>
            <w:szCs w:val="28"/>
            <w:rtl/>
          </w:rPr>
          <w:t>)</w:t>
        </w:r>
      </w:hyperlink>
      <w:r>
        <w:rPr>
          <w:rFonts w:ascii="Calibri" w:hAnsi="Calibri" w:cs="FrankRuehl" w:hint="cs"/>
          <w:sz w:val="28"/>
          <w:szCs w:val="28"/>
          <w:rtl/>
        </w:rPr>
        <w:t xml:space="preserve"> לחוק העונשין</w:t>
      </w:r>
      <w:r>
        <w:rPr>
          <w:rFonts w:ascii="FrankRuehl" w:hAnsi="FrankRuehl" w:cs="FrankRuehl" w:hint="cs"/>
          <w:sz w:val="28"/>
          <w:szCs w:val="28"/>
          <w:rtl/>
        </w:rPr>
        <w:t>.</w:t>
      </w:r>
    </w:p>
    <w:p w14:paraId="36C4437F" w14:textId="77777777" w:rsidR="00C76774" w:rsidRDefault="00C76774" w:rsidP="00C76774">
      <w:pPr>
        <w:spacing w:after="160" w:line="360" w:lineRule="auto"/>
        <w:contextualSpacing/>
        <w:jc w:val="both"/>
        <w:rPr>
          <w:rFonts w:ascii="FrankRuehl" w:hAnsi="FrankRuehl" w:cs="FrankRuehl"/>
          <w:sz w:val="28"/>
          <w:szCs w:val="28"/>
          <w:rtl/>
        </w:rPr>
      </w:pPr>
    </w:p>
    <w:p w14:paraId="225E3E39" w14:textId="77777777" w:rsidR="00C76774" w:rsidRDefault="00C76774" w:rsidP="00C76774">
      <w:pPr>
        <w:spacing w:after="160" w:line="360" w:lineRule="auto"/>
        <w:contextualSpacing/>
        <w:jc w:val="both"/>
        <w:rPr>
          <w:rFonts w:ascii="FrankRuehl" w:hAnsi="FrankRuehl" w:cs="FrankRuehl"/>
          <w:b/>
          <w:bCs/>
          <w:sz w:val="28"/>
          <w:szCs w:val="28"/>
          <w:rtl/>
        </w:rPr>
      </w:pPr>
      <w:r w:rsidRPr="00A26C2B">
        <w:rPr>
          <w:rFonts w:ascii="FrankRuehl" w:hAnsi="FrankRuehl" w:cs="FrankRuehl" w:hint="cs"/>
          <w:b/>
          <w:bCs/>
          <w:sz w:val="28"/>
          <w:szCs w:val="28"/>
          <w:rtl/>
        </w:rPr>
        <w:t>כתב האישום</w:t>
      </w:r>
    </w:p>
    <w:p w14:paraId="1485D771" w14:textId="77777777" w:rsidR="00C76774" w:rsidRPr="00A26C2B" w:rsidRDefault="00C76774" w:rsidP="00C76774">
      <w:pPr>
        <w:spacing w:after="160" w:line="360" w:lineRule="auto"/>
        <w:contextualSpacing/>
        <w:jc w:val="both"/>
        <w:rPr>
          <w:rFonts w:ascii="FrankRuehl" w:hAnsi="FrankRuehl" w:cs="FrankRuehl"/>
          <w:b/>
          <w:bCs/>
          <w:sz w:val="28"/>
          <w:szCs w:val="28"/>
        </w:rPr>
      </w:pPr>
    </w:p>
    <w:p w14:paraId="6DA6CF82"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2.</w:t>
      </w:r>
      <w:r>
        <w:rPr>
          <w:rFonts w:ascii="Calibri" w:hAnsi="Calibri" w:cs="FrankRuehl" w:hint="cs"/>
          <w:sz w:val="28"/>
          <w:szCs w:val="28"/>
          <w:rtl/>
        </w:rPr>
        <w:tab/>
        <w:t>כתב האישום מספק הצצה נדירה לדרך בה פועלים ההימורים במרשתת.</w:t>
      </w:r>
    </w:p>
    <w:p w14:paraId="337396AD" w14:textId="77777777" w:rsidR="00C76774" w:rsidRDefault="00C76774" w:rsidP="00C76774">
      <w:pPr>
        <w:spacing w:after="160" w:line="360" w:lineRule="auto"/>
        <w:contextualSpacing/>
        <w:jc w:val="both"/>
        <w:rPr>
          <w:rFonts w:ascii="Calibri" w:hAnsi="Calibri" w:cs="FrankRuehl"/>
          <w:sz w:val="28"/>
          <w:szCs w:val="28"/>
        </w:rPr>
      </w:pPr>
      <w:r w:rsidRPr="00D52480">
        <w:rPr>
          <w:rFonts w:ascii="Calibri" w:hAnsi="Calibri" w:cs="FrankRuehl" w:hint="cs"/>
          <w:b/>
          <w:bCs/>
          <w:sz w:val="28"/>
          <w:szCs w:val="28"/>
          <w:rtl/>
        </w:rPr>
        <w:t xml:space="preserve">על פי </w:t>
      </w:r>
      <w:r w:rsidRPr="00E17ADC">
        <w:rPr>
          <w:rFonts w:ascii="Calibri" w:hAnsi="Calibri" w:cs="FrankRuehl" w:hint="cs"/>
          <w:b/>
          <w:bCs/>
          <w:sz w:val="28"/>
          <w:szCs w:val="28"/>
          <w:rtl/>
        </w:rPr>
        <w:t xml:space="preserve">החלק הכללי </w:t>
      </w:r>
      <w:r>
        <w:rPr>
          <w:rFonts w:ascii="Calibri" w:hAnsi="Calibri" w:cs="FrankRuehl" w:hint="cs"/>
          <w:sz w:val="28"/>
          <w:szCs w:val="28"/>
          <w:rtl/>
        </w:rPr>
        <w:t xml:space="preserve">בעובדות כתב האישום המתוקן, במועד שאינו ידוע במדויק למאשימה, קשר הנאשם קשר עם גיא צרפתי (להלן: </w:t>
      </w:r>
      <w:r w:rsidRPr="00241A4E">
        <w:rPr>
          <w:rFonts w:ascii="Calibri" w:hAnsi="Calibri" w:cs="Miriam" w:hint="cs"/>
          <w:rtl/>
        </w:rPr>
        <w:t>צרפתי</w:t>
      </w:r>
      <w:r>
        <w:rPr>
          <w:rFonts w:ascii="Calibri" w:hAnsi="Calibri" w:cs="FrankRuehl" w:hint="cs"/>
          <w:sz w:val="28"/>
          <w:szCs w:val="28"/>
          <w:rtl/>
        </w:rPr>
        <w:t xml:space="preserve">) לשם ניהול דירות הימורים בהן יערכו משחקים אסורים ולשם ארגון וניהול הימורים על תוצאות משחקי ספורט באתרים במרשתת. </w:t>
      </w:r>
    </w:p>
    <w:p w14:paraId="74684CC7"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 xml:space="preserve">בין חודש אוקטובר 2016 ועד לחודש יוני 2017, עסק הנאשם בארגון הימורים אסורים ומשחקים אסורים, בין אם בעצמו ובין אם בצוותא עם צרפתי, באופן בו ארגנו הימורים באתרי הימורים בספורט, וכן ניהלו דירת הימורים בה התבצעו משחקים אסורים מסוג "פוקר טורקי" ו-"פוקר קאריבי". </w:t>
      </w:r>
    </w:p>
    <w:p w14:paraId="605657A4"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 xml:space="preserve">חלוקת התפקידים בין הנאשם לבין צרפתי הייתה כדלקמן: צרפתי היה המתפעל, ומי שעסק בפועל בפעילות ההימורים והמשחקים האסורים, תוך יצירת קשר ישיר עם המהמרים והגורמים המתפעלים את ההימורים האסורים, ואילו הנאשם היה הגורם האחראי על ההתנהלות הפיננסית הקשורה לתפעול ההימורים והמשחקים האסורים. </w:t>
      </w:r>
    </w:p>
    <w:p w14:paraId="6B6D1767" w14:textId="77777777" w:rsidR="00C76774" w:rsidRDefault="00C76774" w:rsidP="00C76774">
      <w:pPr>
        <w:spacing w:after="160" w:line="360" w:lineRule="auto"/>
        <w:contextualSpacing/>
        <w:jc w:val="both"/>
        <w:rPr>
          <w:rFonts w:ascii="Calibri" w:hAnsi="Calibri" w:cs="FrankRuehl"/>
          <w:sz w:val="28"/>
          <w:szCs w:val="28"/>
          <w:rtl/>
        </w:rPr>
      </w:pPr>
    </w:p>
    <w:p w14:paraId="5327A8AD"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3.</w:t>
      </w:r>
      <w:r>
        <w:rPr>
          <w:rFonts w:ascii="Calibri" w:hAnsi="Calibri" w:cs="FrankRuehl" w:hint="cs"/>
          <w:sz w:val="28"/>
          <w:szCs w:val="28"/>
          <w:rtl/>
        </w:rPr>
        <w:tab/>
      </w:r>
      <w:r w:rsidRPr="00A26C2B">
        <w:rPr>
          <w:rFonts w:ascii="Calibri" w:hAnsi="Calibri" w:cs="FrankRuehl" w:hint="cs"/>
          <w:b/>
          <w:bCs/>
          <w:sz w:val="28"/>
          <w:szCs w:val="28"/>
          <w:rtl/>
        </w:rPr>
        <w:t>על פי המתואר בפרט האישום הראשון</w:t>
      </w:r>
      <w:r>
        <w:rPr>
          <w:rFonts w:ascii="Calibri" w:hAnsi="Calibri" w:cs="FrankRuehl" w:hint="cs"/>
          <w:sz w:val="28"/>
          <w:szCs w:val="28"/>
          <w:rtl/>
        </w:rPr>
        <w:t xml:space="preserve">, קשרו הנאשם וצרפתי את הקשר ביניהם בין החודשים אוקטובר 2016 ועד לחודש יוני 2017, לשם ארגון הימורים על משחקי ספורט באתרים שונים באינטרנט. השניים סיכמו ביניהם שיהיו שותפים ברווחים שיתקבלו מהפסדי המהמרים באתרים. צרפתי היה מתפעל את המהמרים ומאפשר את ההימורים, ואילו הנאשם היה אחראי על הקצאת הכספים וניהול הרווחים וההפסדים של השניים. </w:t>
      </w:r>
    </w:p>
    <w:p w14:paraId="337EE22B"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 xml:space="preserve">במועד לא ידוע, קיבל צרפתי ממקור לא ידוע, הרשאות לפתוח חשבונות משתמש עבור מהמרים באתרי אינטרנט, אשר בהם ניתן להמר על תוצאות משחקי ספורט שונים בעיקר משחקי כדורגל או כדורגל בחו"ל בשמות שונים (להלן: </w:t>
      </w:r>
      <w:r w:rsidRPr="00A26C2B">
        <w:rPr>
          <w:rFonts w:ascii="Calibri" w:hAnsi="Calibri" w:cs="Miriam" w:hint="cs"/>
          <w:rtl/>
        </w:rPr>
        <w:t>אתרי ההימורים</w:t>
      </w:r>
      <w:r>
        <w:rPr>
          <w:rFonts w:ascii="Calibri" w:hAnsi="Calibri" w:cs="FrankRuehl" w:hint="cs"/>
          <w:sz w:val="28"/>
          <w:szCs w:val="28"/>
          <w:rtl/>
        </w:rPr>
        <w:t xml:space="preserve">). </w:t>
      </w:r>
    </w:p>
    <w:p w14:paraId="25B765FD"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 xml:space="preserve">צרפתי אף פתח חשבונות משתמש עבור המהמרים באותם אתרים (להלן: </w:t>
      </w:r>
      <w:r>
        <w:rPr>
          <w:rFonts w:ascii="Calibri" w:hAnsi="Calibri" w:cs="Miriam" w:hint="cs"/>
          <w:rtl/>
        </w:rPr>
        <w:t>ה</w:t>
      </w:r>
      <w:r w:rsidRPr="00EC3D39">
        <w:rPr>
          <w:rFonts w:ascii="Calibri" w:hAnsi="Calibri" w:cs="Miriam" w:hint="cs"/>
          <w:rtl/>
        </w:rPr>
        <w:t>קופסאות</w:t>
      </w:r>
      <w:r>
        <w:rPr>
          <w:rFonts w:ascii="Calibri" w:hAnsi="Calibri" w:cs="FrankRuehl" w:hint="cs"/>
          <w:sz w:val="28"/>
          <w:szCs w:val="28"/>
          <w:rtl/>
        </w:rPr>
        <w:t>), ושלח למהמרים את פרטי הקופסאות שכללו שם משתמש וסיסמא. לאחר פתיחת הקופסא, הטעין צרפתי, בתיאום עם המהמר, את מסגרת הסכום בו יוכל המהמר לשחק (מה שמכונה "</w:t>
      </w:r>
      <w:r w:rsidRPr="00EC3D39">
        <w:rPr>
          <w:rFonts w:ascii="Calibri" w:hAnsi="Calibri" w:cs="FrankRuehl" w:hint="cs"/>
          <w:sz w:val="28"/>
          <w:szCs w:val="28"/>
          <w:rtl/>
        </w:rPr>
        <w:t>קרדיט</w:t>
      </w:r>
      <w:r>
        <w:rPr>
          <w:rFonts w:ascii="Calibri" w:hAnsi="Calibri" w:cs="FrankRuehl" w:hint="cs"/>
          <w:sz w:val="28"/>
          <w:szCs w:val="28"/>
          <w:rtl/>
        </w:rPr>
        <w:t xml:space="preserve">"). המהמר היה מבצע את ההימור בפועל באחת משתי דרכים: האחת, כניסה עצמאית לאתר הרלוונטי, לאחר שנכנס לקופסא בעזרת שם המשתמש והסיסמא, מחליט על גובה הסכומים אשר ברצונו לסכן וכן את יחס ההימור. השנייה, באמצעות שיחת טלפון עם צרפתי אשר היה מעדכן את ההימור. </w:t>
      </w:r>
    </w:p>
    <w:p w14:paraId="07D050A3" w14:textId="77777777" w:rsidR="00C76774" w:rsidRPr="00722FCD"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 xml:space="preserve">בכל יום שלישי, היה צרפתי, בין אם בעצמו ובין אם באמצעות מי מטעמו, גובה במזומן את כספי </w:t>
      </w:r>
      <w:r w:rsidRPr="00722FCD">
        <w:rPr>
          <w:rFonts w:ascii="Calibri" w:hAnsi="Calibri" w:cs="FrankRuehl" w:hint="cs"/>
          <w:sz w:val="28"/>
          <w:szCs w:val="28"/>
          <w:rtl/>
        </w:rPr>
        <w:t xml:space="preserve">ההפסד של כל מהמר או מעביר לו את כספי הזכייה במזומן. אותו שליח היה גם מפקיד את הכספים בחשבון בנק מטעם האתר, בניכוי עמלה של 15% מכל הפסד, </w:t>
      </w:r>
      <w:r>
        <w:rPr>
          <w:rFonts w:ascii="Calibri" w:hAnsi="Calibri" w:cs="FrankRuehl" w:hint="cs"/>
          <w:sz w:val="28"/>
          <w:szCs w:val="28"/>
          <w:rtl/>
        </w:rPr>
        <w:t>אות</w:t>
      </w:r>
      <w:r w:rsidRPr="00722FCD">
        <w:rPr>
          <w:rFonts w:ascii="Calibri" w:hAnsi="Calibri" w:cs="FrankRuehl" w:hint="cs"/>
          <w:sz w:val="28"/>
          <w:szCs w:val="28"/>
          <w:rtl/>
        </w:rPr>
        <w:t>ה היה צרפתי חולק עם הנאשם באופן שווה</w:t>
      </w:r>
      <w:r>
        <w:rPr>
          <w:rFonts w:ascii="Calibri" w:hAnsi="Calibri" w:cs="FrankRuehl" w:hint="cs"/>
          <w:sz w:val="28"/>
          <w:szCs w:val="28"/>
          <w:rtl/>
        </w:rPr>
        <w:t>,</w:t>
      </w:r>
      <w:r w:rsidRPr="00722FCD">
        <w:rPr>
          <w:rFonts w:ascii="Calibri" w:hAnsi="Calibri" w:cs="FrankRuehl" w:hint="cs"/>
          <w:sz w:val="28"/>
          <w:szCs w:val="28"/>
          <w:rtl/>
        </w:rPr>
        <w:t xml:space="preserve"> כאשר רווחו של הנאשם נע בין 7,000 ₪ ועד ל- 15,000 ₪ בחודש.  </w:t>
      </w:r>
    </w:p>
    <w:p w14:paraId="5DB239C1" w14:textId="77777777" w:rsidR="00C76774" w:rsidRPr="00722FCD" w:rsidRDefault="00C76774" w:rsidP="00C76774">
      <w:pPr>
        <w:spacing w:after="160" w:line="360" w:lineRule="auto"/>
        <w:contextualSpacing/>
        <w:jc w:val="both"/>
        <w:rPr>
          <w:rFonts w:ascii="Calibri" w:hAnsi="Calibri" w:cs="FrankRuehl"/>
          <w:sz w:val="28"/>
          <w:szCs w:val="28"/>
          <w:rtl/>
        </w:rPr>
      </w:pPr>
      <w:r w:rsidRPr="00722FCD">
        <w:rPr>
          <w:rFonts w:ascii="Calibri" w:hAnsi="Calibri" w:cs="FrankRuehl" w:hint="cs"/>
          <w:sz w:val="28"/>
          <w:szCs w:val="28"/>
          <w:rtl/>
        </w:rPr>
        <w:t xml:space="preserve">בדרך זו הועברו כספי ההימורים בין הנאשם וצרפתי לבין המהמרים באתרים השונים, בסכומים אשר אינם ידועים למאשימה. אולם, בתקופה שבין אוקטובר 2016 ליוני 2017, גלגל רק אתר </w:t>
      </w:r>
      <w:r w:rsidRPr="00722FCD">
        <w:rPr>
          <w:rFonts w:ascii="Calibri" w:hAnsi="Calibri" w:cs="FrankRuehl"/>
          <w:sz w:val="28"/>
          <w:szCs w:val="28"/>
        </w:rPr>
        <w:t>pinibet.com</w:t>
      </w:r>
      <w:r>
        <w:rPr>
          <w:rFonts w:ascii="Calibri" w:hAnsi="Calibri" w:cs="FrankRuehl" w:hint="cs"/>
          <w:sz w:val="28"/>
          <w:szCs w:val="28"/>
          <w:rtl/>
        </w:rPr>
        <w:t xml:space="preserve">, </w:t>
      </w:r>
      <w:r w:rsidRPr="00722FCD">
        <w:rPr>
          <w:rFonts w:ascii="Calibri" w:hAnsi="Calibri" w:cs="FrankRuehl" w:hint="cs"/>
          <w:sz w:val="28"/>
          <w:szCs w:val="28"/>
          <w:rtl/>
        </w:rPr>
        <w:t xml:space="preserve">באותן קופסאות אותן פתח צרפתי, מחזור של יותר מ- 24,000,000 ₪ (להלן: </w:t>
      </w:r>
      <w:r w:rsidRPr="00722FCD">
        <w:rPr>
          <w:rFonts w:ascii="Calibri" w:hAnsi="Calibri" w:cs="Miriam" w:hint="cs"/>
          <w:rtl/>
        </w:rPr>
        <w:t>הרכוש האסור</w:t>
      </w:r>
      <w:r w:rsidRPr="00722FCD">
        <w:rPr>
          <w:rFonts w:ascii="Calibri" w:hAnsi="Calibri" w:cs="FrankRuehl" w:hint="cs"/>
          <w:sz w:val="28"/>
          <w:szCs w:val="28"/>
          <w:rtl/>
        </w:rPr>
        <w:t xml:space="preserve">). </w:t>
      </w:r>
    </w:p>
    <w:p w14:paraId="195E9854" w14:textId="77777777" w:rsidR="00C76774" w:rsidRPr="00722FCD" w:rsidRDefault="00C76774" w:rsidP="00C76774">
      <w:pPr>
        <w:spacing w:after="160" w:line="360" w:lineRule="auto"/>
        <w:contextualSpacing/>
        <w:jc w:val="both"/>
        <w:rPr>
          <w:rFonts w:ascii="Calibri" w:hAnsi="Calibri" w:cs="FrankRuehl"/>
          <w:sz w:val="28"/>
          <w:szCs w:val="28"/>
          <w:rtl/>
        </w:rPr>
      </w:pPr>
      <w:r w:rsidRPr="00722FCD">
        <w:rPr>
          <w:rFonts w:ascii="Calibri" w:hAnsi="Calibri" w:cs="FrankRuehl" w:hint="cs"/>
          <w:sz w:val="28"/>
          <w:szCs w:val="28"/>
          <w:rtl/>
        </w:rPr>
        <w:t xml:space="preserve">עוד עולה, שהנאשם וצרפתי היו בעלי גישה לקופסאות אשר נפתחו עבור המהמרים. צרפתי היה נכנס לאתרים השונים ועוקב אחר מאזן ההפסדים או הזכיות של כל מהמר. הנאשם וצרפתי היו יכולים לסגור קופסא של המהמר, ולשנות בה כל פרט הנוגע להימור. </w:t>
      </w:r>
    </w:p>
    <w:p w14:paraId="5D06819E" w14:textId="77777777" w:rsidR="00C76774" w:rsidRPr="00722FCD" w:rsidRDefault="00C76774" w:rsidP="00C76774">
      <w:pPr>
        <w:spacing w:after="160" w:line="360" w:lineRule="auto"/>
        <w:contextualSpacing/>
        <w:jc w:val="both"/>
        <w:rPr>
          <w:rFonts w:ascii="Calibri" w:hAnsi="Calibri" w:cs="FrankRuehl"/>
          <w:sz w:val="28"/>
          <w:szCs w:val="28"/>
          <w:rtl/>
        </w:rPr>
      </w:pPr>
    </w:p>
    <w:p w14:paraId="5DA75F97" w14:textId="77777777" w:rsidR="00C76774" w:rsidRPr="00722FCD" w:rsidRDefault="00C76774" w:rsidP="00C76774">
      <w:pPr>
        <w:spacing w:after="160" w:line="360" w:lineRule="auto"/>
        <w:contextualSpacing/>
        <w:jc w:val="both"/>
        <w:rPr>
          <w:rFonts w:ascii="Calibri" w:hAnsi="Calibri" w:cs="FrankRuehl"/>
          <w:sz w:val="28"/>
          <w:szCs w:val="28"/>
          <w:rtl/>
        </w:rPr>
      </w:pPr>
      <w:r w:rsidRPr="00722FCD">
        <w:rPr>
          <w:rFonts w:ascii="Calibri" w:hAnsi="Calibri" w:cs="FrankRuehl" w:hint="cs"/>
          <w:sz w:val="28"/>
          <w:szCs w:val="28"/>
          <w:rtl/>
        </w:rPr>
        <w:t xml:space="preserve">ככלל, </w:t>
      </w:r>
      <w:r>
        <w:rPr>
          <w:rFonts w:ascii="Calibri" w:hAnsi="Calibri" w:cs="FrankRuehl" w:hint="cs"/>
          <w:sz w:val="28"/>
          <w:szCs w:val="28"/>
          <w:rtl/>
        </w:rPr>
        <w:t xml:space="preserve">היה </w:t>
      </w:r>
      <w:r w:rsidRPr="00722FCD">
        <w:rPr>
          <w:rFonts w:ascii="Calibri" w:hAnsi="Calibri" w:cs="FrankRuehl" w:hint="cs"/>
          <w:sz w:val="28"/>
          <w:szCs w:val="28"/>
          <w:rtl/>
        </w:rPr>
        <w:t xml:space="preserve">הנאשם מורה לצרפתי כמה קרדיט ייטען לכל מהמר, היה מאשר הנחות ותשלומי זכייה וכן מכתיב את אופן הגבייה של חובות גדולים. השניים ניהלו את העברות הכספים שהתקבלו כתוצאה מניהול ההימורים, הנאשם פתח קופסאות למהמרים בהיעדרו של צרפתי והשניים חלקו את הרווחים והעמלות שקיבלו מכל הפסד של מי מהמהמרים. </w:t>
      </w:r>
    </w:p>
    <w:p w14:paraId="790B11D9" w14:textId="77777777" w:rsidR="00C76774" w:rsidRPr="00722FCD" w:rsidRDefault="00C76774" w:rsidP="00C76774">
      <w:pPr>
        <w:spacing w:after="160" w:line="360" w:lineRule="auto"/>
        <w:contextualSpacing/>
        <w:jc w:val="both"/>
        <w:rPr>
          <w:rFonts w:ascii="Calibri" w:hAnsi="Calibri" w:cs="FrankRuehl"/>
          <w:sz w:val="28"/>
          <w:szCs w:val="28"/>
          <w:rtl/>
        </w:rPr>
      </w:pPr>
      <w:r w:rsidRPr="00722FCD">
        <w:rPr>
          <w:rFonts w:ascii="Calibri" w:hAnsi="Calibri" w:cs="FrankRuehl" w:hint="cs"/>
          <w:sz w:val="28"/>
          <w:szCs w:val="28"/>
          <w:rtl/>
        </w:rPr>
        <w:t>נוסף על כך, תכננו השניים את הליך גביית הכס</w:t>
      </w:r>
      <w:r>
        <w:rPr>
          <w:rFonts w:ascii="Calibri" w:hAnsi="Calibri" w:cs="FrankRuehl" w:hint="cs"/>
          <w:sz w:val="28"/>
          <w:szCs w:val="28"/>
          <w:rtl/>
        </w:rPr>
        <w:t>פים</w:t>
      </w:r>
      <w:r w:rsidRPr="00722FCD">
        <w:rPr>
          <w:rFonts w:ascii="Calibri" w:hAnsi="Calibri" w:cs="FrankRuehl" w:hint="cs"/>
          <w:sz w:val="28"/>
          <w:szCs w:val="28"/>
          <w:rtl/>
        </w:rPr>
        <w:t xml:space="preserve"> והפקדת</w:t>
      </w:r>
      <w:r>
        <w:rPr>
          <w:rFonts w:ascii="Calibri" w:hAnsi="Calibri" w:cs="FrankRuehl" w:hint="cs"/>
          <w:sz w:val="28"/>
          <w:szCs w:val="28"/>
          <w:rtl/>
        </w:rPr>
        <w:t>ם</w:t>
      </w:r>
      <w:r w:rsidRPr="00722FCD">
        <w:rPr>
          <w:rFonts w:ascii="Calibri" w:hAnsi="Calibri" w:cs="FrankRuehl" w:hint="cs"/>
          <w:sz w:val="28"/>
          <w:szCs w:val="28"/>
          <w:rtl/>
        </w:rPr>
        <w:t xml:space="preserve"> בבנק, באמצעותם של שני נהגים. לעיתים היו הנאשם וצרפתי מנהלים את ההימורים באמצעות סוכני משנה, אשר בהוראת הנאשם וצרפתי היו פותחים קופסאות למהמרים וגובים את כספי ההפסדים. </w:t>
      </w:r>
    </w:p>
    <w:p w14:paraId="38B8A48C" w14:textId="77777777" w:rsidR="00C76774" w:rsidRPr="00722FCD" w:rsidRDefault="00C76774" w:rsidP="00C76774">
      <w:pPr>
        <w:spacing w:after="160" w:line="360" w:lineRule="auto"/>
        <w:ind w:left="720"/>
        <w:contextualSpacing/>
        <w:jc w:val="both"/>
        <w:rPr>
          <w:rFonts w:ascii="FrankRuehl" w:hAnsi="FrankRuehl" w:cs="FrankRuehl"/>
          <w:sz w:val="28"/>
          <w:szCs w:val="28"/>
          <w:rtl/>
        </w:rPr>
      </w:pPr>
    </w:p>
    <w:p w14:paraId="1E8D6C4C" w14:textId="77777777" w:rsidR="00C76774" w:rsidRPr="00722FCD" w:rsidRDefault="00C76774" w:rsidP="00C76774">
      <w:pPr>
        <w:spacing w:after="160" w:line="360" w:lineRule="auto"/>
        <w:contextualSpacing/>
        <w:jc w:val="both"/>
        <w:rPr>
          <w:rFonts w:ascii="Calibri" w:hAnsi="Calibri" w:cs="FrankRuehl"/>
          <w:sz w:val="28"/>
          <w:szCs w:val="28"/>
        </w:rPr>
      </w:pPr>
      <w:r w:rsidRPr="00722FCD">
        <w:rPr>
          <w:rFonts w:ascii="Calibri" w:hAnsi="Calibri" w:cs="FrankRuehl" w:hint="cs"/>
          <w:sz w:val="28"/>
          <w:szCs w:val="28"/>
          <w:rtl/>
        </w:rPr>
        <w:t>4.</w:t>
      </w:r>
      <w:r w:rsidRPr="00722FCD">
        <w:rPr>
          <w:rFonts w:ascii="Calibri" w:hAnsi="Calibri" w:cs="FrankRuehl" w:hint="cs"/>
          <w:sz w:val="28"/>
          <w:szCs w:val="28"/>
          <w:rtl/>
        </w:rPr>
        <w:tab/>
      </w:r>
      <w:r w:rsidRPr="00722FCD">
        <w:rPr>
          <w:rFonts w:ascii="Calibri" w:hAnsi="Calibri" w:cs="FrankRuehl" w:hint="cs"/>
          <w:b/>
          <w:bCs/>
          <w:sz w:val="28"/>
          <w:szCs w:val="28"/>
          <w:rtl/>
        </w:rPr>
        <w:t>על פי המתואר בפרט האישום השני</w:t>
      </w:r>
      <w:r w:rsidRPr="00722FCD">
        <w:rPr>
          <w:rFonts w:ascii="Calibri" w:hAnsi="Calibri" w:cs="FrankRuehl" w:hint="cs"/>
          <w:sz w:val="28"/>
          <w:szCs w:val="28"/>
          <w:rtl/>
        </w:rPr>
        <w:t xml:space="preserve">, קשר הנאשם קשר עם צרפתי לשם ניהול דירה בה יערכו משחקי הימורים אסורים. </w:t>
      </w:r>
    </w:p>
    <w:p w14:paraId="3280667E" w14:textId="77777777" w:rsidR="00C76774" w:rsidRPr="00722FCD" w:rsidRDefault="00C76774" w:rsidP="00C76774">
      <w:pPr>
        <w:spacing w:after="160" w:line="360" w:lineRule="auto"/>
        <w:contextualSpacing/>
        <w:jc w:val="both"/>
        <w:rPr>
          <w:rFonts w:ascii="Calibri" w:hAnsi="Calibri" w:cs="FrankRuehl"/>
          <w:sz w:val="28"/>
          <w:szCs w:val="28"/>
          <w:rtl/>
        </w:rPr>
      </w:pPr>
      <w:r w:rsidRPr="00722FCD">
        <w:rPr>
          <w:rFonts w:ascii="Calibri" w:hAnsi="Calibri" w:cs="FrankRuehl" w:hint="cs"/>
          <w:sz w:val="28"/>
          <w:szCs w:val="28"/>
          <w:rtl/>
        </w:rPr>
        <w:t xml:space="preserve">במסגרת הקשר, ניהלו הנאשם וצרפתי, בצוותא עם אדם נוסף בשם מתי קמחי (להלן: </w:t>
      </w:r>
      <w:r w:rsidRPr="00722FCD">
        <w:rPr>
          <w:rFonts w:ascii="Calibri" w:hAnsi="Calibri" w:cs="Miriam" w:hint="cs"/>
          <w:rtl/>
        </w:rPr>
        <w:t>קמחי</w:t>
      </w:r>
      <w:r w:rsidRPr="00722FCD">
        <w:rPr>
          <w:rFonts w:ascii="Calibri" w:hAnsi="Calibri" w:cs="FrankRuehl" w:hint="cs"/>
          <w:sz w:val="28"/>
          <w:szCs w:val="28"/>
          <w:rtl/>
        </w:rPr>
        <w:t xml:space="preserve">), בין התאריכים 15.6.17-22.6.17, בדירה ברחוב בר כוכבא בפתח תקוה (להלן: </w:t>
      </w:r>
      <w:r w:rsidRPr="00722FCD">
        <w:rPr>
          <w:rFonts w:ascii="Calibri" w:hAnsi="Calibri" w:cs="Miriam" w:hint="cs"/>
          <w:rtl/>
        </w:rPr>
        <w:t>דירת ההימורים ברחוב בר כוכבא</w:t>
      </w:r>
      <w:r w:rsidRPr="00722FCD">
        <w:rPr>
          <w:rFonts w:ascii="Calibri" w:hAnsi="Calibri" w:cs="FrankRuehl" w:hint="cs"/>
          <w:sz w:val="28"/>
          <w:szCs w:val="28"/>
          <w:rtl/>
        </w:rPr>
        <w:t xml:space="preserve">), מקום לשם עריכת משחקים אסורים מסוג "פוקר קאריבי" ו-"פוקר טורקי", שהינם משחקים בהם השחקן עשוי לזכות בכסף ותוצאותיהם של המשחקים תלויים יותר בגורל מאשר בהבנה או ביכולת. </w:t>
      </w:r>
    </w:p>
    <w:p w14:paraId="02E8C32C" w14:textId="77777777" w:rsidR="00C76774" w:rsidRDefault="00C76774" w:rsidP="00C76774">
      <w:pPr>
        <w:spacing w:after="160" w:line="360" w:lineRule="auto"/>
        <w:contextualSpacing/>
        <w:jc w:val="both"/>
        <w:rPr>
          <w:rFonts w:ascii="Calibri" w:hAnsi="Calibri" w:cs="FrankRuehl"/>
          <w:sz w:val="28"/>
          <w:szCs w:val="28"/>
          <w:rtl/>
        </w:rPr>
      </w:pPr>
      <w:r w:rsidRPr="00722FCD">
        <w:rPr>
          <w:rFonts w:ascii="Calibri" w:hAnsi="Calibri" w:cs="FrankRuehl" w:hint="cs"/>
          <w:sz w:val="28"/>
          <w:szCs w:val="28"/>
          <w:rtl/>
        </w:rPr>
        <w:t>לשם קידום הקשר, צרפתי והנאשם שכרו את הדירה, התקינו שטיחים, קנו ז'יטונים וריהוט והעבירו את כספי השכירות למשכיר. מתי קמחי היה אחראי על שכירת העובדים (כמו דילרים, מלצריות, ואינספקטורים), וכן על פתיחת הדירה, גביית הכס</w:t>
      </w:r>
      <w:r>
        <w:rPr>
          <w:rFonts w:ascii="Calibri" w:hAnsi="Calibri" w:cs="FrankRuehl" w:hint="cs"/>
          <w:sz w:val="28"/>
          <w:szCs w:val="28"/>
          <w:rtl/>
        </w:rPr>
        <w:t>פים</w:t>
      </w:r>
      <w:r w:rsidRPr="00722FCD">
        <w:rPr>
          <w:rFonts w:ascii="Calibri" w:hAnsi="Calibri" w:cs="FrankRuehl" w:hint="cs"/>
          <w:sz w:val="28"/>
          <w:szCs w:val="28"/>
          <w:rtl/>
        </w:rPr>
        <w:t xml:space="preserve"> וניהול רישום של ההימורים. בהתאם לחלוקת העבודה שתוארה בחלק הכללי של כתב האישום, צרפתי היה מתפעל את הדירה מול קמחי, בעוד שהנאשם היה מקבל דין וחשבון מצרפתי על אודות הרווחים אשר התקבלו מדירת ההימורים, מאשר קניית ז'יטונים והוצאות שונות של הדירה וקובע כיצד ייגבו החובות. </w:t>
      </w:r>
    </w:p>
    <w:p w14:paraId="369428D4" w14:textId="77777777" w:rsidR="00C76774" w:rsidRPr="00722FCD" w:rsidRDefault="00C76774" w:rsidP="00C76774">
      <w:pPr>
        <w:spacing w:after="160" w:line="360" w:lineRule="auto"/>
        <w:contextualSpacing/>
        <w:jc w:val="both"/>
        <w:rPr>
          <w:rFonts w:ascii="Calibri" w:hAnsi="Calibri" w:cs="FrankRuehl"/>
          <w:sz w:val="28"/>
          <w:szCs w:val="28"/>
          <w:rtl/>
        </w:rPr>
      </w:pPr>
      <w:r w:rsidRPr="00722FCD">
        <w:rPr>
          <w:rFonts w:ascii="Calibri" w:hAnsi="Calibri" w:cs="FrankRuehl" w:hint="cs"/>
          <w:sz w:val="28"/>
          <w:szCs w:val="28"/>
          <w:rtl/>
        </w:rPr>
        <w:t>צרפתי והנאשם התחלקו ביניהם ברווחי דירת ההימורים, ותיאמו ביניהם כיצד יוצאו הכספים הדרושים לשם תחזוקת הדירה ותפעולה.</w:t>
      </w:r>
    </w:p>
    <w:p w14:paraId="6CEF2F8C" w14:textId="77777777" w:rsidR="00C76774" w:rsidRPr="00722FCD" w:rsidRDefault="00C76774" w:rsidP="00C76774">
      <w:pPr>
        <w:spacing w:after="160" w:line="360" w:lineRule="auto"/>
        <w:contextualSpacing/>
        <w:jc w:val="both"/>
        <w:rPr>
          <w:rFonts w:ascii="Calibri" w:hAnsi="Calibri" w:cs="FrankRuehl"/>
          <w:sz w:val="28"/>
          <w:szCs w:val="28"/>
          <w:rtl/>
        </w:rPr>
      </w:pPr>
      <w:r w:rsidRPr="00722FCD">
        <w:rPr>
          <w:rFonts w:ascii="Calibri" w:hAnsi="Calibri" w:cs="FrankRuehl" w:hint="cs"/>
          <w:sz w:val="28"/>
          <w:szCs w:val="28"/>
          <w:rtl/>
        </w:rPr>
        <w:t xml:space="preserve">בין התאריכים 19.6.17-21.6.17, משך 3 ימים, היקף פעילות ההימורים בדירה ברחוב בר כוכבא  עמד על 224,900 ₪. </w:t>
      </w:r>
    </w:p>
    <w:p w14:paraId="2EFFF93C" w14:textId="77777777" w:rsidR="00C76774" w:rsidRPr="00722FCD" w:rsidRDefault="00C76774" w:rsidP="00C76774">
      <w:pPr>
        <w:spacing w:after="160" w:line="360" w:lineRule="auto"/>
        <w:contextualSpacing/>
        <w:jc w:val="both"/>
        <w:rPr>
          <w:rFonts w:ascii="Calibri" w:hAnsi="Calibri" w:cs="FrankRuehl"/>
          <w:sz w:val="28"/>
          <w:szCs w:val="28"/>
          <w:rtl/>
        </w:rPr>
      </w:pPr>
    </w:p>
    <w:p w14:paraId="2D093183" w14:textId="77777777" w:rsidR="00C76774" w:rsidRDefault="00C76774" w:rsidP="00C76774">
      <w:pPr>
        <w:spacing w:after="160" w:line="360" w:lineRule="auto"/>
        <w:contextualSpacing/>
        <w:jc w:val="both"/>
        <w:rPr>
          <w:rFonts w:ascii="Calibri" w:hAnsi="Calibri" w:cs="FrankRuehl"/>
          <w:sz w:val="28"/>
          <w:szCs w:val="28"/>
          <w:rtl/>
        </w:rPr>
      </w:pPr>
      <w:r w:rsidRPr="00722FCD">
        <w:rPr>
          <w:rFonts w:ascii="Calibri" w:hAnsi="Calibri" w:cs="FrankRuehl" w:hint="cs"/>
          <w:sz w:val="28"/>
          <w:szCs w:val="28"/>
          <w:rtl/>
        </w:rPr>
        <w:t>5.</w:t>
      </w:r>
      <w:r w:rsidRPr="00722FCD">
        <w:rPr>
          <w:rFonts w:ascii="Calibri" w:hAnsi="Calibri" w:cs="FrankRuehl" w:hint="cs"/>
          <w:sz w:val="28"/>
          <w:szCs w:val="28"/>
          <w:rtl/>
        </w:rPr>
        <w:tab/>
      </w:r>
      <w:r w:rsidRPr="00722FCD">
        <w:rPr>
          <w:rFonts w:ascii="Calibri" w:hAnsi="Calibri" w:cs="FrankRuehl" w:hint="cs"/>
          <w:b/>
          <w:bCs/>
          <w:sz w:val="28"/>
          <w:szCs w:val="28"/>
          <w:rtl/>
        </w:rPr>
        <w:t>על פי המתואר בפרט האישום השלישי</w:t>
      </w:r>
      <w:r w:rsidRPr="00722FCD">
        <w:rPr>
          <w:rFonts w:ascii="Calibri" w:hAnsi="Calibri" w:cs="FrankRuehl" w:hint="cs"/>
          <w:sz w:val="28"/>
          <w:szCs w:val="28"/>
          <w:rtl/>
        </w:rPr>
        <w:t>, בהמשך לאמור באישומים 1-2, ביצע הנאשם בצוותא עם צרפתי פעולות ברכוש אסור בהיקף של 24,000,000 ₪, כאשר כל נקודה באתר שווה לשקל. סכום זה, ובכלל זה כספי הזכייה וההפסד שהתקבלו מהמהמרים לצורך הפקדתם בחשבונות</w:t>
      </w:r>
      <w:r>
        <w:rPr>
          <w:rFonts w:ascii="Calibri" w:hAnsi="Calibri" w:cs="FrankRuehl" w:hint="cs"/>
          <w:sz w:val="28"/>
          <w:szCs w:val="28"/>
          <w:rtl/>
        </w:rPr>
        <w:t xml:space="preserve"> ההימורים, מהווים "רכוש אסור", על פי </w:t>
      </w:r>
      <w:hyperlink r:id="rId38" w:history="1">
        <w:r w:rsidR="00F437DB" w:rsidRPr="00F437DB">
          <w:rPr>
            <w:rStyle w:val="Hyperlink"/>
            <w:rFonts w:ascii="Calibri" w:hAnsi="Calibri" w:cs="FrankRuehl" w:hint="eastAsia"/>
            <w:sz w:val="28"/>
            <w:szCs w:val="28"/>
            <w:rtl/>
          </w:rPr>
          <w:t>סעיף</w:t>
        </w:r>
        <w:r w:rsidR="00F437DB" w:rsidRPr="00F437DB">
          <w:rPr>
            <w:rStyle w:val="Hyperlink"/>
            <w:rFonts w:ascii="Calibri" w:hAnsi="Calibri" w:cs="FrankRuehl"/>
            <w:sz w:val="28"/>
            <w:szCs w:val="28"/>
            <w:rtl/>
          </w:rPr>
          <w:t xml:space="preserve"> 5</w:t>
        </w:r>
      </w:hyperlink>
      <w:r>
        <w:rPr>
          <w:rFonts w:ascii="Calibri" w:hAnsi="Calibri" w:cs="FrankRuehl" w:hint="cs"/>
          <w:sz w:val="28"/>
          <w:szCs w:val="28"/>
          <w:rtl/>
        </w:rPr>
        <w:t xml:space="preserve"> לתוספת הראשונה, ל</w:t>
      </w:r>
      <w:hyperlink r:id="rId39" w:history="1">
        <w:r w:rsidR="00976EB1" w:rsidRPr="00976EB1">
          <w:rPr>
            <w:rFonts w:ascii="Calibri" w:hAnsi="Calibri" w:cs="FrankRuehl" w:hint="eastAsia"/>
            <w:color w:val="0000FF"/>
            <w:sz w:val="28"/>
            <w:szCs w:val="28"/>
            <w:u w:val="single"/>
            <w:rtl/>
          </w:rPr>
          <w:t>חוק</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איסור</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הלבנת</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הון</w:t>
        </w:r>
      </w:hyperlink>
      <w:r>
        <w:rPr>
          <w:rFonts w:ascii="Calibri" w:hAnsi="Calibri" w:cs="FrankRuehl" w:hint="cs"/>
          <w:sz w:val="28"/>
          <w:szCs w:val="28"/>
          <w:rtl/>
        </w:rPr>
        <w:t xml:space="preserve">. הנאשם ביצע פעולות ברכוש האמור בסכום העולה על 500,000 ₪ בשלושה חודשים. </w:t>
      </w:r>
    </w:p>
    <w:p w14:paraId="54BD49B4" w14:textId="77777777" w:rsidR="00C76774" w:rsidRDefault="00C76774" w:rsidP="00C76774">
      <w:pPr>
        <w:spacing w:after="160" w:line="360" w:lineRule="auto"/>
        <w:contextualSpacing/>
        <w:jc w:val="both"/>
        <w:rPr>
          <w:rFonts w:ascii="Calibri" w:hAnsi="Calibri" w:cs="FrankRuehl"/>
          <w:sz w:val="28"/>
          <w:szCs w:val="28"/>
          <w:rtl/>
        </w:rPr>
      </w:pPr>
    </w:p>
    <w:p w14:paraId="7CC1536E"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 xml:space="preserve">בתקופה הרלוונטית קשר הנאשם קשר עם צרפתי לשם ביצוע פשע – עשיית פעולות ברכוש האסור. במסגרת הקשר ולשם קידומו, קבעו השניים שצרפתי יפתח את הקופסאות אל מול המהמרים וכי השניים יחליטו יחד כיצד לנהל את כספי המהמרים ויחלקו בעמלה המתקבלת מהפסד המהמרים. </w:t>
      </w:r>
    </w:p>
    <w:p w14:paraId="1FAAA962" w14:textId="77777777" w:rsidR="00C76774" w:rsidRDefault="00C76774" w:rsidP="00C76774">
      <w:pPr>
        <w:spacing w:after="160" w:line="360" w:lineRule="auto"/>
        <w:contextualSpacing/>
        <w:jc w:val="both"/>
        <w:rPr>
          <w:rFonts w:ascii="Calibri" w:hAnsi="Calibri" w:cs="FrankRuehl"/>
          <w:sz w:val="28"/>
          <w:szCs w:val="28"/>
          <w:rtl/>
        </w:rPr>
      </w:pPr>
    </w:p>
    <w:p w14:paraId="7130E958"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 xml:space="preserve">פעולות הנאשם ברכוש האסור באו לידי ביטוי בכך שהנאשם היה המחזיק ובעל השליטה בקופסאות ההימורים בצוותא עם צרפתי, נתן בצוותא עם צרפתי אשראי למהמרים באתר (הטענת "הקרדיט" להימור), וכן זקף ביחד עם צרפתי את רווחיו של מהמר שהרוויח להימור עתידי או העביר בעצמו או בסיועם של אחרים, את כספי הרווח אל המהמר. כמו כן גבה במזומן את כספי ההפסדים, בין אם בעצמו ובין אם בסיועם של אחרים. נוסף על כך, גבה צרפתי עמלה בת 15% מכספי ההפסדים, אותה חלק עם הנאשם, וכן הפקיד, בין אם בעצמו ובין אם בסיועם של אחרים, את כספי ההפסדים בחשבון בנק של גורם מטעם האתר, שזהותו אינה ידועה. </w:t>
      </w:r>
    </w:p>
    <w:p w14:paraId="7C74BF83" w14:textId="77777777" w:rsidR="00C76774" w:rsidRDefault="00C76774" w:rsidP="00C76774">
      <w:pPr>
        <w:spacing w:after="160" w:line="360" w:lineRule="auto"/>
        <w:contextualSpacing/>
        <w:jc w:val="both"/>
        <w:rPr>
          <w:rFonts w:ascii="Calibri" w:hAnsi="Calibri" w:cs="FrankRuehl"/>
          <w:sz w:val="28"/>
          <w:szCs w:val="28"/>
          <w:rtl/>
        </w:rPr>
      </w:pPr>
    </w:p>
    <w:p w14:paraId="25E4102F" w14:textId="77777777" w:rsidR="00C76774" w:rsidRDefault="00C76774" w:rsidP="00C76774">
      <w:pPr>
        <w:spacing w:after="160" w:line="360" w:lineRule="auto"/>
        <w:contextualSpacing/>
        <w:jc w:val="both"/>
        <w:rPr>
          <w:rFonts w:ascii="Calibri" w:hAnsi="Calibri" w:cs="FrankRuehl"/>
          <w:b/>
          <w:bCs/>
          <w:sz w:val="28"/>
          <w:szCs w:val="28"/>
          <w:rtl/>
        </w:rPr>
      </w:pPr>
      <w:r w:rsidRPr="000C2E53">
        <w:rPr>
          <w:rFonts w:ascii="Calibri" w:hAnsi="Calibri" w:cs="FrankRuehl" w:hint="cs"/>
          <w:b/>
          <w:bCs/>
          <w:sz w:val="28"/>
          <w:szCs w:val="28"/>
          <w:rtl/>
        </w:rPr>
        <w:t>הסדר הטיעון</w:t>
      </w:r>
      <w:r>
        <w:rPr>
          <w:rFonts w:ascii="Calibri" w:hAnsi="Calibri" w:cs="FrankRuehl" w:hint="cs"/>
          <w:b/>
          <w:bCs/>
          <w:sz w:val="28"/>
          <w:szCs w:val="28"/>
          <w:rtl/>
        </w:rPr>
        <w:t xml:space="preserve"> החלקי</w:t>
      </w:r>
    </w:p>
    <w:p w14:paraId="394D9DD6" w14:textId="77777777" w:rsidR="00C76774" w:rsidRPr="000C2E53" w:rsidRDefault="00C76774" w:rsidP="00C76774">
      <w:pPr>
        <w:spacing w:after="160" w:line="360" w:lineRule="auto"/>
        <w:contextualSpacing/>
        <w:jc w:val="both"/>
        <w:rPr>
          <w:rFonts w:ascii="Calibri" w:hAnsi="Calibri" w:cs="FrankRuehl"/>
          <w:b/>
          <w:bCs/>
          <w:sz w:val="28"/>
          <w:szCs w:val="28"/>
          <w:rtl/>
        </w:rPr>
      </w:pPr>
    </w:p>
    <w:p w14:paraId="71ACEE82"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6.</w:t>
      </w:r>
      <w:r>
        <w:rPr>
          <w:rFonts w:ascii="Calibri" w:hAnsi="Calibri" w:cs="FrankRuehl" w:hint="cs"/>
          <w:sz w:val="28"/>
          <w:szCs w:val="28"/>
          <w:rtl/>
        </w:rPr>
        <w:tab/>
        <w:t>בין הצדדים התגבשה הסכמה עונשית לפיה יוטל על הנאשם עונש של 6 חודשי מאסר שירוצו בעבודות שירות, ככל שימצא מתאים על ידי הממונה על עבודות השירות. עוד הוסכם שיוטל על הנאשם קנס ששיעורו ייקבע על ידי בית המשפט. סוגיה נוספת אותה הותירו הצדדים להכרעת בית המשפט היא סוגיית החילוט, כאשר ב"כ הנאשם ביקש להימנע מהטלתו.</w:t>
      </w:r>
    </w:p>
    <w:p w14:paraId="1246F447" w14:textId="77777777" w:rsidR="00C76774" w:rsidRDefault="00C76774" w:rsidP="00C76774">
      <w:pPr>
        <w:spacing w:after="160" w:line="360" w:lineRule="auto"/>
        <w:contextualSpacing/>
        <w:jc w:val="both"/>
        <w:rPr>
          <w:rFonts w:ascii="Calibri" w:hAnsi="Calibri" w:cs="Miriam"/>
          <w:sz w:val="28"/>
          <w:szCs w:val="28"/>
          <w:rtl/>
        </w:rPr>
      </w:pPr>
      <w:r>
        <w:rPr>
          <w:rFonts w:ascii="Calibri" w:hAnsi="Calibri" w:cs="Miriam" w:hint="cs"/>
          <w:sz w:val="28"/>
          <w:szCs w:val="28"/>
          <w:rtl/>
        </w:rPr>
        <w:t xml:space="preserve"> </w:t>
      </w:r>
    </w:p>
    <w:p w14:paraId="471615CB" w14:textId="77777777" w:rsidR="00C76774" w:rsidRDefault="00C76774" w:rsidP="00C76774">
      <w:pPr>
        <w:spacing w:after="160" w:line="360" w:lineRule="auto"/>
        <w:jc w:val="both"/>
        <w:rPr>
          <w:rFonts w:ascii="Calibri" w:hAnsi="Calibri" w:cs="FrankRuehl"/>
          <w:sz w:val="28"/>
          <w:szCs w:val="28"/>
        </w:rPr>
      </w:pPr>
      <w:r>
        <w:rPr>
          <w:rFonts w:ascii="Calibri" w:hAnsi="Calibri" w:cs="FrankRuehl" w:hint="cs"/>
          <w:sz w:val="28"/>
          <w:szCs w:val="28"/>
          <w:rtl/>
        </w:rPr>
        <w:t>7.</w:t>
      </w:r>
      <w:r>
        <w:rPr>
          <w:rFonts w:ascii="Calibri" w:hAnsi="Calibri" w:cs="FrankRuehl" w:hint="cs"/>
          <w:sz w:val="28"/>
          <w:szCs w:val="28"/>
          <w:rtl/>
        </w:rPr>
        <w:tab/>
        <w:t xml:space="preserve">מחוות דעת שהתקבלה ביום 10.12.209 נמצא הנאשם מתאים לרצות עונש מאסר בדרך של עבודות שירות. </w:t>
      </w:r>
    </w:p>
    <w:p w14:paraId="354EE9F5" w14:textId="77777777" w:rsidR="00C76774" w:rsidRDefault="00C76774" w:rsidP="00C76774">
      <w:pPr>
        <w:ind w:left="368"/>
        <w:jc w:val="both"/>
        <w:rPr>
          <w:rFonts w:ascii="FrankRuehl" w:hAnsi="FrankRuehl" w:cs="FrankRuehl"/>
          <w:sz w:val="28"/>
          <w:szCs w:val="28"/>
        </w:rPr>
      </w:pPr>
    </w:p>
    <w:p w14:paraId="2F723458" w14:textId="77777777" w:rsidR="00C76774" w:rsidRDefault="00C76774" w:rsidP="00C76774">
      <w:pPr>
        <w:spacing w:after="160" w:line="360" w:lineRule="auto"/>
        <w:jc w:val="both"/>
        <w:rPr>
          <w:rFonts w:ascii="Miriam" w:hAnsi="Miriam" w:cs="Miriam"/>
          <w:b/>
          <w:sz w:val="28"/>
          <w:szCs w:val="28"/>
        </w:rPr>
      </w:pPr>
      <w:r>
        <w:rPr>
          <w:rFonts w:ascii="Calibri" w:hAnsi="Calibri" w:cs="Miriam" w:hint="cs"/>
          <w:b/>
          <w:sz w:val="28"/>
          <w:szCs w:val="28"/>
          <w:rtl/>
        </w:rPr>
        <w:t>ראיות לעונש, תמצית טיעוני הצדדים לעונש ודבר הנאשם</w:t>
      </w:r>
    </w:p>
    <w:p w14:paraId="4B4EF3BA" w14:textId="77777777" w:rsidR="00C76774" w:rsidRDefault="00C76774" w:rsidP="00C76774">
      <w:pPr>
        <w:jc w:val="both"/>
        <w:rPr>
          <w:rFonts w:ascii="Miriam" w:hAnsi="Miriam" w:cs="Miriam"/>
          <w:b/>
          <w:sz w:val="28"/>
          <w:szCs w:val="28"/>
          <w:rtl/>
        </w:rPr>
      </w:pPr>
    </w:p>
    <w:p w14:paraId="2EE905A8" w14:textId="77777777" w:rsidR="00C76774" w:rsidRPr="007823ED" w:rsidRDefault="00C76774" w:rsidP="00C76774">
      <w:pPr>
        <w:spacing w:after="160" w:line="360" w:lineRule="auto"/>
        <w:contextualSpacing/>
        <w:jc w:val="both"/>
        <w:rPr>
          <w:rFonts w:ascii="FrankRuehl" w:hAnsi="FrankRuehl" w:cs="FrankRuehl"/>
          <w:b/>
          <w:bCs/>
          <w:sz w:val="28"/>
          <w:szCs w:val="28"/>
          <w:rtl/>
        </w:rPr>
      </w:pPr>
      <w:r w:rsidRPr="007823ED">
        <w:rPr>
          <w:rFonts w:ascii="FrankRuehl" w:hAnsi="FrankRuehl" w:cs="FrankRuehl" w:hint="cs"/>
          <w:b/>
          <w:bCs/>
          <w:sz w:val="28"/>
          <w:szCs w:val="28"/>
          <w:rtl/>
        </w:rPr>
        <w:t>טיעוני ה</w:t>
      </w:r>
      <w:r>
        <w:rPr>
          <w:rFonts w:ascii="FrankRuehl" w:hAnsi="FrankRuehl" w:cs="FrankRuehl" w:hint="cs"/>
          <w:b/>
          <w:bCs/>
          <w:sz w:val="28"/>
          <w:szCs w:val="28"/>
          <w:rtl/>
        </w:rPr>
        <w:t>מאשימה</w:t>
      </w:r>
    </w:p>
    <w:p w14:paraId="3C8AC4C4" w14:textId="77777777" w:rsidR="00C76774" w:rsidRPr="00BB61A5" w:rsidRDefault="00C76774" w:rsidP="00C76774">
      <w:pPr>
        <w:jc w:val="both"/>
        <w:rPr>
          <w:rFonts w:ascii="Miriam" w:hAnsi="Miriam" w:cs="Miriam"/>
          <w:b/>
          <w:sz w:val="28"/>
          <w:szCs w:val="28"/>
          <w:rtl/>
        </w:rPr>
      </w:pPr>
    </w:p>
    <w:p w14:paraId="32AB58AA"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8.</w:t>
      </w:r>
      <w:r>
        <w:rPr>
          <w:rFonts w:ascii="Calibri" w:hAnsi="Calibri" w:cs="FrankRuehl" w:hint="cs"/>
          <w:sz w:val="28"/>
          <w:szCs w:val="28"/>
          <w:rtl/>
        </w:rPr>
        <w:tab/>
        <w:t>מאחר שלבית המשפט הוצג הסדר טיעון הכולל רכיבים מוסכמים, ביקשה ב"כ המאשימה לאשרו, תוך שציינה שהיא מודעת לכך שההסדר "דורש נימוק ממשי", בפרט כאשר בעניינו של צרפתי, שותפו של הנאשם ומי שעמד יחד עמו בראש הארגון, הוצג הסדר טיעון "סגור" שכלל עונש מאסר בפועל למשך 8 חודשים, שלאחר הפעלת מאסר מותנה הצטבר לכדי 18 חודשים (</w:t>
      </w:r>
      <w:r w:rsidRPr="0007590E">
        <w:rPr>
          <w:rFonts w:ascii="Calibri" w:hAnsi="Calibri" w:cs="Miriam" w:hint="cs"/>
          <w:rtl/>
        </w:rPr>
        <w:t>ת/1</w:t>
      </w:r>
      <w:r>
        <w:rPr>
          <w:rFonts w:ascii="Calibri" w:hAnsi="Calibri" w:cs="FrankRuehl" w:hint="cs"/>
          <w:sz w:val="28"/>
          <w:szCs w:val="28"/>
          <w:rtl/>
        </w:rPr>
        <w:t xml:space="preserve">). כן הוטל על צרפתי קנס בסך 10,000 </w:t>
      </w:r>
      <w:r>
        <w:rPr>
          <w:rFonts w:ascii="Calibri" w:hAnsi="Calibri" w:cs="FrankRuehl" w:hint="eastAsia"/>
          <w:sz w:val="28"/>
          <w:szCs w:val="28"/>
          <w:rtl/>
        </w:rPr>
        <w:t>₪</w:t>
      </w:r>
      <w:r>
        <w:rPr>
          <w:rFonts w:ascii="Calibri" w:hAnsi="Calibri" w:cs="FrankRuehl" w:hint="cs"/>
          <w:sz w:val="28"/>
          <w:szCs w:val="28"/>
          <w:rtl/>
        </w:rPr>
        <w:t xml:space="preserve"> וחולטו, בהסכמה, 55,000 </w:t>
      </w:r>
      <w:r>
        <w:rPr>
          <w:rFonts w:ascii="Calibri" w:hAnsi="Calibri" w:cs="FrankRuehl" w:hint="eastAsia"/>
          <w:sz w:val="28"/>
          <w:szCs w:val="28"/>
          <w:rtl/>
        </w:rPr>
        <w:t>₪</w:t>
      </w:r>
      <w:r>
        <w:rPr>
          <w:rFonts w:ascii="Calibri" w:hAnsi="Calibri" w:cs="FrankRuehl" w:hint="cs"/>
          <w:sz w:val="28"/>
          <w:szCs w:val="28"/>
          <w:rtl/>
        </w:rPr>
        <w:t xml:space="preserve"> שהופקדו כתנאי לשחרור רכבו.</w:t>
      </w:r>
    </w:p>
    <w:p w14:paraId="727533D8" w14:textId="77777777" w:rsidR="00C76774" w:rsidRDefault="00C76774" w:rsidP="00C76774">
      <w:pPr>
        <w:spacing w:after="160" w:line="360" w:lineRule="auto"/>
        <w:contextualSpacing/>
        <w:jc w:val="both"/>
        <w:rPr>
          <w:rFonts w:ascii="FrankRuehl" w:hAnsi="FrankRuehl" w:cs="FrankRuehl"/>
          <w:sz w:val="28"/>
          <w:szCs w:val="28"/>
          <w:rtl/>
        </w:rPr>
      </w:pPr>
      <w:r>
        <w:rPr>
          <w:rFonts w:ascii="Calibri" w:hAnsi="Calibri" w:cs="FrankRuehl" w:hint="cs"/>
          <w:sz w:val="28"/>
          <w:szCs w:val="28"/>
          <w:rtl/>
        </w:rPr>
        <w:t xml:space="preserve">ב"כ המאשימה הפנתה לערכים המוגנים בהם פגע הנאשם, </w:t>
      </w:r>
      <w:r>
        <w:rPr>
          <w:rFonts w:ascii="FrankRuehl" w:hAnsi="FrankRuehl" w:cs="FrankRuehl" w:hint="cs"/>
          <w:sz w:val="28"/>
          <w:szCs w:val="28"/>
          <w:rtl/>
        </w:rPr>
        <w:t xml:space="preserve">וציינה שיכולת האכיפה במקרה של הימורים מקוונים מוגבלת, לאור זירת העבירה הרחבה, כאשר לדבריה ישנו גידול מסיבי בסכומי ההימורים ברשת. </w:t>
      </w:r>
    </w:p>
    <w:p w14:paraId="1552C741" w14:textId="77777777" w:rsidR="00C76774" w:rsidRDefault="00C76774" w:rsidP="00C76774">
      <w:pPr>
        <w:spacing w:after="160" w:line="360" w:lineRule="auto"/>
        <w:contextualSpacing/>
        <w:jc w:val="both"/>
        <w:rPr>
          <w:rFonts w:ascii="FrankRuehl" w:hAnsi="FrankRuehl" w:cs="FrankRuehl"/>
          <w:sz w:val="28"/>
          <w:szCs w:val="28"/>
          <w:rtl/>
        </w:rPr>
      </w:pPr>
      <w:r>
        <w:rPr>
          <w:rFonts w:ascii="Calibri" w:hAnsi="Calibri" w:cs="FrankRuehl" w:hint="cs"/>
          <w:sz w:val="28"/>
          <w:szCs w:val="28"/>
          <w:rtl/>
        </w:rPr>
        <w:t xml:space="preserve">אשר למידת הפגיעה של הנאשם בערכים אלו, נטען שהפגיעה היא ממשית בשים לב לשיטתיות, לתכנון המוקדם, לביצוע הפעילות במספר אתרים, לחריגה של ההימורים מהמרחב הווירטואלי אל המרחב האמיתי, ובשים לב למחזור אותו גלגלו הנאשם וצרפתי הן באתר והן בדירת המגורים, כאשר מעשיהם אלו מהווים עבירה אף </w:t>
      </w:r>
      <w:r>
        <w:rPr>
          <w:rFonts w:ascii="FrankRuehl" w:hAnsi="FrankRuehl" w:cs="FrankRuehl" w:hint="cs"/>
          <w:sz w:val="28"/>
          <w:szCs w:val="28"/>
          <w:rtl/>
        </w:rPr>
        <w:t xml:space="preserve">לפי </w:t>
      </w:r>
      <w:hyperlink r:id="rId40" w:history="1">
        <w:r w:rsidR="00976EB1" w:rsidRPr="00976EB1">
          <w:rPr>
            <w:rFonts w:ascii="FrankRuehl" w:hAnsi="FrankRuehl" w:cs="FrankRuehl"/>
            <w:color w:val="0000FF"/>
            <w:sz w:val="28"/>
            <w:szCs w:val="28"/>
            <w:u w:val="single"/>
            <w:rtl/>
          </w:rPr>
          <w:t>חוק איסור הלבנת הון</w:t>
        </w:r>
      </w:hyperlink>
      <w:r>
        <w:rPr>
          <w:rFonts w:ascii="FrankRuehl" w:hAnsi="FrankRuehl" w:cs="FrankRuehl" w:hint="cs"/>
          <w:sz w:val="28"/>
          <w:szCs w:val="28"/>
          <w:rtl/>
        </w:rPr>
        <w:t xml:space="preserve">. </w:t>
      </w:r>
    </w:p>
    <w:p w14:paraId="23B2BDBD"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 xml:space="preserve">עוד נטען שמדובר בנאשם שעיסוקו העברייני לאורך זמן היה בהיקף גדול מאד של 24,000,000 ₪ מאתר אחד. לדברי המאשימה, הגם שהנאשם לא הקים את אתר ההימורים, הרי שהוא זה שהיה אחראי על הנגשתו למשתמשים, כאשר תחתיו ותחת צרפתי פעלו גם סוכני משנה. הנאשם היה "המוח הפיננסי" בשותפות, הוא שאישר את ההוצאות, והכתיב את אופן הגבייה. משכך, נטען שהנאשם היה בכיר יותר מצרפתי במפעל ההימורים. בשים לב  לאמור, סברה המאשימה כי העונש שהיה ראוי להטיל על הנאשם הוא מאסר בפועל לתקופה משמעותית, כאשר מתחם העונש ההולם בעבירות בהן הורשע הנאשם נע בין 12 ל-30 חודשי מאסר. המאשימה נימקה את החריגה המשמעותית ממתחם זה, ובכלל זה בקשתה להסתפק בהטלת 6 חודשי מאסר שירוצו בעבודת שירות, בהתחשבות במצבו הבריאותי של בנו של הנאשם. </w:t>
      </w:r>
    </w:p>
    <w:p w14:paraId="1B25CD2F"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אשר לשאלת החילוט, טענה שעל אף שהיקף הרכוש האסור בכתב האישום עומד על 24,000,000 ₪, ועל אף שלא נטען שהנאשם שלשל סכום זה</w:t>
      </w:r>
      <w:r w:rsidRPr="003E411C">
        <w:rPr>
          <w:rFonts w:ascii="FrankRuehl" w:hAnsi="FrankRuehl" w:cs="FrankRuehl" w:hint="cs"/>
          <w:sz w:val="28"/>
          <w:szCs w:val="28"/>
          <w:rtl/>
        </w:rPr>
        <w:t xml:space="preserve"> </w:t>
      </w:r>
      <w:r>
        <w:rPr>
          <w:rFonts w:ascii="FrankRuehl" w:hAnsi="FrankRuehl" w:cs="FrankRuehl" w:hint="cs"/>
          <w:sz w:val="28"/>
          <w:szCs w:val="28"/>
          <w:rtl/>
        </w:rPr>
        <w:t>לכיסו, שכן רווחי הנאשם נגזרו מהעמלה ששיעורה אינו ידוע במדויק, הרי שעל פי הפסיקה הנוהגת על סכום החילוט להיגזר מהיקף המחזור ולא מהרווחים שצמחו לנאשם.</w:t>
      </w:r>
    </w:p>
    <w:p w14:paraId="143D4F88"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המאשימה צירפה כנספח לטיעוניה רשימה של נכסיו של הנאשם אותם היא מבקשת לחלט, כאשר שווים הוערך על ידי שמאי לפני כשנה בכ-3,300,000 ₪. בעניין נכס מספר 3, נטען שמדובר בזכויות שנרכשו במסגרת קבוצת רכישה, כאשר הבניין נמצא בשלבי בניה ראשוניים. לדברי המאשימה אין מדובר בדירת מגורים אלא בהשקעת נדל"ן של הנאשם, כשם שביצע השקעות נוספות ביתר הנכסים המפורטים ברשימה. הנאשם שילם עבור הזכות סך של 850,000 ₪, כאשר שווי הזכות הוערך על ידי הנאמן בסכום של 2,500,000 ₪. לפיכך טענה  שככל שהנכס יחולט, הנאשם לא יאבד את מקום מגוריו.</w:t>
      </w:r>
    </w:p>
    <w:p w14:paraId="0F20C483"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 xml:space="preserve">לדידה של המאשימה, עתירתה לחילוט סכום של 3,300,000 ₪ הינה מידתית, שכן היא מהווה 13.3% מהיקף המחזור, ויש בכך כדי להגשים את ערכיו של </w:t>
      </w:r>
      <w:hyperlink r:id="rId41" w:history="1">
        <w:r w:rsidR="00976EB1" w:rsidRPr="00976EB1">
          <w:rPr>
            <w:rFonts w:ascii="FrankRuehl" w:hAnsi="FrankRuehl" w:cs="FrankRuehl"/>
            <w:color w:val="0000FF"/>
            <w:sz w:val="28"/>
            <w:szCs w:val="28"/>
            <w:u w:val="single"/>
            <w:rtl/>
          </w:rPr>
          <w:t>חוק איסור הלבנת הון</w:t>
        </w:r>
      </w:hyperlink>
      <w:r>
        <w:rPr>
          <w:rFonts w:ascii="FrankRuehl" w:hAnsi="FrankRuehl" w:cs="FrankRuehl" w:hint="cs"/>
          <w:sz w:val="28"/>
          <w:szCs w:val="28"/>
          <w:rtl/>
        </w:rPr>
        <w:t>. עוד טענה שממילא הכסף שהשקיע הנאשם בנכסי הנדל"ן הללו אינם שייכים לו, שכן מדובר בכסף אותו גזל מהציבור, כפי שעולה מהיקף מחזור העתק שגולגל על ידו במפעל ההימורים.</w:t>
      </w:r>
    </w:p>
    <w:p w14:paraId="771FA097"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לעניין טענת אפליה אפשרית עם צרפתי, הזכירה המאשימה שצרפתי נדון ל- 18 חודשי מאסר, לאחר הפעלת מאסר מותנה בן 12 חודשים, כאשר המדינה עתרה לחלט את כל הנכסים שנתפסו ברשותו ובחזקתו. עוד נטען שהמאשימה הלכה כברת דרך לקראת הנאשם בכל הקשור לעונש המאסר, מתוך ראייה שהעונש הדומיננטי והמשמעותי מבחינתו יבוא לידי ביטוי בעיצומים הכלכליים, בפרט כאשר הנאשם השקיע כספו בנכסי נדל"ן.</w:t>
      </w:r>
    </w:p>
    <w:p w14:paraId="1360BA3E"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 xml:space="preserve">לצד עונש עבודות השירות, עתרה המאשימה להשית על הנאשם קנס בסך 100,000 ₪, שהינו, לדבריה, קנס ברף הנמוך, זאת בשים לב להודאתו ולעברו הפלילי הנקי. </w:t>
      </w:r>
    </w:p>
    <w:p w14:paraId="00D599E5" w14:textId="77777777" w:rsidR="00C76774" w:rsidRDefault="00C76774" w:rsidP="00C76774">
      <w:pPr>
        <w:spacing w:after="160" w:line="360" w:lineRule="auto"/>
        <w:contextualSpacing/>
        <w:jc w:val="both"/>
        <w:rPr>
          <w:rFonts w:ascii="FrankRuehl" w:hAnsi="FrankRuehl" w:cs="FrankRuehl"/>
          <w:sz w:val="28"/>
          <w:szCs w:val="28"/>
          <w:rtl/>
        </w:rPr>
      </w:pPr>
    </w:p>
    <w:p w14:paraId="1D7D909A" w14:textId="77777777" w:rsidR="00C76774" w:rsidRDefault="00C76774" w:rsidP="00C76774">
      <w:pPr>
        <w:spacing w:after="160" w:line="360" w:lineRule="auto"/>
        <w:contextualSpacing/>
        <w:jc w:val="both"/>
        <w:rPr>
          <w:rFonts w:ascii="FrankRuehl" w:hAnsi="FrankRuehl" w:cs="FrankRuehl"/>
          <w:b/>
          <w:bCs/>
          <w:sz w:val="28"/>
          <w:szCs w:val="28"/>
          <w:rtl/>
        </w:rPr>
      </w:pPr>
      <w:r w:rsidRPr="007823ED">
        <w:rPr>
          <w:rFonts w:ascii="FrankRuehl" w:hAnsi="FrankRuehl" w:cs="FrankRuehl" w:hint="cs"/>
          <w:b/>
          <w:bCs/>
          <w:sz w:val="28"/>
          <w:szCs w:val="28"/>
          <w:rtl/>
        </w:rPr>
        <w:t>טיעוני ההגנה</w:t>
      </w:r>
    </w:p>
    <w:p w14:paraId="75213671" w14:textId="77777777" w:rsidR="00C76774" w:rsidRPr="007823ED" w:rsidRDefault="00C76774" w:rsidP="00C76774">
      <w:pPr>
        <w:spacing w:after="160" w:line="360" w:lineRule="auto"/>
        <w:contextualSpacing/>
        <w:jc w:val="both"/>
        <w:rPr>
          <w:rFonts w:ascii="FrankRuehl" w:hAnsi="FrankRuehl" w:cs="FrankRuehl"/>
          <w:b/>
          <w:bCs/>
          <w:sz w:val="28"/>
          <w:szCs w:val="28"/>
          <w:rtl/>
        </w:rPr>
      </w:pPr>
    </w:p>
    <w:p w14:paraId="163271DF"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t>ב"כ הנאשם מיקד עיקר טיעוניו בשני נושאים עיקריים. האחד, הרכיבים הכספיים של הקנס והחילוט. השני, מצבו הרפואי של בנו של הנאשם.</w:t>
      </w:r>
    </w:p>
    <w:p w14:paraId="28472798"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 xml:space="preserve">אשר לכתב האישום נטען שזה תוקן באופן בו קוצרה תקופת הפעילות של הנאשם באופן משמעותי בהשוואה לכתב האישום המקורי. </w:t>
      </w:r>
    </w:p>
    <w:p w14:paraId="4CC6B2CE" w14:textId="77777777" w:rsidR="00C76774" w:rsidRDefault="00C76774" w:rsidP="00C76774">
      <w:pPr>
        <w:spacing w:after="160" w:line="360" w:lineRule="auto"/>
        <w:contextualSpacing/>
        <w:jc w:val="both"/>
        <w:rPr>
          <w:rFonts w:ascii="FrankRuehl" w:hAnsi="FrankRuehl" w:cs="FrankRuehl"/>
          <w:sz w:val="28"/>
          <w:szCs w:val="28"/>
          <w:rtl/>
        </w:rPr>
      </w:pPr>
    </w:p>
    <w:p w14:paraId="7DC678B3"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 xml:space="preserve">אשר לחילוט טען ב"כ הנאשם שמאחר שהנאשם נעדר עבר פלילי, אין כל סיבה להורות על חילוט מלוא רכושו, שכן החילוט איננו עונש. עוד הזכיר שמצרפתי, שהינו בעל עבר פלילי עשיר בעבירות הימורים, חולט סכום של 60,000 ₪ בלבד, כאשר את היתרה המדינה השיבה לידיו. </w:t>
      </w:r>
    </w:p>
    <w:p w14:paraId="4211727F"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 xml:space="preserve">לדבריו, הנתונים אותם הציגה המאשימה הינם שגויים, שכן לנאשם ולרעייתו אין דירה ששוויה 2.6 מיליון ₪, אלא רק זכויות מקרקעין שנרכשו בסכום של 700,000 ₪, כאשר יתרת הסכום תשולם בעתיד על ידי בנק מלווה. עוד טען לקיומה של "חזקת שיתוף" בין הנאשם לאשתו, כאשר מרבית הנכסים נרכשו לפני מועד ביצוע העבירות נושא כתב האישום. בעניין זה טען שעל אף </w:t>
      </w:r>
      <w:hyperlink r:id="rId42" w:history="1">
        <w:r w:rsidR="00F437DB" w:rsidRPr="00F437DB">
          <w:rPr>
            <w:rStyle w:val="Hyperlink"/>
            <w:rFonts w:ascii="FrankRuehl" w:hAnsi="FrankRuehl" w:cs="FrankRuehl" w:hint="eastAsia"/>
            <w:sz w:val="28"/>
            <w:szCs w:val="28"/>
            <w:rtl/>
          </w:rPr>
          <w:t>שסעיף</w:t>
        </w:r>
        <w:r w:rsidR="00F437DB" w:rsidRPr="00F437DB">
          <w:rPr>
            <w:rStyle w:val="Hyperlink"/>
            <w:rFonts w:ascii="FrankRuehl" w:hAnsi="FrankRuehl" w:cs="FrankRuehl"/>
            <w:sz w:val="28"/>
            <w:szCs w:val="28"/>
            <w:rtl/>
          </w:rPr>
          <w:t xml:space="preserve"> 21</w:t>
        </w:r>
      </w:hyperlink>
      <w:r>
        <w:rPr>
          <w:rFonts w:ascii="FrankRuehl" w:hAnsi="FrankRuehl" w:cs="FrankRuehl" w:hint="cs"/>
          <w:sz w:val="28"/>
          <w:szCs w:val="28"/>
          <w:rtl/>
        </w:rPr>
        <w:t xml:space="preserve"> ל</w:t>
      </w:r>
      <w:hyperlink r:id="rId43" w:history="1">
        <w:r w:rsidR="00976EB1" w:rsidRPr="00976EB1">
          <w:rPr>
            <w:rFonts w:ascii="FrankRuehl" w:hAnsi="FrankRuehl" w:cs="FrankRuehl"/>
            <w:color w:val="0000FF"/>
            <w:sz w:val="28"/>
            <w:szCs w:val="28"/>
            <w:u w:val="single"/>
            <w:rtl/>
          </w:rPr>
          <w:t>חוק איסור הלבנת הון</w:t>
        </w:r>
      </w:hyperlink>
      <w:r>
        <w:rPr>
          <w:rFonts w:ascii="FrankRuehl" w:hAnsi="FrankRuehl" w:cs="FrankRuehl" w:hint="cs"/>
          <w:sz w:val="28"/>
          <w:szCs w:val="28"/>
          <w:rtl/>
        </w:rPr>
        <w:t xml:space="preserve"> מדבר על "רכוש בשווי", עדין נשאלת השאלה מתי נצבר אותו רכוש. לדבריו, הנאשם צבר את הונו כתוצאה מעבודה קשה כמוכר צעצועים בחנות, ולפני כן כמוכר מזון במסעדה שנסגרה, כאשר על הכנסותיו שילם מסים כחוק.</w:t>
      </w:r>
    </w:p>
    <w:p w14:paraId="32625B90"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בהתייחס לטבלה אותה הציגה המאשימה, טען שלמעט העסקאות המוזכרות בסעיפים 2 ו-5, כל יתר עסקאות המקרקעין בוצעו במהלך שנת 2016. בעניין זה הוגשה מטעם הנאשם טבלת עזר ומסמכים מהטאבו (</w:t>
      </w:r>
      <w:r w:rsidRPr="00445CA6">
        <w:rPr>
          <w:rFonts w:ascii="FrankRuehl" w:hAnsi="FrankRuehl" w:cs="Miriam" w:hint="cs"/>
          <w:rtl/>
        </w:rPr>
        <w:t>נ/2</w:t>
      </w:r>
      <w:r>
        <w:rPr>
          <w:rFonts w:ascii="FrankRuehl" w:hAnsi="FrankRuehl" w:cs="FrankRuehl" w:hint="cs"/>
          <w:sz w:val="28"/>
          <w:szCs w:val="28"/>
          <w:rtl/>
        </w:rPr>
        <w:t>). לגבי העסקה המצוינת בסעיף 2 בטבלת המאשימה, נטען שהנאשם שילם מקדמה בסך 100,000 ₪ ובעסקה מספר 5 מקדמה בסך 108,000 ₪. שתי העסקאות הללו בוטלו על ידי המשטרה ולנאשם נגרם נזק משמעותי כתוצאה מכך, שכן מס רכישה ששולם בסכום מצטבר של 140,000 ₪ לא הושב לנאשם</w:t>
      </w:r>
      <w:r w:rsidRPr="00DD6488">
        <w:rPr>
          <w:rFonts w:ascii="FrankRuehl" w:hAnsi="FrankRuehl" w:cs="FrankRuehl" w:hint="cs"/>
          <w:sz w:val="28"/>
          <w:szCs w:val="28"/>
          <w:rtl/>
        </w:rPr>
        <w:t xml:space="preserve"> </w:t>
      </w:r>
      <w:r>
        <w:rPr>
          <w:rFonts w:ascii="FrankRuehl" w:hAnsi="FrankRuehl" w:cs="FrankRuehl" w:hint="cs"/>
          <w:sz w:val="28"/>
          <w:szCs w:val="28"/>
          <w:rtl/>
        </w:rPr>
        <w:t>עד היום.</w:t>
      </w:r>
    </w:p>
    <w:p w14:paraId="025F6C99"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לעניין מצבו הרפואי של בנו בן ה-7 של הנאשם, הגיש את הבקשה לעיכוב הליכים שהוגשה ליועץ המשפטי לממשלה (</w:t>
      </w:r>
      <w:r w:rsidRPr="00A90BAD">
        <w:rPr>
          <w:rFonts w:ascii="FrankRuehl" w:hAnsi="FrankRuehl" w:cs="Miriam" w:hint="cs"/>
          <w:rtl/>
        </w:rPr>
        <w:t>נ/3</w:t>
      </w:r>
      <w:r>
        <w:rPr>
          <w:rFonts w:ascii="FrankRuehl" w:hAnsi="FrankRuehl" w:cs="FrankRuehl" w:hint="cs"/>
          <w:sz w:val="28"/>
          <w:szCs w:val="28"/>
          <w:rtl/>
        </w:rPr>
        <w:t>), בקשה שנדחתה, ולמסמכים הרפואיים שצורפו לה. כן הגיש דוח רפואי מעודכן לחודשים האחרונים (</w:t>
      </w:r>
      <w:r w:rsidRPr="00A90BAD">
        <w:rPr>
          <w:rFonts w:ascii="FrankRuehl" w:hAnsi="FrankRuehl" w:cs="Miriam" w:hint="cs"/>
          <w:rtl/>
        </w:rPr>
        <w:t>נ/4</w:t>
      </w:r>
      <w:r>
        <w:rPr>
          <w:rFonts w:ascii="FrankRuehl" w:hAnsi="FrankRuehl" w:cs="FrankRuehl" w:hint="cs"/>
          <w:sz w:val="28"/>
          <w:szCs w:val="28"/>
          <w:rtl/>
        </w:rPr>
        <w:t>) ותמונות של הבן (</w:t>
      </w:r>
      <w:r w:rsidRPr="00A90BAD">
        <w:rPr>
          <w:rFonts w:ascii="FrankRuehl" w:hAnsi="FrankRuehl" w:cs="Miriam" w:hint="cs"/>
          <w:rtl/>
        </w:rPr>
        <w:t>נ/5</w:t>
      </w:r>
      <w:r>
        <w:rPr>
          <w:rFonts w:ascii="FrankRuehl" w:hAnsi="FrankRuehl" w:cs="FrankRuehl" w:hint="cs"/>
          <w:sz w:val="28"/>
          <w:szCs w:val="28"/>
          <w:rtl/>
        </w:rPr>
        <w:t>). בתוך כך הפנה לכך שמצבו הבריאותי של הבן, המוכר כנכה בשיעור של 188%, מצריך טיפול רפואי תכוף ויקר ונוכחות תמידית של הורה מלווה המסייע לו בביצוע פעולות בסיסיות, ולפיכך כל שקל שיחולט בתיק זה יבוא על חשבונו של הבן. ב"כ הנאשם הודה שאכן יש מקום להתחשב גם באינטרסים הציבוריים האחרים, אולם, לדבריו, הנאשם כבר שילם את המחיר בעצם העמדתו לדין, ובנזק שנגרם לו כתוצאה מתפיסת הרכוש בשלב "החילוט הזמני". בעניין זה הזכיר, שבמסגרת הסדר הטיעון שנחתם עם סוכני המשנה, נמחק נגדם האישום הנוגע להלבנת ההון, כך שלא חולט מהם דבר בסופו של דבר.</w:t>
      </w:r>
    </w:p>
    <w:p w14:paraId="21D5CF6C"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עוד הוגשו אישורים של רואה חשבון בהם מפורטים הנזקים שנגרמו לנאשם כתוצאה מפתיחת התיק הפלילי, ובכלל זה שלושה בתי עסק שנסגרו (</w:t>
      </w:r>
      <w:r w:rsidRPr="00B042FE">
        <w:rPr>
          <w:rFonts w:ascii="FrankRuehl" w:hAnsi="FrankRuehl" w:cs="Miriam" w:hint="cs"/>
          <w:rtl/>
        </w:rPr>
        <w:t>נ/5</w:t>
      </w:r>
      <w:r>
        <w:rPr>
          <w:rFonts w:ascii="FrankRuehl" w:hAnsi="FrankRuehl" w:cs="FrankRuehl" w:hint="cs"/>
          <w:sz w:val="28"/>
          <w:szCs w:val="28"/>
          <w:rtl/>
        </w:rPr>
        <w:t xml:space="preserve">), ואי יכולתו של הנאשם להלוות כסף מהבנקים בהיותו "פסול חיתום". </w:t>
      </w:r>
    </w:p>
    <w:p w14:paraId="228331AA"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בשים לב לאמור, ביקש ב"כ הנאשם להימנע כליל מחילוט הכסף, וככל שיוחלט על חילוטו, להסתפק בסכום הנמוך משמעותית מהסכום שחולט לצרפתי.</w:t>
      </w:r>
    </w:p>
    <w:p w14:paraId="1E14FF8E"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 xml:space="preserve">לעניין גובה הקנס טען שאין להטיל על הנאשם קנס כספי בסך של 100,000 ₪, מקום בו על צרפתי נגזר קנס של 10,000 ₪ בלבד בטיעון פתוח. </w:t>
      </w:r>
    </w:p>
    <w:p w14:paraId="269CB84A"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אשר לרכיב עבודות השירות, ביקש הנאשם לקצר את מספר השעות היומיות ל- 6 שעות בלבד, על מנת שיוכל לטפל בבנו.</w:t>
      </w:r>
    </w:p>
    <w:p w14:paraId="6556B038" w14:textId="77777777" w:rsidR="00C76774" w:rsidRDefault="00C76774" w:rsidP="00C76774">
      <w:pPr>
        <w:spacing w:after="160" w:line="360" w:lineRule="auto"/>
        <w:contextualSpacing/>
        <w:jc w:val="both"/>
        <w:rPr>
          <w:rFonts w:ascii="FrankRuehl" w:hAnsi="FrankRuehl" w:cs="FrankRuehl"/>
          <w:sz w:val="28"/>
          <w:szCs w:val="28"/>
          <w:rtl/>
        </w:rPr>
      </w:pPr>
    </w:p>
    <w:p w14:paraId="49B33D2B" w14:textId="77777777" w:rsidR="00C76774" w:rsidRDefault="00C76774" w:rsidP="00C76774">
      <w:pPr>
        <w:spacing w:after="160" w:line="360" w:lineRule="auto"/>
        <w:contextualSpacing/>
        <w:jc w:val="both"/>
        <w:rPr>
          <w:rFonts w:ascii="FrankRuehl" w:hAnsi="FrankRuehl" w:cs="FrankRuehl"/>
          <w:b/>
          <w:bCs/>
          <w:sz w:val="28"/>
          <w:szCs w:val="28"/>
          <w:rtl/>
        </w:rPr>
      </w:pPr>
      <w:r w:rsidRPr="00493BD3">
        <w:rPr>
          <w:rFonts w:ascii="FrankRuehl" w:hAnsi="FrankRuehl" w:cs="FrankRuehl" w:hint="cs"/>
          <w:b/>
          <w:bCs/>
          <w:sz w:val="28"/>
          <w:szCs w:val="28"/>
          <w:rtl/>
        </w:rPr>
        <w:t>דברי הנאשם</w:t>
      </w:r>
    </w:p>
    <w:p w14:paraId="7C3E78E1" w14:textId="77777777" w:rsidR="00C76774" w:rsidRPr="00493BD3" w:rsidRDefault="00C76774" w:rsidP="00C76774">
      <w:pPr>
        <w:spacing w:after="160" w:line="360" w:lineRule="auto"/>
        <w:contextualSpacing/>
        <w:jc w:val="both"/>
        <w:rPr>
          <w:rFonts w:ascii="FrankRuehl" w:hAnsi="FrankRuehl" w:cs="FrankRuehl"/>
          <w:b/>
          <w:bCs/>
          <w:sz w:val="28"/>
          <w:szCs w:val="28"/>
        </w:rPr>
      </w:pPr>
    </w:p>
    <w:p w14:paraId="03B03CEA" w14:textId="77777777" w:rsidR="00C76774" w:rsidRDefault="00C76774" w:rsidP="00C76774">
      <w:p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t xml:space="preserve">הנאשם ניצל את זכות המילה האחרונה, ואמר שהוא "אזרח מן השורה" שעד כה לא החשיב עצמו לעבריין. לדבריו, נטל אחריות על מעשיו והודה שטעה בשיקול הדעת. עוד הוסיף שעל טעותו זו הוא משלם "מחיר כבד מאוד", וכי הוא בטוח שלא ישוב עליה. הוא מודע לכך כי עליו לעבור הליך שיקום גדול ולשקם את מצבו הכלכלי כמו גם את משפחתו שנפגעה. </w:t>
      </w:r>
    </w:p>
    <w:p w14:paraId="1B1D8326" w14:textId="77777777" w:rsidR="00C76774" w:rsidRDefault="00C76774" w:rsidP="00C76774">
      <w:pPr>
        <w:spacing w:after="160" w:line="360" w:lineRule="auto"/>
        <w:contextualSpacing/>
        <w:jc w:val="both"/>
        <w:rPr>
          <w:rFonts w:ascii="FrankRuehl" w:hAnsi="FrankRuehl" w:cs="FrankRuehl"/>
          <w:sz w:val="28"/>
          <w:szCs w:val="28"/>
          <w:rtl/>
        </w:rPr>
      </w:pPr>
    </w:p>
    <w:p w14:paraId="563D0DBD" w14:textId="77777777" w:rsidR="00C76774" w:rsidRDefault="00C76774" w:rsidP="00C76774">
      <w:pPr>
        <w:jc w:val="both"/>
        <w:rPr>
          <w:rFonts w:ascii="Miriam" w:hAnsi="Miriam" w:cs="Miriam"/>
          <w:b/>
          <w:sz w:val="28"/>
          <w:szCs w:val="28"/>
          <w:rtl/>
        </w:rPr>
      </w:pPr>
      <w:r>
        <w:rPr>
          <w:rFonts w:ascii="Miriam" w:hAnsi="Miriam" w:cs="Miriam" w:hint="cs"/>
          <w:b/>
          <w:sz w:val="28"/>
          <w:szCs w:val="28"/>
          <w:rtl/>
        </w:rPr>
        <w:t xml:space="preserve">סבירותו של הסדר הטיעון </w:t>
      </w:r>
    </w:p>
    <w:p w14:paraId="7F44E9B1" w14:textId="77777777" w:rsidR="00C76774" w:rsidRDefault="00C76774" w:rsidP="00C76774">
      <w:pPr>
        <w:jc w:val="both"/>
        <w:rPr>
          <w:rFonts w:ascii="Miriam" w:hAnsi="Miriam" w:cs="Miriam"/>
          <w:b/>
          <w:sz w:val="28"/>
          <w:szCs w:val="28"/>
          <w:rtl/>
        </w:rPr>
      </w:pPr>
    </w:p>
    <w:p w14:paraId="11C629EF"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11.</w:t>
      </w:r>
      <w:r>
        <w:rPr>
          <w:rFonts w:ascii="Calibri" w:hAnsi="Calibri" w:cs="FrankRuehl" w:hint="cs"/>
          <w:sz w:val="28"/>
          <w:szCs w:val="28"/>
          <w:rtl/>
        </w:rPr>
        <w:tab/>
        <w:t xml:space="preserve">הצדדים עתרו במשותף להשית על הנאשם, כעונש עיקרי, 6 חודשי מאסר שירוצו בעבודת שירות וקנס ששיעורו יקבע על ידי בית המשפט, וביקשו מבית המשפט לאשר הסכמתם זו. </w:t>
      </w:r>
    </w:p>
    <w:p w14:paraId="7A436866" w14:textId="77777777" w:rsidR="00C76774" w:rsidRDefault="00C76774" w:rsidP="00C76774">
      <w:pPr>
        <w:spacing w:after="160" w:line="360" w:lineRule="auto"/>
        <w:contextualSpacing/>
        <w:jc w:val="both"/>
        <w:rPr>
          <w:rFonts w:ascii="Calibri" w:hAnsi="Calibri" w:cs="FrankRuehl"/>
          <w:sz w:val="28"/>
          <w:szCs w:val="28"/>
          <w:rtl/>
        </w:rPr>
      </w:pPr>
    </w:p>
    <w:p w14:paraId="07090233"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12.</w:t>
      </w:r>
      <w:r>
        <w:rPr>
          <w:rFonts w:ascii="Calibri" w:hAnsi="Calibri" w:cs="FrankRuehl" w:hint="cs"/>
          <w:sz w:val="28"/>
          <w:szCs w:val="28"/>
          <w:rtl/>
        </w:rPr>
        <w:tab/>
        <w:t>במקרה שלפנינו, מאחר שמדובר בהסדר טיעון "כמעט סגור", אסקור בקצרה את התכליות השונות העומדות ביסוד האיסור על הימורים ומשחקים אסורים, ולאורן אבחן את סבירות ההסכמה העונשית שהוצגה. ב</w:t>
      </w:r>
      <w:hyperlink r:id="rId44" w:history="1">
        <w:r w:rsidR="00976EB1" w:rsidRPr="00976EB1">
          <w:rPr>
            <w:rFonts w:ascii="Calibri" w:hAnsi="Calibri" w:cs="FrankRuehl" w:hint="eastAsia"/>
            <w:color w:val="0000FF"/>
            <w:sz w:val="28"/>
            <w:szCs w:val="28"/>
            <w:u w:val="single"/>
            <w:rtl/>
          </w:rPr>
          <w:t>ע</w:t>
        </w:r>
        <w:r w:rsidR="00976EB1" w:rsidRPr="00976EB1">
          <w:rPr>
            <w:rFonts w:ascii="Calibri" w:hAnsi="Calibri" w:cs="FrankRuehl"/>
            <w:color w:val="0000FF"/>
            <w:sz w:val="28"/>
            <w:szCs w:val="28"/>
            <w:u w:val="single"/>
            <w:rtl/>
          </w:rPr>
          <w:t>"</w:t>
        </w:r>
        <w:r w:rsidR="00976EB1" w:rsidRPr="00976EB1">
          <w:rPr>
            <w:rFonts w:ascii="Calibri" w:hAnsi="Calibri" w:cs="FrankRuehl" w:hint="eastAsia"/>
            <w:color w:val="0000FF"/>
            <w:sz w:val="28"/>
            <w:szCs w:val="28"/>
            <w:u w:val="single"/>
            <w:rtl/>
          </w:rPr>
          <w:t>פ</w:t>
        </w:r>
        <w:r w:rsidR="00976EB1" w:rsidRPr="00976EB1">
          <w:rPr>
            <w:rFonts w:ascii="Calibri" w:hAnsi="Calibri" w:cs="FrankRuehl"/>
            <w:color w:val="0000FF"/>
            <w:sz w:val="28"/>
            <w:szCs w:val="28"/>
            <w:u w:val="single"/>
            <w:rtl/>
          </w:rPr>
          <w:t xml:space="preserve"> 6889/11</w:t>
        </w:r>
      </w:hyperlink>
      <w:r>
        <w:rPr>
          <w:rFonts w:ascii="Calibri" w:hAnsi="Calibri" w:cs="FrankRuehl" w:hint="cs"/>
          <w:sz w:val="28"/>
          <w:szCs w:val="28"/>
          <w:rtl/>
        </w:rPr>
        <w:t xml:space="preserve"> </w:t>
      </w:r>
      <w:r w:rsidRPr="007C44C6">
        <w:rPr>
          <w:rFonts w:ascii="Calibri" w:hAnsi="Calibri" w:cs="Miriam" w:hint="cs"/>
          <w:rtl/>
        </w:rPr>
        <w:t>מדינת ישראל נ' עובד</w:t>
      </w:r>
      <w:r>
        <w:rPr>
          <w:rFonts w:ascii="Calibri" w:hAnsi="Calibri" w:cs="FrankRuehl" w:hint="cs"/>
          <w:sz w:val="28"/>
          <w:szCs w:val="28"/>
          <w:rtl/>
        </w:rPr>
        <w:t xml:space="preserve">, </w:t>
      </w:r>
      <w:r w:rsidR="00D05667" w:rsidRPr="00D05667">
        <w:rPr>
          <w:sz w:val="22"/>
          <w:rtl/>
        </w:rPr>
        <w:t>[</w:t>
      </w:r>
      <w:r w:rsidR="00D05667" w:rsidRPr="00D05667">
        <w:rPr>
          <w:rFonts w:hint="eastAsia"/>
          <w:sz w:val="22"/>
          <w:rtl/>
        </w:rPr>
        <w:t>פורסם</w:t>
      </w:r>
      <w:r w:rsidR="00D05667" w:rsidRPr="00D05667">
        <w:rPr>
          <w:sz w:val="22"/>
          <w:rtl/>
        </w:rPr>
        <w:t xml:space="preserve"> </w:t>
      </w:r>
      <w:r w:rsidR="00D05667" w:rsidRPr="00D05667">
        <w:rPr>
          <w:rFonts w:hint="eastAsia"/>
          <w:sz w:val="22"/>
          <w:rtl/>
        </w:rPr>
        <w:t>בנבו</w:t>
      </w:r>
      <w:r w:rsidR="00D05667" w:rsidRPr="00D05667">
        <w:rPr>
          <w:sz w:val="22"/>
          <w:rtl/>
        </w:rPr>
        <w:t xml:space="preserve">] </w:t>
      </w:r>
      <w:r>
        <w:rPr>
          <w:rFonts w:ascii="Calibri" w:hAnsi="Calibri" w:cs="FrankRuehl" w:hint="cs"/>
          <w:sz w:val="28"/>
          <w:szCs w:val="28"/>
          <w:rtl/>
        </w:rPr>
        <w:t xml:space="preserve">פסקה 14, (14.5.12) (להלן: </w:t>
      </w:r>
      <w:r w:rsidRPr="007C44C6">
        <w:rPr>
          <w:rFonts w:ascii="Calibri" w:hAnsi="Calibri" w:cs="Miriam" w:hint="cs"/>
          <w:rtl/>
        </w:rPr>
        <w:t>עניין עובד</w:t>
      </w:r>
      <w:r>
        <w:rPr>
          <w:rFonts w:ascii="Calibri" w:hAnsi="Calibri" w:cs="FrankRuehl" w:hint="cs"/>
          <w:sz w:val="28"/>
          <w:szCs w:val="28"/>
          <w:rtl/>
        </w:rPr>
        <w:t>)</w:t>
      </w:r>
      <w:r w:rsidRPr="0099202E">
        <w:rPr>
          <w:rFonts w:ascii="Calibri" w:hAnsi="Calibri" w:cs="FrankRuehl" w:hint="cs"/>
          <w:sz w:val="28"/>
          <w:szCs w:val="28"/>
          <w:rtl/>
        </w:rPr>
        <w:t xml:space="preserve"> </w:t>
      </w:r>
      <w:r>
        <w:rPr>
          <w:rFonts w:ascii="Calibri" w:hAnsi="Calibri" w:cs="FrankRuehl" w:hint="cs"/>
          <w:sz w:val="28"/>
          <w:szCs w:val="28"/>
          <w:rtl/>
        </w:rPr>
        <w:t xml:space="preserve">קבעה השופטת </w:t>
      </w:r>
      <w:r w:rsidRPr="00A61FA9">
        <w:rPr>
          <w:rFonts w:ascii="Calibri" w:hAnsi="Calibri" w:cs="Miriam" w:hint="cs"/>
          <w:rtl/>
        </w:rPr>
        <w:t>ע' ארבל</w:t>
      </w:r>
      <w:r>
        <w:rPr>
          <w:rFonts w:ascii="Calibri" w:hAnsi="Calibri" w:cs="FrankRuehl" w:hint="cs"/>
          <w:sz w:val="28"/>
          <w:szCs w:val="28"/>
          <w:rtl/>
        </w:rPr>
        <w:t xml:space="preserve"> כי אחת התכליות היא תכלית ערכית "</w:t>
      </w:r>
      <w:r w:rsidRPr="00DC3405">
        <w:rPr>
          <w:rFonts w:ascii="Calibri" w:hAnsi="Calibri" w:cs="Miriam" w:hint="cs"/>
          <w:rtl/>
        </w:rPr>
        <w:t>המבוססת על ההכרה שאדם צריך להתפרנס מעבודה או ממשלח יד לגיטימיים, ולא על דרך של התעשרות מהירה התלויה בגורל</w:t>
      </w:r>
      <w:r>
        <w:rPr>
          <w:rFonts w:ascii="Calibri" w:hAnsi="Calibri" w:cs="FrankRuehl" w:hint="cs"/>
          <w:sz w:val="28"/>
          <w:szCs w:val="28"/>
          <w:rtl/>
        </w:rPr>
        <w:t xml:space="preserve">". לגבי תכלית נוספת, שעניינה מניעת התמכרות להימורים, נקבע בעניין </w:t>
      </w:r>
      <w:r w:rsidRPr="00B9015D">
        <w:rPr>
          <w:rFonts w:ascii="Calibri" w:hAnsi="Calibri" w:cs="Miriam" w:hint="cs"/>
          <w:rtl/>
        </w:rPr>
        <w:t>עובד</w:t>
      </w:r>
      <w:r>
        <w:rPr>
          <w:rFonts w:ascii="Calibri" w:hAnsi="Calibri" w:cs="FrankRuehl" w:hint="cs"/>
          <w:sz w:val="28"/>
          <w:szCs w:val="28"/>
          <w:rtl/>
        </w:rPr>
        <w:t xml:space="preserve"> כי "</w:t>
      </w:r>
      <w:r w:rsidRPr="00DC3405">
        <w:rPr>
          <w:rFonts w:ascii="Calibri" w:hAnsi="Calibri" w:cs="Miriam" w:hint="cs"/>
          <w:rtl/>
        </w:rPr>
        <w:t>ניסיון החיים מלמד כי מספרם של המפסידים בהימורים גדול מאלה המרוויחים מהם. מכאן, שאדם המכור להימורים עלול להביא את עצמו ואת משפחתו להפסדים כספיים, באופן שהוא עלול להפוך לנטל עליהם ועל החברה בכללותה, וכן לדרדרו לפשיעה על מנת למזער את הפסדיו או כדי להמשיך ולממן את ההימורים</w:t>
      </w:r>
      <w:r>
        <w:rPr>
          <w:rFonts w:ascii="Calibri" w:hAnsi="Calibri" w:cs="FrankRuehl" w:hint="cs"/>
          <w:sz w:val="28"/>
          <w:szCs w:val="28"/>
          <w:rtl/>
        </w:rPr>
        <w:t>".</w:t>
      </w:r>
    </w:p>
    <w:p w14:paraId="7FA61CCA" w14:textId="77777777" w:rsidR="00C76774" w:rsidRDefault="00C76774" w:rsidP="00C76774">
      <w:pPr>
        <w:spacing w:after="160" w:line="360" w:lineRule="auto"/>
        <w:contextualSpacing/>
        <w:jc w:val="both"/>
        <w:rPr>
          <w:rFonts w:ascii="Calibri" w:hAnsi="Calibri" w:cs="FrankRuehl"/>
          <w:sz w:val="28"/>
          <w:szCs w:val="28"/>
          <w:rtl/>
        </w:rPr>
      </w:pPr>
    </w:p>
    <w:p w14:paraId="22AB6F6A"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13.</w:t>
      </w:r>
      <w:r>
        <w:rPr>
          <w:rFonts w:ascii="Calibri" w:hAnsi="Calibri" w:cs="FrankRuehl"/>
          <w:sz w:val="28"/>
          <w:szCs w:val="28"/>
          <w:rtl/>
        </w:rPr>
        <w:tab/>
      </w:r>
      <w:r>
        <w:rPr>
          <w:rFonts w:ascii="Calibri" w:hAnsi="Calibri" w:cs="FrankRuehl" w:hint="cs"/>
          <w:sz w:val="28"/>
          <w:szCs w:val="28"/>
          <w:rtl/>
        </w:rPr>
        <w:t>עוד נקבע ב</w:t>
      </w:r>
      <w:r w:rsidRPr="007C44C6">
        <w:rPr>
          <w:rFonts w:ascii="Calibri" w:hAnsi="Calibri" w:cs="Miriam" w:hint="cs"/>
          <w:rtl/>
        </w:rPr>
        <w:t>עניין עובד</w:t>
      </w:r>
      <w:r>
        <w:rPr>
          <w:rFonts w:ascii="Calibri" w:hAnsi="Calibri" w:cs="FrankRuehl" w:hint="cs"/>
          <w:sz w:val="28"/>
          <w:szCs w:val="28"/>
          <w:rtl/>
        </w:rPr>
        <w:t>, כי תכליות אלו נכונות, ואף ביתר שאת, ביחס להימורים מקוונים, זאת ממספר טעמים:</w:t>
      </w:r>
    </w:p>
    <w:p w14:paraId="25DDFD11" w14:textId="77777777" w:rsidR="00C76774" w:rsidRDefault="00C76774" w:rsidP="00C76774">
      <w:pPr>
        <w:spacing w:after="160" w:line="360" w:lineRule="auto"/>
        <w:contextualSpacing/>
        <w:jc w:val="both"/>
        <w:rPr>
          <w:rFonts w:ascii="Calibri" w:hAnsi="Calibri" w:cs="FrankRuehl"/>
          <w:sz w:val="28"/>
          <w:szCs w:val="28"/>
          <w:rtl/>
        </w:rPr>
      </w:pPr>
    </w:p>
    <w:p w14:paraId="50423A8F" w14:textId="77777777" w:rsidR="00C76774" w:rsidRDefault="00C76774" w:rsidP="00C76774">
      <w:pPr>
        <w:overflowPunct w:val="0"/>
        <w:autoSpaceDE w:val="0"/>
        <w:autoSpaceDN w:val="0"/>
        <w:adjustRightInd w:val="0"/>
        <w:spacing w:line="360" w:lineRule="auto"/>
        <w:ind w:left="1134" w:right="1134"/>
        <w:jc w:val="both"/>
        <w:rPr>
          <w:rFonts w:ascii="Arial TUR" w:hAnsi="Arial TUR" w:cs="FrankRuehl"/>
          <w:spacing w:val="10"/>
          <w:sz w:val="22"/>
          <w:szCs w:val="28"/>
          <w:rtl/>
        </w:rPr>
      </w:pPr>
      <w:r>
        <w:rPr>
          <w:rFonts w:ascii="Arial TUR" w:hAnsi="Arial TUR" w:cs="FrankRuehl" w:hint="cs"/>
          <w:spacing w:val="10"/>
          <w:sz w:val="22"/>
          <w:szCs w:val="28"/>
          <w:rtl/>
        </w:rPr>
        <w:t>"</w:t>
      </w:r>
      <w:r w:rsidRPr="00257B50">
        <w:rPr>
          <w:rFonts w:ascii="Arial TUR" w:hAnsi="Arial TUR" w:cs="Miriam"/>
          <w:sz w:val="28"/>
          <w:rtl/>
        </w:rPr>
        <w:t>ראשית</w:t>
      </w:r>
      <w:r w:rsidRPr="00257B50">
        <w:rPr>
          <w:rFonts w:ascii="Arial TUR" w:hAnsi="Arial TUR" w:cs="FrankRuehl"/>
          <w:spacing w:val="10"/>
          <w:sz w:val="22"/>
          <w:szCs w:val="28"/>
          <w:rtl/>
        </w:rPr>
        <w:t xml:space="preserve">, הימור מקוון מאפשר לאנשים להמר בפרטיות ובנוחיות מביתם בכל שעות היממה, וזאת בשונה מהצורך להגיע למקום הימורים פיסי במקום מסוים ובהתחשב בשעות הפתיחה שלו. במובן זה, רשת האינטרנט מאפשרת למארגני ההימורים להגיע אל פתח ביתם של מספר בלתי מוגבל של מהמרים. </w:t>
      </w:r>
      <w:r w:rsidRPr="00257B50">
        <w:rPr>
          <w:rFonts w:ascii="Arial TUR" w:hAnsi="Arial TUR" w:cs="Miriam"/>
          <w:sz w:val="28"/>
          <w:rtl/>
        </w:rPr>
        <w:t>שנית</w:t>
      </w:r>
      <w:r w:rsidRPr="00257B50">
        <w:rPr>
          <w:rFonts w:ascii="Arial TUR" w:hAnsi="Arial TUR" w:cs="FrankRuehl"/>
          <w:spacing w:val="10"/>
          <w:sz w:val="22"/>
          <w:szCs w:val="28"/>
          <w:rtl/>
        </w:rPr>
        <w:t xml:space="preserve">, הימורים מקוונים עלולים לחשוף גם קטינים, הפגיעים במיוחד, להתמכרות להימורים, שכן ברשת האינטרנט קשה יותר להבחין בין קטין לבין בגיר. </w:t>
      </w:r>
      <w:r w:rsidRPr="00257B50">
        <w:rPr>
          <w:rFonts w:ascii="Arial TUR" w:hAnsi="Arial TUR" w:cs="Miriam"/>
          <w:sz w:val="28"/>
          <w:rtl/>
        </w:rPr>
        <w:t>שלישית</w:t>
      </w:r>
      <w:r w:rsidRPr="00257B50">
        <w:rPr>
          <w:rFonts w:ascii="Arial TUR" w:hAnsi="Arial TUR" w:cs="FrankRuehl"/>
          <w:spacing w:val="10"/>
          <w:sz w:val="22"/>
          <w:szCs w:val="28"/>
          <w:rtl/>
        </w:rPr>
        <w:t xml:space="preserve">, קשה להבטיח את יושר והוגנות המשחקים המקוונים. בנוסף, קיים חשש כי אתר המארגן הימורים ינצל את המידע הכלכלי שמספק לו המהמר על מנת לגנוב אותו או את "זהותו". </w:t>
      </w:r>
      <w:r w:rsidRPr="00257B50">
        <w:rPr>
          <w:rFonts w:ascii="Arial TUR" w:hAnsi="Arial TUR" w:cs="Miriam"/>
          <w:sz w:val="28"/>
          <w:rtl/>
        </w:rPr>
        <w:t>רביעית</w:t>
      </w:r>
      <w:r w:rsidRPr="00257B50">
        <w:rPr>
          <w:rFonts w:ascii="Arial TUR" w:hAnsi="Arial TUR" w:cs="FrankRuehl"/>
          <w:spacing w:val="10"/>
          <w:sz w:val="22"/>
          <w:szCs w:val="28"/>
          <w:rtl/>
        </w:rPr>
        <w:t xml:space="preserve">, מאפייניו הייחודיים של ההימור המקוון, ובכלל זה – מהירותו, אופיו הבינלאומי והאנונימיות שלו, יחד עם פוטנציאל ההעברה של סכומי כסף כבירים, עשויים למשוך מלביני הון להימורים באינטרנט, באופן שיקשה מאוד על המעקב אחר התנהלותם הכלכלית. </w:t>
      </w:r>
      <w:r w:rsidRPr="00257B50">
        <w:rPr>
          <w:rFonts w:cs="Miriam"/>
          <w:sz w:val="28"/>
          <w:rtl/>
        </w:rPr>
        <w:t>חמישית</w:t>
      </w:r>
      <w:r w:rsidRPr="00257B50">
        <w:rPr>
          <w:rFonts w:ascii="Arial TUR" w:hAnsi="Arial TUR" w:cs="FrankRuehl"/>
          <w:spacing w:val="10"/>
          <w:sz w:val="22"/>
          <w:szCs w:val="28"/>
          <w:rtl/>
        </w:rPr>
        <w:t>, העובדה כי הימור מקוון מאפשר לאדם להשתמש בכרטיס אשראי, בצירוף התחושה הוירטואלית שהוא מעניק, מעצימים את החשש כי המהמר יהמר לא רק על תכולת ארנקו, אלא על תכולת חשבון הבנק שלו ושל התלויים בו</w:t>
      </w:r>
      <w:r>
        <w:rPr>
          <w:rFonts w:ascii="Arial TUR" w:hAnsi="Arial TUR" w:cs="FrankRuehl" w:hint="cs"/>
          <w:spacing w:val="10"/>
          <w:sz w:val="22"/>
          <w:szCs w:val="28"/>
          <w:rtl/>
        </w:rPr>
        <w:t>..</w:t>
      </w:r>
      <w:r w:rsidRPr="00257B50">
        <w:rPr>
          <w:rFonts w:ascii="Arial TUR" w:hAnsi="Arial TUR" w:cs="FrankRuehl"/>
          <w:spacing w:val="10"/>
          <w:sz w:val="22"/>
          <w:szCs w:val="28"/>
          <w:rtl/>
        </w:rPr>
        <w:t>.</w:t>
      </w:r>
      <w:r>
        <w:rPr>
          <w:rFonts w:ascii="Arial TUR" w:hAnsi="Arial TUR" w:cs="FrankRuehl" w:hint="cs"/>
          <w:spacing w:val="10"/>
          <w:sz w:val="22"/>
          <w:szCs w:val="28"/>
          <w:rtl/>
        </w:rPr>
        <w:t>"</w:t>
      </w:r>
    </w:p>
    <w:p w14:paraId="17CD616F" w14:textId="77777777" w:rsidR="00C76774" w:rsidRDefault="00C76774" w:rsidP="00C76774">
      <w:pPr>
        <w:spacing w:after="160" w:line="360" w:lineRule="auto"/>
        <w:contextualSpacing/>
        <w:jc w:val="both"/>
        <w:rPr>
          <w:rFonts w:ascii="Calibri" w:hAnsi="Calibri" w:cs="FrankRuehl"/>
          <w:sz w:val="28"/>
          <w:szCs w:val="28"/>
          <w:rtl/>
        </w:rPr>
      </w:pPr>
    </w:p>
    <w:p w14:paraId="3D1F9EDD"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14.</w:t>
      </w:r>
      <w:r>
        <w:rPr>
          <w:rFonts w:ascii="Calibri" w:hAnsi="Calibri" w:cs="FrankRuehl" w:hint="cs"/>
          <w:sz w:val="28"/>
          <w:szCs w:val="28"/>
          <w:rtl/>
        </w:rPr>
        <w:tab/>
        <w:t xml:space="preserve">חומרה נוספת נלמדת מכך שהנאשם הלבין הון בסכומים משמעותיים. על חומרתה של תופעת הלבנת ההון עמדה השופטת </w:t>
      </w:r>
      <w:r w:rsidRPr="00AA2222">
        <w:rPr>
          <w:rFonts w:ascii="Calibri" w:hAnsi="Calibri" w:cs="Miriam" w:hint="cs"/>
          <w:rtl/>
        </w:rPr>
        <w:t>ע' ארבל</w:t>
      </w:r>
      <w:r>
        <w:rPr>
          <w:rFonts w:ascii="Calibri" w:hAnsi="Calibri" w:cs="FrankRuehl" w:hint="cs"/>
          <w:sz w:val="28"/>
          <w:szCs w:val="28"/>
          <w:rtl/>
        </w:rPr>
        <w:t xml:space="preserve"> בפרשת </w:t>
      </w:r>
      <w:r w:rsidRPr="00DC3405">
        <w:rPr>
          <w:rFonts w:ascii="Calibri" w:hAnsi="Calibri" w:cs="Miriam" w:hint="cs"/>
          <w:rtl/>
        </w:rPr>
        <w:t>עובד</w:t>
      </w:r>
      <w:r>
        <w:rPr>
          <w:rFonts w:ascii="Calibri" w:hAnsi="Calibri" w:cs="FrankRuehl" w:hint="cs"/>
          <w:sz w:val="28"/>
          <w:szCs w:val="28"/>
          <w:rtl/>
        </w:rPr>
        <w:t xml:space="preserve"> (פסקה 18):</w:t>
      </w:r>
    </w:p>
    <w:p w14:paraId="011E5F54" w14:textId="77777777" w:rsidR="00C76774" w:rsidRDefault="00C76774" w:rsidP="00C76774">
      <w:pPr>
        <w:spacing w:after="160" w:line="360" w:lineRule="auto"/>
        <w:contextualSpacing/>
        <w:jc w:val="both"/>
        <w:rPr>
          <w:rFonts w:ascii="Calibri" w:hAnsi="Calibri" w:cs="FrankRuehl"/>
          <w:sz w:val="28"/>
          <w:szCs w:val="28"/>
          <w:rtl/>
        </w:rPr>
      </w:pPr>
    </w:p>
    <w:p w14:paraId="053BC13B" w14:textId="77777777" w:rsidR="00C76774" w:rsidRDefault="00C76774" w:rsidP="00C76774">
      <w:pPr>
        <w:overflowPunct w:val="0"/>
        <w:autoSpaceDE w:val="0"/>
        <w:autoSpaceDN w:val="0"/>
        <w:adjustRightInd w:val="0"/>
        <w:spacing w:line="360" w:lineRule="auto"/>
        <w:ind w:left="1134" w:right="1134"/>
        <w:jc w:val="both"/>
        <w:rPr>
          <w:rFonts w:ascii="Calibri" w:hAnsi="Calibri" w:cs="FrankRuehl"/>
          <w:sz w:val="28"/>
          <w:szCs w:val="28"/>
          <w:rtl/>
        </w:rPr>
      </w:pPr>
      <w:r>
        <w:rPr>
          <w:rFonts w:ascii="Calibri" w:hAnsi="Calibri" w:cs="FrankRuehl" w:hint="cs"/>
          <w:sz w:val="28"/>
          <w:szCs w:val="28"/>
          <w:rtl/>
        </w:rPr>
        <w:t xml:space="preserve">"בית משפט זה עמד על חומרתה של תופעת הלבנת הון וקבע שהיא 'תופעה בעלת פוטנציאל הרס עצום, </w:t>
      </w:r>
      <w:r w:rsidRPr="00FC1E6E">
        <w:rPr>
          <w:rFonts w:ascii="Arial TUR" w:hAnsi="Arial TUR" w:cs="FrankRuehl" w:hint="cs"/>
          <w:spacing w:val="10"/>
          <w:sz w:val="22"/>
          <w:szCs w:val="28"/>
          <w:rtl/>
        </w:rPr>
        <w:t>ובפרט</w:t>
      </w:r>
      <w:r>
        <w:rPr>
          <w:rFonts w:ascii="Calibri" w:hAnsi="Calibri" w:cs="FrankRuehl" w:hint="cs"/>
          <w:sz w:val="28"/>
          <w:szCs w:val="28"/>
          <w:rtl/>
        </w:rPr>
        <w:t xml:space="preserve"> מבחינה כלכלית וחברתית. הלבנת הון היא שמאפשרת לעבריינים לבצע ואף להרחיב את מנעד העבירות שבביצוען הם נוטלים חלק'".</w:t>
      </w:r>
    </w:p>
    <w:p w14:paraId="6070B240" w14:textId="77777777" w:rsidR="00C76774" w:rsidRDefault="00C76774" w:rsidP="00C76774">
      <w:pPr>
        <w:spacing w:after="160" w:line="360" w:lineRule="auto"/>
        <w:contextualSpacing/>
        <w:jc w:val="both"/>
        <w:rPr>
          <w:rFonts w:ascii="Calibri" w:hAnsi="Calibri" w:cs="FrankRuehl"/>
          <w:sz w:val="28"/>
          <w:szCs w:val="28"/>
          <w:rtl/>
        </w:rPr>
      </w:pPr>
    </w:p>
    <w:p w14:paraId="5E7320F7"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15.</w:t>
      </w:r>
      <w:r>
        <w:rPr>
          <w:rFonts w:ascii="Calibri" w:hAnsi="Calibri" w:cs="FrankRuehl" w:hint="cs"/>
          <w:sz w:val="28"/>
          <w:szCs w:val="28"/>
          <w:rtl/>
        </w:rPr>
        <w:tab/>
        <w:t xml:space="preserve">ככל שהדבר נוגע לעבירה לפי </w:t>
      </w:r>
      <w:hyperlink r:id="rId45" w:history="1">
        <w:r w:rsidR="00976EB1" w:rsidRPr="00976EB1">
          <w:rPr>
            <w:rFonts w:ascii="Calibri" w:hAnsi="Calibri" w:cs="FrankRuehl" w:hint="eastAsia"/>
            <w:color w:val="0000FF"/>
            <w:sz w:val="28"/>
            <w:szCs w:val="28"/>
            <w:u w:val="single"/>
            <w:rtl/>
          </w:rPr>
          <w:t>חוק</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איסור</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הלבנת</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הון</w:t>
        </w:r>
      </w:hyperlink>
      <w:r>
        <w:rPr>
          <w:rFonts w:ascii="Calibri" w:hAnsi="Calibri" w:cs="FrankRuehl" w:hint="cs"/>
          <w:sz w:val="28"/>
          <w:szCs w:val="28"/>
          <w:rtl/>
        </w:rPr>
        <w:t>, הערכים עליהם בא החוק להגן הם מניעת היכולת לנייד ולהעביר ממקום למקום וממדינה למדינה כספים שמקורם בעבירה, תוך שימוש במערכת הבנקאית, וכן ערבוב והטמעת הכספים שהושגו בדרך חוקית.</w:t>
      </w:r>
    </w:p>
    <w:p w14:paraId="01C48AE9" w14:textId="77777777" w:rsidR="00C76774" w:rsidRDefault="00C76774" w:rsidP="00C76774">
      <w:pPr>
        <w:spacing w:after="160" w:line="360" w:lineRule="auto"/>
        <w:contextualSpacing/>
        <w:jc w:val="both"/>
        <w:rPr>
          <w:rFonts w:ascii="Calibri" w:hAnsi="Calibri" w:cs="FrankRuehl"/>
          <w:sz w:val="28"/>
          <w:szCs w:val="28"/>
          <w:rtl/>
        </w:rPr>
      </w:pPr>
    </w:p>
    <w:p w14:paraId="6C11C4B0"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16.</w:t>
      </w:r>
      <w:r>
        <w:rPr>
          <w:rFonts w:ascii="Calibri" w:hAnsi="Calibri" w:cs="FrankRuehl" w:hint="cs"/>
          <w:sz w:val="28"/>
          <w:szCs w:val="28"/>
          <w:rtl/>
        </w:rPr>
        <w:tab/>
      </w:r>
      <w:r w:rsidRPr="009B4651">
        <w:rPr>
          <w:rFonts w:cs="FrankRuehl" w:hint="cs"/>
          <w:sz w:val="28"/>
          <w:szCs w:val="28"/>
          <w:rtl/>
        </w:rPr>
        <w:t xml:space="preserve">בשים לב לאמור קבע בית המשפט העליון שישנה </w:t>
      </w:r>
      <w:r w:rsidRPr="009B4651">
        <w:rPr>
          <w:rFonts w:cs="FrankRuehl"/>
          <w:sz w:val="28"/>
          <w:szCs w:val="28"/>
          <w:rtl/>
        </w:rPr>
        <w:t>חש</w:t>
      </w:r>
      <w:r w:rsidRPr="009739D6">
        <w:rPr>
          <w:rFonts w:cs="FrankRuehl"/>
          <w:sz w:val="22"/>
          <w:szCs w:val="28"/>
          <w:rtl/>
        </w:rPr>
        <w:t xml:space="preserve">יבות </w:t>
      </w:r>
      <w:r>
        <w:rPr>
          <w:rFonts w:cs="FrankRuehl" w:hint="cs"/>
          <w:sz w:val="22"/>
          <w:szCs w:val="28"/>
          <w:rtl/>
        </w:rPr>
        <w:t xml:space="preserve">להטלת </w:t>
      </w:r>
      <w:r w:rsidRPr="00181A89">
        <w:rPr>
          <w:rFonts w:ascii="Calibri" w:hAnsi="Calibri" w:cs="Miriam"/>
          <w:rtl/>
        </w:rPr>
        <w:t>ענישה</w:t>
      </w:r>
      <w:r w:rsidRPr="009739D6">
        <w:rPr>
          <w:rFonts w:cs="FrankRuehl"/>
          <w:sz w:val="22"/>
          <w:szCs w:val="28"/>
          <w:rtl/>
        </w:rPr>
        <w:t xml:space="preserve"> </w:t>
      </w:r>
      <w:r w:rsidRPr="00181A89">
        <w:rPr>
          <w:rFonts w:ascii="Calibri" w:hAnsi="Calibri" w:cs="Miriam"/>
          <w:rtl/>
        </w:rPr>
        <w:t>מחמירה</w:t>
      </w:r>
      <w:r w:rsidRPr="009739D6">
        <w:rPr>
          <w:rFonts w:cs="FrankRuehl"/>
          <w:sz w:val="22"/>
          <w:szCs w:val="28"/>
          <w:rtl/>
        </w:rPr>
        <w:t xml:space="preserve"> </w:t>
      </w:r>
      <w:r w:rsidRPr="00181A89">
        <w:rPr>
          <w:rFonts w:ascii="Calibri" w:hAnsi="Calibri" w:cs="Miriam"/>
          <w:rtl/>
        </w:rPr>
        <w:t>ומרתיעה</w:t>
      </w:r>
      <w:r w:rsidRPr="009739D6">
        <w:rPr>
          <w:rFonts w:cs="FrankRuehl"/>
          <w:sz w:val="22"/>
          <w:szCs w:val="28"/>
          <w:rtl/>
        </w:rPr>
        <w:t xml:space="preserve"> בעבירות אלה ו</w:t>
      </w:r>
      <w:r>
        <w:rPr>
          <w:rFonts w:cs="FrankRuehl" w:hint="cs"/>
          <w:sz w:val="22"/>
          <w:szCs w:val="28"/>
          <w:rtl/>
        </w:rPr>
        <w:t>ב</w:t>
      </w:r>
      <w:r>
        <w:rPr>
          <w:rFonts w:cs="FrankRuehl"/>
          <w:sz w:val="22"/>
          <w:szCs w:val="28"/>
          <w:rtl/>
        </w:rPr>
        <w:t>סיוע להן</w:t>
      </w:r>
      <w:r>
        <w:rPr>
          <w:rFonts w:cs="FrankRuehl" w:hint="cs"/>
          <w:sz w:val="22"/>
          <w:szCs w:val="28"/>
          <w:rtl/>
        </w:rPr>
        <w:t>, גם שעה שהעבריינים הינם אנשים נורמטיביים ביסודם ונטולי עבר פלילי.</w:t>
      </w:r>
      <w:r>
        <w:rPr>
          <w:rFonts w:ascii="Calibri" w:hAnsi="Calibri" w:cs="FrankRuehl" w:hint="cs"/>
          <w:sz w:val="28"/>
          <w:szCs w:val="28"/>
          <w:rtl/>
        </w:rPr>
        <w:t xml:space="preserve"> כך נקבע בפסקה 16 לפסק הדין בעניין </w:t>
      </w:r>
      <w:r w:rsidRPr="000E34F2">
        <w:rPr>
          <w:rFonts w:ascii="Calibri" w:hAnsi="Calibri" w:cs="Miriam" w:hint="cs"/>
          <w:rtl/>
        </w:rPr>
        <w:t>עובד</w:t>
      </w:r>
      <w:r>
        <w:rPr>
          <w:rFonts w:ascii="Calibri" w:hAnsi="Calibri" w:cs="FrankRuehl" w:hint="cs"/>
          <w:sz w:val="28"/>
          <w:szCs w:val="28"/>
          <w:rtl/>
        </w:rPr>
        <w:t>:</w:t>
      </w:r>
    </w:p>
    <w:p w14:paraId="00B38F0D" w14:textId="77777777" w:rsidR="00C76774" w:rsidRDefault="00C76774" w:rsidP="00C76774">
      <w:pPr>
        <w:spacing w:after="160" w:line="360" w:lineRule="auto"/>
        <w:contextualSpacing/>
        <w:jc w:val="both"/>
        <w:rPr>
          <w:rFonts w:ascii="Calibri" w:hAnsi="Calibri" w:cs="FrankRuehl"/>
          <w:sz w:val="28"/>
          <w:szCs w:val="28"/>
          <w:rtl/>
        </w:rPr>
      </w:pPr>
    </w:p>
    <w:p w14:paraId="03839A8D" w14:textId="77777777" w:rsidR="00C76774" w:rsidRPr="00EB49DA" w:rsidRDefault="00C76774" w:rsidP="00C76774">
      <w:pPr>
        <w:overflowPunct w:val="0"/>
        <w:autoSpaceDE w:val="0"/>
        <w:autoSpaceDN w:val="0"/>
        <w:adjustRightInd w:val="0"/>
        <w:spacing w:line="360" w:lineRule="auto"/>
        <w:ind w:left="1134" w:right="1134"/>
        <w:jc w:val="both"/>
        <w:rPr>
          <w:rFonts w:cs="FrankRuehl"/>
          <w:spacing w:val="10"/>
          <w:sz w:val="22"/>
          <w:szCs w:val="28"/>
          <w:rtl/>
        </w:rPr>
      </w:pPr>
      <w:r>
        <w:rPr>
          <w:rFonts w:cs="FrankRuehl" w:hint="cs"/>
          <w:spacing w:val="10"/>
          <w:sz w:val="22"/>
          <w:szCs w:val="28"/>
          <w:rtl/>
        </w:rPr>
        <w:t>"</w:t>
      </w:r>
      <w:r w:rsidRPr="00EB49DA">
        <w:rPr>
          <w:rFonts w:cs="FrankRuehl"/>
          <w:spacing w:val="10"/>
          <w:sz w:val="22"/>
          <w:szCs w:val="28"/>
          <w:rtl/>
        </w:rPr>
        <w:t xml:space="preserve">נציין, כי </w:t>
      </w:r>
      <w:r w:rsidRPr="00FC1E6E">
        <w:rPr>
          <w:rFonts w:ascii="Arial TUR" w:hAnsi="Arial TUR" w:cs="FrankRuehl"/>
          <w:spacing w:val="10"/>
          <w:sz w:val="22"/>
          <w:szCs w:val="28"/>
          <w:rtl/>
        </w:rPr>
        <w:t>בית</w:t>
      </w:r>
      <w:r w:rsidRPr="00EB49DA">
        <w:rPr>
          <w:rFonts w:cs="FrankRuehl"/>
          <w:spacing w:val="10"/>
          <w:sz w:val="22"/>
          <w:szCs w:val="28"/>
          <w:rtl/>
        </w:rPr>
        <w:t xml:space="preserve"> משפט זה עמד על כך שבגין עבירות של ארגון הימורים ומשחקים אסורים יש להשית </w:t>
      </w:r>
      <w:r w:rsidRPr="00EB49DA">
        <w:rPr>
          <w:rFonts w:cs="Miriam"/>
          <w:spacing w:val="10"/>
          <w:sz w:val="20"/>
          <w:rtl/>
        </w:rPr>
        <w:t>עונש מאסר בפועל לתקופה משמעותית</w:t>
      </w:r>
      <w:r w:rsidRPr="00EB49DA">
        <w:rPr>
          <w:rFonts w:cs="FrankRuehl"/>
          <w:spacing w:val="10"/>
          <w:sz w:val="22"/>
          <w:szCs w:val="28"/>
          <w:rtl/>
        </w:rPr>
        <w:t>:</w:t>
      </w:r>
    </w:p>
    <w:p w14:paraId="6ACCC8DF" w14:textId="77777777" w:rsidR="00C76774" w:rsidRPr="00EB49DA" w:rsidRDefault="00C76774" w:rsidP="00C76774">
      <w:pPr>
        <w:overflowPunct w:val="0"/>
        <w:autoSpaceDE w:val="0"/>
        <w:autoSpaceDN w:val="0"/>
        <w:adjustRightInd w:val="0"/>
        <w:spacing w:line="360" w:lineRule="auto"/>
        <w:ind w:left="1417" w:right="1560"/>
        <w:jc w:val="both"/>
        <w:rPr>
          <w:rFonts w:cs="FrankRuehl"/>
          <w:spacing w:val="10"/>
          <w:sz w:val="22"/>
          <w:szCs w:val="28"/>
          <w:rtl/>
        </w:rPr>
      </w:pPr>
      <w:r>
        <w:rPr>
          <w:rFonts w:ascii="Arial TUR" w:hAnsi="Arial TUR" w:cs="FrankRuehl" w:hint="cs"/>
          <w:spacing w:val="10"/>
          <w:sz w:val="22"/>
          <w:szCs w:val="28"/>
          <w:rtl/>
        </w:rPr>
        <w:t>'</w:t>
      </w:r>
      <w:r w:rsidRPr="00EB49DA">
        <w:rPr>
          <w:rFonts w:ascii="Arial TUR" w:hAnsi="Arial TUR" w:cs="FrankRuehl"/>
          <w:spacing w:val="10"/>
          <w:sz w:val="22"/>
          <w:szCs w:val="28"/>
          <w:rtl/>
        </w:rPr>
        <w:t>צדק בית המשפט המחוזי בהטילו על המערערים גם עונש של מאסר בפועל משמעותי וזאת חרף העובדה כי מדובר במקרה ראשון, בו בית המשפט הרשיע בעבירות כלכליות אשר בוצעו תוך כדי ביצועה של עבירת החזקה וניהול מקום למשחקים אסורים, ואין מקום להקל ראש בעבירות מסוג זה, נהפוך הוא, יש למצות את הדין עם עבריינים המבצעים עבירות חמורות מעין אלו כדי להוקיע את הרעה החולה מחברה השואפת להיות חברה מתוקנת וזאת על מנת להבריאה.</w:t>
      </w:r>
      <w:r>
        <w:rPr>
          <w:rFonts w:ascii="Arial TUR" w:hAnsi="Arial TUR" w:cs="FrankRuehl" w:hint="cs"/>
          <w:spacing w:val="10"/>
          <w:sz w:val="22"/>
          <w:szCs w:val="28"/>
          <w:rtl/>
        </w:rPr>
        <w:t>'</w:t>
      </w:r>
      <w:r w:rsidRPr="00EB49DA">
        <w:rPr>
          <w:rFonts w:cs="FrankRuehl"/>
          <w:spacing w:val="10"/>
          <w:sz w:val="22"/>
          <w:szCs w:val="28"/>
          <w:rtl/>
        </w:rPr>
        <w:t xml:space="preserve"> (</w:t>
      </w:r>
      <w:hyperlink r:id="rId46" w:history="1">
        <w:r w:rsidR="00976EB1" w:rsidRPr="00976EB1">
          <w:rPr>
            <w:rFonts w:cs="FrankRuehl"/>
            <w:color w:val="0000FF"/>
            <w:spacing w:val="10"/>
            <w:sz w:val="22"/>
            <w:szCs w:val="28"/>
            <w:u w:val="single"/>
            <w:rtl/>
          </w:rPr>
          <w:t>ע"פ 6474/03</w:t>
        </w:r>
      </w:hyperlink>
      <w:r w:rsidRPr="00976EB1">
        <w:rPr>
          <w:rFonts w:cs="FrankRuehl"/>
          <w:color w:val="000000"/>
          <w:spacing w:val="10"/>
          <w:sz w:val="22"/>
          <w:szCs w:val="28"/>
          <w:rtl/>
        </w:rPr>
        <w:t xml:space="preserve"> </w:t>
      </w:r>
      <w:r w:rsidRPr="00976EB1">
        <w:rPr>
          <w:rFonts w:cs="Miriam"/>
          <w:color w:val="000000"/>
          <w:spacing w:val="10"/>
          <w:sz w:val="20"/>
          <w:rtl/>
        </w:rPr>
        <w:t>מלכה נ' מדינת ישראל</w:t>
      </w:r>
      <w:r w:rsidRPr="00976EB1">
        <w:rPr>
          <w:rFonts w:cs="FrankRuehl" w:hint="cs"/>
          <w:color w:val="000000"/>
          <w:spacing w:val="10"/>
          <w:sz w:val="22"/>
          <w:szCs w:val="28"/>
          <w:rtl/>
        </w:rPr>
        <w:t>...</w:t>
      </w:r>
      <w:r w:rsidRPr="00EB49DA">
        <w:rPr>
          <w:rFonts w:cs="FrankRuehl"/>
          <w:spacing w:val="10"/>
          <w:sz w:val="22"/>
          <w:szCs w:val="28"/>
          <w:rtl/>
        </w:rPr>
        <w:t xml:space="preserve"> </w:t>
      </w:r>
      <w:r w:rsidR="00D05667" w:rsidRPr="00D05667">
        <w:rPr>
          <w:sz w:val="22"/>
          <w:rtl/>
        </w:rPr>
        <w:t xml:space="preserve">[פורסם בנבו] </w:t>
      </w:r>
      <w:r w:rsidRPr="00EB49DA">
        <w:rPr>
          <w:rFonts w:cs="FrankRuehl"/>
          <w:spacing w:val="10"/>
          <w:sz w:val="22"/>
          <w:szCs w:val="28"/>
          <w:rtl/>
        </w:rPr>
        <w:t>(2004)</w:t>
      </w:r>
      <w:r>
        <w:rPr>
          <w:rFonts w:cs="FrankRuehl" w:hint="cs"/>
          <w:spacing w:val="10"/>
          <w:sz w:val="22"/>
          <w:szCs w:val="28"/>
          <w:rtl/>
        </w:rPr>
        <w:t>..</w:t>
      </w:r>
      <w:r w:rsidRPr="00EB49DA">
        <w:rPr>
          <w:rFonts w:cs="FrankRuehl"/>
          <w:spacing w:val="10"/>
          <w:sz w:val="22"/>
          <w:szCs w:val="28"/>
          <w:rtl/>
        </w:rPr>
        <w:t>.</w:t>
      </w:r>
      <w:r>
        <w:rPr>
          <w:rFonts w:cs="FrankRuehl" w:hint="cs"/>
          <w:spacing w:val="10"/>
          <w:sz w:val="22"/>
          <w:szCs w:val="28"/>
          <w:rtl/>
        </w:rPr>
        <w:t>"</w:t>
      </w:r>
      <w:r w:rsidRPr="00EB49DA">
        <w:rPr>
          <w:rFonts w:cs="FrankRuehl"/>
          <w:spacing w:val="10"/>
          <w:sz w:val="22"/>
          <w:szCs w:val="28"/>
          <w:rtl/>
        </w:rPr>
        <w:t xml:space="preserve"> </w:t>
      </w:r>
    </w:p>
    <w:p w14:paraId="4D42FA72" w14:textId="77777777" w:rsidR="00C76774" w:rsidRPr="00EB49DA" w:rsidRDefault="00C76774" w:rsidP="00C76774">
      <w:pPr>
        <w:overflowPunct w:val="0"/>
        <w:autoSpaceDE w:val="0"/>
        <w:autoSpaceDN w:val="0"/>
        <w:adjustRightInd w:val="0"/>
        <w:ind w:left="1642" w:right="1282"/>
        <w:jc w:val="both"/>
        <w:rPr>
          <w:rFonts w:cs="FrankRuehl"/>
          <w:spacing w:val="10"/>
          <w:sz w:val="22"/>
          <w:szCs w:val="28"/>
          <w:rtl/>
        </w:rPr>
      </w:pPr>
    </w:p>
    <w:p w14:paraId="1D8EC381" w14:textId="77777777" w:rsidR="00C76774" w:rsidRPr="007D365E" w:rsidRDefault="00C76774" w:rsidP="00C76774">
      <w:pPr>
        <w:overflowPunct w:val="0"/>
        <w:autoSpaceDE w:val="0"/>
        <w:autoSpaceDN w:val="0"/>
        <w:adjustRightInd w:val="0"/>
        <w:spacing w:line="360" w:lineRule="auto"/>
        <w:ind w:left="1134" w:right="1134"/>
        <w:jc w:val="both"/>
        <w:rPr>
          <w:rFonts w:cs="FrankRuehl"/>
          <w:spacing w:val="10"/>
          <w:sz w:val="22"/>
          <w:szCs w:val="28"/>
          <w:rtl/>
        </w:rPr>
      </w:pPr>
      <w:r w:rsidRPr="00EB49DA">
        <w:rPr>
          <w:rFonts w:cs="FrankRuehl"/>
          <w:spacing w:val="10"/>
          <w:sz w:val="22"/>
          <w:szCs w:val="28"/>
          <w:rtl/>
        </w:rPr>
        <w:t>זאת, על אחת כמה וכמה כאשר עסקינן בארגון הימורים מקוונים.</w:t>
      </w:r>
      <w:r>
        <w:rPr>
          <w:rFonts w:cs="FrankRuehl" w:hint="cs"/>
          <w:spacing w:val="10"/>
          <w:sz w:val="22"/>
          <w:szCs w:val="28"/>
          <w:rtl/>
        </w:rPr>
        <w:t xml:space="preserve">" </w:t>
      </w:r>
      <w:r>
        <w:rPr>
          <w:rFonts w:ascii="Calibri" w:hAnsi="Calibri" w:cs="FrankRuehl" w:hint="cs"/>
          <w:sz w:val="28"/>
          <w:szCs w:val="28"/>
          <w:rtl/>
        </w:rPr>
        <w:t xml:space="preserve">(ההדגשות הוספו </w:t>
      </w:r>
      <w:r>
        <w:rPr>
          <w:rFonts w:ascii="Calibri" w:hAnsi="Calibri" w:cs="FrankRuehl"/>
          <w:sz w:val="28"/>
          <w:szCs w:val="28"/>
          <w:rtl/>
        </w:rPr>
        <w:t>–</w:t>
      </w:r>
      <w:r>
        <w:rPr>
          <w:rFonts w:ascii="Calibri" w:hAnsi="Calibri" w:cs="FrankRuehl" w:hint="cs"/>
          <w:sz w:val="28"/>
          <w:szCs w:val="28"/>
          <w:rtl/>
        </w:rPr>
        <w:t xml:space="preserve"> ע.מ).</w:t>
      </w:r>
    </w:p>
    <w:p w14:paraId="08EEE869" w14:textId="77777777" w:rsidR="00C76774" w:rsidRDefault="00C76774" w:rsidP="00C76774">
      <w:pPr>
        <w:spacing w:after="160" w:line="360" w:lineRule="auto"/>
        <w:contextualSpacing/>
        <w:jc w:val="both"/>
        <w:rPr>
          <w:rFonts w:ascii="Calibri" w:hAnsi="Calibri" w:cs="FrankRuehl"/>
          <w:sz w:val="28"/>
          <w:szCs w:val="28"/>
          <w:rtl/>
        </w:rPr>
      </w:pPr>
    </w:p>
    <w:p w14:paraId="5056AEA1"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נוכח הפגיעה הקשה בחברה, ובשים לב ליתר הנימוקים שהובאו לעיל, נקבע ש"</w:t>
      </w:r>
      <w:r w:rsidRPr="005F4B92">
        <w:rPr>
          <w:rFonts w:ascii="Calibri" w:hAnsi="Calibri" w:cs="Miriam" w:hint="cs"/>
          <w:rtl/>
        </w:rPr>
        <w:t>ככלל</w:t>
      </w:r>
      <w:r>
        <w:rPr>
          <w:rFonts w:ascii="Calibri" w:hAnsi="Calibri" w:cs="Miriam" w:hint="cs"/>
          <w:rtl/>
        </w:rPr>
        <w:t xml:space="preserve">, </w:t>
      </w:r>
      <w:r w:rsidRPr="005F4B92">
        <w:rPr>
          <w:rFonts w:ascii="Calibri" w:hAnsi="Calibri" w:cs="Miriam" w:hint="cs"/>
          <w:rtl/>
        </w:rPr>
        <w:t>העונש הראוי</w:t>
      </w:r>
      <w:r>
        <w:rPr>
          <w:rFonts w:ascii="Calibri" w:hAnsi="Calibri" w:cs="Miriam" w:hint="cs"/>
          <w:rtl/>
        </w:rPr>
        <w:t xml:space="preserve"> בג</w:t>
      </w:r>
      <w:r w:rsidRPr="005F4B92">
        <w:rPr>
          <w:rFonts w:ascii="Calibri" w:hAnsi="Calibri" w:cs="Miriam" w:hint="cs"/>
          <w:rtl/>
        </w:rPr>
        <w:t>ין עבירות של ניהול וארגון משחקים אסורים והימורים במשולב עם עבירות של הלבנת הון, הינו עונש מאסר בפועל לתקופה משמעותית</w:t>
      </w:r>
      <w:r>
        <w:rPr>
          <w:rFonts w:ascii="Calibri" w:hAnsi="Calibri" w:cs="FrankRuehl" w:hint="cs"/>
          <w:sz w:val="28"/>
          <w:szCs w:val="28"/>
          <w:rtl/>
        </w:rPr>
        <w:t xml:space="preserve">". </w:t>
      </w:r>
    </w:p>
    <w:p w14:paraId="28762FF4" w14:textId="77777777" w:rsidR="00C76774" w:rsidRDefault="00C76774" w:rsidP="00C76774">
      <w:pPr>
        <w:spacing w:after="160" w:line="360" w:lineRule="auto"/>
        <w:contextualSpacing/>
        <w:jc w:val="both"/>
        <w:rPr>
          <w:rFonts w:ascii="Calibri" w:hAnsi="Calibri" w:cs="FrankRuehl"/>
          <w:sz w:val="28"/>
          <w:szCs w:val="28"/>
          <w:rtl/>
        </w:rPr>
      </w:pPr>
    </w:p>
    <w:p w14:paraId="591A78D5"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17.</w:t>
      </w:r>
      <w:r>
        <w:rPr>
          <w:rFonts w:ascii="Calibri" w:hAnsi="Calibri" w:cs="FrankRuehl" w:hint="cs"/>
          <w:sz w:val="28"/>
          <w:szCs w:val="28"/>
          <w:rtl/>
        </w:rPr>
        <w:tab/>
        <w:t xml:space="preserve">בשים לב להתנגשות החזיתית בין קביעתו הנחרצת של בית המשפט העליון בצורך להחמיר בענישה, לבין מצבו האישי של הנאשם, עולה מאליה השאלה, האם הסדר הטיעון שהוצג אכן איזן נכונה את מכלול השיקולים באופן שיוביל לקבלתו ואימוצו. </w:t>
      </w:r>
    </w:p>
    <w:p w14:paraId="679A715F" w14:textId="77777777" w:rsidR="00C76774" w:rsidRDefault="00C76774" w:rsidP="00C76774">
      <w:pPr>
        <w:spacing w:after="160" w:line="360" w:lineRule="auto"/>
        <w:contextualSpacing/>
        <w:jc w:val="both"/>
        <w:rPr>
          <w:rFonts w:ascii="Calibri" w:hAnsi="Calibri" w:cs="FrankRuehl"/>
          <w:sz w:val="28"/>
          <w:szCs w:val="28"/>
          <w:rtl/>
        </w:rPr>
      </w:pPr>
    </w:p>
    <w:p w14:paraId="2AFC3C3B"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לבחינת שאלה זו נפנה עתה.</w:t>
      </w:r>
    </w:p>
    <w:p w14:paraId="299F5A6F" w14:textId="77777777" w:rsidR="00C76774" w:rsidRDefault="00C76774" w:rsidP="00C76774">
      <w:pPr>
        <w:spacing w:after="160" w:line="360" w:lineRule="auto"/>
        <w:contextualSpacing/>
        <w:jc w:val="both"/>
        <w:rPr>
          <w:rFonts w:ascii="Calibri" w:hAnsi="Calibri" w:cs="FrankRuehl"/>
          <w:sz w:val="28"/>
          <w:szCs w:val="28"/>
          <w:rtl/>
        </w:rPr>
      </w:pPr>
    </w:p>
    <w:p w14:paraId="615D143D" w14:textId="77777777" w:rsidR="00C76774" w:rsidRPr="002A2FE2" w:rsidRDefault="00C76774" w:rsidP="00C76774">
      <w:pPr>
        <w:spacing w:after="160" w:line="360" w:lineRule="auto"/>
        <w:contextualSpacing/>
        <w:jc w:val="both"/>
        <w:rPr>
          <w:rFonts w:ascii="Calibri" w:hAnsi="Calibri" w:cs="Miriam"/>
          <w:sz w:val="28"/>
          <w:szCs w:val="28"/>
          <w:rtl/>
        </w:rPr>
      </w:pPr>
      <w:r>
        <w:rPr>
          <w:rFonts w:ascii="Calibri" w:hAnsi="Calibri" w:cs="FrankRuehl" w:hint="cs"/>
          <w:sz w:val="28"/>
          <w:szCs w:val="28"/>
          <w:rtl/>
        </w:rPr>
        <w:t>18.</w:t>
      </w:r>
      <w:r>
        <w:rPr>
          <w:rFonts w:ascii="Calibri" w:hAnsi="Calibri" w:cs="FrankRuehl" w:hint="cs"/>
          <w:sz w:val="28"/>
          <w:szCs w:val="28"/>
          <w:rtl/>
        </w:rPr>
        <w:tab/>
      </w:r>
      <w:r w:rsidRPr="001F63F1">
        <w:rPr>
          <w:rFonts w:ascii="FrankRuehl" w:hAnsi="FrankRuehl" w:cs="FrankRuehl" w:hint="cs"/>
          <w:sz w:val="28"/>
          <w:szCs w:val="28"/>
          <w:rtl/>
        </w:rPr>
        <w:t xml:space="preserve">אין חולק על כך שקיומו של הסדר טיעון, מהווה נדבך מרכזי בשיקולי הענישה של בית המשפט. </w:t>
      </w:r>
      <w:r w:rsidRPr="001F63F1">
        <w:rPr>
          <w:rFonts w:cs="FrankRuehl"/>
          <w:sz w:val="28"/>
          <w:szCs w:val="28"/>
          <w:rtl/>
        </w:rPr>
        <w:t>ב</w:t>
      </w:r>
      <w:hyperlink r:id="rId47" w:history="1">
        <w:r w:rsidR="00976EB1" w:rsidRPr="00976EB1">
          <w:rPr>
            <w:rFonts w:cs="FrankRuehl"/>
            <w:color w:val="0000FF"/>
            <w:sz w:val="28"/>
            <w:szCs w:val="28"/>
            <w:u w:val="single"/>
            <w:rtl/>
          </w:rPr>
          <w:t>ע"פ 1958/98</w:t>
        </w:r>
      </w:hyperlink>
      <w:r w:rsidRPr="001F63F1">
        <w:rPr>
          <w:rFonts w:cs="Miriam"/>
          <w:rtl/>
        </w:rPr>
        <w:t xml:space="preserve"> פלוני נ' מדינת ישראל</w:t>
      </w:r>
      <w:r w:rsidRPr="001F63F1">
        <w:rPr>
          <w:rFonts w:cs="FrankRuehl"/>
          <w:sz w:val="28"/>
          <w:szCs w:val="28"/>
          <w:rtl/>
        </w:rPr>
        <w:t xml:space="preserve"> </w:t>
      </w:r>
      <w:r w:rsidR="00D05667" w:rsidRPr="00D05667">
        <w:rPr>
          <w:sz w:val="22"/>
          <w:rtl/>
        </w:rPr>
        <w:t xml:space="preserve">[פורסם בנבו] </w:t>
      </w:r>
      <w:r w:rsidRPr="001F63F1">
        <w:rPr>
          <w:rFonts w:cs="FrankRuehl"/>
          <w:sz w:val="28"/>
          <w:szCs w:val="28"/>
          <w:rtl/>
        </w:rPr>
        <w:t>(25.12.2002)</w:t>
      </w:r>
      <w:r>
        <w:rPr>
          <w:rFonts w:cs="FrankRuehl" w:hint="cs"/>
          <w:sz w:val="28"/>
          <w:szCs w:val="28"/>
          <w:rtl/>
        </w:rPr>
        <w:t xml:space="preserve"> (להלן: </w:t>
      </w:r>
      <w:r w:rsidRPr="001F63F1">
        <w:rPr>
          <w:rFonts w:cs="Miriam" w:hint="cs"/>
          <w:rtl/>
        </w:rPr>
        <w:t>עניין פלוני</w:t>
      </w:r>
      <w:r>
        <w:rPr>
          <w:rFonts w:cs="FrankRuehl" w:hint="cs"/>
          <w:sz w:val="28"/>
          <w:szCs w:val="28"/>
          <w:rtl/>
        </w:rPr>
        <w:t>)</w:t>
      </w:r>
      <w:r w:rsidRPr="001F63F1">
        <w:rPr>
          <w:rFonts w:cs="FrankRuehl"/>
          <w:sz w:val="28"/>
          <w:szCs w:val="28"/>
          <w:rtl/>
        </w:rPr>
        <w:t xml:space="preserve">, </w:t>
      </w:r>
      <w:r>
        <w:rPr>
          <w:rFonts w:cs="FrankRuehl" w:hint="cs"/>
          <w:sz w:val="28"/>
          <w:szCs w:val="28"/>
          <w:rtl/>
        </w:rPr>
        <w:t>כמו גם בשורה ארוכה של פסקי דין, קבע בית המשפט העליון שככלל</w:t>
      </w:r>
      <w:r w:rsidRPr="001F63F1">
        <w:rPr>
          <w:rFonts w:cs="FrankRuehl"/>
          <w:sz w:val="28"/>
          <w:szCs w:val="28"/>
          <w:rtl/>
        </w:rPr>
        <w:t>, ייטו בתי המשפט לכבד את הסדרי הטיעון, זאת מתוך הכרה בחשיבותם לקידום ההליכים המשפטיים בבתי המשפט, ומתוך הנחה שהצדדים שקלו את מכלול השיקולים הצריכים לעניין בכל ההיבטים.</w:t>
      </w:r>
    </w:p>
    <w:p w14:paraId="4ADE3FAD" w14:textId="77777777" w:rsidR="00C76774" w:rsidRDefault="00C76774" w:rsidP="00C76774">
      <w:pPr>
        <w:spacing w:line="360" w:lineRule="auto"/>
        <w:jc w:val="both"/>
        <w:rPr>
          <w:rFonts w:ascii="FrankRuehl" w:hAnsi="FrankRuehl" w:cs="FrankRuehl"/>
          <w:color w:val="000000"/>
          <w:sz w:val="28"/>
          <w:szCs w:val="28"/>
          <w:rtl/>
        </w:rPr>
      </w:pPr>
      <w:r w:rsidRPr="001F63F1">
        <w:rPr>
          <w:rFonts w:cs="FrankRuehl"/>
          <w:sz w:val="28"/>
          <w:szCs w:val="28"/>
          <w:rtl/>
        </w:rPr>
        <w:t>לצד זאת נקבע שבית המשפט לא יאשר את הסדרי הטיעון באופן אוטומטי, משל היה בית המשפט "נוכח נפקד" באולם, ושומה עליו לבחון את סבירות</w:t>
      </w:r>
      <w:r>
        <w:rPr>
          <w:rFonts w:cs="FrankRuehl" w:hint="cs"/>
          <w:sz w:val="28"/>
          <w:szCs w:val="28"/>
          <w:rtl/>
        </w:rPr>
        <w:t>ו.</w:t>
      </w:r>
      <w:r>
        <w:rPr>
          <w:rFonts w:ascii="FrankRuehl" w:hAnsi="FrankRuehl" w:cs="FrankRuehl" w:hint="cs"/>
          <w:color w:val="000000"/>
          <w:sz w:val="28"/>
          <w:szCs w:val="28"/>
          <w:rtl/>
        </w:rPr>
        <w:t xml:space="preserve"> בעניין </w:t>
      </w:r>
      <w:r w:rsidRPr="00276DC9">
        <w:rPr>
          <w:rFonts w:ascii="FrankRuehl" w:hAnsi="FrankRuehl" w:cs="Miriam" w:hint="cs"/>
          <w:color w:val="000000"/>
          <w:rtl/>
        </w:rPr>
        <w:t>פלוני</w:t>
      </w:r>
      <w:r>
        <w:rPr>
          <w:rFonts w:ascii="FrankRuehl" w:hAnsi="FrankRuehl" w:cs="FrankRuehl" w:hint="cs"/>
          <w:color w:val="000000"/>
          <w:sz w:val="28"/>
          <w:szCs w:val="28"/>
          <w:rtl/>
        </w:rPr>
        <w:t xml:space="preserve"> שהובא לעיל, פורטו השיקולים שעל בית המשפט לשקול בבואו לבחון את הסדר הטיעון המוצע: קיומו של הסדר טיעון כשיקול מרכזי; האם סוג וחומרת העונש המוצע בהסדר מקיימים את האיזון הדרוש בין שיקולי הענישה הרלוונטיים; נסיבותיו האישיות של הנאשם; מידת הוויתור שוויתר הנאשם - סיכויי הרשעה; שיקולי הצדדים שעמדו בבסיס ההסדר; האינטרס הציבורי להשגת הודאת הנאשם; האינטרס הציבורי במובנו הרחב - דהיינו, חסכון בזמן שיפוטי ובמשאבי התביעה; ציפיית הנאשם שהודה על יסוד הסדר הטיעון. </w:t>
      </w:r>
    </w:p>
    <w:p w14:paraId="4B3DAFAE" w14:textId="77777777" w:rsidR="00C76774" w:rsidRDefault="00C76774" w:rsidP="00C76774">
      <w:pPr>
        <w:spacing w:line="360" w:lineRule="auto"/>
        <w:jc w:val="both"/>
        <w:rPr>
          <w:rFonts w:ascii="FrankRuehl" w:hAnsi="FrankRuehl" w:cs="FrankRuehl"/>
          <w:b/>
          <w:bCs/>
          <w:color w:val="000000"/>
          <w:sz w:val="28"/>
          <w:szCs w:val="28"/>
        </w:rPr>
      </w:pPr>
      <w:r w:rsidRPr="001F63F1">
        <w:rPr>
          <w:rFonts w:cs="FrankRuehl"/>
          <w:sz w:val="28"/>
          <w:szCs w:val="28"/>
          <w:rtl/>
        </w:rPr>
        <w:t>שעה שמצא בית המשפט שקיימת סטייה של ממש באחד מאלה, יתערב בית המשפט בהסדר הטיעון.</w:t>
      </w:r>
    </w:p>
    <w:p w14:paraId="18898C44" w14:textId="77777777" w:rsidR="00C76774" w:rsidRDefault="00C76774" w:rsidP="00C76774">
      <w:pPr>
        <w:spacing w:after="160" w:line="360" w:lineRule="auto"/>
        <w:contextualSpacing/>
        <w:jc w:val="both"/>
        <w:rPr>
          <w:rFonts w:ascii="Calibri" w:hAnsi="Calibri" w:cs="FrankRuehl"/>
          <w:sz w:val="28"/>
          <w:szCs w:val="28"/>
          <w:rtl/>
        </w:rPr>
      </w:pPr>
    </w:p>
    <w:p w14:paraId="6FD6CF50"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19.</w:t>
      </w:r>
      <w:r>
        <w:rPr>
          <w:rFonts w:ascii="Calibri" w:hAnsi="Calibri" w:cs="FrankRuehl" w:hint="cs"/>
          <w:sz w:val="28"/>
          <w:szCs w:val="28"/>
          <w:rtl/>
        </w:rPr>
        <w:tab/>
        <w:t xml:space="preserve">בענייננו, מידת הפגיעה בערך המוגן הינה גבוהה, זאת בשים לב לסכומי הכסף הגבוהים אותם גלגלו הנאשם וצרפתי, המעידים על הצלחת העסק והנגשתו למהמרים רבים או, לחלופין, למהמרים כבדים, כל זאת לאורך זמן ממושך ובמספר דרכים. </w:t>
      </w:r>
    </w:p>
    <w:p w14:paraId="1EDC1C43"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 xml:space="preserve">כאמור, הצדדים הגיעו להסכמה עונשית, הרחוקה עד מאוד מאמות המידה המחמירות שנקבעו בעניין </w:t>
      </w:r>
      <w:r w:rsidRPr="00965D0D">
        <w:rPr>
          <w:rFonts w:ascii="Calibri" w:hAnsi="Calibri" w:cs="Miriam" w:hint="cs"/>
          <w:rtl/>
        </w:rPr>
        <w:t>עובד</w:t>
      </w:r>
      <w:r>
        <w:rPr>
          <w:rFonts w:ascii="Calibri" w:hAnsi="Calibri" w:cs="FrankRuehl" w:hint="cs"/>
          <w:sz w:val="28"/>
          <w:szCs w:val="28"/>
          <w:rtl/>
        </w:rPr>
        <w:t>, בהיותה נעדרת רכיב של מאסר בפועל.</w:t>
      </w:r>
      <w:r w:rsidRPr="00072169">
        <w:rPr>
          <w:rFonts w:ascii="FrankRuehl" w:hAnsi="FrankRuehl" w:cs="FrankRuehl" w:hint="cs"/>
          <w:color w:val="000000"/>
          <w:sz w:val="28"/>
          <w:szCs w:val="28"/>
          <w:rtl/>
        </w:rPr>
        <w:t xml:space="preserve"> </w:t>
      </w:r>
      <w:r>
        <w:rPr>
          <w:rFonts w:ascii="FrankRuehl" w:hAnsi="FrankRuehl" w:cs="FrankRuehl" w:hint="cs"/>
          <w:color w:val="000000"/>
          <w:sz w:val="28"/>
          <w:szCs w:val="28"/>
          <w:rtl/>
        </w:rPr>
        <w:t>אין חולק על כך שעונש זה סוטה סטייה משמעותית ממתחמי הענישה הנוהגת לעבירות מסוג זה, בפרט כאשר העבירות נעברו בנסיבות המחמירות עליהן עמדנו לעיל.</w:t>
      </w:r>
    </w:p>
    <w:p w14:paraId="7D34F4E7" w14:textId="77777777" w:rsidR="00C76774" w:rsidRDefault="00C76774" w:rsidP="00C76774">
      <w:pPr>
        <w:spacing w:after="160" w:line="360" w:lineRule="auto"/>
        <w:contextualSpacing/>
        <w:jc w:val="both"/>
        <w:rPr>
          <w:rFonts w:ascii="FrankRuehl" w:hAnsi="FrankRuehl" w:cs="FrankRuehl"/>
          <w:color w:val="000000"/>
          <w:sz w:val="28"/>
          <w:szCs w:val="28"/>
          <w:rtl/>
        </w:rPr>
      </w:pPr>
      <w:r>
        <w:rPr>
          <w:rFonts w:ascii="Calibri" w:hAnsi="Calibri" w:cs="FrankRuehl" w:hint="cs"/>
          <w:sz w:val="28"/>
          <w:szCs w:val="28"/>
          <w:rtl/>
        </w:rPr>
        <w:t>הטעם המרכזי שניתן לעמדה העונשית המקלה, היה מצב בריאותו של בנו של הנאשם, והיזקקותו לטיפול צמוד של הוריו, הכולל האכלה, רחיצה וניוד ממקום למקום (</w:t>
      </w:r>
      <w:r w:rsidRPr="005E4BEA">
        <w:rPr>
          <w:rFonts w:ascii="Calibri" w:hAnsi="Calibri" w:cs="Miriam" w:hint="cs"/>
          <w:rtl/>
        </w:rPr>
        <w:t>נ/3</w:t>
      </w:r>
      <w:r>
        <w:rPr>
          <w:rFonts w:ascii="Calibri" w:hAnsi="Calibri" w:cs="FrankRuehl" w:hint="cs"/>
          <w:sz w:val="28"/>
          <w:szCs w:val="28"/>
          <w:rtl/>
        </w:rPr>
        <w:t xml:space="preserve"> ו-</w:t>
      </w:r>
      <w:r w:rsidRPr="005E4BEA">
        <w:rPr>
          <w:rFonts w:ascii="Calibri" w:hAnsi="Calibri" w:cs="Miriam" w:hint="cs"/>
          <w:rtl/>
        </w:rPr>
        <w:t>נ/4</w:t>
      </w:r>
      <w:r>
        <w:rPr>
          <w:rFonts w:ascii="Calibri" w:hAnsi="Calibri" w:cs="FrankRuehl" w:hint="cs"/>
          <w:sz w:val="28"/>
          <w:szCs w:val="28"/>
          <w:rtl/>
        </w:rPr>
        <w:t xml:space="preserve">). </w:t>
      </w:r>
      <w:r>
        <w:rPr>
          <w:rFonts w:ascii="FrankRuehl" w:hAnsi="FrankRuehl" w:cs="FrankRuehl" w:hint="cs"/>
          <w:color w:val="000000"/>
          <w:sz w:val="28"/>
          <w:szCs w:val="28"/>
          <w:rtl/>
        </w:rPr>
        <w:t>משכך,</w:t>
      </w:r>
      <w:r>
        <w:rPr>
          <w:rFonts w:ascii="Calibri" w:hAnsi="Calibri" w:cs="FrankRuehl" w:hint="cs"/>
          <w:sz w:val="28"/>
          <w:szCs w:val="28"/>
          <w:rtl/>
        </w:rPr>
        <w:t xml:space="preserve"> נטען שהטלת עונש מאסר לריצוי בפועל, תוביל לפגיעה קשה בנאשם, בבנו ובשאר בני המשפחה. </w:t>
      </w:r>
    </w:p>
    <w:p w14:paraId="73A43574" w14:textId="77777777" w:rsidR="00C76774" w:rsidRDefault="00C76774" w:rsidP="00C76774">
      <w:pPr>
        <w:spacing w:after="160" w:line="360" w:lineRule="auto"/>
        <w:contextualSpacing/>
        <w:jc w:val="both"/>
        <w:rPr>
          <w:rFonts w:ascii="FrankRuehl" w:hAnsi="FrankRuehl" w:cs="FrankRuehl"/>
          <w:color w:val="000000"/>
          <w:sz w:val="28"/>
          <w:szCs w:val="28"/>
          <w:rtl/>
        </w:rPr>
      </w:pPr>
    </w:p>
    <w:p w14:paraId="7DA3A6F0" w14:textId="77777777" w:rsidR="00C76774" w:rsidRPr="005E4BEA" w:rsidRDefault="00C76774" w:rsidP="00C76774">
      <w:pPr>
        <w:spacing w:after="160" w:line="360" w:lineRule="auto"/>
        <w:contextualSpacing/>
        <w:jc w:val="both"/>
        <w:rPr>
          <w:rFonts w:ascii="FrankRuehl" w:hAnsi="FrankRuehl" w:cs="FrankRuehl"/>
          <w:color w:val="000000"/>
          <w:sz w:val="28"/>
          <w:szCs w:val="28"/>
          <w:rtl/>
        </w:rPr>
      </w:pPr>
      <w:r>
        <w:rPr>
          <w:rFonts w:ascii="FrankRuehl" w:hAnsi="FrankRuehl" w:cs="FrankRuehl" w:hint="cs"/>
          <w:color w:val="000000"/>
          <w:sz w:val="28"/>
          <w:szCs w:val="28"/>
          <w:rtl/>
        </w:rPr>
        <w:t>ואולם, לאחר שבחנתי את נימוקי הצדדים, מצאתי שחרף מצבו הרפואי של הבן, קיים קושי של ממש לאמץ את רמת הענישה שהוצגה במסגרת הסדר הטיעון.</w:t>
      </w:r>
    </w:p>
    <w:p w14:paraId="0A483283" w14:textId="77777777" w:rsidR="00C76774" w:rsidRDefault="00C76774" w:rsidP="00C76774">
      <w:pPr>
        <w:jc w:val="both"/>
        <w:rPr>
          <w:rFonts w:ascii="FrankRuehl" w:hAnsi="FrankRuehl" w:cs="FrankRuehl"/>
          <w:color w:val="000000"/>
          <w:sz w:val="28"/>
          <w:szCs w:val="28"/>
          <w:rtl/>
        </w:rPr>
      </w:pPr>
    </w:p>
    <w:p w14:paraId="0EC67FAB" w14:textId="77777777" w:rsidR="00C76774" w:rsidRDefault="00C76774" w:rsidP="00C76774">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20.</w:t>
      </w:r>
      <w:r>
        <w:rPr>
          <w:rFonts w:ascii="FrankRuehl" w:hAnsi="FrankRuehl" w:cs="FrankRuehl" w:hint="cs"/>
          <w:color w:val="000000"/>
          <w:sz w:val="28"/>
          <w:szCs w:val="28"/>
          <w:rtl/>
        </w:rPr>
        <w:tab/>
        <w:t xml:space="preserve">ככל שהדבר נוגע לנסיבות ביצוע העבירות, מצביעות עובדות כתב האישום על כך שתרומת הנאשם לפעילות העבריינית אינה נופלת מתרומתו של צרפתי, כאשר השוני במעשיהם, נבע כל כולו מחלוקת תפקידים אותה קבעו מראש. ניתן לומר שהשניים מילאו </w:t>
      </w:r>
      <w:r w:rsidRPr="0002796A">
        <w:rPr>
          <w:rFonts w:ascii="FrankRuehl" w:hAnsi="FrankRuehl" w:cs="FrankRuehl" w:hint="cs"/>
          <w:color w:val="000000"/>
          <w:sz w:val="28"/>
          <w:szCs w:val="28"/>
          <w:rtl/>
        </w:rPr>
        <w:t>תפקיד מרכזי וחשוב בתכנון ובתפעול עסקי ההימורים, כאשר האחד השלים את מעשי חברו</w:t>
      </w:r>
      <w:r>
        <w:rPr>
          <w:rFonts w:ascii="FrankRuehl" w:hAnsi="FrankRuehl" w:cs="FrankRuehl" w:hint="cs"/>
          <w:color w:val="000000"/>
          <w:sz w:val="28"/>
          <w:szCs w:val="28"/>
          <w:rtl/>
        </w:rPr>
        <w:t>, באופן שהוביל לשגשוג העסק, לגלגול כספים בהיקפים משמעותיים ולהפעלת העסק למשך תקופה ארוכה</w:t>
      </w:r>
      <w:r w:rsidRPr="0002796A">
        <w:rPr>
          <w:rFonts w:ascii="FrankRuehl" w:hAnsi="FrankRuehl" w:cs="FrankRuehl" w:hint="cs"/>
          <w:color w:val="000000"/>
          <w:sz w:val="28"/>
          <w:szCs w:val="28"/>
          <w:rtl/>
        </w:rPr>
        <w:t>.</w:t>
      </w:r>
      <w:r>
        <w:rPr>
          <w:rFonts w:ascii="FrankRuehl" w:hAnsi="FrankRuehl" w:cs="FrankRuehl" w:hint="cs"/>
          <w:color w:val="000000"/>
          <w:sz w:val="28"/>
          <w:szCs w:val="28"/>
          <w:rtl/>
        </w:rPr>
        <w:t xml:space="preserve"> </w:t>
      </w:r>
    </w:p>
    <w:p w14:paraId="701C7FCF" w14:textId="77777777" w:rsidR="00C76774" w:rsidRDefault="00C76774" w:rsidP="00C76774">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 xml:space="preserve">שוני מסוים בין השניים נוגע לפרק הזמן אותו ניהלו את ה"עסק". כך, בעוד שכתב האישום של הנאשם תוקן באופן שהתקופה בה פעל בעסקי ההימורים צומצמה לכ-8 חודשים, החל מחודש אוקטובר 2016 ועד לחודש יוני 2017, הרי שצרפתי הורשע בהפעלת עסקי ההימורים במשך כ-3 שנים. ואולם, גם לאחר צמצום תקופת הפעילות כאמור, עולה שהנאשם היה פעיל במשך מספר לא מבוטל של חודשים, באופן המוביל למסקנה שאין מדובר במעידה חד פעמית או בטעות רגעית, אלא בעבירה נמשכת שהנאשם נהנה מפירותיה. </w:t>
      </w:r>
    </w:p>
    <w:p w14:paraId="10602D5A" w14:textId="77777777" w:rsidR="00C76774" w:rsidRDefault="00C76774" w:rsidP="00C76774">
      <w:pPr>
        <w:spacing w:line="360" w:lineRule="auto"/>
        <w:jc w:val="both"/>
        <w:rPr>
          <w:rFonts w:ascii="FrankRuehl" w:hAnsi="FrankRuehl" w:cs="FrankRuehl"/>
          <w:color w:val="000000"/>
          <w:sz w:val="28"/>
          <w:szCs w:val="28"/>
          <w:rtl/>
        </w:rPr>
      </w:pPr>
    </w:p>
    <w:p w14:paraId="54B880A1" w14:textId="77777777" w:rsidR="00C76774" w:rsidRDefault="00C76774" w:rsidP="00C76774">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21.</w:t>
      </w:r>
      <w:r>
        <w:rPr>
          <w:rFonts w:ascii="FrankRuehl" w:hAnsi="FrankRuehl" w:cs="FrankRuehl" w:hint="cs"/>
          <w:color w:val="000000"/>
          <w:sz w:val="28"/>
          <w:szCs w:val="28"/>
          <w:rtl/>
        </w:rPr>
        <w:tab/>
        <w:t xml:space="preserve">ככל שהדבר נוגע לנסיבות שאינן קשורות בביצוע העבירות, ההבדלים הבולטים בין הנאשם לבין צרפתי הם קיומו של עבר פלילי ומאסר מותנה לצרפתי, כאשר מנגד הנאשם נעדר עבר פלילי. הנתון הבולט הנוסף הוא, כאמור, מצב בריאותו של בנו של הנאשם. </w:t>
      </w:r>
    </w:p>
    <w:p w14:paraId="452B7D66" w14:textId="77777777" w:rsidR="00C76774" w:rsidRDefault="00C76774" w:rsidP="00C76774">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 xml:space="preserve">אין חולק על כך שעבר פלילי של נאשם, לא כל שכן קיומו של עבר פלילי רלוונטי ומאסר מותנה, הינו נדבך מרכזי וחשוב לצורך בחינת מיקומו של נאשם בגדרי המתחם הפלילי, ואין צורך להכביר מלים בנושא. ואולם, נוכח עמדת הפסיקה לפיה, ככלל, יש להטיל עונשי </w:t>
      </w:r>
      <w:r w:rsidRPr="0089303D">
        <w:rPr>
          <w:rFonts w:ascii="FrankRuehl" w:hAnsi="FrankRuehl" w:cs="Miriam" w:hint="cs"/>
          <w:color w:val="000000"/>
          <w:rtl/>
        </w:rPr>
        <w:t xml:space="preserve">מאסר בפועל </w:t>
      </w:r>
      <w:r>
        <w:rPr>
          <w:rFonts w:ascii="FrankRuehl" w:hAnsi="FrankRuehl" w:cs="FrankRuehl" w:hint="cs"/>
          <w:color w:val="000000"/>
          <w:sz w:val="28"/>
          <w:szCs w:val="28"/>
          <w:rtl/>
        </w:rPr>
        <w:t>על מארגני משחקי ההימורים, וודאי כאשר מדובר בהיקפים גדולים, מצופה היה שהפער בין הנאשם לבין צרפתי יבוא לידי ביטוי במשך המאסר בפועל, ולא בביטולו או בביצועו בדרך של עבודות שירות.</w:t>
      </w:r>
    </w:p>
    <w:p w14:paraId="307694E3" w14:textId="77777777" w:rsidR="00C76774" w:rsidRDefault="00C76774" w:rsidP="00C76774">
      <w:pPr>
        <w:spacing w:line="360" w:lineRule="auto"/>
        <w:jc w:val="both"/>
        <w:rPr>
          <w:rFonts w:ascii="FrankRuehl" w:hAnsi="FrankRuehl" w:cs="FrankRuehl"/>
          <w:color w:val="000000"/>
          <w:sz w:val="28"/>
          <w:szCs w:val="28"/>
          <w:rtl/>
        </w:rPr>
      </w:pPr>
    </w:p>
    <w:p w14:paraId="503A9258" w14:textId="77777777" w:rsidR="00C76774" w:rsidRDefault="00C76774" w:rsidP="00C76774">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22.</w:t>
      </w:r>
      <w:r>
        <w:rPr>
          <w:rFonts w:ascii="FrankRuehl" w:hAnsi="FrankRuehl" w:cs="FrankRuehl" w:hint="cs"/>
          <w:color w:val="000000"/>
          <w:sz w:val="28"/>
          <w:szCs w:val="28"/>
          <w:rtl/>
        </w:rPr>
        <w:tab/>
        <w:t xml:space="preserve">בהתייחס לנימוק השני אותו הציגו הצדדים, ושעה שאין חולק בדבר חומרת מצבו של הבן, כל שאוכל לומר הוא שמתקשה אני לקבל מצב דברים בו מצב רפואי של קרוב משפחתו של נאשם משמש כמעין "חסינות" מפני ריצוי עונש מאסר. ובמה דברים אמורים? מצב בריאותו של הבן היה ידוע לנאשם טרם החל בפעילותו העבריינית. משכך, היה על הנאשם לחשוב על השלכות מעשיו טרם ביצוע העבירות, או, לכל הפחות, במהלך התקופה הארוכה בה בוצעו. </w:t>
      </w:r>
    </w:p>
    <w:p w14:paraId="720D178D" w14:textId="77777777" w:rsidR="00C76774" w:rsidRDefault="00C76774" w:rsidP="00C76774">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 xml:space="preserve">במלים אחרות, משמעות קבלת עמדת הצדדים להטלת עונש של מאסר בעבודות שירות היא מתן פתחון פה ואפשרות לכל נאשם באשר הוא לדרוש מעתה שתינתן לו הקלה בעונש עקב מצבו הרפואי שלו עצמו או של בן משפחתו, </w:t>
      </w:r>
      <w:r w:rsidRPr="00DC14D3">
        <w:rPr>
          <w:rFonts w:ascii="FrankRuehl" w:hAnsi="FrankRuehl" w:cs="Miriam" w:hint="cs"/>
          <w:color w:val="000000"/>
          <w:rtl/>
        </w:rPr>
        <w:t>שעה שהמצב הרפואי היה ידוע לו טרם ביצוע העבירה</w:t>
      </w:r>
      <w:r>
        <w:rPr>
          <w:rFonts w:ascii="FrankRuehl" w:hAnsi="FrankRuehl" w:cs="FrankRuehl" w:hint="cs"/>
          <w:color w:val="000000"/>
          <w:sz w:val="28"/>
          <w:szCs w:val="28"/>
          <w:rtl/>
        </w:rPr>
        <w:t xml:space="preserve">, זאת להבדיל ממצב רפואי חריג שהתפתח או שהתגלה במועד המאוחר לביצועה. </w:t>
      </w:r>
    </w:p>
    <w:p w14:paraId="7B4D7767" w14:textId="77777777" w:rsidR="00C76774" w:rsidRDefault="00C76774" w:rsidP="00C76774">
      <w:pPr>
        <w:spacing w:line="360" w:lineRule="auto"/>
        <w:jc w:val="both"/>
        <w:rPr>
          <w:rFonts w:ascii="FrankRuehl" w:hAnsi="FrankRuehl" w:cs="FrankRuehl"/>
          <w:color w:val="000000"/>
          <w:sz w:val="28"/>
          <w:szCs w:val="28"/>
          <w:rtl/>
        </w:rPr>
      </w:pPr>
    </w:p>
    <w:p w14:paraId="65EA9BEF" w14:textId="77777777" w:rsidR="00C76774" w:rsidRDefault="00C76774" w:rsidP="00C76774">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23.</w:t>
      </w:r>
      <w:r>
        <w:rPr>
          <w:rFonts w:ascii="FrankRuehl" w:hAnsi="FrankRuehl" w:cs="FrankRuehl" w:hint="cs"/>
          <w:color w:val="000000"/>
          <w:sz w:val="28"/>
          <w:szCs w:val="28"/>
          <w:rtl/>
        </w:rPr>
        <w:tab/>
        <w:t>נתון נוסף המכריע את הכף לכיוון החמרת הענישה, טמון בעובדה שבמסגרת הליך זה, שנמשך כ-3 שנים, לא עבר הנאשם הליך שיקומי מכל סוג שהוא, בין אם מיוזמתו ובין אם בדרך של פנייה לשירות המבחן, זאת על אף דברי הנאשם עצמו בשלב הטיעונים לעונש, שהוא מודע לכך שהוא זקוק להליך שיקומי.</w:t>
      </w:r>
    </w:p>
    <w:p w14:paraId="746D00DA" w14:textId="77777777" w:rsidR="00C76774" w:rsidRDefault="00C76774" w:rsidP="00C76774">
      <w:pPr>
        <w:spacing w:line="360" w:lineRule="auto"/>
        <w:jc w:val="both"/>
        <w:rPr>
          <w:rFonts w:ascii="FrankRuehl" w:hAnsi="FrankRuehl" w:cs="FrankRuehl"/>
          <w:color w:val="000000"/>
          <w:sz w:val="28"/>
          <w:szCs w:val="28"/>
          <w:rtl/>
        </w:rPr>
      </w:pPr>
    </w:p>
    <w:p w14:paraId="14C6B404" w14:textId="77777777" w:rsidR="00C76774" w:rsidRDefault="00C76774" w:rsidP="00C76774">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24.</w:t>
      </w:r>
      <w:r>
        <w:rPr>
          <w:rFonts w:ascii="FrankRuehl" w:hAnsi="FrankRuehl" w:cs="FrankRuehl"/>
          <w:color w:val="000000"/>
          <w:sz w:val="28"/>
          <w:szCs w:val="28"/>
          <w:rtl/>
        </w:rPr>
        <w:tab/>
      </w:r>
      <w:r>
        <w:rPr>
          <w:rFonts w:ascii="FrankRuehl" w:hAnsi="FrankRuehl" w:cs="FrankRuehl" w:hint="cs"/>
          <w:color w:val="000000"/>
          <w:sz w:val="28"/>
          <w:szCs w:val="28"/>
          <w:rtl/>
        </w:rPr>
        <w:t xml:space="preserve">במצב דברים זה לאחר שמצאתי שהעונש המוחשי המרכזי אותו הציגו הצדדים חורג באופן קיצוני מרמת הענישה הנוהגת, ואינו עולה בקנה אחד עם האינטרס הציבורי שבמיגור תופעת ההימורים הלא חוקיים בכלל, וההימורים  הלא חוקיים במרשתת בפרט, עמדתי היא שיש להתערב בו לחומרה [ראו והשוו גזר הדין שהוגש מטעם </w:t>
      </w:r>
      <w:r w:rsidRPr="004C7FFE">
        <w:rPr>
          <w:rFonts w:ascii="FrankRuehl" w:hAnsi="FrankRuehl" w:cs="Miriam" w:hint="cs"/>
          <w:color w:val="000000"/>
          <w:rtl/>
        </w:rPr>
        <w:t>ההגנה</w:t>
      </w:r>
      <w:r>
        <w:rPr>
          <w:rFonts w:ascii="FrankRuehl" w:hAnsi="FrankRuehl" w:cs="FrankRuehl" w:hint="cs"/>
          <w:color w:val="000000"/>
          <w:sz w:val="28"/>
          <w:szCs w:val="28"/>
          <w:rtl/>
        </w:rPr>
        <w:t xml:space="preserve"> ב</w:t>
      </w:r>
      <w:hyperlink r:id="rId48" w:history="1">
        <w:r w:rsidR="00976EB1" w:rsidRPr="00976EB1">
          <w:rPr>
            <w:rFonts w:ascii="FrankRuehl" w:hAnsi="FrankRuehl" w:cs="FrankRuehl"/>
            <w:color w:val="0000FF"/>
            <w:sz w:val="28"/>
            <w:szCs w:val="28"/>
            <w:u w:val="single"/>
            <w:rtl/>
          </w:rPr>
          <w:t>ת"פ (ראשל"צ) 6711-03-10</w:t>
        </w:r>
      </w:hyperlink>
      <w:r>
        <w:rPr>
          <w:rFonts w:ascii="FrankRuehl" w:hAnsi="FrankRuehl" w:cs="FrankRuehl" w:hint="cs"/>
          <w:color w:val="000000"/>
          <w:sz w:val="28"/>
          <w:szCs w:val="28"/>
          <w:rtl/>
        </w:rPr>
        <w:t xml:space="preserve"> </w:t>
      </w:r>
      <w:r w:rsidRPr="004C7FFE">
        <w:rPr>
          <w:rFonts w:ascii="FrankRuehl" w:hAnsi="FrankRuehl" w:cs="Miriam" w:hint="cs"/>
          <w:color w:val="000000"/>
          <w:rtl/>
        </w:rPr>
        <w:t xml:space="preserve">מדינת ישראל נ' רמי לוי </w:t>
      </w:r>
      <w:r w:rsidR="00D05667" w:rsidRPr="00D05667">
        <w:rPr>
          <w:sz w:val="22"/>
          <w:rtl/>
        </w:rPr>
        <w:t xml:space="preserve">[פורסם בנבו] </w:t>
      </w:r>
      <w:r>
        <w:rPr>
          <w:rFonts w:ascii="FrankRuehl" w:hAnsi="FrankRuehl" w:cs="FrankRuehl" w:hint="cs"/>
          <w:color w:val="000000"/>
          <w:sz w:val="28"/>
          <w:szCs w:val="28"/>
          <w:rtl/>
        </w:rPr>
        <w:t xml:space="preserve">(27.2.2011), בו מצא בית המשפט לכבד הסדר טיעון בעבירות דומות בעיקר מן הטעם שההסדר כלל רכיב עונשי בדמות מאסר </w:t>
      </w:r>
      <w:r w:rsidRPr="00C76774">
        <w:rPr>
          <w:rFonts w:ascii="Arial" w:hAnsi="Arial" w:cs="Miriam" w:hint="cs"/>
          <w:color w:val="000000"/>
          <w:rtl/>
        </w:rPr>
        <w:t>בפועל</w:t>
      </w:r>
      <w:r>
        <w:rPr>
          <w:rFonts w:ascii="FrankRuehl" w:hAnsi="FrankRuehl" w:cs="FrankRuehl" w:hint="cs"/>
          <w:color w:val="000000"/>
          <w:sz w:val="28"/>
          <w:szCs w:val="28"/>
          <w:rtl/>
        </w:rPr>
        <w:t xml:space="preserve">]. </w:t>
      </w:r>
    </w:p>
    <w:p w14:paraId="25F4CB01" w14:textId="77777777" w:rsidR="00C76774" w:rsidRDefault="00C76774" w:rsidP="00C76774">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 xml:space="preserve">לצד זאת, נוכח ההלכה הנוהגת לפיה בתי המשפט יחרגו מהסדרי טיעון רק במקרים נדירים וחריגים, ובשים לב לנימוקים שהביאו את הצדדים להסתפק בעונש עבודות השירות, כמו גם ציפיית הנאשם לכיבוד הסדר הטיעון, מצאתי לחרוג מההסדר באופן מידתי, במובן זה שהחריגה תבוא לידי ביטוי לא </w:t>
      </w:r>
      <w:r>
        <w:rPr>
          <w:rFonts w:ascii="FrankRuehl" w:hAnsi="FrankRuehl" w:cs="Miriam" w:hint="cs"/>
          <w:color w:val="000000"/>
          <w:rtl/>
        </w:rPr>
        <w:t>ב</w:t>
      </w:r>
      <w:r w:rsidRPr="00E255B6">
        <w:rPr>
          <w:rFonts w:ascii="FrankRuehl" w:hAnsi="FrankRuehl" w:cs="Miriam" w:hint="cs"/>
          <w:color w:val="000000"/>
          <w:rtl/>
        </w:rPr>
        <w:t>סוג</w:t>
      </w:r>
      <w:r>
        <w:rPr>
          <w:rFonts w:ascii="FrankRuehl" w:hAnsi="FrankRuehl" w:cs="FrankRuehl" w:hint="cs"/>
          <w:color w:val="000000"/>
          <w:sz w:val="28"/>
          <w:szCs w:val="28"/>
          <w:rtl/>
        </w:rPr>
        <w:t xml:space="preserve"> העונש, אלא </w:t>
      </w:r>
      <w:r w:rsidRPr="00E255B6">
        <w:rPr>
          <w:rFonts w:ascii="FrankRuehl" w:hAnsi="FrankRuehl" w:cs="Miriam" w:hint="cs"/>
          <w:color w:val="000000"/>
          <w:rtl/>
        </w:rPr>
        <w:t>במשכו</w:t>
      </w:r>
      <w:r>
        <w:rPr>
          <w:rFonts w:ascii="FrankRuehl" w:hAnsi="FrankRuehl" w:cs="FrankRuehl" w:hint="cs"/>
          <w:color w:val="000000"/>
          <w:sz w:val="28"/>
          <w:szCs w:val="28"/>
          <w:rtl/>
        </w:rPr>
        <w:t xml:space="preserve"> בלבד, זאת לצד הטלת קנס כספי משמעותי. </w:t>
      </w:r>
    </w:p>
    <w:p w14:paraId="3B1CBF21" w14:textId="77777777" w:rsidR="00C76774" w:rsidRDefault="00C76774" w:rsidP="00C76774">
      <w:pPr>
        <w:spacing w:line="360" w:lineRule="auto"/>
        <w:jc w:val="both"/>
        <w:rPr>
          <w:rFonts w:ascii="FrankRuehl" w:hAnsi="FrankRuehl" w:cs="FrankRuehl"/>
          <w:color w:val="000000"/>
          <w:sz w:val="28"/>
          <w:szCs w:val="28"/>
          <w:rtl/>
        </w:rPr>
      </w:pPr>
    </w:p>
    <w:p w14:paraId="58DD1FB1" w14:textId="77777777" w:rsidR="00C76774" w:rsidRDefault="00C76774" w:rsidP="00C76774">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25.</w:t>
      </w:r>
      <w:r>
        <w:rPr>
          <w:rFonts w:ascii="FrankRuehl" w:hAnsi="FrankRuehl" w:cs="FrankRuehl" w:hint="cs"/>
          <w:color w:val="000000"/>
          <w:sz w:val="28"/>
          <w:szCs w:val="28"/>
          <w:rtl/>
        </w:rPr>
        <w:tab/>
        <w:t>לפיכך אני קובע שהנאשם ירצה עונש של מאסר בעבודת שירות למשך 8 חודשים, עונש המתיישב עם תקופת המאסר (</w:t>
      </w:r>
      <w:r w:rsidRPr="00D10F39">
        <w:rPr>
          <w:rFonts w:ascii="FrankRuehl" w:hAnsi="FrankRuehl" w:cs="Miriam" w:hint="cs"/>
          <w:color w:val="000000"/>
          <w:rtl/>
        </w:rPr>
        <w:t>בפועל</w:t>
      </w:r>
      <w:r>
        <w:rPr>
          <w:rFonts w:ascii="FrankRuehl" w:hAnsi="FrankRuehl" w:cs="FrankRuehl" w:hint="cs"/>
          <w:color w:val="000000"/>
          <w:sz w:val="28"/>
          <w:szCs w:val="28"/>
          <w:rtl/>
        </w:rPr>
        <w:t>) שנגזרה על צרפתי טרם הפעלת המאסר המותנה.</w:t>
      </w:r>
    </w:p>
    <w:p w14:paraId="3615A6D0" w14:textId="77777777" w:rsidR="00C76774" w:rsidRPr="00A82B5E" w:rsidRDefault="00C76774" w:rsidP="00C76774">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 xml:space="preserve">כפועל יוצא מהארכת משכם של עבודות השירות, יופנה עניינו של </w:t>
      </w:r>
      <w:r w:rsidRPr="00A82B5E">
        <w:rPr>
          <w:rFonts w:ascii="FrankRuehl" w:hAnsi="FrankRuehl" w:cs="FrankRuehl" w:hint="cs"/>
          <w:color w:val="000000"/>
          <w:sz w:val="28"/>
          <w:szCs w:val="28"/>
          <w:rtl/>
        </w:rPr>
        <w:t xml:space="preserve">הנאשם במקביל גם לשירות המבחן, </w:t>
      </w:r>
      <w:r>
        <w:rPr>
          <w:rFonts w:ascii="FrankRuehl" w:hAnsi="FrankRuehl" w:cs="FrankRuehl" w:hint="cs"/>
          <w:color w:val="000000"/>
          <w:sz w:val="28"/>
          <w:szCs w:val="28"/>
          <w:rtl/>
        </w:rPr>
        <w:t xml:space="preserve">זאת </w:t>
      </w:r>
      <w:r w:rsidRPr="00A82B5E">
        <w:rPr>
          <w:rFonts w:ascii="FrankRuehl" w:hAnsi="FrankRuehl" w:cs="FrankRuehl" w:hint="cs"/>
          <w:color w:val="000000"/>
          <w:sz w:val="28"/>
          <w:szCs w:val="28"/>
          <w:rtl/>
        </w:rPr>
        <w:t xml:space="preserve">בשים לב להוראות </w:t>
      </w:r>
      <w:hyperlink r:id="rId49" w:history="1">
        <w:r w:rsidR="00F437DB" w:rsidRPr="00F437DB">
          <w:rPr>
            <w:rStyle w:val="Hyperlink"/>
            <w:rFonts w:ascii="FrankRuehl" w:hAnsi="FrankRuehl" w:cs="FrankRuehl" w:hint="eastAsia"/>
            <w:sz w:val="28"/>
            <w:szCs w:val="28"/>
            <w:rtl/>
          </w:rPr>
          <w:t>סעיף</w:t>
        </w:r>
        <w:r w:rsidR="00F437DB" w:rsidRPr="00F437DB">
          <w:rPr>
            <w:rStyle w:val="Hyperlink"/>
            <w:rFonts w:ascii="FrankRuehl" w:hAnsi="FrankRuehl" w:cs="FrankRuehl"/>
            <w:sz w:val="28"/>
            <w:szCs w:val="28"/>
            <w:rtl/>
          </w:rPr>
          <w:t xml:space="preserve"> 51ג(ג)</w:t>
        </w:r>
      </w:hyperlink>
      <w:r w:rsidRPr="00A82B5E">
        <w:rPr>
          <w:rFonts w:ascii="FrankRuehl" w:hAnsi="FrankRuehl" w:cs="FrankRuehl" w:hint="cs"/>
          <w:color w:val="000000"/>
          <w:sz w:val="28"/>
          <w:szCs w:val="28"/>
          <w:rtl/>
        </w:rPr>
        <w:t xml:space="preserve"> לחוק.</w:t>
      </w:r>
    </w:p>
    <w:p w14:paraId="77AD4769" w14:textId="77777777" w:rsidR="00C76774" w:rsidRDefault="00C76774" w:rsidP="00C76774">
      <w:pPr>
        <w:pStyle w:val="Ruller41"/>
        <w:rPr>
          <w:rtl/>
        </w:rPr>
      </w:pPr>
    </w:p>
    <w:p w14:paraId="4D997CC8" w14:textId="77777777" w:rsidR="00C76774" w:rsidRDefault="00C76774" w:rsidP="00C76774">
      <w:pPr>
        <w:pStyle w:val="Ruller41"/>
        <w:rPr>
          <w:b/>
          <w:bCs/>
          <w:rtl/>
        </w:rPr>
      </w:pPr>
      <w:r w:rsidRPr="002448D6">
        <w:rPr>
          <w:rFonts w:hint="cs"/>
          <w:b/>
          <w:bCs/>
          <w:rtl/>
        </w:rPr>
        <w:t>רכיב הקנס</w:t>
      </w:r>
    </w:p>
    <w:p w14:paraId="1454E564" w14:textId="77777777" w:rsidR="00C76774" w:rsidRPr="002448D6" w:rsidRDefault="00C76774" w:rsidP="00C76774">
      <w:pPr>
        <w:pStyle w:val="Ruller41"/>
        <w:rPr>
          <w:b/>
          <w:bCs/>
          <w:rtl/>
        </w:rPr>
      </w:pPr>
    </w:p>
    <w:p w14:paraId="17F0F3EA" w14:textId="77777777" w:rsidR="00C76774" w:rsidRPr="00A82B5E" w:rsidRDefault="00C76774" w:rsidP="00C76774">
      <w:pPr>
        <w:pStyle w:val="Ruller41"/>
        <w:rPr>
          <w:rtl/>
        </w:rPr>
      </w:pPr>
      <w:r>
        <w:rPr>
          <w:rFonts w:hint="cs"/>
          <w:rtl/>
        </w:rPr>
        <w:t>26</w:t>
      </w:r>
      <w:r w:rsidRPr="00A82B5E">
        <w:rPr>
          <w:rFonts w:hint="cs"/>
          <w:rtl/>
        </w:rPr>
        <w:t>.</w:t>
      </w:r>
      <w:r w:rsidRPr="00A82B5E">
        <w:rPr>
          <w:rFonts w:hint="cs"/>
          <w:rtl/>
        </w:rPr>
        <w:tab/>
        <w:t xml:space="preserve">מטרת מעשיו של הנאשם הייתה השגת רווח כלכלי משמעותי בתוך פרקי זמן קצרים, מבלי להתחשב בנזק שנגרם למהמרים ולמשק הישראלי. </w:t>
      </w:r>
    </w:p>
    <w:p w14:paraId="11CA0F88" w14:textId="77777777" w:rsidR="00C76774" w:rsidRDefault="00C76774" w:rsidP="00C76774">
      <w:pPr>
        <w:pStyle w:val="Ruller41"/>
        <w:rPr>
          <w:rtl/>
        </w:rPr>
      </w:pPr>
      <w:r w:rsidRPr="002448D6">
        <w:rPr>
          <w:rFonts w:hint="cs"/>
          <w:sz w:val="28"/>
          <w:rtl/>
        </w:rPr>
        <w:t>עמדת המאשימה הינה</w:t>
      </w:r>
      <w:r>
        <w:rPr>
          <w:rFonts w:hint="cs"/>
          <w:sz w:val="28"/>
          <w:rtl/>
        </w:rPr>
        <w:t xml:space="preserve"> להסתפק בקנס כספי ברף הנמוך של </w:t>
      </w:r>
      <w:r w:rsidRPr="002448D6">
        <w:rPr>
          <w:rFonts w:hint="cs"/>
          <w:sz w:val="28"/>
          <w:rtl/>
        </w:rPr>
        <w:t>מתחם</w:t>
      </w:r>
      <w:r>
        <w:rPr>
          <w:rFonts w:hint="cs"/>
          <w:sz w:val="28"/>
          <w:rtl/>
        </w:rPr>
        <w:t xml:space="preserve"> עונשי הנע בין 100,000 ל-300,000 ש"ח</w:t>
      </w:r>
      <w:r w:rsidRPr="002448D6">
        <w:rPr>
          <w:rFonts w:hint="cs"/>
          <w:sz w:val="28"/>
          <w:rtl/>
        </w:rPr>
        <w:t xml:space="preserve">, זאת נוכח הודאתו של הנאשם ועברו הפלילי הנקי. </w:t>
      </w:r>
    </w:p>
    <w:p w14:paraId="0FC29EBD" w14:textId="77777777" w:rsidR="00C76774" w:rsidRDefault="00C76774" w:rsidP="00C76774">
      <w:pPr>
        <w:pStyle w:val="Ruller41"/>
        <w:rPr>
          <w:rtl/>
        </w:rPr>
      </w:pPr>
      <w:r>
        <w:rPr>
          <w:rFonts w:hint="cs"/>
          <w:rtl/>
        </w:rPr>
        <w:t>עמדתי היא ש</w:t>
      </w:r>
      <w:r w:rsidRPr="00A82B5E">
        <w:rPr>
          <w:rFonts w:hint="cs"/>
          <w:rtl/>
        </w:rPr>
        <w:t xml:space="preserve">בשים לב למחזור הכספים האדיר אותו גלגלו הנאשם וצרפתי, </w:t>
      </w:r>
      <w:r>
        <w:rPr>
          <w:rFonts w:hint="cs"/>
          <w:rtl/>
        </w:rPr>
        <w:t xml:space="preserve">וסיום ההליך בעניינו של הנאשם ללא רכיב עונשי של מאסר בפועל, </w:t>
      </w:r>
      <w:r w:rsidRPr="00A82B5E">
        <w:rPr>
          <w:rFonts w:hint="cs"/>
          <w:rtl/>
        </w:rPr>
        <w:t>היה מקום להשית ע</w:t>
      </w:r>
      <w:r>
        <w:rPr>
          <w:rFonts w:hint="cs"/>
          <w:rtl/>
        </w:rPr>
        <w:t>ל הנאשם קנס כספי באמצע המתחם.</w:t>
      </w:r>
      <w:r w:rsidRPr="00A82B5E">
        <w:rPr>
          <w:rFonts w:hint="cs"/>
          <w:rtl/>
        </w:rPr>
        <w:t xml:space="preserve"> </w:t>
      </w:r>
      <w:r>
        <w:rPr>
          <w:rFonts w:hint="cs"/>
          <w:rtl/>
        </w:rPr>
        <w:t>ו</w:t>
      </w:r>
      <w:r w:rsidRPr="00A82B5E">
        <w:rPr>
          <w:rFonts w:hint="cs"/>
          <w:rtl/>
        </w:rPr>
        <w:t>אם מצאתי להימנע מלעשות כן</w:t>
      </w:r>
      <w:r>
        <w:rPr>
          <w:rFonts w:hint="cs"/>
          <w:rtl/>
        </w:rPr>
        <w:t xml:space="preserve">, </w:t>
      </w:r>
      <w:r w:rsidRPr="00A82B5E">
        <w:rPr>
          <w:rFonts w:hint="cs"/>
          <w:rtl/>
        </w:rPr>
        <w:t xml:space="preserve">הרי שהדבר נובע מעתירת המאשימה להסתפק בקנס של 100,000 </w:t>
      </w:r>
      <w:r>
        <w:rPr>
          <w:rFonts w:hint="cs"/>
          <w:rtl/>
        </w:rPr>
        <w:t xml:space="preserve">₪ וממשקל מסוים, גם אם קטן, אותו מצאתי לתת לגובה הקנס שנגזר על צרפתי. </w:t>
      </w:r>
    </w:p>
    <w:p w14:paraId="38507354" w14:textId="77777777" w:rsidR="00C76774" w:rsidRDefault="00C76774" w:rsidP="00C76774">
      <w:pPr>
        <w:pStyle w:val="Ruller41"/>
        <w:rPr>
          <w:rtl/>
        </w:rPr>
      </w:pPr>
    </w:p>
    <w:p w14:paraId="01653FFA" w14:textId="77777777" w:rsidR="00C76774" w:rsidRDefault="00C76774" w:rsidP="00C76774">
      <w:pPr>
        <w:pStyle w:val="Ruller41"/>
        <w:rPr>
          <w:rtl/>
        </w:rPr>
      </w:pPr>
      <w:r>
        <w:rPr>
          <w:rFonts w:hint="cs"/>
          <w:rtl/>
        </w:rPr>
        <w:t>27.</w:t>
      </w:r>
      <w:r>
        <w:rPr>
          <w:rFonts w:hint="cs"/>
          <w:rtl/>
        </w:rPr>
        <w:tab/>
        <w:t xml:space="preserve">בתוך כך מצאתי לדחות את טענת הנאשם לפיה יש להתחשב במצבו הבריאותי של בנו גם לצורך שקילת גובה הקנס, </w:t>
      </w:r>
      <w:r w:rsidRPr="00A82B5E">
        <w:rPr>
          <w:rFonts w:hint="cs"/>
          <w:rtl/>
        </w:rPr>
        <w:t xml:space="preserve">זאת ממספר טעמים. </w:t>
      </w:r>
      <w:r w:rsidRPr="00A82B5E">
        <w:rPr>
          <w:rFonts w:cs="Miriam" w:hint="cs"/>
          <w:sz w:val="20"/>
          <w:szCs w:val="24"/>
          <w:rtl/>
        </w:rPr>
        <w:t>האחד</w:t>
      </w:r>
      <w:r w:rsidRPr="00A82B5E">
        <w:rPr>
          <w:rFonts w:hint="cs"/>
          <w:rtl/>
        </w:rPr>
        <w:t>, עניין זה נלקח בחשבון והשפיע</w:t>
      </w:r>
      <w:r>
        <w:rPr>
          <w:rFonts w:hint="cs"/>
          <w:rtl/>
        </w:rPr>
        <w:t>, כאמור,</w:t>
      </w:r>
      <w:r w:rsidRPr="00A82B5E">
        <w:rPr>
          <w:rFonts w:hint="cs"/>
          <w:rtl/>
        </w:rPr>
        <w:t xml:space="preserve"> בצורה </w:t>
      </w:r>
      <w:r>
        <w:rPr>
          <w:rFonts w:hint="cs"/>
          <w:rtl/>
        </w:rPr>
        <w:t>משמעות</w:t>
      </w:r>
      <w:r w:rsidRPr="00A82B5E">
        <w:rPr>
          <w:rFonts w:hint="cs"/>
          <w:rtl/>
        </w:rPr>
        <w:t>ית על ה</w:t>
      </w:r>
      <w:r>
        <w:rPr>
          <w:rFonts w:hint="cs"/>
          <w:rtl/>
        </w:rPr>
        <w:t>חלט</w:t>
      </w:r>
      <w:r w:rsidRPr="00A82B5E">
        <w:rPr>
          <w:rFonts w:hint="cs"/>
          <w:rtl/>
        </w:rPr>
        <w:t xml:space="preserve">ת המאשימה </w:t>
      </w:r>
      <w:r>
        <w:rPr>
          <w:rFonts w:hint="cs"/>
          <w:rtl/>
        </w:rPr>
        <w:t>להימנע מעתירה</w:t>
      </w:r>
      <w:r w:rsidRPr="00A82B5E">
        <w:rPr>
          <w:rFonts w:hint="cs"/>
          <w:rtl/>
        </w:rPr>
        <w:t xml:space="preserve"> ל</w:t>
      </w:r>
      <w:r>
        <w:rPr>
          <w:rFonts w:hint="cs"/>
          <w:rtl/>
        </w:rPr>
        <w:t xml:space="preserve">הטלת </w:t>
      </w:r>
      <w:r w:rsidRPr="00A82B5E">
        <w:rPr>
          <w:rFonts w:hint="cs"/>
          <w:rtl/>
        </w:rPr>
        <w:t xml:space="preserve">עונש מאסר בפועל. </w:t>
      </w:r>
      <w:r w:rsidRPr="00A82B5E">
        <w:rPr>
          <w:rFonts w:cs="Miriam" w:hint="cs"/>
          <w:sz w:val="20"/>
          <w:szCs w:val="24"/>
          <w:rtl/>
        </w:rPr>
        <w:t>השני</w:t>
      </w:r>
      <w:r w:rsidRPr="00A82B5E">
        <w:rPr>
          <w:rFonts w:hint="cs"/>
          <w:rtl/>
        </w:rPr>
        <w:t xml:space="preserve">, על אף מצבו של </w:t>
      </w:r>
      <w:r>
        <w:rPr>
          <w:rFonts w:hint="cs"/>
          <w:rtl/>
        </w:rPr>
        <w:t>הבן</w:t>
      </w:r>
      <w:r w:rsidRPr="00A82B5E">
        <w:rPr>
          <w:rFonts w:hint="cs"/>
          <w:rtl/>
        </w:rPr>
        <w:t>, היה לנאשם די כסף להשקיע בפרויקטים שונים בתחום הנדל"ן</w:t>
      </w:r>
      <w:r>
        <w:rPr>
          <w:rFonts w:hint="cs"/>
          <w:rtl/>
        </w:rPr>
        <w:t xml:space="preserve"> לאורך מספר שנים, כאשר ככל הנראה הוא לא נזקק לכספים אלו לצורך מחייתו השוטפת</w:t>
      </w:r>
      <w:r w:rsidRPr="00A82B5E">
        <w:rPr>
          <w:rFonts w:hint="cs"/>
          <w:rtl/>
        </w:rPr>
        <w:t>.</w:t>
      </w:r>
      <w:r w:rsidRPr="00A82B5E">
        <w:rPr>
          <w:rFonts w:cs="Miriam" w:hint="cs"/>
          <w:sz w:val="20"/>
          <w:szCs w:val="24"/>
          <w:rtl/>
        </w:rPr>
        <w:t xml:space="preserve"> השלישי</w:t>
      </w:r>
      <w:r w:rsidRPr="00A82B5E">
        <w:rPr>
          <w:rFonts w:hint="cs"/>
          <w:rtl/>
        </w:rPr>
        <w:t xml:space="preserve">, ממילא הקנס שיוטל על הנאשם אינו ברף הגבוה בשים לב להיקף המחזור </w:t>
      </w:r>
      <w:r>
        <w:rPr>
          <w:rFonts w:hint="cs"/>
          <w:rtl/>
        </w:rPr>
        <w:t>הכספי</w:t>
      </w:r>
      <w:r w:rsidRPr="00A82B5E">
        <w:rPr>
          <w:rFonts w:cs="Miriam" w:hint="cs"/>
          <w:sz w:val="20"/>
          <w:szCs w:val="24"/>
          <w:rtl/>
        </w:rPr>
        <w:t>.</w:t>
      </w:r>
      <w:r w:rsidRPr="00A82B5E">
        <w:rPr>
          <w:rFonts w:hint="cs"/>
          <w:rtl/>
        </w:rPr>
        <w:t xml:space="preserve"> </w:t>
      </w:r>
      <w:r w:rsidRPr="00A82B5E">
        <w:rPr>
          <w:rFonts w:cs="Miriam" w:hint="cs"/>
          <w:sz w:val="20"/>
          <w:szCs w:val="24"/>
          <w:rtl/>
        </w:rPr>
        <w:t>הרביעי</w:t>
      </w:r>
      <w:r w:rsidRPr="00A82B5E">
        <w:rPr>
          <w:rFonts w:hint="cs"/>
          <w:rtl/>
        </w:rPr>
        <w:t xml:space="preserve">, הטלת קנס כספי נמוך, בנסיבות בהן הוסכם על עונש </w:t>
      </w:r>
      <w:r w:rsidRPr="00E52170">
        <w:rPr>
          <w:rFonts w:hint="cs"/>
          <w:rtl/>
        </w:rPr>
        <w:t xml:space="preserve">מאסר שלא ירוצה בין כתלי הכלא, יפגע בשיקולי הענישה האחרים, ובראשם הרתעת עבריינים בכוח. </w:t>
      </w:r>
    </w:p>
    <w:p w14:paraId="245400DC" w14:textId="77777777" w:rsidR="00C76774" w:rsidRPr="00E52170" w:rsidRDefault="00C76774" w:rsidP="00C76774">
      <w:pPr>
        <w:pStyle w:val="Ruller41"/>
        <w:rPr>
          <w:rtl/>
        </w:rPr>
      </w:pPr>
      <w:r w:rsidRPr="00E52170">
        <w:rPr>
          <w:rFonts w:hint="cs"/>
          <w:rtl/>
        </w:rPr>
        <w:t xml:space="preserve">מעבר לכך אציין שלא הוצג כל מסמך המאשר </w:t>
      </w:r>
      <w:r>
        <w:rPr>
          <w:rFonts w:hint="cs"/>
          <w:rtl/>
        </w:rPr>
        <w:t xml:space="preserve">את טענת ההגנה לפיה </w:t>
      </w:r>
      <w:r w:rsidRPr="00E52170">
        <w:rPr>
          <w:rFonts w:hint="cs"/>
          <w:rtl/>
        </w:rPr>
        <w:t>הכסף המזומן שנתפס יועד לטיפולי הבן בצרפת</w:t>
      </w:r>
      <w:r>
        <w:rPr>
          <w:rFonts w:hint="cs"/>
          <w:rtl/>
        </w:rPr>
        <w:t>,</w:t>
      </w:r>
      <w:r w:rsidRPr="00E52170">
        <w:rPr>
          <w:rFonts w:hint="cs"/>
          <w:rtl/>
        </w:rPr>
        <w:t xml:space="preserve"> </w:t>
      </w:r>
      <w:r>
        <w:rPr>
          <w:rFonts w:hint="cs"/>
          <w:rtl/>
        </w:rPr>
        <w:t>או</w:t>
      </w:r>
      <w:r w:rsidRPr="00E52170">
        <w:rPr>
          <w:rFonts w:hint="cs"/>
          <w:rtl/>
        </w:rPr>
        <w:t xml:space="preserve"> מסמך המעיד על הוצאות כספיות חריגות בקשר למחלת הבן, </w:t>
      </w:r>
      <w:r>
        <w:rPr>
          <w:rFonts w:hint="cs"/>
          <w:rtl/>
        </w:rPr>
        <w:t>ובכלל זה</w:t>
      </w:r>
      <w:r w:rsidRPr="00E52170">
        <w:rPr>
          <w:rFonts w:hint="cs"/>
          <w:rtl/>
        </w:rPr>
        <w:t xml:space="preserve"> מקורות המימון של המשפחה, כמו למשל השתתפות המדינה או גורמים אחרים בהוצאות אלו.</w:t>
      </w:r>
    </w:p>
    <w:p w14:paraId="45B1C3C0" w14:textId="77777777" w:rsidR="00C76774" w:rsidRDefault="00C76774" w:rsidP="00C76774">
      <w:pPr>
        <w:spacing w:line="360" w:lineRule="auto"/>
        <w:jc w:val="both"/>
        <w:rPr>
          <w:rFonts w:ascii="FrankRuehl" w:hAnsi="FrankRuehl" w:cs="FrankRuehl"/>
          <w:color w:val="000000"/>
          <w:sz w:val="28"/>
          <w:szCs w:val="28"/>
          <w:rtl/>
        </w:rPr>
      </w:pPr>
      <w:r w:rsidRPr="00E52170">
        <w:rPr>
          <w:rFonts w:ascii="FrankRuehl" w:hAnsi="FrankRuehl" w:cs="FrankRuehl" w:hint="cs"/>
          <w:color w:val="000000"/>
          <w:sz w:val="28"/>
          <w:szCs w:val="28"/>
          <w:rtl/>
        </w:rPr>
        <w:t>עוד א</w:t>
      </w:r>
      <w:r>
        <w:rPr>
          <w:rFonts w:ascii="FrankRuehl" w:hAnsi="FrankRuehl" w:cs="FrankRuehl" w:hint="cs"/>
          <w:color w:val="000000"/>
          <w:sz w:val="28"/>
          <w:szCs w:val="28"/>
          <w:rtl/>
        </w:rPr>
        <w:t>זכיר</w:t>
      </w:r>
      <w:r w:rsidRPr="00E52170">
        <w:rPr>
          <w:rFonts w:ascii="FrankRuehl" w:hAnsi="FrankRuehl" w:cs="FrankRuehl" w:hint="cs"/>
          <w:color w:val="000000"/>
          <w:sz w:val="28"/>
          <w:szCs w:val="28"/>
          <w:rtl/>
        </w:rPr>
        <w:t xml:space="preserve"> שאין ללמוד לענייננו גזירה שווה מהקנס שהוטל על</w:t>
      </w:r>
      <w:r w:rsidRPr="002448D6">
        <w:rPr>
          <w:rFonts w:ascii="FrankRuehl" w:hAnsi="FrankRuehl" w:cs="FrankRuehl" w:hint="cs"/>
          <w:color w:val="000000"/>
          <w:sz w:val="28"/>
          <w:szCs w:val="28"/>
          <w:rtl/>
        </w:rPr>
        <w:t xml:space="preserve"> צרפתי, שכן </w:t>
      </w:r>
      <w:r>
        <w:rPr>
          <w:rFonts w:ascii="FrankRuehl" w:hAnsi="FrankRuehl" w:cs="FrankRuehl" w:hint="cs"/>
          <w:color w:val="000000"/>
          <w:sz w:val="28"/>
          <w:szCs w:val="28"/>
          <w:rtl/>
        </w:rPr>
        <w:t xml:space="preserve">הקנס הנמוך יחסית שהוטל עליו נתן ביטוי לעונש המאסר בפועל, לתקופה לא מבוטלת, שנגזר עליו בהסכמתו [ראו והשוו פסקה 13 לפסק דינו של השופט </w:t>
      </w:r>
      <w:r w:rsidRPr="00C76774">
        <w:rPr>
          <w:rFonts w:ascii="Arial" w:hAnsi="Arial" w:cs="Miriam" w:hint="cs"/>
          <w:color w:val="000000"/>
          <w:rtl/>
        </w:rPr>
        <w:t>מ'</w:t>
      </w:r>
      <w:r>
        <w:rPr>
          <w:rFonts w:ascii="FrankRuehl" w:hAnsi="FrankRuehl" w:cs="FrankRuehl" w:hint="cs"/>
          <w:color w:val="000000"/>
          <w:sz w:val="28"/>
          <w:szCs w:val="28"/>
          <w:rtl/>
        </w:rPr>
        <w:t xml:space="preserve"> </w:t>
      </w:r>
      <w:r w:rsidRPr="00C76774">
        <w:rPr>
          <w:rFonts w:ascii="Arial" w:hAnsi="Arial" w:cs="Miriam" w:hint="cs"/>
          <w:color w:val="000000"/>
          <w:rtl/>
        </w:rPr>
        <w:t>מזוז</w:t>
      </w:r>
      <w:r>
        <w:rPr>
          <w:rFonts w:ascii="FrankRuehl" w:hAnsi="FrankRuehl" w:cs="FrankRuehl" w:hint="cs"/>
          <w:color w:val="000000"/>
          <w:sz w:val="28"/>
          <w:szCs w:val="28"/>
          <w:rtl/>
        </w:rPr>
        <w:t xml:space="preserve"> ב</w:t>
      </w:r>
      <w:hyperlink r:id="rId50" w:history="1">
        <w:r w:rsidR="00976EB1" w:rsidRPr="00976EB1">
          <w:rPr>
            <w:rFonts w:ascii="FrankRuehl" w:hAnsi="FrankRuehl" w:cs="FrankRuehl"/>
            <w:color w:val="0000FF"/>
            <w:sz w:val="28"/>
            <w:szCs w:val="28"/>
            <w:u w:val="single"/>
            <w:rtl/>
          </w:rPr>
          <w:t>ע"פ 6799/14</w:t>
        </w:r>
      </w:hyperlink>
      <w:r w:rsidRPr="00C76774">
        <w:rPr>
          <w:rFonts w:ascii="Arial" w:hAnsi="Arial" w:cs="Miriam"/>
          <w:color w:val="000000"/>
          <w:rtl/>
        </w:rPr>
        <w:t xml:space="preserve"> אילן אופיר נ' מדינת ישראל</w:t>
      </w:r>
      <w:r>
        <w:rPr>
          <w:rFonts w:ascii="FrankRuehl" w:hAnsi="FrankRuehl" w:cs="FrankRuehl" w:hint="cs"/>
          <w:color w:val="000000"/>
          <w:sz w:val="28"/>
          <w:szCs w:val="28"/>
          <w:rtl/>
        </w:rPr>
        <w:t xml:space="preserve"> </w:t>
      </w:r>
      <w:r w:rsidR="00D05667" w:rsidRPr="00D05667">
        <w:rPr>
          <w:sz w:val="22"/>
          <w:rtl/>
        </w:rPr>
        <w:t xml:space="preserve">[פורסם בנבו] </w:t>
      </w:r>
      <w:r>
        <w:rPr>
          <w:rFonts w:ascii="FrankRuehl" w:hAnsi="FrankRuehl" w:cs="FrankRuehl" w:hint="cs"/>
          <w:color w:val="000000"/>
          <w:sz w:val="28"/>
          <w:szCs w:val="28"/>
          <w:rtl/>
        </w:rPr>
        <w:t xml:space="preserve">(16.3.2015)]. </w:t>
      </w:r>
    </w:p>
    <w:p w14:paraId="4FAF7B32" w14:textId="77777777" w:rsidR="00C76774" w:rsidRDefault="00C76774" w:rsidP="00C76774">
      <w:pPr>
        <w:spacing w:after="160" w:line="360" w:lineRule="auto"/>
        <w:jc w:val="both"/>
        <w:rPr>
          <w:rFonts w:ascii="Calibri" w:hAnsi="Calibri" w:cs="Miriam"/>
          <w:b/>
          <w:sz w:val="28"/>
          <w:szCs w:val="28"/>
          <w:rtl/>
        </w:rPr>
      </w:pPr>
    </w:p>
    <w:p w14:paraId="1A16189D" w14:textId="77777777" w:rsidR="00C76774" w:rsidRDefault="00C76774" w:rsidP="00C76774">
      <w:pPr>
        <w:spacing w:after="160" w:line="360" w:lineRule="auto"/>
        <w:jc w:val="both"/>
        <w:rPr>
          <w:rFonts w:ascii="Calibri" w:hAnsi="Calibri" w:cs="Miriam"/>
          <w:b/>
          <w:sz w:val="28"/>
          <w:szCs w:val="28"/>
          <w:rtl/>
        </w:rPr>
      </w:pPr>
      <w:r>
        <w:rPr>
          <w:rFonts w:ascii="Calibri" w:hAnsi="Calibri" w:cs="Miriam" w:hint="cs"/>
          <w:b/>
          <w:sz w:val="28"/>
          <w:szCs w:val="28"/>
          <w:rtl/>
        </w:rPr>
        <w:t xml:space="preserve">חילוט הרכוש </w:t>
      </w:r>
    </w:p>
    <w:p w14:paraId="5CBB04A4" w14:textId="77777777" w:rsidR="00C76774" w:rsidRDefault="00C76774" w:rsidP="00C76774">
      <w:pPr>
        <w:spacing w:after="160" w:line="360" w:lineRule="auto"/>
        <w:contextualSpacing/>
        <w:jc w:val="both"/>
        <w:rPr>
          <w:rFonts w:ascii="FrankRuehl" w:hAnsi="FrankRuehl" w:cs="FrankRuehl"/>
          <w:color w:val="000000"/>
          <w:sz w:val="28"/>
          <w:szCs w:val="28"/>
          <w:rtl/>
        </w:rPr>
      </w:pPr>
    </w:p>
    <w:p w14:paraId="0DADFDF8" w14:textId="77777777" w:rsidR="00C76774" w:rsidRDefault="00C76774" w:rsidP="00C76774">
      <w:pPr>
        <w:spacing w:after="160" w:line="360" w:lineRule="auto"/>
        <w:contextualSpacing/>
        <w:jc w:val="both"/>
        <w:rPr>
          <w:rFonts w:ascii="FrankRuehl" w:hAnsi="FrankRuehl" w:cs="FrankRuehl"/>
          <w:color w:val="000000"/>
          <w:sz w:val="28"/>
          <w:szCs w:val="28"/>
          <w:rtl/>
        </w:rPr>
      </w:pPr>
      <w:r>
        <w:rPr>
          <w:rFonts w:ascii="FrankRuehl" w:hAnsi="FrankRuehl" w:cs="FrankRuehl" w:hint="cs"/>
          <w:color w:val="000000"/>
          <w:sz w:val="28"/>
          <w:szCs w:val="28"/>
          <w:rtl/>
        </w:rPr>
        <w:t>28.</w:t>
      </w:r>
      <w:r>
        <w:rPr>
          <w:rFonts w:ascii="FrankRuehl" w:hAnsi="FrankRuehl" w:cs="FrankRuehl" w:hint="cs"/>
          <w:color w:val="000000"/>
          <w:sz w:val="28"/>
          <w:szCs w:val="28"/>
          <w:rtl/>
        </w:rPr>
        <w:tab/>
        <w:t>הרכוש, בשווי מוערך כולל של כמעט 3.3 מיליון ₪, אותו מבקשת המאשימה לחלט פורט בנספח נפרד, אותו הגישה במהלך הדיון:</w:t>
      </w:r>
    </w:p>
    <w:p w14:paraId="66F4C645" w14:textId="77777777" w:rsidR="00C76774" w:rsidRDefault="00C76774" w:rsidP="00C76774">
      <w:pPr>
        <w:spacing w:after="160" w:line="360" w:lineRule="auto"/>
        <w:contextualSpacing/>
        <w:jc w:val="both"/>
        <w:rPr>
          <w:rFonts w:ascii="FrankRuehl" w:hAnsi="FrankRuehl" w:cs="FrankRuehl"/>
          <w:color w:val="000000"/>
          <w:sz w:val="28"/>
          <w:szCs w:val="28"/>
          <w:rtl/>
        </w:rPr>
      </w:pPr>
    </w:p>
    <w:p w14:paraId="5767213A" w14:textId="77777777" w:rsidR="00C76774" w:rsidRDefault="00C76774" w:rsidP="00C76774">
      <w:pPr>
        <w:spacing w:after="160" w:line="360" w:lineRule="auto"/>
        <w:ind w:left="1440" w:hanging="720"/>
        <w:contextualSpacing/>
        <w:jc w:val="both"/>
        <w:rPr>
          <w:rFonts w:ascii="FrankRuehl" w:hAnsi="FrankRuehl" w:cs="FrankRuehl"/>
          <w:color w:val="000000"/>
          <w:sz w:val="28"/>
          <w:szCs w:val="28"/>
          <w:rtl/>
        </w:rPr>
      </w:pPr>
      <w:r>
        <w:rPr>
          <w:rFonts w:ascii="FrankRuehl" w:hAnsi="FrankRuehl" w:cs="FrankRuehl" w:hint="cs"/>
          <w:color w:val="000000"/>
          <w:sz w:val="28"/>
          <w:szCs w:val="28"/>
          <w:rtl/>
        </w:rPr>
        <w:t>א.</w:t>
      </w:r>
      <w:r>
        <w:rPr>
          <w:rFonts w:ascii="FrankRuehl" w:hAnsi="FrankRuehl" w:cs="FrankRuehl" w:hint="cs"/>
          <w:color w:val="000000"/>
          <w:sz w:val="28"/>
          <w:szCs w:val="28"/>
          <w:rtl/>
        </w:rPr>
        <w:tab/>
        <w:t>זכויות בקרקע הידועה כגוש חלקה 7661/12 בפתח תקווה, בשווי 38,000 ₪.</w:t>
      </w:r>
    </w:p>
    <w:p w14:paraId="2A7297F2" w14:textId="77777777" w:rsidR="00C76774" w:rsidRDefault="00C76774" w:rsidP="00C76774">
      <w:pPr>
        <w:spacing w:after="160" w:line="360" w:lineRule="auto"/>
        <w:ind w:left="1440" w:hanging="720"/>
        <w:contextualSpacing/>
        <w:jc w:val="both"/>
        <w:rPr>
          <w:rFonts w:ascii="FrankRuehl" w:hAnsi="FrankRuehl" w:cs="FrankRuehl"/>
          <w:color w:val="000000"/>
          <w:sz w:val="28"/>
          <w:szCs w:val="28"/>
          <w:rtl/>
        </w:rPr>
      </w:pPr>
      <w:r>
        <w:rPr>
          <w:rFonts w:ascii="FrankRuehl" w:hAnsi="FrankRuehl" w:cs="FrankRuehl" w:hint="cs"/>
          <w:color w:val="000000"/>
          <w:sz w:val="28"/>
          <w:szCs w:val="28"/>
          <w:rtl/>
        </w:rPr>
        <w:t>ב.</w:t>
      </w:r>
      <w:r>
        <w:rPr>
          <w:rFonts w:ascii="FrankRuehl" w:hAnsi="FrankRuehl" w:cs="FrankRuehl" w:hint="cs"/>
          <w:color w:val="000000"/>
          <w:sz w:val="28"/>
          <w:szCs w:val="28"/>
          <w:rtl/>
        </w:rPr>
        <w:tab/>
        <w:t>סך של 100,000 ₪ אשר הופקד כנגד זכויות בקרקע הידועה כגוש חלקה 6715/99 בפתח תקווה.</w:t>
      </w:r>
    </w:p>
    <w:p w14:paraId="093BEBA5" w14:textId="77777777" w:rsidR="00C76774" w:rsidRDefault="00C76774" w:rsidP="00C76774">
      <w:pPr>
        <w:spacing w:after="160" w:line="360" w:lineRule="auto"/>
        <w:ind w:left="1440" w:hanging="720"/>
        <w:contextualSpacing/>
        <w:jc w:val="both"/>
        <w:rPr>
          <w:rFonts w:ascii="FrankRuehl" w:hAnsi="FrankRuehl" w:cs="FrankRuehl"/>
          <w:color w:val="000000"/>
          <w:sz w:val="28"/>
          <w:szCs w:val="28"/>
          <w:rtl/>
        </w:rPr>
      </w:pPr>
      <w:r>
        <w:rPr>
          <w:rFonts w:ascii="FrankRuehl" w:hAnsi="FrankRuehl" w:cs="FrankRuehl" w:hint="cs"/>
          <w:color w:val="000000"/>
          <w:sz w:val="28"/>
          <w:szCs w:val="28"/>
          <w:rtl/>
        </w:rPr>
        <w:t>ג.</w:t>
      </w:r>
      <w:r>
        <w:rPr>
          <w:rFonts w:ascii="FrankRuehl" w:hAnsi="FrankRuehl" w:cs="FrankRuehl" w:hint="cs"/>
          <w:color w:val="000000"/>
          <w:sz w:val="28"/>
          <w:szCs w:val="28"/>
          <w:rtl/>
        </w:rPr>
        <w:tab/>
        <w:t>זכויות בקרקע הידועה כגוש חלקה 7121/35 בבת ים, על שם הנאשם ודבורה ולואיז ביטון, בהתאם לקבוצת רכישה מיום 7.9.15 בשווי מוערך של 2.5 מיליון ₪.</w:t>
      </w:r>
    </w:p>
    <w:p w14:paraId="5ACBCC6A" w14:textId="77777777" w:rsidR="00C76774" w:rsidRDefault="00C76774" w:rsidP="00C76774">
      <w:pPr>
        <w:spacing w:after="160" w:line="360" w:lineRule="auto"/>
        <w:ind w:left="1440" w:hanging="720"/>
        <w:contextualSpacing/>
        <w:jc w:val="both"/>
        <w:rPr>
          <w:rFonts w:ascii="FrankRuehl" w:hAnsi="FrankRuehl" w:cs="FrankRuehl"/>
          <w:color w:val="000000"/>
          <w:sz w:val="28"/>
          <w:szCs w:val="28"/>
          <w:rtl/>
        </w:rPr>
      </w:pPr>
      <w:r>
        <w:rPr>
          <w:rFonts w:ascii="FrankRuehl" w:hAnsi="FrankRuehl" w:cs="FrankRuehl" w:hint="cs"/>
          <w:color w:val="000000"/>
          <w:sz w:val="28"/>
          <w:szCs w:val="28"/>
          <w:rtl/>
        </w:rPr>
        <w:t>ד.</w:t>
      </w:r>
      <w:r>
        <w:rPr>
          <w:rFonts w:ascii="FrankRuehl" w:hAnsi="FrankRuehl" w:cs="FrankRuehl" w:hint="cs"/>
          <w:color w:val="000000"/>
          <w:sz w:val="28"/>
          <w:szCs w:val="28"/>
          <w:rtl/>
        </w:rPr>
        <w:tab/>
        <w:t>זכויות בקרקע הידועה כגוש חלקה 6614/456 בתל אביב בשווי 173,000 ₪.</w:t>
      </w:r>
    </w:p>
    <w:p w14:paraId="576DF68B" w14:textId="77777777" w:rsidR="00C76774" w:rsidRDefault="00C76774" w:rsidP="00C76774">
      <w:pPr>
        <w:spacing w:after="160" w:line="360" w:lineRule="auto"/>
        <w:ind w:left="1440" w:hanging="720"/>
        <w:contextualSpacing/>
        <w:jc w:val="both"/>
        <w:rPr>
          <w:rFonts w:ascii="FrankRuehl" w:hAnsi="FrankRuehl" w:cs="FrankRuehl"/>
          <w:color w:val="000000"/>
          <w:sz w:val="28"/>
          <w:szCs w:val="28"/>
          <w:rtl/>
        </w:rPr>
      </w:pPr>
      <w:r>
        <w:rPr>
          <w:rFonts w:ascii="FrankRuehl" w:hAnsi="FrankRuehl" w:cs="FrankRuehl" w:hint="cs"/>
          <w:color w:val="000000"/>
          <w:sz w:val="28"/>
          <w:szCs w:val="28"/>
          <w:rtl/>
        </w:rPr>
        <w:t>ה.</w:t>
      </w:r>
      <w:r>
        <w:rPr>
          <w:rFonts w:ascii="FrankRuehl" w:hAnsi="FrankRuehl" w:cs="FrankRuehl" w:hint="cs"/>
          <w:color w:val="000000"/>
          <w:sz w:val="28"/>
          <w:szCs w:val="28"/>
          <w:rtl/>
        </w:rPr>
        <w:tab/>
        <w:t>סך של 108,000 ₪ אשר הופקד כנגד זכויות בקרקע הידועה כגוש חלקה 10574/6 בחיפה.</w:t>
      </w:r>
    </w:p>
    <w:p w14:paraId="30980BE3" w14:textId="77777777" w:rsidR="00C76774" w:rsidRDefault="00C76774" w:rsidP="00C76774">
      <w:pPr>
        <w:spacing w:after="160" w:line="360" w:lineRule="auto"/>
        <w:ind w:left="1440" w:hanging="720"/>
        <w:contextualSpacing/>
        <w:jc w:val="both"/>
        <w:rPr>
          <w:rFonts w:ascii="FrankRuehl" w:hAnsi="FrankRuehl" w:cs="FrankRuehl"/>
          <w:color w:val="000000"/>
          <w:sz w:val="28"/>
          <w:szCs w:val="28"/>
          <w:rtl/>
        </w:rPr>
      </w:pPr>
      <w:r>
        <w:rPr>
          <w:rFonts w:ascii="FrankRuehl" w:hAnsi="FrankRuehl" w:cs="FrankRuehl" w:hint="cs"/>
          <w:color w:val="000000"/>
          <w:sz w:val="28"/>
          <w:szCs w:val="28"/>
          <w:rtl/>
        </w:rPr>
        <w:t>ו.</w:t>
      </w:r>
      <w:r>
        <w:rPr>
          <w:rFonts w:ascii="FrankRuehl" w:hAnsi="FrankRuehl" w:cs="FrankRuehl"/>
          <w:color w:val="000000"/>
          <w:sz w:val="28"/>
          <w:szCs w:val="28"/>
          <w:rtl/>
        </w:rPr>
        <w:tab/>
      </w:r>
      <w:r>
        <w:rPr>
          <w:rFonts w:ascii="FrankRuehl" w:hAnsi="FrankRuehl" w:cs="FrankRuehl" w:hint="cs"/>
          <w:color w:val="000000"/>
          <w:sz w:val="28"/>
          <w:szCs w:val="28"/>
          <w:rtl/>
        </w:rPr>
        <w:t>זכויות בקרקע הידועה כגוש חלקה 10136/4 בבנימינה, בשווי 140,000 ₪.</w:t>
      </w:r>
    </w:p>
    <w:p w14:paraId="540CD1B0" w14:textId="77777777" w:rsidR="00C76774" w:rsidRDefault="00C76774" w:rsidP="00C76774">
      <w:pPr>
        <w:spacing w:after="160" w:line="360" w:lineRule="auto"/>
        <w:ind w:left="1440" w:hanging="720"/>
        <w:contextualSpacing/>
        <w:jc w:val="both"/>
        <w:rPr>
          <w:rFonts w:ascii="FrankRuehl" w:hAnsi="FrankRuehl" w:cs="FrankRuehl"/>
          <w:color w:val="000000"/>
          <w:sz w:val="28"/>
          <w:szCs w:val="28"/>
          <w:rtl/>
        </w:rPr>
      </w:pPr>
      <w:r>
        <w:rPr>
          <w:rFonts w:ascii="FrankRuehl" w:hAnsi="FrankRuehl" w:cs="FrankRuehl" w:hint="cs"/>
          <w:color w:val="000000"/>
          <w:sz w:val="28"/>
          <w:szCs w:val="28"/>
          <w:rtl/>
        </w:rPr>
        <w:t>ז.</w:t>
      </w:r>
      <w:r>
        <w:rPr>
          <w:rFonts w:ascii="FrankRuehl" w:hAnsi="FrankRuehl" w:cs="FrankRuehl" w:hint="cs"/>
          <w:color w:val="000000"/>
          <w:sz w:val="28"/>
          <w:szCs w:val="28"/>
          <w:rtl/>
        </w:rPr>
        <w:tab/>
        <w:t>זכויות בקרקע הידועה כגוש חלקה 10209/32 בבנימינה, בשווי 107,000 ₪.</w:t>
      </w:r>
    </w:p>
    <w:p w14:paraId="0AD53F0F" w14:textId="77777777" w:rsidR="00C76774" w:rsidRDefault="00C76774" w:rsidP="00C76774">
      <w:pPr>
        <w:spacing w:after="160" w:line="360" w:lineRule="auto"/>
        <w:ind w:left="1440" w:hanging="720"/>
        <w:contextualSpacing/>
        <w:jc w:val="both"/>
        <w:rPr>
          <w:rFonts w:ascii="FrankRuehl" w:hAnsi="FrankRuehl" w:cs="FrankRuehl"/>
          <w:color w:val="000000"/>
          <w:sz w:val="28"/>
          <w:szCs w:val="28"/>
          <w:rtl/>
        </w:rPr>
      </w:pPr>
      <w:r>
        <w:rPr>
          <w:rFonts w:ascii="FrankRuehl" w:hAnsi="FrankRuehl" w:cs="FrankRuehl" w:hint="cs"/>
          <w:color w:val="000000"/>
          <w:sz w:val="28"/>
          <w:szCs w:val="28"/>
          <w:rtl/>
        </w:rPr>
        <w:t>ח.</w:t>
      </w:r>
      <w:r>
        <w:rPr>
          <w:rFonts w:ascii="FrankRuehl" w:hAnsi="FrankRuehl" w:cs="FrankRuehl"/>
          <w:color w:val="000000"/>
          <w:sz w:val="28"/>
          <w:szCs w:val="28"/>
          <w:rtl/>
        </w:rPr>
        <w:tab/>
      </w:r>
      <w:r>
        <w:rPr>
          <w:rFonts w:ascii="FrankRuehl" w:hAnsi="FrankRuehl" w:cs="FrankRuehl" w:hint="cs"/>
          <w:color w:val="000000"/>
          <w:sz w:val="28"/>
          <w:szCs w:val="28"/>
          <w:rtl/>
        </w:rPr>
        <w:t>סך של 22,020 יורו שנתפסו על הנאשם במהלך חיפוש שהתבצע ביום 22.6.17.</w:t>
      </w:r>
    </w:p>
    <w:p w14:paraId="31E0C810" w14:textId="77777777" w:rsidR="00C76774" w:rsidRDefault="00C76774" w:rsidP="00C76774">
      <w:pPr>
        <w:spacing w:after="160" w:line="360" w:lineRule="auto"/>
        <w:ind w:left="1440" w:hanging="720"/>
        <w:contextualSpacing/>
        <w:jc w:val="both"/>
        <w:rPr>
          <w:rFonts w:ascii="FrankRuehl" w:hAnsi="FrankRuehl" w:cs="FrankRuehl"/>
          <w:color w:val="000000"/>
          <w:sz w:val="28"/>
          <w:szCs w:val="28"/>
          <w:rtl/>
        </w:rPr>
      </w:pPr>
      <w:r>
        <w:rPr>
          <w:rFonts w:ascii="FrankRuehl" w:hAnsi="FrankRuehl" w:cs="FrankRuehl" w:hint="cs"/>
          <w:color w:val="000000"/>
          <w:sz w:val="28"/>
          <w:szCs w:val="28"/>
          <w:rtl/>
        </w:rPr>
        <w:t>ט.</w:t>
      </w:r>
      <w:r>
        <w:rPr>
          <w:rFonts w:ascii="FrankRuehl" w:hAnsi="FrankRuehl" w:cs="FrankRuehl" w:hint="cs"/>
          <w:color w:val="000000"/>
          <w:sz w:val="28"/>
          <w:szCs w:val="28"/>
          <w:rtl/>
        </w:rPr>
        <w:tab/>
        <w:t>סך של 10,100 ₪ שנתפס על הנאשם במהלך אותו חיפוש.</w:t>
      </w:r>
    </w:p>
    <w:p w14:paraId="1767EEB3" w14:textId="77777777" w:rsidR="00C76774" w:rsidRDefault="00C76774" w:rsidP="00C76774">
      <w:pPr>
        <w:spacing w:after="160" w:line="360" w:lineRule="auto"/>
        <w:ind w:left="1440" w:hanging="720"/>
        <w:contextualSpacing/>
        <w:jc w:val="both"/>
        <w:rPr>
          <w:rFonts w:ascii="FrankRuehl" w:hAnsi="FrankRuehl" w:cs="FrankRuehl"/>
          <w:color w:val="000000"/>
          <w:sz w:val="28"/>
          <w:szCs w:val="28"/>
          <w:rtl/>
        </w:rPr>
      </w:pPr>
      <w:r>
        <w:rPr>
          <w:rFonts w:ascii="FrankRuehl" w:hAnsi="FrankRuehl" w:cs="FrankRuehl" w:hint="cs"/>
          <w:color w:val="000000"/>
          <w:sz w:val="28"/>
          <w:szCs w:val="28"/>
          <w:rtl/>
        </w:rPr>
        <w:t>י.</w:t>
      </w:r>
      <w:r>
        <w:rPr>
          <w:rFonts w:ascii="FrankRuehl" w:hAnsi="FrankRuehl" w:cs="FrankRuehl"/>
          <w:color w:val="000000"/>
          <w:sz w:val="28"/>
          <w:szCs w:val="28"/>
          <w:rtl/>
        </w:rPr>
        <w:tab/>
      </w:r>
      <w:r>
        <w:rPr>
          <w:rFonts w:ascii="FrankRuehl" w:hAnsi="FrankRuehl" w:cs="FrankRuehl" w:hint="cs"/>
          <w:color w:val="000000"/>
          <w:sz w:val="28"/>
          <w:szCs w:val="28"/>
          <w:rtl/>
        </w:rPr>
        <w:t>סך של 20,000 ₪ אשר הופקדו על ידי הנאשם כנגד שחרור חשבונות הבנק שנתפסו.</w:t>
      </w:r>
    </w:p>
    <w:p w14:paraId="093CF730" w14:textId="77777777" w:rsidR="00C76774" w:rsidRDefault="00C76774" w:rsidP="00C76774">
      <w:pPr>
        <w:spacing w:after="160" w:line="360" w:lineRule="auto"/>
        <w:contextualSpacing/>
        <w:jc w:val="both"/>
        <w:rPr>
          <w:rFonts w:ascii="FrankRuehl" w:hAnsi="FrankRuehl" w:cs="FrankRuehl"/>
          <w:color w:val="000000"/>
          <w:sz w:val="28"/>
          <w:szCs w:val="28"/>
          <w:rtl/>
        </w:rPr>
      </w:pPr>
    </w:p>
    <w:p w14:paraId="02E39BB9" w14:textId="77777777" w:rsidR="00C76774" w:rsidRPr="00591D2D" w:rsidRDefault="00C76774" w:rsidP="00C76774">
      <w:pPr>
        <w:spacing w:after="160" w:line="360" w:lineRule="auto"/>
        <w:contextualSpacing/>
        <w:jc w:val="both"/>
        <w:rPr>
          <w:rFonts w:ascii="Century" w:eastAsia="Calibri" w:hAnsi="Century" w:cs="FrankRuehl"/>
          <w:sz w:val="28"/>
          <w:szCs w:val="28"/>
          <w:rtl/>
        </w:rPr>
      </w:pPr>
      <w:r>
        <w:rPr>
          <w:rFonts w:ascii="FrankRuehl" w:hAnsi="FrankRuehl" w:cs="FrankRuehl" w:hint="cs"/>
          <w:color w:val="000000"/>
          <w:sz w:val="28"/>
          <w:szCs w:val="28"/>
          <w:rtl/>
        </w:rPr>
        <w:t>29.</w:t>
      </w:r>
      <w:r>
        <w:rPr>
          <w:rFonts w:ascii="FrankRuehl" w:hAnsi="FrankRuehl" w:cs="FrankRuehl" w:hint="cs"/>
          <w:color w:val="000000"/>
          <w:sz w:val="28"/>
          <w:szCs w:val="28"/>
          <w:rtl/>
        </w:rPr>
        <w:tab/>
        <w:t xml:space="preserve">נקודת המוצא לעניין שאלת היקפו של הרכוש בר החילוט, מצויה בהוראות </w:t>
      </w:r>
      <w:hyperlink r:id="rId51" w:history="1">
        <w:r w:rsidR="00F437DB" w:rsidRPr="00F437DB">
          <w:rPr>
            <w:rStyle w:val="Hyperlink"/>
            <w:rFonts w:ascii="FrankRuehl" w:hAnsi="FrankRuehl" w:cs="FrankRuehl" w:hint="eastAsia"/>
            <w:sz w:val="28"/>
            <w:szCs w:val="28"/>
            <w:rtl/>
          </w:rPr>
          <w:t>סעיף</w:t>
        </w:r>
        <w:r w:rsidR="00F437DB" w:rsidRPr="00F437DB">
          <w:rPr>
            <w:rStyle w:val="Hyperlink"/>
            <w:rFonts w:ascii="FrankRuehl" w:hAnsi="FrankRuehl" w:cs="FrankRuehl"/>
            <w:sz w:val="28"/>
            <w:szCs w:val="28"/>
            <w:rtl/>
          </w:rPr>
          <w:t xml:space="preserve"> 21 (א)</w:t>
        </w:r>
      </w:hyperlink>
      <w:r>
        <w:rPr>
          <w:rFonts w:ascii="FrankRuehl" w:hAnsi="FrankRuehl" w:cs="FrankRuehl" w:hint="cs"/>
          <w:color w:val="000000"/>
          <w:sz w:val="28"/>
          <w:szCs w:val="28"/>
          <w:rtl/>
        </w:rPr>
        <w:t xml:space="preserve"> ל</w:t>
      </w:r>
      <w:hyperlink r:id="rId52" w:history="1">
        <w:r w:rsidR="00976EB1" w:rsidRPr="00976EB1">
          <w:rPr>
            <w:rFonts w:ascii="FrankRuehl" w:hAnsi="FrankRuehl" w:cs="FrankRuehl"/>
            <w:color w:val="0000FF"/>
            <w:sz w:val="28"/>
            <w:szCs w:val="28"/>
            <w:u w:val="single"/>
            <w:rtl/>
          </w:rPr>
          <w:t>חוק איסור הלבנת הון</w:t>
        </w:r>
      </w:hyperlink>
      <w:r w:rsidRPr="00591D2D">
        <w:rPr>
          <w:rFonts w:ascii="Century" w:hAnsi="Century" w:cs="FrankRuehl" w:hint="cs"/>
          <w:sz w:val="28"/>
          <w:szCs w:val="28"/>
          <w:rtl/>
        </w:rPr>
        <w:t xml:space="preserve">, לפיו במצבים בהם הורשע אדם בעבירה לפי </w:t>
      </w:r>
      <w:hyperlink r:id="rId53" w:history="1">
        <w:r w:rsidR="00F437DB" w:rsidRPr="00F437DB">
          <w:rPr>
            <w:rStyle w:val="Hyperlink"/>
            <w:rFonts w:ascii="Century" w:hAnsi="Century" w:cs="FrankRuehl" w:hint="eastAsia"/>
            <w:sz w:val="28"/>
            <w:szCs w:val="28"/>
            <w:rtl/>
          </w:rPr>
          <w:t>סעיף</w:t>
        </w:r>
        <w:r w:rsidR="00F437DB" w:rsidRPr="00F437DB">
          <w:rPr>
            <w:rStyle w:val="Hyperlink"/>
            <w:rFonts w:ascii="Century" w:hAnsi="Century" w:cs="FrankRuehl"/>
            <w:sz w:val="28"/>
            <w:szCs w:val="28"/>
            <w:rtl/>
          </w:rPr>
          <w:t xml:space="preserve"> 3</w:t>
        </w:r>
      </w:hyperlink>
      <w:r w:rsidRPr="00591D2D">
        <w:rPr>
          <w:rFonts w:ascii="Century" w:hAnsi="Century" w:cs="FrankRuehl" w:hint="cs"/>
          <w:sz w:val="28"/>
          <w:szCs w:val="28"/>
          <w:rtl/>
        </w:rPr>
        <w:t xml:space="preserve"> (איסור הלבנת הון) או 4 (איסור פעולה ברכוש אסור) ל</w:t>
      </w:r>
      <w:r>
        <w:rPr>
          <w:rFonts w:ascii="Century" w:hAnsi="Century" w:cs="FrankRuehl" w:hint="cs"/>
          <w:sz w:val="28"/>
          <w:szCs w:val="28"/>
          <w:rtl/>
        </w:rPr>
        <w:t xml:space="preserve">אותו </w:t>
      </w:r>
      <w:r w:rsidRPr="00591D2D">
        <w:rPr>
          <w:rFonts w:ascii="Century" w:hAnsi="Century" w:cs="FrankRuehl" w:hint="cs"/>
          <w:sz w:val="28"/>
          <w:szCs w:val="28"/>
          <w:rtl/>
        </w:rPr>
        <w:t>חוק</w:t>
      </w:r>
      <w:r>
        <w:rPr>
          <w:rFonts w:ascii="Century" w:hAnsi="Century" w:cs="FrankRuehl" w:hint="cs"/>
          <w:sz w:val="28"/>
          <w:szCs w:val="28"/>
          <w:rtl/>
        </w:rPr>
        <w:t>, יורה</w:t>
      </w:r>
      <w:r w:rsidRPr="00591D2D">
        <w:rPr>
          <w:rFonts w:ascii="Century" w:hAnsi="Century" w:cs="FrankRuehl" w:hint="cs"/>
          <w:sz w:val="28"/>
          <w:szCs w:val="28"/>
          <w:rtl/>
        </w:rPr>
        <w:t xml:space="preserve"> בית המשפט על חילוט </w:t>
      </w:r>
      <w:r w:rsidRPr="00626182">
        <w:rPr>
          <w:rFonts w:ascii="Century" w:hAnsi="Century" w:cs="Miriam" w:hint="cs"/>
          <w:rtl/>
        </w:rPr>
        <w:t>מלוא הרכוש</w:t>
      </w:r>
      <w:r w:rsidRPr="00591D2D">
        <w:rPr>
          <w:rFonts w:ascii="Century" w:hAnsi="Century" w:cs="FrankRuehl" w:hint="cs"/>
          <w:sz w:val="28"/>
          <w:szCs w:val="28"/>
          <w:rtl/>
        </w:rPr>
        <w:t xml:space="preserve"> שנעברה בו עבירת הלבנת ה</w:t>
      </w:r>
      <w:r>
        <w:rPr>
          <w:rFonts w:ascii="Century" w:hAnsi="Century" w:cs="FrankRuehl" w:hint="cs"/>
          <w:sz w:val="28"/>
          <w:szCs w:val="28"/>
          <w:rtl/>
        </w:rPr>
        <w:t>ה</w:t>
      </w:r>
      <w:r w:rsidRPr="00591D2D">
        <w:rPr>
          <w:rFonts w:ascii="Century" w:hAnsi="Century" w:cs="FrankRuehl" w:hint="cs"/>
          <w:sz w:val="28"/>
          <w:szCs w:val="28"/>
          <w:rtl/>
        </w:rPr>
        <w:t xml:space="preserve">ון או ששימש לביצועה או שהושג, במישרין או בעקיפין כשכר העבירה או כתוצאה מביצוע העבירה או שיועד לכך, בשווי סכום </w:t>
      </w:r>
      <w:r>
        <w:rPr>
          <w:rFonts w:ascii="Century" w:hAnsi="Century" w:cs="FrankRuehl" w:hint="cs"/>
          <w:sz w:val="28"/>
          <w:szCs w:val="28"/>
          <w:rtl/>
        </w:rPr>
        <w:t>ה</w:t>
      </w:r>
      <w:r w:rsidRPr="00591D2D">
        <w:rPr>
          <w:rFonts w:ascii="Century" w:hAnsi="Century" w:cs="FrankRuehl" w:hint="cs"/>
          <w:sz w:val="28"/>
          <w:szCs w:val="28"/>
          <w:rtl/>
        </w:rPr>
        <w:t>עבירה, כאשר החריג לכלל קובע כי בית המשפט רשאי לחרוג מהוראות החוק בהתקיים "נימוקים מיוחדים שיפרט" [</w:t>
      </w:r>
      <w:hyperlink r:id="rId54" w:history="1">
        <w:r w:rsidR="00976EB1" w:rsidRPr="00976EB1">
          <w:rPr>
            <w:rFonts w:ascii="Century" w:hAnsi="Century" w:cs="FrankRuehl" w:hint="eastAsia"/>
            <w:color w:val="0000FF"/>
            <w:sz w:val="28"/>
            <w:szCs w:val="28"/>
            <w:u w:val="single"/>
            <w:rtl/>
          </w:rPr>
          <w:t>ע</w:t>
        </w:r>
        <w:r w:rsidR="00976EB1" w:rsidRPr="00976EB1">
          <w:rPr>
            <w:rFonts w:ascii="Century" w:hAnsi="Century" w:cs="FrankRuehl"/>
            <w:color w:val="0000FF"/>
            <w:sz w:val="28"/>
            <w:szCs w:val="28"/>
            <w:u w:val="single"/>
            <w:rtl/>
          </w:rPr>
          <w:t>"</w:t>
        </w:r>
        <w:r w:rsidR="00976EB1" w:rsidRPr="00976EB1">
          <w:rPr>
            <w:rFonts w:ascii="Century" w:hAnsi="Century" w:cs="FrankRuehl" w:hint="eastAsia"/>
            <w:color w:val="0000FF"/>
            <w:sz w:val="28"/>
            <w:szCs w:val="28"/>
            <w:u w:val="single"/>
            <w:rtl/>
          </w:rPr>
          <w:t>פ</w:t>
        </w:r>
        <w:r w:rsidR="00976EB1" w:rsidRPr="00976EB1">
          <w:rPr>
            <w:rFonts w:ascii="Century" w:hAnsi="Century" w:cs="FrankRuehl"/>
            <w:color w:val="0000FF"/>
            <w:sz w:val="28"/>
            <w:szCs w:val="28"/>
            <w:u w:val="single"/>
            <w:rtl/>
          </w:rPr>
          <w:t xml:space="preserve"> 2333/07</w:t>
        </w:r>
      </w:hyperlink>
      <w:r w:rsidRPr="00591D2D">
        <w:rPr>
          <w:rFonts w:ascii="Century" w:hAnsi="Century" w:cs="FrankRuehl" w:hint="cs"/>
          <w:sz w:val="28"/>
          <w:szCs w:val="28"/>
          <w:rtl/>
        </w:rPr>
        <w:t xml:space="preserve"> </w:t>
      </w:r>
      <w:r w:rsidRPr="00591D2D">
        <w:rPr>
          <w:rFonts w:ascii="Century" w:hAnsi="Century" w:cs="Miriam" w:hint="cs"/>
          <w:rtl/>
        </w:rPr>
        <w:t xml:space="preserve">תענך נ' מדינת ישראל </w:t>
      </w:r>
      <w:r w:rsidR="00D05667" w:rsidRPr="00D05667">
        <w:rPr>
          <w:sz w:val="22"/>
          <w:rtl/>
        </w:rPr>
        <w:t>[</w:t>
      </w:r>
      <w:r w:rsidR="00D05667" w:rsidRPr="00D05667">
        <w:rPr>
          <w:rFonts w:hint="eastAsia"/>
          <w:sz w:val="22"/>
          <w:rtl/>
        </w:rPr>
        <w:t>פורסם</w:t>
      </w:r>
      <w:r w:rsidR="00D05667" w:rsidRPr="00D05667">
        <w:rPr>
          <w:sz w:val="22"/>
          <w:rtl/>
        </w:rPr>
        <w:t xml:space="preserve"> </w:t>
      </w:r>
      <w:r w:rsidR="00D05667" w:rsidRPr="00D05667">
        <w:rPr>
          <w:rFonts w:hint="eastAsia"/>
          <w:sz w:val="22"/>
          <w:rtl/>
        </w:rPr>
        <w:t>בנבו</w:t>
      </w:r>
      <w:r w:rsidR="00D05667" w:rsidRPr="00D05667">
        <w:rPr>
          <w:sz w:val="22"/>
          <w:rtl/>
        </w:rPr>
        <w:t xml:space="preserve">] </w:t>
      </w:r>
      <w:r w:rsidRPr="00591D2D">
        <w:rPr>
          <w:rFonts w:ascii="Century" w:hAnsi="Century" w:cs="FrankRuehl" w:hint="cs"/>
          <w:sz w:val="28"/>
          <w:szCs w:val="28"/>
          <w:rtl/>
        </w:rPr>
        <w:t>(12.2.2010)</w:t>
      </w:r>
      <w:r>
        <w:rPr>
          <w:rFonts w:ascii="Century" w:hAnsi="Century" w:cs="FrankRuehl" w:hint="cs"/>
          <w:sz w:val="28"/>
          <w:szCs w:val="28"/>
          <w:rtl/>
        </w:rPr>
        <w:t xml:space="preserve"> (להלן: עניין </w:t>
      </w:r>
      <w:r w:rsidRPr="00C76774">
        <w:rPr>
          <w:rFonts w:ascii="Arial" w:hAnsi="Arial" w:cs="Miriam"/>
          <w:rtl/>
        </w:rPr>
        <w:t>תענך</w:t>
      </w:r>
      <w:r>
        <w:rPr>
          <w:rFonts w:ascii="Century" w:hAnsi="Century" w:cs="FrankRuehl" w:hint="cs"/>
          <w:sz w:val="28"/>
          <w:szCs w:val="28"/>
          <w:rtl/>
        </w:rPr>
        <w:t>)</w:t>
      </w:r>
      <w:r w:rsidRPr="00591D2D">
        <w:rPr>
          <w:rFonts w:ascii="Century" w:hAnsi="Century" w:cs="FrankRuehl" w:hint="cs"/>
          <w:sz w:val="28"/>
          <w:szCs w:val="28"/>
          <w:rtl/>
        </w:rPr>
        <w:t xml:space="preserve">; </w:t>
      </w:r>
      <w:hyperlink r:id="rId55" w:history="1">
        <w:r w:rsidR="00976EB1" w:rsidRPr="00976EB1">
          <w:rPr>
            <w:rFonts w:ascii="Century" w:hAnsi="Century" w:cs="FrankRuehl" w:hint="eastAsia"/>
            <w:color w:val="0000FF"/>
            <w:sz w:val="28"/>
            <w:szCs w:val="28"/>
            <w:u w:val="single"/>
            <w:rtl/>
          </w:rPr>
          <w:t>ע</w:t>
        </w:r>
        <w:r w:rsidR="00976EB1" w:rsidRPr="00976EB1">
          <w:rPr>
            <w:rFonts w:ascii="Century" w:hAnsi="Century" w:cs="FrankRuehl"/>
            <w:color w:val="0000FF"/>
            <w:sz w:val="28"/>
            <w:szCs w:val="28"/>
            <w:u w:val="single"/>
            <w:rtl/>
          </w:rPr>
          <w:t>"</w:t>
        </w:r>
        <w:r w:rsidR="00976EB1" w:rsidRPr="00976EB1">
          <w:rPr>
            <w:rFonts w:ascii="Century" w:hAnsi="Century" w:cs="FrankRuehl" w:hint="eastAsia"/>
            <w:color w:val="0000FF"/>
            <w:sz w:val="28"/>
            <w:szCs w:val="28"/>
            <w:u w:val="single"/>
            <w:rtl/>
          </w:rPr>
          <w:t>פ</w:t>
        </w:r>
        <w:r w:rsidR="00976EB1" w:rsidRPr="00976EB1">
          <w:rPr>
            <w:rFonts w:ascii="Century" w:hAnsi="Century" w:cs="FrankRuehl"/>
            <w:color w:val="0000FF"/>
            <w:sz w:val="28"/>
            <w:szCs w:val="28"/>
            <w:u w:val="single"/>
            <w:rtl/>
          </w:rPr>
          <w:t xml:space="preserve"> 8312/17</w:t>
        </w:r>
      </w:hyperlink>
      <w:r w:rsidRPr="00591D2D">
        <w:rPr>
          <w:rFonts w:ascii="Century" w:hAnsi="Century" w:cs="FrankRuehl" w:hint="cs"/>
          <w:sz w:val="28"/>
          <w:szCs w:val="28"/>
          <w:rtl/>
        </w:rPr>
        <w:t xml:space="preserve"> </w:t>
      </w:r>
      <w:r w:rsidRPr="00591D2D">
        <w:rPr>
          <w:rStyle w:val="default"/>
          <w:rFonts w:ascii="Century" w:hAnsi="Century" w:cs="Miriam" w:hint="cs"/>
          <w:b/>
          <w:rtl/>
        </w:rPr>
        <w:t>ברהמי נ' מדינת ישראל</w:t>
      </w:r>
      <w:r w:rsidRPr="00591D2D">
        <w:rPr>
          <w:rStyle w:val="default"/>
          <w:rFonts w:ascii="Century" w:hAnsi="Century" w:cs="FrankRuehl" w:hint="cs"/>
          <w:sz w:val="28"/>
          <w:szCs w:val="28"/>
          <w:rtl/>
        </w:rPr>
        <w:t>,</w:t>
      </w:r>
      <w:r w:rsidRPr="00591D2D">
        <w:rPr>
          <w:rStyle w:val="default"/>
          <w:rFonts w:cs="FrankRuehl"/>
          <w:sz w:val="28"/>
          <w:szCs w:val="28"/>
          <w:rtl/>
        </w:rPr>
        <w:t xml:space="preserve"> </w:t>
      </w:r>
      <w:r w:rsidR="00D05667" w:rsidRPr="00D05667">
        <w:rPr>
          <w:rStyle w:val="default"/>
          <w:sz w:val="22"/>
          <w:rtl/>
        </w:rPr>
        <w:t xml:space="preserve">[פורסם בנבו] </w:t>
      </w:r>
      <w:r w:rsidRPr="00591D2D">
        <w:rPr>
          <w:rFonts w:cs="FrankRuehl" w:hint="cs"/>
          <w:sz w:val="28"/>
          <w:szCs w:val="28"/>
          <w:rtl/>
        </w:rPr>
        <w:t>פסקה</w:t>
      </w:r>
      <w:r w:rsidRPr="00591D2D">
        <w:rPr>
          <w:rStyle w:val="default"/>
          <w:rFonts w:ascii="Century" w:hAnsi="Century" w:cs="FrankRuehl" w:hint="cs"/>
          <w:sz w:val="28"/>
          <w:szCs w:val="28"/>
          <w:rtl/>
        </w:rPr>
        <w:t xml:space="preserve"> 35 (17.4.2018)</w:t>
      </w:r>
      <w:r>
        <w:rPr>
          <w:rFonts w:ascii="Century" w:hAnsi="Century" w:cs="FrankRuehl" w:hint="cs"/>
          <w:sz w:val="28"/>
          <w:szCs w:val="28"/>
          <w:rtl/>
        </w:rPr>
        <w:t xml:space="preserve"> (להלן: עניין </w:t>
      </w:r>
      <w:r w:rsidRPr="003521E2">
        <w:rPr>
          <w:rStyle w:val="default"/>
          <w:rFonts w:cs="Miriam" w:hint="cs"/>
          <w:b/>
          <w:rtl/>
        </w:rPr>
        <w:t>ברהמי</w:t>
      </w:r>
      <w:r>
        <w:rPr>
          <w:rFonts w:ascii="Century" w:hAnsi="Century" w:cs="FrankRuehl" w:hint="cs"/>
          <w:sz w:val="28"/>
          <w:szCs w:val="28"/>
          <w:rtl/>
        </w:rPr>
        <w:t>)</w:t>
      </w:r>
      <w:r w:rsidRPr="00591D2D">
        <w:rPr>
          <w:rFonts w:ascii="Century" w:hAnsi="Century" w:cs="FrankRuehl" w:hint="cs"/>
          <w:sz w:val="28"/>
          <w:szCs w:val="28"/>
          <w:rtl/>
        </w:rPr>
        <w:t xml:space="preserve">; </w:t>
      </w:r>
      <w:hyperlink r:id="rId56" w:history="1">
        <w:r w:rsidR="00976EB1" w:rsidRPr="00976EB1">
          <w:rPr>
            <w:rFonts w:ascii="Century" w:hAnsi="Century" w:cs="FrankRuehl" w:hint="eastAsia"/>
            <w:color w:val="0000FF"/>
            <w:sz w:val="28"/>
            <w:szCs w:val="28"/>
            <w:u w:val="single"/>
            <w:rtl/>
          </w:rPr>
          <w:t>ע</w:t>
        </w:r>
        <w:r w:rsidR="00976EB1" w:rsidRPr="00976EB1">
          <w:rPr>
            <w:rFonts w:ascii="Century" w:hAnsi="Century" w:cs="FrankRuehl"/>
            <w:color w:val="0000FF"/>
            <w:sz w:val="28"/>
            <w:szCs w:val="28"/>
            <w:u w:val="single"/>
            <w:rtl/>
          </w:rPr>
          <w:t>"</w:t>
        </w:r>
        <w:r w:rsidR="00976EB1" w:rsidRPr="00976EB1">
          <w:rPr>
            <w:rFonts w:ascii="Century" w:hAnsi="Century" w:cs="FrankRuehl" w:hint="eastAsia"/>
            <w:color w:val="0000FF"/>
            <w:sz w:val="28"/>
            <w:szCs w:val="28"/>
            <w:u w:val="single"/>
            <w:rtl/>
          </w:rPr>
          <w:t>פ</w:t>
        </w:r>
        <w:r w:rsidR="00976EB1" w:rsidRPr="00976EB1">
          <w:rPr>
            <w:rFonts w:ascii="Century" w:hAnsi="Century" w:cs="FrankRuehl"/>
            <w:color w:val="0000FF"/>
            <w:sz w:val="28"/>
            <w:szCs w:val="28"/>
            <w:u w:val="single"/>
            <w:rtl/>
          </w:rPr>
          <w:t xml:space="preserve"> 7701/17</w:t>
        </w:r>
      </w:hyperlink>
      <w:r w:rsidRPr="00591D2D">
        <w:rPr>
          <w:rFonts w:ascii="Century" w:hAnsi="Century" w:cs="FrankRuehl" w:hint="cs"/>
          <w:sz w:val="28"/>
          <w:szCs w:val="28"/>
          <w:rtl/>
        </w:rPr>
        <w:t xml:space="preserve"> </w:t>
      </w:r>
      <w:r w:rsidRPr="004B14AD">
        <w:rPr>
          <w:rFonts w:ascii="Century" w:hAnsi="Century" w:cs="Miriam" w:hint="cs"/>
          <w:b/>
          <w:rtl/>
        </w:rPr>
        <w:t>סנדלר נ' מדינת ישראל</w:t>
      </w:r>
      <w:r w:rsidRPr="00591D2D">
        <w:rPr>
          <w:rFonts w:ascii="Century" w:hAnsi="Century" w:cs="FrankRuehl" w:hint="cs"/>
          <w:sz w:val="28"/>
          <w:szCs w:val="28"/>
          <w:rtl/>
        </w:rPr>
        <w:t>,</w:t>
      </w:r>
      <w:r w:rsidRPr="00591D2D">
        <w:rPr>
          <w:rFonts w:cs="FrankRuehl"/>
          <w:sz w:val="28"/>
          <w:szCs w:val="28"/>
          <w:rtl/>
        </w:rPr>
        <w:t xml:space="preserve"> </w:t>
      </w:r>
      <w:r w:rsidR="00D05667" w:rsidRPr="00D05667">
        <w:rPr>
          <w:sz w:val="22"/>
          <w:rtl/>
        </w:rPr>
        <w:t xml:space="preserve">[פורסם בנבו] </w:t>
      </w:r>
      <w:r w:rsidRPr="00591D2D">
        <w:rPr>
          <w:rFonts w:ascii="Century" w:hAnsi="Century" w:cs="FrankRuehl" w:hint="cs"/>
          <w:sz w:val="28"/>
          <w:szCs w:val="28"/>
          <w:rtl/>
        </w:rPr>
        <w:t>פסקה 9 (23.10.2017)</w:t>
      </w:r>
      <w:r>
        <w:rPr>
          <w:rFonts w:ascii="Century" w:hAnsi="Century" w:cs="FrankRuehl" w:hint="cs"/>
          <w:sz w:val="28"/>
          <w:szCs w:val="28"/>
          <w:rtl/>
        </w:rPr>
        <w:t xml:space="preserve"> (להלן: עניין </w:t>
      </w:r>
      <w:r w:rsidRPr="008527E7">
        <w:rPr>
          <w:rFonts w:ascii="Century" w:hAnsi="Century" w:cs="Miriam" w:hint="cs"/>
          <w:rtl/>
        </w:rPr>
        <w:t>סנדלר</w:t>
      </w:r>
      <w:r>
        <w:rPr>
          <w:rFonts w:ascii="Century" w:hAnsi="Century" w:cs="FrankRuehl" w:hint="cs"/>
          <w:sz w:val="28"/>
          <w:szCs w:val="28"/>
          <w:rtl/>
        </w:rPr>
        <w:t>)</w:t>
      </w:r>
      <w:r w:rsidRPr="00591D2D">
        <w:rPr>
          <w:rFonts w:ascii="Century" w:hAnsi="Century" w:cs="FrankRuehl" w:hint="cs"/>
          <w:sz w:val="28"/>
          <w:szCs w:val="28"/>
          <w:rtl/>
        </w:rPr>
        <w:t xml:space="preserve">; </w:t>
      </w:r>
      <w:hyperlink r:id="rId57" w:history="1">
        <w:r w:rsidR="00976EB1" w:rsidRPr="00976EB1">
          <w:rPr>
            <w:rFonts w:ascii="Century" w:hAnsi="Century" w:cs="FrankRuehl" w:hint="eastAsia"/>
            <w:color w:val="0000FF"/>
            <w:sz w:val="28"/>
            <w:szCs w:val="28"/>
            <w:u w:val="single"/>
            <w:rtl/>
          </w:rPr>
          <w:t>ע</w:t>
        </w:r>
        <w:r w:rsidR="00976EB1" w:rsidRPr="00976EB1">
          <w:rPr>
            <w:rFonts w:ascii="Century" w:hAnsi="Century" w:cs="FrankRuehl"/>
            <w:color w:val="0000FF"/>
            <w:sz w:val="28"/>
            <w:szCs w:val="28"/>
            <w:u w:val="single"/>
            <w:rtl/>
          </w:rPr>
          <w:t>"</w:t>
        </w:r>
        <w:r w:rsidR="00976EB1" w:rsidRPr="00976EB1">
          <w:rPr>
            <w:rFonts w:ascii="Century" w:hAnsi="Century" w:cs="FrankRuehl" w:hint="eastAsia"/>
            <w:color w:val="0000FF"/>
            <w:sz w:val="28"/>
            <w:szCs w:val="28"/>
            <w:u w:val="single"/>
            <w:rtl/>
          </w:rPr>
          <w:t>פ</w:t>
        </w:r>
        <w:r w:rsidR="00976EB1" w:rsidRPr="00976EB1">
          <w:rPr>
            <w:rFonts w:ascii="Century" w:hAnsi="Century" w:cs="FrankRuehl"/>
            <w:color w:val="0000FF"/>
            <w:sz w:val="28"/>
            <w:szCs w:val="28"/>
            <w:u w:val="single"/>
            <w:rtl/>
          </w:rPr>
          <w:t xml:space="preserve"> 1872/16</w:t>
        </w:r>
      </w:hyperlink>
      <w:r w:rsidRPr="00591D2D">
        <w:rPr>
          <w:rFonts w:ascii="Century" w:hAnsi="Century" w:cs="FrankRuehl" w:hint="cs"/>
          <w:sz w:val="28"/>
          <w:szCs w:val="28"/>
          <w:rtl/>
        </w:rPr>
        <w:t xml:space="preserve">  </w:t>
      </w:r>
      <w:r w:rsidRPr="004B14AD">
        <w:rPr>
          <w:rFonts w:ascii="Century" w:hAnsi="Century" w:cs="Miriam" w:hint="cs"/>
          <w:b/>
          <w:rtl/>
        </w:rPr>
        <w:t>דז'לדטי נ' מדינת ישראל</w:t>
      </w:r>
      <w:r w:rsidRPr="00591D2D">
        <w:rPr>
          <w:rFonts w:ascii="Century" w:hAnsi="Century" w:cs="FrankRuehl" w:hint="cs"/>
          <w:sz w:val="28"/>
          <w:szCs w:val="28"/>
          <w:rtl/>
        </w:rPr>
        <w:t xml:space="preserve">, </w:t>
      </w:r>
      <w:r w:rsidR="00D05667" w:rsidRPr="00D05667">
        <w:rPr>
          <w:sz w:val="22"/>
          <w:rtl/>
        </w:rPr>
        <w:t>[</w:t>
      </w:r>
      <w:r w:rsidR="00D05667" w:rsidRPr="00D05667">
        <w:rPr>
          <w:rFonts w:hint="eastAsia"/>
          <w:sz w:val="22"/>
          <w:rtl/>
        </w:rPr>
        <w:t>פורסם</w:t>
      </w:r>
      <w:r w:rsidR="00D05667" w:rsidRPr="00D05667">
        <w:rPr>
          <w:sz w:val="22"/>
          <w:rtl/>
        </w:rPr>
        <w:t xml:space="preserve"> </w:t>
      </w:r>
      <w:r w:rsidR="00D05667" w:rsidRPr="00D05667">
        <w:rPr>
          <w:rFonts w:hint="eastAsia"/>
          <w:sz w:val="22"/>
          <w:rtl/>
        </w:rPr>
        <w:t>בנבו</w:t>
      </w:r>
      <w:r w:rsidR="00D05667" w:rsidRPr="00D05667">
        <w:rPr>
          <w:sz w:val="22"/>
          <w:rtl/>
        </w:rPr>
        <w:t xml:space="preserve">] </w:t>
      </w:r>
      <w:r w:rsidRPr="00591D2D">
        <w:rPr>
          <w:rFonts w:ascii="Century" w:hAnsi="Century" w:cs="FrankRuehl" w:hint="cs"/>
          <w:sz w:val="28"/>
          <w:szCs w:val="28"/>
          <w:rtl/>
        </w:rPr>
        <w:t>פסקה 60 (18.5.2017)</w:t>
      </w:r>
      <w:r>
        <w:rPr>
          <w:rFonts w:ascii="Century" w:hAnsi="Century" w:cs="FrankRuehl" w:hint="cs"/>
          <w:sz w:val="28"/>
          <w:szCs w:val="28"/>
          <w:rtl/>
        </w:rPr>
        <w:t xml:space="preserve"> (להלן: </w:t>
      </w:r>
      <w:r w:rsidRPr="00722FCD">
        <w:rPr>
          <w:rFonts w:ascii="Century" w:hAnsi="Century" w:cs="FrankRuehl" w:hint="cs"/>
          <w:sz w:val="28"/>
          <w:szCs w:val="28"/>
          <w:rtl/>
        </w:rPr>
        <w:t>עניין</w:t>
      </w:r>
      <w:r w:rsidRPr="00722FCD">
        <w:rPr>
          <w:rFonts w:ascii="Century" w:hAnsi="Century" w:cs="Miriam" w:hint="cs"/>
          <w:rtl/>
        </w:rPr>
        <w:t xml:space="preserve"> דז'לטי</w:t>
      </w:r>
      <w:r>
        <w:rPr>
          <w:rFonts w:ascii="Century" w:hAnsi="Century" w:cs="FrankRuehl" w:hint="cs"/>
          <w:sz w:val="28"/>
          <w:szCs w:val="28"/>
          <w:rtl/>
        </w:rPr>
        <w:t>)].</w:t>
      </w:r>
      <w:r w:rsidRPr="00591D2D">
        <w:rPr>
          <w:rFonts w:ascii="Century" w:hAnsi="Century" w:cs="FrankRuehl" w:hint="cs"/>
          <w:sz w:val="28"/>
          <w:szCs w:val="28"/>
          <w:rtl/>
        </w:rPr>
        <w:t xml:space="preserve"> </w:t>
      </w:r>
    </w:p>
    <w:p w14:paraId="70D9ACEB" w14:textId="77777777" w:rsidR="00C76774" w:rsidRPr="001B18CF" w:rsidRDefault="00C76774" w:rsidP="00C76774">
      <w:pPr>
        <w:pStyle w:val="Ruller41"/>
        <w:rPr>
          <w:rtl/>
        </w:rPr>
      </w:pPr>
      <w:r>
        <w:rPr>
          <w:rFonts w:hint="cs"/>
          <w:rtl/>
        </w:rPr>
        <w:t>עוד נקבע כי ניתן לחלט רכוש בשווי הרכוש בו נעברה עבירת הלבנת ההון כולה, זאת ללא תלות בשאלה האם הרכוש האמור הגיע כולו או חלקו לכיסם של מבצעי עבירת הלבנת ההון [</w:t>
      </w:r>
      <w:hyperlink r:id="rId58" w:history="1">
        <w:r w:rsidR="00976EB1" w:rsidRPr="00976EB1">
          <w:rPr>
            <w:color w:val="0000FF"/>
            <w:u w:val="single"/>
            <w:rtl/>
          </w:rPr>
          <w:t>ע"פ 6145/15</w:t>
        </w:r>
      </w:hyperlink>
      <w:r>
        <w:rPr>
          <w:rFonts w:hint="cs"/>
          <w:rtl/>
        </w:rPr>
        <w:t xml:space="preserve"> </w:t>
      </w:r>
      <w:r w:rsidRPr="00722FCD">
        <w:rPr>
          <w:rFonts w:cs="Miriam" w:hint="cs"/>
          <w:sz w:val="20"/>
          <w:szCs w:val="24"/>
          <w:rtl/>
        </w:rPr>
        <w:t>פישר נ' מדינת ישראל</w:t>
      </w:r>
      <w:r>
        <w:rPr>
          <w:rFonts w:hint="cs"/>
          <w:rtl/>
        </w:rPr>
        <w:t xml:space="preserve"> </w:t>
      </w:r>
      <w:r w:rsidR="00D05667" w:rsidRPr="00D05667">
        <w:rPr>
          <w:rFonts w:ascii="Times New Roman" w:hAnsi="Times New Roman" w:cs="David"/>
          <w:spacing w:val="0"/>
          <w:szCs w:val="24"/>
          <w:rtl/>
        </w:rPr>
        <w:t xml:space="preserve">[פורסם בנבו] </w:t>
      </w:r>
      <w:r>
        <w:rPr>
          <w:rFonts w:hint="cs"/>
          <w:rtl/>
        </w:rPr>
        <w:t xml:space="preserve">פסקאות 23 ו-27 (25.10.2015); עניין </w:t>
      </w:r>
      <w:r w:rsidRPr="00722FCD">
        <w:rPr>
          <w:rFonts w:ascii="Century" w:hAnsi="Century" w:cs="Miriam" w:hint="cs"/>
          <w:spacing w:val="0"/>
          <w:sz w:val="24"/>
          <w:szCs w:val="24"/>
          <w:rtl/>
        </w:rPr>
        <w:t>דז'לטי</w:t>
      </w:r>
      <w:r>
        <w:rPr>
          <w:rFonts w:hint="cs"/>
          <w:rtl/>
        </w:rPr>
        <w:t xml:space="preserve">, פסקה 59; עניין </w:t>
      </w:r>
      <w:r w:rsidRPr="00722FCD">
        <w:rPr>
          <w:rFonts w:cs="Miriam" w:hint="cs"/>
          <w:sz w:val="20"/>
          <w:szCs w:val="24"/>
          <w:rtl/>
        </w:rPr>
        <w:t>סנדלר</w:t>
      </w:r>
      <w:r>
        <w:rPr>
          <w:rFonts w:hint="cs"/>
          <w:rtl/>
        </w:rPr>
        <w:t xml:space="preserve">, פסקה 9; </w:t>
      </w:r>
      <w:hyperlink r:id="rId59" w:history="1">
        <w:r w:rsidR="00976EB1" w:rsidRPr="00976EB1">
          <w:rPr>
            <w:color w:val="0000FF"/>
            <w:u w:val="single"/>
            <w:rtl/>
          </w:rPr>
          <w:t>ע"פ 6532/17</w:t>
        </w:r>
      </w:hyperlink>
      <w:r w:rsidRPr="003521E2">
        <w:rPr>
          <w:rFonts w:cs="Miriam" w:hint="cs"/>
          <w:sz w:val="24"/>
          <w:szCs w:val="24"/>
          <w:rtl/>
        </w:rPr>
        <w:t xml:space="preserve"> </w:t>
      </w:r>
      <w:r w:rsidRPr="003521E2">
        <w:rPr>
          <w:rFonts w:ascii="Century" w:hAnsi="Century" w:cs="Miriam" w:hint="cs"/>
          <w:b/>
          <w:sz w:val="24"/>
          <w:szCs w:val="24"/>
          <w:rtl/>
        </w:rPr>
        <w:t xml:space="preserve">מדינת </w:t>
      </w:r>
      <w:r w:rsidRPr="003521E2">
        <w:rPr>
          <w:rFonts w:cs="Miriam" w:hint="cs"/>
          <w:sz w:val="24"/>
          <w:szCs w:val="24"/>
          <w:rtl/>
        </w:rPr>
        <w:t>ישראל נ' חסידי דוד לעדת הבוכרים</w:t>
      </w:r>
      <w:r>
        <w:rPr>
          <w:rFonts w:hint="cs"/>
          <w:rtl/>
        </w:rPr>
        <w:t xml:space="preserve"> </w:t>
      </w:r>
      <w:r w:rsidR="00D05667" w:rsidRPr="00D05667">
        <w:rPr>
          <w:rFonts w:ascii="Times New Roman" w:hAnsi="Times New Roman" w:cs="David"/>
          <w:spacing w:val="0"/>
          <w:szCs w:val="24"/>
          <w:rtl/>
        </w:rPr>
        <w:t xml:space="preserve">[פורסם בנבו] </w:t>
      </w:r>
      <w:r>
        <w:rPr>
          <w:rFonts w:hint="cs"/>
          <w:rtl/>
        </w:rPr>
        <w:t>(8.</w:t>
      </w:r>
      <w:r w:rsidRPr="001B18CF">
        <w:rPr>
          <w:rFonts w:hint="cs"/>
          <w:rtl/>
        </w:rPr>
        <w:t xml:space="preserve">4.2018); עניין </w:t>
      </w:r>
      <w:r w:rsidRPr="001B18CF">
        <w:rPr>
          <w:rFonts w:cs="Miriam" w:hint="cs"/>
          <w:sz w:val="20"/>
          <w:szCs w:val="24"/>
          <w:rtl/>
        </w:rPr>
        <w:t>ברהמי</w:t>
      </w:r>
      <w:r w:rsidRPr="001B18CF">
        <w:rPr>
          <w:rFonts w:hint="cs"/>
          <w:rtl/>
        </w:rPr>
        <w:t xml:space="preserve">. </w:t>
      </w:r>
    </w:p>
    <w:p w14:paraId="69CBB3B9" w14:textId="77777777" w:rsidR="00C76774" w:rsidRDefault="00C76774" w:rsidP="00C76774">
      <w:pPr>
        <w:pStyle w:val="Ruller41"/>
        <w:rPr>
          <w:rStyle w:val="default"/>
          <w:rFonts w:ascii="Century" w:hAnsi="Century"/>
          <w:rtl/>
        </w:rPr>
      </w:pPr>
      <w:r w:rsidRPr="001B18CF">
        <w:rPr>
          <w:rFonts w:hint="cs"/>
          <w:rtl/>
        </w:rPr>
        <w:t xml:space="preserve">לגבי </w:t>
      </w:r>
      <w:r w:rsidRPr="001B18CF">
        <w:rPr>
          <w:rFonts w:ascii="Century" w:hAnsi="Century" w:hint="cs"/>
          <w:rtl/>
        </w:rPr>
        <w:t xml:space="preserve">המונח 'עבירה' </w:t>
      </w:r>
      <w:hyperlink r:id="rId60" w:history="1">
        <w:r w:rsidR="00F437DB" w:rsidRPr="00F437DB">
          <w:rPr>
            <w:rStyle w:val="Hyperlink"/>
            <w:rFonts w:ascii="Century" w:hAnsi="Century" w:hint="cs"/>
            <w:rtl/>
          </w:rPr>
          <w:t>בסעיף</w:t>
        </w:r>
        <w:r w:rsidR="00F437DB" w:rsidRPr="00F437DB">
          <w:rPr>
            <w:rStyle w:val="Hyperlink"/>
            <w:rFonts w:ascii="Century" w:hAnsi="Century"/>
            <w:rtl/>
          </w:rPr>
          <w:t xml:space="preserve"> 21</w:t>
        </w:r>
      </w:hyperlink>
      <w:r w:rsidRPr="001B18CF">
        <w:rPr>
          <w:rFonts w:ascii="Century" w:hAnsi="Century" w:hint="cs"/>
          <w:rtl/>
        </w:rPr>
        <w:t xml:space="preserve"> ל</w:t>
      </w:r>
      <w:hyperlink r:id="rId61" w:history="1">
        <w:r w:rsidR="00976EB1" w:rsidRPr="00976EB1">
          <w:rPr>
            <w:rFonts w:ascii="Century" w:hAnsi="Century" w:hint="cs"/>
            <w:color w:val="0000FF"/>
            <w:u w:val="single"/>
            <w:rtl/>
          </w:rPr>
          <w:t>חוק</w:t>
        </w:r>
        <w:r w:rsidR="00976EB1" w:rsidRPr="00976EB1">
          <w:rPr>
            <w:rFonts w:ascii="Century" w:hAnsi="Century"/>
            <w:color w:val="0000FF"/>
            <w:u w:val="single"/>
            <w:rtl/>
          </w:rPr>
          <w:t xml:space="preserve"> </w:t>
        </w:r>
        <w:r w:rsidR="00976EB1" w:rsidRPr="00976EB1">
          <w:rPr>
            <w:rFonts w:ascii="Century" w:hAnsi="Century" w:hint="cs"/>
            <w:color w:val="0000FF"/>
            <w:u w:val="single"/>
            <w:rtl/>
          </w:rPr>
          <w:t>איסור</w:t>
        </w:r>
        <w:r w:rsidR="00976EB1" w:rsidRPr="00976EB1">
          <w:rPr>
            <w:rFonts w:ascii="Century" w:hAnsi="Century"/>
            <w:color w:val="0000FF"/>
            <w:u w:val="single"/>
            <w:rtl/>
          </w:rPr>
          <w:t xml:space="preserve"> </w:t>
        </w:r>
        <w:r w:rsidR="00976EB1" w:rsidRPr="00976EB1">
          <w:rPr>
            <w:rFonts w:ascii="Century" w:hAnsi="Century" w:hint="cs"/>
            <w:color w:val="0000FF"/>
            <w:u w:val="single"/>
            <w:rtl/>
          </w:rPr>
          <w:t>הלבנת</w:t>
        </w:r>
        <w:r w:rsidR="00976EB1" w:rsidRPr="00976EB1">
          <w:rPr>
            <w:rFonts w:ascii="Century" w:hAnsi="Century"/>
            <w:color w:val="0000FF"/>
            <w:u w:val="single"/>
            <w:rtl/>
          </w:rPr>
          <w:t xml:space="preserve"> </w:t>
        </w:r>
        <w:r w:rsidR="00976EB1" w:rsidRPr="00976EB1">
          <w:rPr>
            <w:rFonts w:ascii="Century" w:hAnsi="Century" w:hint="cs"/>
            <w:color w:val="0000FF"/>
            <w:u w:val="single"/>
            <w:rtl/>
          </w:rPr>
          <w:t>הון</w:t>
        </w:r>
      </w:hyperlink>
      <w:r w:rsidRPr="001B18CF">
        <w:rPr>
          <w:rFonts w:ascii="Century" w:hAnsi="Century" w:hint="cs"/>
          <w:rtl/>
        </w:rPr>
        <w:t xml:space="preserve"> נקבע כי מדובר</w:t>
      </w:r>
      <w:r w:rsidRPr="001B18CF">
        <w:rPr>
          <w:rFonts w:hint="cs"/>
          <w:rtl/>
        </w:rPr>
        <w:t xml:space="preserve"> בעבירה על פי חוק איסור הלבנת הון, ולא על עבירת המקור שממנה התקבלו הכספים שהוסתרו בסופו של יום [עניין </w:t>
      </w:r>
      <w:r w:rsidRPr="001B18CF">
        <w:rPr>
          <w:rFonts w:cs="Miriam" w:hint="cs"/>
          <w:sz w:val="20"/>
          <w:szCs w:val="24"/>
          <w:rtl/>
        </w:rPr>
        <w:t>תענך</w:t>
      </w:r>
      <w:r w:rsidRPr="001B18CF">
        <w:rPr>
          <w:rFonts w:hint="cs"/>
          <w:rtl/>
        </w:rPr>
        <w:t xml:space="preserve">, פסקה 258; </w:t>
      </w:r>
      <w:hyperlink r:id="rId62" w:history="1">
        <w:r w:rsidR="00976EB1" w:rsidRPr="00976EB1">
          <w:rPr>
            <w:color w:val="0000FF"/>
            <w:u w:val="single"/>
            <w:rtl/>
          </w:rPr>
          <w:t>ע"א 325/12</w:t>
        </w:r>
      </w:hyperlink>
      <w:r w:rsidRPr="001B18CF">
        <w:rPr>
          <w:rFonts w:hint="cs"/>
          <w:rtl/>
        </w:rPr>
        <w:t xml:space="preserve"> </w:t>
      </w:r>
      <w:r w:rsidRPr="001B18CF">
        <w:rPr>
          <w:rFonts w:cs="Miriam" w:hint="cs"/>
          <w:sz w:val="20"/>
          <w:szCs w:val="24"/>
          <w:rtl/>
        </w:rPr>
        <w:t>רוזנבלט נ' מדינת ישראל</w:t>
      </w:r>
      <w:r w:rsidRPr="001B18CF">
        <w:rPr>
          <w:rFonts w:hint="cs"/>
          <w:rtl/>
        </w:rPr>
        <w:t xml:space="preserve">, </w:t>
      </w:r>
      <w:r w:rsidR="00D05667" w:rsidRPr="00D05667">
        <w:rPr>
          <w:rFonts w:ascii="Times New Roman" w:hAnsi="Times New Roman" w:cs="David"/>
          <w:spacing w:val="0"/>
          <w:szCs w:val="24"/>
          <w:rtl/>
        </w:rPr>
        <w:t xml:space="preserve">[פורסם בנבו] </w:t>
      </w:r>
      <w:r w:rsidRPr="001B18CF">
        <w:rPr>
          <w:rFonts w:hint="cs"/>
          <w:rtl/>
        </w:rPr>
        <w:t>פסקה 9 (21.1.2013)].</w:t>
      </w:r>
    </w:p>
    <w:p w14:paraId="46BAB6D2" w14:textId="77777777" w:rsidR="00C76774" w:rsidRDefault="00C76774" w:rsidP="00C76774">
      <w:pPr>
        <w:pStyle w:val="Ruller41"/>
        <w:ind w:left="-52"/>
        <w:rPr>
          <w:rtl/>
        </w:rPr>
      </w:pPr>
    </w:p>
    <w:p w14:paraId="04045E60" w14:textId="77777777" w:rsidR="00C76774" w:rsidRDefault="00C76774" w:rsidP="00C76774">
      <w:pPr>
        <w:pStyle w:val="Ruller4"/>
        <w:numPr>
          <w:ilvl w:val="0"/>
          <w:numId w:val="0"/>
        </w:numPr>
        <w:ind w:left="-52"/>
        <w:rPr>
          <w:rStyle w:val="default"/>
          <w:rFonts w:ascii="Century" w:hAnsi="Century" w:cs="FrankRuehl"/>
          <w:rtl/>
        </w:rPr>
      </w:pPr>
      <w:r>
        <w:rPr>
          <w:rStyle w:val="default"/>
          <w:rFonts w:ascii="Century" w:hAnsi="Century" w:cs="FrankRuehl" w:hint="cs"/>
          <w:rtl/>
        </w:rPr>
        <w:t>30.</w:t>
      </w:r>
      <w:r>
        <w:rPr>
          <w:rStyle w:val="default"/>
          <w:rFonts w:ascii="Century" w:hAnsi="Century" w:cs="FrankRuehl" w:hint="cs"/>
          <w:rtl/>
        </w:rPr>
        <w:tab/>
        <w:t>אשר לדרך חישוב סכומי החילוט, נפסק כי "'בלעו של גזלן' משמעו הכספים בהם בוצעה העבירה ולא ה'עמלה' שגוזל כל עבריין אגב ביצועה... חילוט רכושו של הנאשם נובע מכך שאין המדובר ברכושו, שכן זה הושג בעבירה, אלא ברכוש שהוא למעשה של הציבור, ולכן יש לחלטו" [</w:t>
      </w:r>
      <w:hyperlink r:id="rId63" w:history="1">
        <w:r w:rsidR="00976EB1" w:rsidRPr="00976EB1">
          <w:rPr>
            <w:rStyle w:val="default"/>
            <w:rFonts w:ascii="Century" w:hAnsi="Century" w:cs="FrankRuehl" w:hint="cs"/>
            <w:color w:val="0000FF"/>
            <w:u w:val="single"/>
            <w:rtl/>
          </w:rPr>
          <w:t>בש</w:t>
        </w:r>
        <w:r w:rsidR="00976EB1" w:rsidRPr="00976EB1">
          <w:rPr>
            <w:rStyle w:val="default"/>
            <w:rFonts w:ascii="Century" w:hAnsi="Century" w:cs="FrankRuehl"/>
            <w:color w:val="0000FF"/>
            <w:u w:val="single"/>
            <w:rtl/>
          </w:rPr>
          <w:t>"</w:t>
        </w:r>
        <w:r w:rsidR="00976EB1" w:rsidRPr="00976EB1">
          <w:rPr>
            <w:rStyle w:val="default"/>
            <w:rFonts w:ascii="Century" w:hAnsi="Century" w:cs="FrankRuehl" w:hint="cs"/>
            <w:color w:val="0000FF"/>
            <w:u w:val="single"/>
            <w:rtl/>
          </w:rPr>
          <w:t>פ</w:t>
        </w:r>
        <w:r w:rsidR="00976EB1" w:rsidRPr="00976EB1">
          <w:rPr>
            <w:rStyle w:val="default"/>
            <w:rFonts w:ascii="Century" w:hAnsi="Century" w:cs="FrankRuehl"/>
            <w:color w:val="0000FF"/>
            <w:u w:val="single"/>
            <w:rtl/>
          </w:rPr>
          <w:t xml:space="preserve"> 5723/14</w:t>
        </w:r>
      </w:hyperlink>
      <w:r>
        <w:rPr>
          <w:rStyle w:val="default"/>
          <w:rFonts w:ascii="Century" w:hAnsi="Century" w:cs="FrankRuehl" w:hint="cs"/>
          <w:rtl/>
        </w:rPr>
        <w:t xml:space="preserve"> </w:t>
      </w:r>
      <w:r w:rsidRPr="000413C5">
        <w:rPr>
          <w:rStyle w:val="default"/>
          <w:rFonts w:ascii="Century" w:hAnsi="Century" w:cs="Miriam" w:hint="cs"/>
          <w:sz w:val="22"/>
          <w:szCs w:val="24"/>
          <w:rtl/>
        </w:rPr>
        <w:t>טולטו שיר נ' מדינת ישראל</w:t>
      </w:r>
      <w:r>
        <w:rPr>
          <w:rStyle w:val="default"/>
          <w:rFonts w:ascii="Century" w:hAnsi="Century" w:cs="FrankRuehl" w:hint="cs"/>
          <w:rtl/>
        </w:rPr>
        <w:t xml:space="preserve">, </w:t>
      </w:r>
      <w:r w:rsidR="00D05667" w:rsidRPr="00D05667">
        <w:rPr>
          <w:rStyle w:val="default"/>
          <w:rFonts w:ascii="Times New Roman" w:hAnsi="Times New Roman" w:cs="David"/>
          <w:spacing w:val="0"/>
          <w:sz w:val="22"/>
          <w:szCs w:val="24"/>
          <w:rtl/>
        </w:rPr>
        <w:t>[</w:t>
      </w:r>
      <w:r w:rsidR="00D05667" w:rsidRPr="00D05667">
        <w:rPr>
          <w:rStyle w:val="default"/>
          <w:rFonts w:ascii="Times New Roman" w:hAnsi="Times New Roman" w:cs="David" w:hint="cs"/>
          <w:spacing w:val="0"/>
          <w:sz w:val="22"/>
          <w:szCs w:val="24"/>
          <w:rtl/>
        </w:rPr>
        <w:t>פורסם</w:t>
      </w:r>
      <w:r w:rsidR="00D05667" w:rsidRPr="00D05667">
        <w:rPr>
          <w:rStyle w:val="default"/>
          <w:rFonts w:ascii="Times New Roman" w:hAnsi="Times New Roman" w:cs="David"/>
          <w:spacing w:val="0"/>
          <w:sz w:val="22"/>
          <w:szCs w:val="24"/>
          <w:rtl/>
        </w:rPr>
        <w:t xml:space="preserve"> </w:t>
      </w:r>
      <w:r w:rsidR="00D05667" w:rsidRPr="00D05667">
        <w:rPr>
          <w:rStyle w:val="default"/>
          <w:rFonts w:ascii="Times New Roman" w:hAnsi="Times New Roman" w:cs="David" w:hint="cs"/>
          <w:spacing w:val="0"/>
          <w:sz w:val="22"/>
          <w:szCs w:val="24"/>
          <w:rtl/>
        </w:rPr>
        <w:t>בנבו</w:t>
      </w:r>
      <w:r w:rsidR="00D05667" w:rsidRPr="00D05667">
        <w:rPr>
          <w:rStyle w:val="default"/>
          <w:rFonts w:ascii="Times New Roman" w:hAnsi="Times New Roman" w:cs="David"/>
          <w:spacing w:val="0"/>
          <w:sz w:val="22"/>
          <w:szCs w:val="24"/>
          <w:rtl/>
        </w:rPr>
        <w:t xml:space="preserve">] </w:t>
      </w:r>
      <w:r>
        <w:rPr>
          <w:rStyle w:val="default"/>
          <w:rFonts w:ascii="Century" w:hAnsi="Century" w:cs="FrankRuehl" w:hint="cs"/>
          <w:rtl/>
        </w:rPr>
        <w:t>פסקאות 6 ו-12 (3.11.2014) (להלן: עניין</w:t>
      </w:r>
      <w:r w:rsidRPr="007F59B3">
        <w:rPr>
          <w:rStyle w:val="default"/>
          <w:rFonts w:ascii="Century" w:hAnsi="Century" w:cs="Miriam" w:hint="cs"/>
          <w:sz w:val="22"/>
          <w:szCs w:val="24"/>
          <w:rtl/>
        </w:rPr>
        <w:t xml:space="preserve"> טולטו</w:t>
      </w:r>
      <w:r>
        <w:rPr>
          <w:rStyle w:val="default"/>
          <w:rFonts w:ascii="Century" w:hAnsi="Century" w:cs="FrankRuehl" w:hint="cs"/>
          <w:rtl/>
        </w:rPr>
        <w:t xml:space="preserve">)]. עוד נקבע כי הרכוש האסור אינו מתמצא אך ברווח שצמח לנאשם מביצוע העבירה, כי אם סך התקבולים אשר התקבלו במסגרת ביצוע עבירת המקור, וכי מסקנה זו עולה בקנה אחד הן עם התכלית הקניינית והן עם התכלית ההרתעתית </w:t>
      </w:r>
      <w:r w:rsidRPr="00A954A4">
        <w:rPr>
          <w:rStyle w:val="default"/>
          <w:rFonts w:ascii="Century" w:hAnsi="Century" w:cs="FrankRuehl" w:hint="cs"/>
          <w:rtl/>
        </w:rPr>
        <w:t>[</w:t>
      </w:r>
      <w:hyperlink r:id="rId64" w:history="1">
        <w:r w:rsidR="00976EB1" w:rsidRPr="00976EB1">
          <w:rPr>
            <w:rFonts w:cs="FrankRuehl" w:hint="cs"/>
            <w:color w:val="0000FF"/>
            <w:u w:val="single"/>
            <w:rtl/>
          </w:rPr>
          <w:t>ע</w:t>
        </w:r>
        <w:r w:rsidR="00976EB1" w:rsidRPr="00976EB1">
          <w:rPr>
            <w:rFonts w:cs="FrankRuehl"/>
            <w:color w:val="0000FF"/>
            <w:u w:val="single"/>
            <w:rtl/>
          </w:rPr>
          <w:t>"</w:t>
        </w:r>
        <w:r w:rsidR="00976EB1" w:rsidRPr="00976EB1">
          <w:rPr>
            <w:rFonts w:cs="FrankRuehl" w:hint="cs"/>
            <w:color w:val="0000FF"/>
            <w:u w:val="single"/>
            <w:rtl/>
          </w:rPr>
          <w:t>פ</w:t>
        </w:r>
        <w:r w:rsidR="00976EB1" w:rsidRPr="00976EB1">
          <w:rPr>
            <w:rFonts w:cs="FrankRuehl"/>
            <w:color w:val="0000FF"/>
            <w:u w:val="single"/>
            <w:rtl/>
          </w:rPr>
          <w:t xml:space="preserve"> 6339/18</w:t>
        </w:r>
      </w:hyperlink>
      <w:r>
        <w:rPr>
          <w:rFonts w:hint="cs"/>
          <w:rtl/>
        </w:rPr>
        <w:t xml:space="preserve"> </w:t>
      </w:r>
      <w:r w:rsidRPr="003521E2">
        <w:rPr>
          <w:rFonts w:cs="Miriam" w:hint="cs"/>
          <w:sz w:val="20"/>
          <w:szCs w:val="24"/>
          <w:rtl/>
        </w:rPr>
        <w:t>בלווא נ' מדינת ישראל</w:t>
      </w:r>
      <w:r>
        <w:rPr>
          <w:rFonts w:hint="cs"/>
          <w:rtl/>
        </w:rPr>
        <w:t xml:space="preserve">, </w:t>
      </w:r>
      <w:r w:rsidR="00D05667" w:rsidRPr="00D05667">
        <w:rPr>
          <w:rFonts w:ascii="Times New Roman" w:hAnsi="Times New Roman" w:cs="David"/>
          <w:spacing w:val="0"/>
          <w:sz w:val="22"/>
          <w:szCs w:val="24"/>
          <w:rtl/>
        </w:rPr>
        <w:t>[</w:t>
      </w:r>
      <w:r w:rsidR="00D05667" w:rsidRPr="00D05667">
        <w:rPr>
          <w:rFonts w:ascii="Times New Roman" w:hAnsi="Times New Roman" w:cs="David" w:hint="cs"/>
          <w:spacing w:val="0"/>
          <w:sz w:val="22"/>
          <w:szCs w:val="24"/>
          <w:rtl/>
        </w:rPr>
        <w:t>פורסם</w:t>
      </w:r>
      <w:r w:rsidR="00D05667" w:rsidRPr="00D05667">
        <w:rPr>
          <w:rFonts w:ascii="Times New Roman" w:hAnsi="Times New Roman" w:cs="David"/>
          <w:spacing w:val="0"/>
          <w:sz w:val="22"/>
          <w:szCs w:val="24"/>
          <w:rtl/>
        </w:rPr>
        <w:t xml:space="preserve"> </w:t>
      </w:r>
      <w:r w:rsidR="00D05667" w:rsidRPr="00D05667">
        <w:rPr>
          <w:rFonts w:ascii="Times New Roman" w:hAnsi="Times New Roman" w:cs="David" w:hint="cs"/>
          <w:spacing w:val="0"/>
          <w:sz w:val="22"/>
          <w:szCs w:val="24"/>
          <w:rtl/>
        </w:rPr>
        <w:t>בנבו</w:t>
      </w:r>
      <w:r w:rsidR="00D05667" w:rsidRPr="00D05667">
        <w:rPr>
          <w:rFonts w:ascii="Times New Roman" w:hAnsi="Times New Roman" w:cs="David"/>
          <w:spacing w:val="0"/>
          <w:sz w:val="22"/>
          <w:szCs w:val="24"/>
          <w:rtl/>
        </w:rPr>
        <w:t xml:space="preserve">] </w:t>
      </w:r>
      <w:r w:rsidRPr="00A954A4">
        <w:rPr>
          <w:rStyle w:val="default"/>
          <w:rFonts w:ascii="Century" w:hAnsi="Century" w:cs="FrankRuehl" w:hint="cs"/>
          <w:rtl/>
        </w:rPr>
        <w:t>פסקה</w:t>
      </w:r>
      <w:r>
        <w:rPr>
          <w:rFonts w:hint="cs"/>
          <w:rtl/>
        </w:rPr>
        <w:t xml:space="preserve"> </w:t>
      </w:r>
      <w:r w:rsidRPr="00A954A4">
        <w:rPr>
          <w:rFonts w:cs="FrankRuehl" w:hint="cs"/>
          <w:sz w:val="28"/>
          <w:rtl/>
        </w:rPr>
        <w:t>33</w:t>
      </w:r>
      <w:r w:rsidRPr="00A954A4">
        <w:rPr>
          <w:rFonts w:cs="FrankRuehl" w:hint="cs"/>
          <w:rtl/>
        </w:rPr>
        <w:t xml:space="preserve"> (15.1.2020) (להלן: עניין</w:t>
      </w:r>
      <w:r>
        <w:rPr>
          <w:rFonts w:hint="cs"/>
          <w:rtl/>
        </w:rPr>
        <w:t xml:space="preserve"> </w:t>
      </w:r>
      <w:r w:rsidRPr="003521E2">
        <w:rPr>
          <w:rFonts w:cs="Miriam" w:hint="cs"/>
          <w:sz w:val="20"/>
          <w:szCs w:val="24"/>
          <w:rtl/>
        </w:rPr>
        <w:t>בלווא</w:t>
      </w:r>
      <w:r w:rsidRPr="00A954A4">
        <w:rPr>
          <w:rFonts w:cs="FrankRuehl" w:hint="cs"/>
          <w:rtl/>
        </w:rPr>
        <w:t>)</w:t>
      </w:r>
      <w:r>
        <w:rPr>
          <w:rStyle w:val="default"/>
          <w:rFonts w:ascii="Century" w:hAnsi="Century" w:cs="FrankRuehl" w:hint="cs"/>
          <w:rtl/>
        </w:rPr>
        <w:t>].</w:t>
      </w:r>
    </w:p>
    <w:p w14:paraId="36A53250" w14:textId="77777777" w:rsidR="00C76774" w:rsidRPr="00F70644" w:rsidRDefault="00C76774" w:rsidP="00C76774">
      <w:pPr>
        <w:pStyle w:val="Ruller4"/>
        <w:numPr>
          <w:ilvl w:val="0"/>
          <w:numId w:val="0"/>
        </w:numPr>
        <w:ind w:left="-52"/>
        <w:rPr>
          <w:rFonts w:cs="FrankRuehl"/>
          <w:rtl/>
        </w:rPr>
      </w:pPr>
      <w:r>
        <w:rPr>
          <w:rStyle w:val="default"/>
          <w:rFonts w:ascii="Century" w:hAnsi="Century" w:cs="FrankRuehl" w:hint="cs"/>
          <w:rtl/>
        </w:rPr>
        <w:t>מהאמור עולה כי יש לגזור את היקף הסכום המיועד לחילוט מהיקפה של עבירת הלבנת ההון כולה – דהיינו פעולתם של הנאשם וצרפתי יחד לשם</w:t>
      </w:r>
      <w:r w:rsidRPr="00627F0D">
        <w:rPr>
          <w:rStyle w:val="default"/>
          <w:rFonts w:ascii="Century" w:hAnsi="Century" w:cs="FrankRuehl" w:hint="cs"/>
          <w:rtl/>
        </w:rPr>
        <w:t xml:space="preserve"> הסוואת מקורו של הרכוש האסור, כאשר ברירת המחדל היא להורות על חילוט </w:t>
      </w:r>
      <w:r w:rsidRPr="00626182">
        <w:rPr>
          <w:rStyle w:val="default"/>
          <w:rFonts w:ascii="Century" w:hAnsi="Century" w:cs="Miriam" w:hint="cs"/>
          <w:sz w:val="22"/>
          <w:szCs w:val="24"/>
          <w:rtl/>
        </w:rPr>
        <w:t>מלוא סכום שווי העבירה</w:t>
      </w:r>
      <w:r w:rsidRPr="00627F0D">
        <w:rPr>
          <w:rStyle w:val="default"/>
          <w:rFonts w:ascii="Century" w:hAnsi="Century" w:cs="FrankRuehl" w:hint="cs"/>
          <w:rtl/>
        </w:rPr>
        <w:t>.</w:t>
      </w:r>
      <w:r w:rsidRPr="00627F0D">
        <w:rPr>
          <w:rFonts w:cs="FrankRuehl" w:hint="cs"/>
          <w:rtl/>
        </w:rPr>
        <w:t xml:space="preserve"> בהינתן</w:t>
      </w:r>
      <w:r>
        <w:rPr>
          <w:rFonts w:cs="FrankRuehl" w:hint="cs"/>
          <w:rtl/>
        </w:rPr>
        <w:t xml:space="preserve"> ש</w:t>
      </w:r>
      <w:r w:rsidRPr="00627F0D">
        <w:rPr>
          <w:rFonts w:cs="FrankRuehl" w:hint="cs"/>
          <w:rtl/>
        </w:rPr>
        <w:t>שווי הרכוש התפוס</w:t>
      </w:r>
      <w:r>
        <w:rPr>
          <w:rFonts w:cs="FrankRuehl" w:hint="cs"/>
          <w:rtl/>
        </w:rPr>
        <w:t>,</w:t>
      </w:r>
      <w:r w:rsidRPr="00627F0D">
        <w:rPr>
          <w:rFonts w:cs="FrankRuehl" w:hint="cs"/>
          <w:rtl/>
        </w:rPr>
        <w:t xml:space="preserve"> </w:t>
      </w:r>
      <w:r>
        <w:rPr>
          <w:rFonts w:cs="FrankRuehl" w:hint="cs"/>
          <w:rtl/>
        </w:rPr>
        <w:t>ה</w:t>
      </w:r>
      <w:r w:rsidRPr="00627F0D">
        <w:rPr>
          <w:rFonts w:cs="FrankRuehl" w:hint="cs"/>
          <w:rtl/>
        </w:rPr>
        <w:t xml:space="preserve">מסתכם </w:t>
      </w:r>
      <w:r>
        <w:rPr>
          <w:rFonts w:cs="FrankRuehl" w:hint="cs"/>
          <w:rtl/>
        </w:rPr>
        <w:t>ב</w:t>
      </w:r>
      <w:r w:rsidRPr="00627F0D">
        <w:rPr>
          <w:rFonts w:cs="FrankRuehl" w:hint="cs"/>
          <w:rtl/>
        </w:rPr>
        <w:t>כ-3 מיליון ₪ בלבד,</w:t>
      </w:r>
      <w:r>
        <w:rPr>
          <w:rFonts w:cs="FrankRuehl" w:hint="cs"/>
          <w:rtl/>
        </w:rPr>
        <w:t xml:space="preserve"> הינו סכום הקטן בהרבה משווי העבירה,</w:t>
      </w:r>
      <w:r w:rsidRPr="00627F0D">
        <w:rPr>
          <w:rFonts w:cs="FrankRuehl" w:hint="cs"/>
          <w:rtl/>
        </w:rPr>
        <w:t xml:space="preserve"> הרי שניתן להורות על חילוט מלוא </w:t>
      </w:r>
      <w:r>
        <w:rPr>
          <w:rFonts w:cs="FrankRuehl" w:hint="cs"/>
          <w:rtl/>
        </w:rPr>
        <w:t>ה</w:t>
      </w:r>
      <w:r w:rsidRPr="00627F0D">
        <w:rPr>
          <w:rFonts w:cs="FrankRuehl" w:hint="cs"/>
          <w:rtl/>
        </w:rPr>
        <w:t xml:space="preserve">סכום. </w:t>
      </w:r>
    </w:p>
    <w:p w14:paraId="7A87EBB2" w14:textId="77777777" w:rsidR="00C76774" w:rsidRDefault="00C76774" w:rsidP="00C76774">
      <w:pPr>
        <w:pStyle w:val="Ruller4"/>
        <w:numPr>
          <w:ilvl w:val="0"/>
          <w:numId w:val="0"/>
        </w:numPr>
        <w:ind w:left="-52"/>
        <w:rPr>
          <w:rFonts w:cs="FrankRuehl"/>
          <w:rtl/>
        </w:rPr>
      </w:pPr>
    </w:p>
    <w:p w14:paraId="4B69F430" w14:textId="77777777" w:rsidR="00C76774" w:rsidRPr="00CC3132" w:rsidRDefault="00C76774" w:rsidP="00C76774">
      <w:pPr>
        <w:pStyle w:val="Ruller4"/>
        <w:numPr>
          <w:ilvl w:val="0"/>
          <w:numId w:val="0"/>
        </w:numPr>
        <w:ind w:left="-52"/>
        <w:rPr>
          <w:rtl/>
        </w:rPr>
      </w:pPr>
      <w:r w:rsidRPr="00F70644">
        <w:rPr>
          <w:rFonts w:cs="FrankRuehl" w:hint="cs"/>
          <w:rtl/>
        </w:rPr>
        <w:t>3</w:t>
      </w:r>
      <w:r>
        <w:rPr>
          <w:rFonts w:cs="FrankRuehl" w:hint="cs"/>
          <w:rtl/>
        </w:rPr>
        <w:t>1</w:t>
      </w:r>
      <w:r w:rsidRPr="00F70644">
        <w:rPr>
          <w:rFonts w:cs="FrankRuehl" w:hint="cs"/>
          <w:rtl/>
        </w:rPr>
        <w:t>.</w:t>
      </w:r>
      <w:r w:rsidRPr="00F70644">
        <w:rPr>
          <w:rFonts w:cs="FrankRuehl" w:hint="cs"/>
          <w:rtl/>
        </w:rPr>
        <w:tab/>
        <w:t>לטענות הנאשם הוא נאלץ לבטל שתי עסקאות נדל"ן שביצע, זאת בעקבות צווי איסור הדיספוזיציה שהוטלו עליו במסגרת הליך ה"חילוט הזמני", וכן מס הרכישה אותו שילם עת חתם על העסקאות בסך 207,000 ₪</w:t>
      </w:r>
      <w:r>
        <w:rPr>
          <w:rFonts w:cs="FrankRuehl" w:hint="cs"/>
          <w:rtl/>
        </w:rPr>
        <w:t>,</w:t>
      </w:r>
      <w:r w:rsidRPr="00F70644">
        <w:rPr>
          <w:rFonts w:cs="FrankRuehl" w:hint="cs"/>
          <w:rtl/>
        </w:rPr>
        <w:t xml:space="preserve"> שלא הושבו לו חרף ביטול העסקאות על ידי המאשימה. טענה זו דינה להידחות הן במישור המשפטי והן במישור הפרקטי. במישור המשפטי, נפסק לא אחת, ובכלל זה בפסק הדין שניתן לאחרונה בעניין </w:t>
      </w:r>
      <w:r w:rsidRPr="00F70644">
        <w:rPr>
          <w:rStyle w:val="default"/>
          <w:rFonts w:ascii="Century" w:hAnsi="Century" w:cs="Miriam" w:hint="cs"/>
          <w:sz w:val="22"/>
          <w:szCs w:val="24"/>
          <w:rtl/>
        </w:rPr>
        <w:t>בלווא</w:t>
      </w:r>
      <w:r w:rsidRPr="00F70644">
        <w:rPr>
          <w:rFonts w:cs="FrankRuehl" w:hint="cs"/>
          <w:rtl/>
        </w:rPr>
        <w:t xml:space="preserve">, כי אין מקום לכרוך בגדרי ההחלטה על חילוט לפי </w:t>
      </w:r>
      <w:hyperlink r:id="rId65" w:history="1">
        <w:r w:rsidR="00976EB1" w:rsidRPr="00976EB1">
          <w:rPr>
            <w:rFonts w:cs="FrankRuehl" w:hint="cs"/>
            <w:color w:val="0000FF"/>
            <w:u w:val="single"/>
            <w:rtl/>
          </w:rPr>
          <w:t>חוק</w:t>
        </w:r>
        <w:r w:rsidR="00976EB1" w:rsidRPr="00976EB1">
          <w:rPr>
            <w:rFonts w:cs="FrankRuehl"/>
            <w:color w:val="0000FF"/>
            <w:u w:val="single"/>
            <w:rtl/>
          </w:rPr>
          <w:t xml:space="preserve"> </w:t>
        </w:r>
        <w:r w:rsidR="00976EB1" w:rsidRPr="00976EB1">
          <w:rPr>
            <w:rFonts w:cs="FrankRuehl" w:hint="cs"/>
            <w:color w:val="0000FF"/>
            <w:u w:val="single"/>
            <w:rtl/>
          </w:rPr>
          <w:t>איסור</w:t>
        </w:r>
        <w:r w:rsidR="00976EB1" w:rsidRPr="00976EB1">
          <w:rPr>
            <w:rFonts w:cs="FrankRuehl"/>
            <w:color w:val="0000FF"/>
            <w:u w:val="single"/>
            <w:rtl/>
          </w:rPr>
          <w:t xml:space="preserve"> </w:t>
        </w:r>
        <w:r w:rsidR="00976EB1" w:rsidRPr="00976EB1">
          <w:rPr>
            <w:rFonts w:cs="FrankRuehl" w:hint="cs"/>
            <w:color w:val="0000FF"/>
            <w:u w:val="single"/>
            <w:rtl/>
          </w:rPr>
          <w:t>הלבנת</w:t>
        </w:r>
        <w:r w:rsidR="00976EB1" w:rsidRPr="00976EB1">
          <w:rPr>
            <w:rFonts w:cs="FrankRuehl"/>
            <w:color w:val="0000FF"/>
            <w:u w:val="single"/>
            <w:rtl/>
          </w:rPr>
          <w:t xml:space="preserve"> </w:t>
        </w:r>
        <w:r w:rsidR="00976EB1" w:rsidRPr="00976EB1">
          <w:rPr>
            <w:rFonts w:cs="FrankRuehl" w:hint="cs"/>
            <w:color w:val="0000FF"/>
            <w:u w:val="single"/>
            <w:rtl/>
          </w:rPr>
          <w:t>הון</w:t>
        </w:r>
      </w:hyperlink>
      <w:r w:rsidRPr="00F70644">
        <w:rPr>
          <w:rFonts w:cs="FrankRuehl" w:hint="cs"/>
          <w:rtl/>
        </w:rPr>
        <w:t xml:space="preserve"> את הבירור לגבי נטל המס בו נשא נאשם, זאת ממספר טעמים שפורטו בפסק הדין, כאשר קביעה זו נכונה לגבי כל רכוש שהוגדר כ"בר חילוט"</w:t>
      </w:r>
      <w:r>
        <w:rPr>
          <w:rFonts w:hint="cs"/>
          <w:rtl/>
        </w:rPr>
        <w:t xml:space="preserve"> [עניין </w:t>
      </w:r>
      <w:r w:rsidRPr="005F4F0A">
        <w:rPr>
          <w:rStyle w:val="default"/>
          <w:rFonts w:ascii="Century" w:hAnsi="Century" w:cs="Miriam" w:hint="cs"/>
          <w:sz w:val="22"/>
          <w:szCs w:val="24"/>
          <w:rtl/>
        </w:rPr>
        <w:t>בלווא</w:t>
      </w:r>
      <w:r>
        <w:rPr>
          <w:rFonts w:hint="cs"/>
          <w:rtl/>
        </w:rPr>
        <w:t>, פסקאות</w:t>
      </w:r>
      <w:r w:rsidRPr="00C62394">
        <w:rPr>
          <w:rFonts w:cs="FrankRuehl" w:hint="cs"/>
          <w:rtl/>
        </w:rPr>
        <w:t xml:space="preserve"> 39-42].</w:t>
      </w:r>
      <w:r>
        <w:rPr>
          <w:rFonts w:hint="cs"/>
          <w:rtl/>
        </w:rPr>
        <w:t xml:space="preserve"> </w:t>
      </w:r>
      <w:r>
        <w:rPr>
          <w:rFonts w:cs="FrankRuehl" w:hint="cs"/>
          <w:sz w:val="28"/>
          <w:rtl/>
        </w:rPr>
        <w:t>ב</w:t>
      </w:r>
      <w:r w:rsidRPr="00F70644">
        <w:rPr>
          <w:rFonts w:cs="FrankRuehl" w:hint="cs"/>
          <w:sz w:val="28"/>
          <w:rtl/>
        </w:rPr>
        <w:t>פן הפרקטי, ממילא הסכום המיועד לחילוט</w:t>
      </w:r>
      <w:r>
        <w:rPr>
          <w:rFonts w:cs="FrankRuehl" w:hint="cs"/>
          <w:sz w:val="28"/>
          <w:rtl/>
        </w:rPr>
        <w:t>, גם אם יתווסף לו</w:t>
      </w:r>
      <w:r w:rsidRPr="00F70644">
        <w:rPr>
          <w:rFonts w:cs="FrankRuehl" w:hint="cs"/>
          <w:sz w:val="28"/>
          <w:rtl/>
        </w:rPr>
        <w:t xml:space="preserve"> המס ששולם</w:t>
      </w:r>
      <w:r>
        <w:rPr>
          <w:rFonts w:cs="FrankRuehl" w:hint="cs"/>
          <w:sz w:val="28"/>
          <w:rtl/>
        </w:rPr>
        <w:t>,</w:t>
      </w:r>
      <w:r w:rsidRPr="00F70644">
        <w:rPr>
          <w:rFonts w:cs="FrankRuehl" w:hint="cs"/>
          <w:sz w:val="28"/>
          <w:rtl/>
        </w:rPr>
        <w:t xml:space="preserve"> אינו מתקרב לתקרת החילוט האפשרית.</w:t>
      </w:r>
    </w:p>
    <w:p w14:paraId="3AC9BE43" w14:textId="77777777" w:rsidR="00C76774" w:rsidRDefault="00C76774" w:rsidP="00C76774">
      <w:pPr>
        <w:pStyle w:val="Ruller41"/>
        <w:rPr>
          <w:rtl/>
        </w:rPr>
      </w:pPr>
    </w:p>
    <w:p w14:paraId="6894EE99" w14:textId="77777777" w:rsidR="00C76774" w:rsidRDefault="00C76774" w:rsidP="00C76774">
      <w:pPr>
        <w:pStyle w:val="Ruller41"/>
        <w:rPr>
          <w:rtl/>
        </w:rPr>
      </w:pPr>
      <w:r>
        <w:rPr>
          <w:rFonts w:hint="cs"/>
          <w:rtl/>
        </w:rPr>
        <w:t>32.</w:t>
      </w:r>
      <w:r>
        <w:rPr>
          <w:rFonts w:hint="cs"/>
          <w:rtl/>
        </w:rPr>
        <w:tab/>
        <w:t xml:space="preserve">ואולם, </w:t>
      </w:r>
      <w:hyperlink r:id="rId66" w:history="1">
        <w:r w:rsidR="00F437DB" w:rsidRPr="00F437DB">
          <w:rPr>
            <w:rStyle w:val="Hyperlink"/>
            <w:rFonts w:hint="cs"/>
            <w:rtl/>
          </w:rPr>
          <w:t>סעיף</w:t>
        </w:r>
        <w:r w:rsidR="00F437DB" w:rsidRPr="00F437DB">
          <w:rPr>
            <w:rStyle w:val="Hyperlink"/>
            <w:rtl/>
          </w:rPr>
          <w:t xml:space="preserve"> 21</w:t>
        </w:r>
      </w:hyperlink>
      <w:r>
        <w:rPr>
          <w:rFonts w:hint="cs"/>
          <w:rtl/>
        </w:rPr>
        <w:t xml:space="preserve"> ל</w:t>
      </w:r>
      <w:hyperlink r:id="rId67" w:history="1">
        <w:r w:rsidR="00976EB1" w:rsidRPr="00976EB1">
          <w:rPr>
            <w:color w:val="0000FF"/>
            <w:u w:val="single"/>
            <w:rtl/>
          </w:rPr>
          <w:t>חוק איסור הלבנת הון</w:t>
        </w:r>
      </w:hyperlink>
      <w:r>
        <w:rPr>
          <w:rFonts w:hint="cs"/>
          <w:rtl/>
        </w:rPr>
        <w:t xml:space="preserve">, קובע כי מסורה לבית המשפט האפשרות להימנע מלהורות על חילוט מלוא הרכוש בר החילוט, זאת בהתקיימם של "נימוקים מיוחדים" לסטות מברירת המחדל האמורה. </w:t>
      </w:r>
    </w:p>
    <w:p w14:paraId="349250C1" w14:textId="77777777" w:rsidR="00C76774" w:rsidRDefault="00C76774" w:rsidP="00C76774">
      <w:pPr>
        <w:pStyle w:val="Ruller41"/>
        <w:rPr>
          <w:rtl/>
        </w:rPr>
      </w:pPr>
      <w:r>
        <w:rPr>
          <w:rFonts w:hint="cs"/>
          <w:rtl/>
        </w:rPr>
        <w:t xml:space="preserve">בענייננו הפנה ב"כ הנאשם למספר נימוקים הנכנסים לגדרה של תיבה זו, ומצדיקים, לגישתו, להימנע מחילוט סכום </w:t>
      </w:r>
      <w:r w:rsidRPr="00C62394">
        <w:rPr>
          <w:rFonts w:cs="Miriam" w:hint="cs"/>
          <w:sz w:val="20"/>
          <w:szCs w:val="24"/>
          <w:rtl/>
        </w:rPr>
        <w:t>כלשהו</w:t>
      </w:r>
      <w:r>
        <w:rPr>
          <w:rFonts w:hint="cs"/>
          <w:rtl/>
        </w:rPr>
        <w:t xml:space="preserve"> מהרכוש התפוס, ולחלופין להסתפק בחילוט סכום כסף שלא יעלה על הסכום שחולט לצרפתי. האחד, לצרפתי חולט סכום של כ-75,000 ₪ בלבד, זאת על אף שעניינו חמור מזה של הנאשם, ותוך שהושב לו רכוש בהיקף גדול מסכום החילוט (רכב בשווי של 99,000 ₪); השני, מחזורי ההימורים לא עברו תחת ידיו של הנאשם (שכן אין מדובר בכסף של ממש אלא באשראי שניתן למהמרים על ידי בעלי האתר); השלישי, רווחיו של הנאשם הסתכמו בלא יותר מ-90,000 ₪; הרביעי, מדובר בהרשעתו הראשונה של הנאשם.</w:t>
      </w:r>
      <w:r w:rsidRPr="00F56B0A">
        <w:rPr>
          <w:rFonts w:hint="cs"/>
          <w:rtl/>
        </w:rPr>
        <w:t xml:space="preserve"> </w:t>
      </w:r>
    </w:p>
    <w:p w14:paraId="6C30C88A" w14:textId="77777777" w:rsidR="00C76774" w:rsidRDefault="00C76774" w:rsidP="00C76774">
      <w:pPr>
        <w:pStyle w:val="Ruller41"/>
        <w:rPr>
          <w:rtl/>
        </w:rPr>
      </w:pPr>
      <w:r>
        <w:rPr>
          <w:rFonts w:hint="cs"/>
          <w:rtl/>
        </w:rPr>
        <w:t xml:space="preserve">באופן ספציפי נטען בקשר לנכס 3, כי מחצית הזכויות בו, שייכות לאשתו של הנאשם וכי הקרקע ברובה משועבדת לבנק. </w:t>
      </w:r>
    </w:p>
    <w:p w14:paraId="268A3A77" w14:textId="77777777" w:rsidR="00C76774" w:rsidRDefault="00C76774" w:rsidP="00C76774">
      <w:pPr>
        <w:pStyle w:val="Ruller41"/>
        <w:rPr>
          <w:rtl/>
        </w:rPr>
      </w:pPr>
    </w:p>
    <w:p w14:paraId="1FF1A31A" w14:textId="77777777" w:rsidR="00C76774" w:rsidRDefault="00C76774" w:rsidP="00C76774">
      <w:pPr>
        <w:pStyle w:val="Ruller41"/>
        <w:rPr>
          <w:rtl/>
        </w:rPr>
      </w:pPr>
      <w:r>
        <w:rPr>
          <w:rFonts w:hint="cs"/>
          <w:rtl/>
        </w:rPr>
        <w:t xml:space="preserve">מנגד, טענה המאשימה כי שאלת החילוט של צרפתי ושל הנאשם נשקלה </w:t>
      </w:r>
      <w:r w:rsidRPr="00C62394">
        <w:rPr>
          <w:rFonts w:cs="Miriam" w:hint="cs"/>
          <w:sz w:val="20"/>
          <w:szCs w:val="24"/>
          <w:rtl/>
        </w:rPr>
        <w:t>כחלק ממכלול שיקולי הענישה</w:t>
      </w:r>
      <w:r>
        <w:rPr>
          <w:rFonts w:hint="cs"/>
          <w:rtl/>
        </w:rPr>
        <w:t>, במסגרת הסדרי הטיעון אליהם הגיעה המאשימה עם כל אחד מהם. כך, בעוד שהמאשימה החליטה שלא למצות את הדין עם צרפתי בקשר לרכיב החילוט, בעוד שמנגד הוסכם כחלק מהסדר טיעון "סגור" שהוא ירצה עונש מאסר לתקופה משמעותית, מצב הדברים בעניינו של הנאשם הפוך, כאשר מצד אחד הוסכם בין הצדדים שלא ימוצה עמו הדין בנוגע לעונש המוחשי (קרי, הימנעות מהטלת מאסר בפועל והסתפקות בעונש של עבודות שירות), כאשר כאיזון לכך תוכל המאשימה לעתור לחילוט כל רכושו. המאשימה הסבירה שהסדר זה נבע, בין היתר, מתוך התחשבות במצבם המשפחתי של כל אחד מהנאשמים, כמו גם ממצבת הרכוש שנתפס לכל אחד מהם. כך, בעוד שלצרפתי נתפסו סכומי כסף בשווי כולל של כ-20,000 ₪ (כמפורט בכתב האישום) ורכב, שתמורת שחרורו שילם צרפתי סכום של 55,000 ש"ח, הרי שלנאשם נתפסו נכסי נדל"ן וסכומי כסף בסכומים שונים. בעניין זה נטען שלגבי כל אחד מהנאשמים נתפס</w:t>
      </w:r>
      <w:r w:rsidRPr="00B81AB9">
        <w:rPr>
          <w:rFonts w:cs="Miriam" w:hint="cs"/>
          <w:sz w:val="20"/>
          <w:szCs w:val="24"/>
          <w:rtl/>
        </w:rPr>
        <w:t xml:space="preserve"> כל הרכוש</w:t>
      </w:r>
      <w:r>
        <w:rPr>
          <w:rFonts w:hint="cs"/>
          <w:rtl/>
        </w:rPr>
        <w:t xml:space="preserve"> אותו ניתן היה לתפוס, ומכאן שיש לגזור את גובה החילוט כפועל יוצא מכך.</w:t>
      </w:r>
    </w:p>
    <w:p w14:paraId="140AD4F2" w14:textId="77777777" w:rsidR="00C76774" w:rsidRDefault="00C76774" w:rsidP="00C76774">
      <w:pPr>
        <w:pStyle w:val="Ruller41"/>
        <w:rPr>
          <w:rtl/>
        </w:rPr>
      </w:pPr>
      <w:r>
        <w:rPr>
          <w:rFonts w:hint="cs"/>
          <w:rtl/>
        </w:rPr>
        <w:t xml:space="preserve">בהתייחס לטענות השונות בקשר לרכבו של צרפתי, נטען שלצרפתי נתפס רכב ששוויו ביום התפיסה הוערך בכ-150,000 ₪, כאשר על הרכב אף רבץ שיעבוד. הרכב הוחזר לנאשם עוד בשלב החקירה, לאחר שצרפתי הפקיד תמורתו סך של 55,000 ₪, זאת בהתאם למדיניות הפסיקה בקשר לשחרור כלי רכב בהליך "התפיסה הזמנית", ובשים לב לכך שמדובר היה ברכב משפחתי ששימש את אשתו של צרפתי. </w:t>
      </w:r>
    </w:p>
    <w:p w14:paraId="7E97F9BD" w14:textId="77777777" w:rsidR="00C76774" w:rsidRPr="00312273" w:rsidRDefault="00C76774" w:rsidP="00C76774">
      <w:pPr>
        <w:pStyle w:val="Ruller41"/>
        <w:rPr>
          <w:rtl/>
        </w:rPr>
      </w:pPr>
    </w:p>
    <w:p w14:paraId="2754BFD9" w14:textId="77777777" w:rsidR="00C76774" w:rsidRDefault="00C76774" w:rsidP="00C76774">
      <w:pPr>
        <w:pStyle w:val="Ruller4"/>
        <w:numPr>
          <w:ilvl w:val="0"/>
          <w:numId w:val="0"/>
        </w:numPr>
        <w:ind w:left="-52"/>
        <w:rPr>
          <w:rFonts w:ascii="Century" w:hAnsi="Century" w:cs="FrankRuehl"/>
          <w:sz w:val="22"/>
          <w:rtl/>
        </w:rPr>
      </w:pPr>
      <w:r>
        <w:rPr>
          <w:rFonts w:ascii="Century" w:hAnsi="Century" w:cs="FrankRuehl" w:hint="cs"/>
          <w:sz w:val="22"/>
          <w:rtl/>
        </w:rPr>
        <w:t>33.</w:t>
      </w:r>
      <w:r>
        <w:rPr>
          <w:rFonts w:ascii="Century" w:hAnsi="Century" w:cs="FrankRuehl" w:hint="cs"/>
          <w:sz w:val="22"/>
          <w:rtl/>
        </w:rPr>
        <w:tab/>
        <w:t xml:space="preserve">טרם אגש לבחון את המחלוקת שנפלה בין הצדדים, אציין שדומה שבמקרה שלפנינו מתעוררות במלוא עוזן נפקותן של הגישות השונות שהובעו בפסיקה בקשר </w:t>
      </w:r>
      <w:r w:rsidRPr="007F59B3">
        <w:rPr>
          <w:rFonts w:ascii="Century" w:hAnsi="Century" w:cs="Miriam" w:hint="cs"/>
          <w:sz w:val="20"/>
          <w:szCs w:val="24"/>
          <w:rtl/>
        </w:rPr>
        <w:t>לתכליות</w:t>
      </w:r>
      <w:r>
        <w:rPr>
          <w:rFonts w:ascii="Century" w:hAnsi="Century" w:cs="FrankRuehl" w:hint="cs"/>
          <w:sz w:val="22"/>
          <w:rtl/>
        </w:rPr>
        <w:t xml:space="preserve"> החילוט השונות בהליך הפלילי.</w:t>
      </w:r>
    </w:p>
    <w:p w14:paraId="7950A8CB" w14:textId="77777777" w:rsidR="00C76774" w:rsidRDefault="00C76774" w:rsidP="00C76774">
      <w:pPr>
        <w:pStyle w:val="Ruller4"/>
        <w:numPr>
          <w:ilvl w:val="0"/>
          <w:numId w:val="0"/>
        </w:numPr>
        <w:ind w:left="-52"/>
        <w:rPr>
          <w:rFonts w:ascii="Century" w:hAnsi="Century" w:cs="FrankRuehl"/>
          <w:sz w:val="22"/>
          <w:rtl/>
        </w:rPr>
      </w:pPr>
      <w:r>
        <w:rPr>
          <w:rFonts w:ascii="Century" w:hAnsi="Century" w:cs="FrankRuehl" w:hint="cs"/>
          <w:sz w:val="22"/>
          <w:rtl/>
        </w:rPr>
        <w:t>הווי ידוע לכל שמקובל לייחס להליך החילוט ב</w:t>
      </w:r>
      <w:hyperlink r:id="rId68" w:history="1">
        <w:r w:rsidR="00976EB1" w:rsidRPr="00976EB1">
          <w:rPr>
            <w:rFonts w:ascii="Century" w:hAnsi="Century" w:cs="FrankRuehl" w:hint="cs"/>
            <w:color w:val="0000FF"/>
            <w:sz w:val="22"/>
            <w:u w:val="single"/>
            <w:rtl/>
          </w:rPr>
          <w:t>חוק</w:t>
        </w:r>
        <w:r w:rsidR="00976EB1" w:rsidRPr="00976EB1">
          <w:rPr>
            <w:rFonts w:ascii="Century" w:hAnsi="Century" w:cs="FrankRuehl"/>
            <w:color w:val="0000FF"/>
            <w:sz w:val="22"/>
            <w:u w:val="single"/>
            <w:rtl/>
          </w:rPr>
          <w:t xml:space="preserve"> </w:t>
        </w:r>
        <w:r w:rsidR="00976EB1" w:rsidRPr="00976EB1">
          <w:rPr>
            <w:rFonts w:ascii="Century" w:hAnsi="Century" w:cs="FrankRuehl" w:hint="cs"/>
            <w:color w:val="0000FF"/>
            <w:sz w:val="22"/>
            <w:u w:val="single"/>
            <w:rtl/>
          </w:rPr>
          <w:t>איסור</w:t>
        </w:r>
        <w:r w:rsidR="00976EB1" w:rsidRPr="00976EB1">
          <w:rPr>
            <w:rFonts w:ascii="Century" w:hAnsi="Century" w:cs="FrankRuehl"/>
            <w:color w:val="0000FF"/>
            <w:sz w:val="22"/>
            <w:u w:val="single"/>
            <w:rtl/>
          </w:rPr>
          <w:t xml:space="preserve"> </w:t>
        </w:r>
        <w:r w:rsidR="00976EB1" w:rsidRPr="00976EB1">
          <w:rPr>
            <w:rFonts w:ascii="Century" w:hAnsi="Century" w:cs="FrankRuehl" w:hint="cs"/>
            <w:color w:val="0000FF"/>
            <w:sz w:val="22"/>
            <w:u w:val="single"/>
            <w:rtl/>
          </w:rPr>
          <w:t>הלבנת</w:t>
        </w:r>
        <w:r w:rsidR="00976EB1" w:rsidRPr="00976EB1">
          <w:rPr>
            <w:rFonts w:ascii="Century" w:hAnsi="Century" w:cs="FrankRuehl"/>
            <w:color w:val="0000FF"/>
            <w:sz w:val="22"/>
            <w:u w:val="single"/>
            <w:rtl/>
          </w:rPr>
          <w:t xml:space="preserve"> </w:t>
        </w:r>
        <w:r w:rsidR="00976EB1" w:rsidRPr="00976EB1">
          <w:rPr>
            <w:rFonts w:ascii="Century" w:hAnsi="Century" w:cs="FrankRuehl" w:hint="cs"/>
            <w:color w:val="0000FF"/>
            <w:sz w:val="22"/>
            <w:u w:val="single"/>
            <w:rtl/>
          </w:rPr>
          <w:t>הון</w:t>
        </w:r>
      </w:hyperlink>
      <w:r>
        <w:rPr>
          <w:rFonts w:ascii="Century" w:hAnsi="Century" w:cs="FrankRuehl" w:hint="cs"/>
          <w:sz w:val="22"/>
          <w:rtl/>
        </w:rPr>
        <w:t xml:space="preserve"> שתי תכליות מרכזיות: </w:t>
      </w:r>
      <w:r w:rsidRPr="003145B9">
        <w:rPr>
          <w:rFonts w:ascii="Century" w:hAnsi="Century" w:cs="Miriam" w:hint="cs"/>
          <w:sz w:val="20"/>
          <w:szCs w:val="24"/>
          <w:rtl/>
        </w:rPr>
        <w:t>ה</w:t>
      </w:r>
      <w:r>
        <w:rPr>
          <w:rFonts w:ascii="Century" w:hAnsi="Century" w:cs="Miriam" w:hint="cs"/>
          <w:sz w:val="20"/>
          <w:szCs w:val="24"/>
          <w:rtl/>
        </w:rPr>
        <w:t>אחת</w:t>
      </w:r>
      <w:r>
        <w:rPr>
          <w:rFonts w:ascii="Century" w:hAnsi="Century" w:cs="FrankRuehl" w:hint="cs"/>
          <w:sz w:val="22"/>
          <w:rtl/>
        </w:rPr>
        <w:t xml:space="preserve">, היא התכלית </w:t>
      </w:r>
      <w:r w:rsidRPr="00E12C9F">
        <w:rPr>
          <w:rStyle w:val="default"/>
          <w:rFonts w:cs="Miriam" w:hint="cs"/>
          <w:b/>
          <w:spacing w:val="0"/>
          <w:szCs w:val="24"/>
          <w:rtl/>
        </w:rPr>
        <w:t>ההרתעתית</w:t>
      </w:r>
      <w:r>
        <w:rPr>
          <w:rFonts w:ascii="Century" w:hAnsi="Century" w:cs="FrankRuehl" w:hint="cs"/>
          <w:sz w:val="22"/>
          <w:rtl/>
        </w:rPr>
        <w:t xml:space="preserve">, שעניינה בפגיעה בתמריץ הכלכלי, שהוא התמריץ העיקרי שיש לעבריין בביצוע עבירת המקור. </w:t>
      </w:r>
      <w:r w:rsidRPr="003145B9">
        <w:rPr>
          <w:rFonts w:ascii="Century" w:hAnsi="Century" w:cs="Miriam" w:hint="cs"/>
          <w:sz w:val="20"/>
          <w:szCs w:val="24"/>
          <w:rtl/>
        </w:rPr>
        <w:t>לצדה</w:t>
      </w:r>
      <w:r>
        <w:rPr>
          <w:rFonts w:ascii="Century" w:hAnsi="Century" w:cs="FrankRuehl" w:hint="cs"/>
          <w:sz w:val="22"/>
          <w:rtl/>
        </w:rPr>
        <w:t xml:space="preserve"> עומדת התכלית </w:t>
      </w:r>
      <w:r w:rsidRPr="00E12C9F">
        <w:rPr>
          <w:rStyle w:val="default"/>
          <w:rFonts w:cs="Miriam" w:hint="cs"/>
          <w:b/>
          <w:spacing w:val="0"/>
          <w:szCs w:val="24"/>
          <w:rtl/>
        </w:rPr>
        <w:t>הקניינית</w:t>
      </w:r>
      <w:r>
        <w:rPr>
          <w:rFonts w:ascii="Century" w:hAnsi="Century" w:cs="FrankRuehl" w:hint="cs"/>
          <w:sz w:val="22"/>
          <w:rtl/>
        </w:rPr>
        <w:t xml:space="preserve">, לפיה החילוט נועד להוציא את בלעו של גזלן מפיו. הנחת המוצא ביסוד תכלית אחרונה זו היא כי החילוט לא נועד לפגוע בעבריין המורשע בדרך של עונש כספי (להבדיל מקנס), כי אם מטרתו ליטול מידי העבריין </w:t>
      </w:r>
      <w:r w:rsidRPr="00B04134">
        <w:rPr>
          <w:rFonts w:ascii="Century" w:hAnsi="Century" w:cs="Miriam" w:hint="cs"/>
          <w:sz w:val="20"/>
          <w:szCs w:val="24"/>
          <w:rtl/>
        </w:rPr>
        <w:t>רכוש שאינו שייך לו ומוחזק על ידו שלא כדין, נוכח העובדה שמקורו בעבירה</w:t>
      </w:r>
      <w:r>
        <w:rPr>
          <w:rFonts w:ascii="Century" w:hAnsi="Century" w:cs="FrankRuehl" w:hint="cs"/>
          <w:sz w:val="22"/>
          <w:rtl/>
        </w:rPr>
        <w:t xml:space="preserve"> [עניין </w:t>
      </w:r>
      <w:r w:rsidRPr="00200C88">
        <w:rPr>
          <w:rFonts w:ascii="Century" w:hAnsi="Century" w:cs="Miriam" w:hint="cs"/>
          <w:sz w:val="20"/>
          <w:szCs w:val="24"/>
          <w:rtl/>
        </w:rPr>
        <w:t>בלווא</w:t>
      </w:r>
      <w:r>
        <w:rPr>
          <w:rFonts w:ascii="Century" w:hAnsi="Century" w:cs="FrankRuehl" w:hint="cs"/>
          <w:sz w:val="22"/>
          <w:rtl/>
        </w:rPr>
        <w:t xml:space="preserve">, פסקה 54; </w:t>
      </w:r>
      <w:hyperlink r:id="rId69" w:history="1">
        <w:r w:rsidR="00976EB1" w:rsidRPr="00976EB1">
          <w:rPr>
            <w:rFonts w:ascii="Century" w:hAnsi="Century" w:cs="FrankRuehl" w:hint="cs"/>
            <w:color w:val="0000FF"/>
            <w:sz w:val="22"/>
            <w:u w:val="single"/>
            <w:rtl/>
          </w:rPr>
          <w:t>ע</w:t>
        </w:r>
        <w:r w:rsidR="00976EB1" w:rsidRPr="00976EB1">
          <w:rPr>
            <w:rFonts w:ascii="Century" w:hAnsi="Century" w:cs="FrankRuehl"/>
            <w:color w:val="0000FF"/>
            <w:sz w:val="22"/>
            <w:u w:val="single"/>
            <w:rtl/>
          </w:rPr>
          <w:t>"</w:t>
        </w:r>
        <w:r w:rsidR="00976EB1" w:rsidRPr="00976EB1">
          <w:rPr>
            <w:rFonts w:ascii="Century" w:hAnsi="Century" w:cs="FrankRuehl" w:hint="cs"/>
            <w:color w:val="0000FF"/>
            <w:sz w:val="22"/>
            <w:u w:val="single"/>
            <w:rtl/>
          </w:rPr>
          <w:t>פ</w:t>
        </w:r>
        <w:r w:rsidR="00976EB1" w:rsidRPr="00976EB1">
          <w:rPr>
            <w:rFonts w:ascii="Century" w:hAnsi="Century" w:cs="FrankRuehl"/>
            <w:color w:val="0000FF"/>
            <w:sz w:val="22"/>
            <w:u w:val="single"/>
            <w:rtl/>
          </w:rPr>
          <w:t xml:space="preserve"> 80/19</w:t>
        </w:r>
      </w:hyperlink>
      <w:r>
        <w:rPr>
          <w:rStyle w:val="default"/>
          <w:rFonts w:ascii="Century" w:hAnsi="Century" w:cs="FrankRuehl" w:hint="cs"/>
          <w:rtl/>
        </w:rPr>
        <w:t xml:space="preserve"> </w:t>
      </w:r>
      <w:r>
        <w:rPr>
          <w:rStyle w:val="default"/>
          <w:rFonts w:ascii="Century" w:hAnsi="Century" w:cs="Miriam" w:hint="cs"/>
          <w:b/>
          <w:spacing w:val="0"/>
          <w:sz w:val="22"/>
          <w:szCs w:val="24"/>
          <w:rtl/>
        </w:rPr>
        <w:t>אהוד מאיר שאיבות בע"מ נ' מדינת ישראל</w:t>
      </w:r>
      <w:r>
        <w:rPr>
          <w:rStyle w:val="default"/>
          <w:rFonts w:ascii="Century" w:hAnsi="Century" w:cs="FrankRuehl" w:hint="cs"/>
          <w:rtl/>
        </w:rPr>
        <w:t>,</w:t>
      </w:r>
      <w:r>
        <w:rPr>
          <w:rStyle w:val="default"/>
          <w:rFonts w:ascii="Times New Roman" w:hAnsi="Times New Roman" w:cs="David"/>
          <w:spacing w:val="0"/>
          <w:sz w:val="22"/>
          <w:szCs w:val="24"/>
          <w:rtl/>
        </w:rPr>
        <w:t xml:space="preserve"> </w:t>
      </w:r>
      <w:r w:rsidR="00D05667" w:rsidRPr="00D05667">
        <w:rPr>
          <w:rStyle w:val="default"/>
          <w:rFonts w:ascii="Times New Roman" w:hAnsi="Times New Roman" w:cs="David"/>
          <w:spacing w:val="0"/>
          <w:sz w:val="22"/>
          <w:szCs w:val="24"/>
          <w:rtl/>
        </w:rPr>
        <w:t xml:space="preserve">[פורסם בנבו] </w:t>
      </w:r>
      <w:r>
        <w:rPr>
          <w:rStyle w:val="default"/>
          <w:rFonts w:ascii="Century" w:hAnsi="Century" w:cs="FrankRuehl" w:hint="cs"/>
          <w:rtl/>
        </w:rPr>
        <w:t xml:space="preserve">פסקה 15 (11.8.2019) (להלן: </w:t>
      </w:r>
      <w:r>
        <w:rPr>
          <w:rStyle w:val="default"/>
          <w:rFonts w:ascii="Century" w:hAnsi="Century" w:cs="FrankRuehl" w:hint="cs"/>
          <w:sz w:val="22"/>
          <w:rtl/>
        </w:rPr>
        <w:t>עניין</w:t>
      </w:r>
      <w:r>
        <w:rPr>
          <w:rStyle w:val="default"/>
          <w:rFonts w:ascii="Century" w:hAnsi="Century" w:cs="Miriam" w:hint="cs"/>
          <w:b/>
          <w:spacing w:val="0"/>
          <w:sz w:val="22"/>
          <w:szCs w:val="24"/>
          <w:rtl/>
        </w:rPr>
        <w:t xml:space="preserve"> אהוד מאיר שאיבות</w:t>
      </w:r>
      <w:r>
        <w:rPr>
          <w:rStyle w:val="default"/>
          <w:rFonts w:ascii="Century" w:hAnsi="Century" w:cs="FrankRuehl" w:hint="cs"/>
          <w:sz w:val="22"/>
          <w:rtl/>
        </w:rPr>
        <w:t>)</w:t>
      </w:r>
      <w:r>
        <w:rPr>
          <w:rFonts w:ascii="Century" w:hAnsi="Century" w:cs="FrankRuehl" w:hint="cs"/>
          <w:sz w:val="22"/>
          <w:rtl/>
        </w:rPr>
        <w:t xml:space="preserve">; עניין </w:t>
      </w:r>
      <w:r>
        <w:rPr>
          <w:rFonts w:ascii="Century" w:hAnsi="Century" w:cs="Miriam" w:hint="cs"/>
          <w:b/>
          <w:spacing w:val="0"/>
          <w:sz w:val="22"/>
          <w:szCs w:val="24"/>
          <w:rtl/>
        </w:rPr>
        <w:t>חסידי דוד</w:t>
      </w:r>
      <w:r>
        <w:rPr>
          <w:rFonts w:ascii="Century" w:hAnsi="Century" w:cs="FrankRuehl" w:hint="cs"/>
          <w:sz w:val="22"/>
          <w:rtl/>
        </w:rPr>
        <w:t>, פסקה 27; עניין</w:t>
      </w:r>
      <w:r w:rsidRPr="000A327C">
        <w:rPr>
          <w:rFonts w:ascii="Century" w:hAnsi="Century" w:cs="Miriam" w:hint="cs"/>
          <w:sz w:val="20"/>
          <w:szCs w:val="24"/>
          <w:rtl/>
        </w:rPr>
        <w:t xml:space="preserve"> פישר</w:t>
      </w:r>
      <w:r>
        <w:rPr>
          <w:rFonts w:ascii="Century" w:hAnsi="Century" w:cs="FrankRuehl" w:hint="cs"/>
          <w:sz w:val="22"/>
          <w:rtl/>
        </w:rPr>
        <w:t xml:space="preserve">, </w:t>
      </w:r>
      <w:r>
        <w:rPr>
          <w:rStyle w:val="default"/>
          <w:rFonts w:ascii="Century" w:hAnsi="Century" w:cs="FrankRuehl" w:hint="cs"/>
          <w:sz w:val="22"/>
          <w:rtl/>
        </w:rPr>
        <w:t xml:space="preserve">פסקה 21; </w:t>
      </w:r>
      <w:r>
        <w:rPr>
          <w:rFonts w:ascii="Century" w:hAnsi="Century" w:cs="FrankRuehl" w:hint="cs"/>
          <w:sz w:val="22"/>
          <w:rtl/>
        </w:rPr>
        <w:t xml:space="preserve">עניין </w:t>
      </w:r>
      <w:r>
        <w:rPr>
          <w:rFonts w:ascii="Century" w:hAnsi="Century" w:cs="Miriam" w:hint="cs"/>
          <w:b/>
          <w:spacing w:val="0"/>
          <w:sz w:val="22"/>
          <w:szCs w:val="24"/>
          <w:rtl/>
        </w:rPr>
        <w:t>תענך</w:t>
      </w:r>
      <w:r>
        <w:rPr>
          <w:rFonts w:ascii="Century" w:hAnsi="Century" w:cs="FrankRuehl" w:hint="cs"/>
          <w:sz w:val="22"/>
          <w:rtl/>
        </w:rPr>
        <w:t xml:space="preserve">, פסקה 260; </w:t>
      </w:r>
      <w:hyperlink r:id="rId70" w:history="1">
        <w:r w:rsidR="00976EB1" w:rsidRPr="00976EB1">
          <w:rPr>
            <w:rFonts w:ascii="Century" w:hAnsi="Century" w:cs="FrankRuehl" w:hint="cs"/>
            <w:color w:val="0000FF"/>
            <w:sz w:val="22"/>
            <w:u w:val="single"/>
            <w:rtl/>
          </w:rPr>
          <w:t>בש</w:t>
        </w:r>
        <w:r w:rsidR="00976EB1" w:rsidRPr="00976EB1">
          <w:rPr>
            <w:rFonts w:ascii="Century" w:hAnsi="Century" w:cs="FrankRuehl"/>
            <w:color w:val="0000FF"/>
            <w:sz w:val="22"/>
            <w:u w:val="single"/>
            <w:rtl/>
          </w:rPr>
          <w:t>"</w:t>
        </w:r>
        <w:r w:rsidR="00976EB1" w:rsidRPr="00976EB1">
          <w:rPr>
            <w:rFonts w:ascii="Century" w:hAnsi="Century" w:cs="FrankRuehl" w:hint="cs"/>
            <w:color w:val="0000FF"/>
            <w:sz w:val="22"/>
            <w:u w:val="single"/>
            <w:rtl/>
          </w:rPr>
          <w:t>פ</w:t>
        </w:r>
        <w:r w:rsidR="00976EB1" w:rsidRPr="00976EB1">
          <w:rPr>
            <w:rFonts w:ascii="Century" w:hAnsi="Century" w:cs="FrankRuehl"/>
            <w:color w:val="0000FF"/>
            <w:sz w:val="22"/>
            <w:u w:val="single"/>
            <w:rtl/>
          </w:rPr>
          <w:t xml:space="preserve"> 6817/07</w:t>
        </w:r>
      </w:hyperlink>
      <w:r>
        <w:rPr>
          <w:rFonts w:ascii="Century" w:hAnsi="Century" w:cs="FrankRuehl" w:hint="cs"/>
          <w:sz w:val="22"/>
          <w:rtl/>
        </w:rPr>
        <w:t xml:space="preserve"> </w:t>
      </w:r>
      <w:r>
        <w:rPr>
          <w:rFonts w:ascii="Century" w:hAnsi="Century" w:cs="Miriam" w:hint="cs"/>
          <w:b/>
          <w:spacing w:val="0"/>
          <w:sz w:val="22"/>
          <w:szCs w:val="24"/>
          <w:rtl/>
        </w:rPr>
        <w:t>מדינת ישראל נ' סיטבון</w:t>
      </w:r>
      <w:r>
        <w:rPr>
          <w:rFonts w:ascii="Century" w:hAnsi="Century" w:cs="FrankRuehl" w:hint="cs"/>
          <w:sz w:val="22"/>
          <w:rtl/>
        </w:rPr>
        <w:t>,</w:t>
      </w:r>
      <w:r>
        <w:rPr>
          <w:rFonts w:ascii="Times New Roman" w:hAnsi="Times New Roman" w:cs="David"/>
          <w:spacing w:val="0"/>
          <w:sz w:val="22"/>
          <w:szCs w:val="24"/>
          <w:rtl/>
        </w:rPr>
        <w:t xml:space="preserve"> </w:t>
      </w:r>
      <w:r w:rsidR="00D05667" w:rsidRPr="00D05667">
        <w:rPr>
          <w:rFonts w:ascii="Times New Roman" w:hAnsi="Times New Roman" w:cs="David"/>
          <w:spacing w:val="0"/>
          <w:sz w:val="22"/>
          <w:szCs w:val="24"/>
          <w:rtl/>
        </w:rPr>
        <w:t xml:space="preserve">[פורסם בנבו] </w:t>
      </w:r>
      <w:r>
        <w:rPr>
          <w:rFonts w:ascii="Century" w:hAnsi="Century" w:cs="FrankRuehl" w:hint="cs"/>
          <w:sz w:val="22"/>
          <w:rtl/>
        </w:rPr>
        <w:t xml:space="preserve">פסקה 34 (31.10.2007); </w:t>
      </w:r>
      <w:r>
        <w:rPr>
          <w:rStyle w:val="default"/>
          <w:rFonts w:ascii="Century" w:hAnsi="Century" w:cs="FrankRuehl" w:hint="cs"/>
          <w:rtl/>
        </w:rPr>
        <w:t>עניין</w:t>
      </w:r>
      <w:r w:rsidRPr="007F59B3">
        <w:rPr>
          <w:rStyle w:val="default"/>
          <w:rFonts w:ascii="Century" w:hAnsi="Century" w:cs="Miriam" w:hint="cs"/>
          <w:sz w:val="22"/>
          <w:szCs w:val="24"/>
          <w:rtl/>
        </w:rPr>
        <w:t xml:space="preserve"> טולטו</w:t>
      </w:r>
      <w:r>
        <w:rPr>
          <w:rFonts w:ascii="Century" w:hAnsi="Century" w:cs="FrankRuehl" w:hint="cs"/>
          <w:sz w:val="22"/>
          <w:rtl/>
        </w:rPr>
        <w:t>, פסקה 12].</w:t>
      </w:r>
    </w:p>
    <w:p w14:paraId="26686018" w14:textId="77777777" w:rsidR="00C76774" w:rsidRDefault="00C76774" w:rsidP="00C76774">
      <w:pPr>
        <w:pStyle w:val="Ruller4"/>
        <w:numPr>
          <w:ilvl w:val="0"/>
          <w:numId w:val="0"/>
        </w:numPr>
        <w:ind w:left="-52"/>
        <w:rPr>
          <w:rFonts w:ascii="Century" w:hAnsi="Century" w:cs="FrankRuehl"/>
          <w:sz w:val="22"/>
          <w:rtl/>
        </w:rPr>
      </w:pPr>
      <w:r>
        <w:rPr>
          <w:rFonts w:ascii="Century" w:hAnsi="Century" w:cs="FrankRuehl"/>
          <w:sz w:val="22"/>
          <w:rtl/>
        </w:rPr>
        <w:tab/>
      </w:r>
    </w:p>
    <w:p w14:paraId="0D3B4560" w14:textId="77777777" w:rsidR="00C76774" w:rsidRDefault="00C76774" w:rsidP="00C76774">
      <w:pPr>
        <w:pStyle w:val="Ruller4"/>
        <w:numPr>
          <w:ilvl w:val="0"/>
          <w:numId w:val="0"/>
        </w:numPr>
        <w:ind w:left="-52"/>
        <w:rPr>
          <w:rFonts w:ascii="Century" w:hAnsi="Century" w:cs="FrankRuehl"/>
          <w:sz w:val="22"/>
          <w:rtl/>
        </w:rPr>
      </w:pPr>
      <w:r>
        <w:rPr>
          <w:rFonts w:ascii="Century" w:hAnsi="Century" w:cs="FrankRuehl" w:hint="cs"/>
          <w:sz w:val="22"/>
          <w:rtl/>
        </w:rPr>
        <w:t xml:space="preserve">על פי גישה אחרת, החילוט הינו אמצעי </w:t>
      </w:r>
      <w:r w:rsidRPr="00E12C9F">
        <w:rPr>
          <w:rStyle w:val="default"/>
          <w:rFonts w:cs="Miriam" w:hint="cs"/>
          <w:b/>
          <w:spacing w:val="0"/>
          <w:szCs w:val="24"/>
          <w:rtl/>
        </w:rPr>
        <w:t>עונשי</w:t>
      </w:r>
      <w:r>
        <w:rPr>
          <w:rFonts w:ascii="Century" w:hAnsi="Century" w:cs="FrankRuehl" w:hint="cs"/>
          <w:sz w:val="22"/>
          <w:rtl/>
        </w:rPr>
        <w:t xml:space="preserve">, אשר על בית המשפט להטילו "נוסף על כל עונש", כנדרש מהוראות </w:t>
      </w:r>
      <w:hyperlink r:id="rId71" w:history="1">
        <w:r w:rsidR="00F437DB" w:rsidRPr="00F437DB">
          <w:rPr>
            <w:rStyle w:val="Hyperlink"/>
            <w:rFonts w:ascii="Century" w:hAnsi="Century" w:cs="FrankRuehl" w:hint="cs"/>
            <w:sz w:val="22"/>
            <w:rtl/>
          </w:rPr>
          <w:t>סעיף</w:t>
        </w:r>
        <w:r w:rsidR="00F437DB" w:rsidRPr="00F437DB">
          <w:rPr>
            <w:rStyle w:val="Hyperlink"/>
            <w:rFonts w:ascii="Century" w:hAnsi="Century" w:cs="FrankRuehl"/>
            <w:sz w:val="22"/>
            <w:rtl/>
          </w:rPr>
          <w:t xml:space="preserve"> 21(</w:t>
        </w:r>
        <w:r w:rsidR="00F437DB" w:rsidRPr="00F437DB">
          <w:rPr>
            <w:rStyle w:val="Hyperlink"/>
            <w:rFonts w:ascii="Century" w:hAnsi="Century" w:cs="FrankRuehl" w:hint="cs"/>
            <w:sz w:val="22"/>
            <w:rtl/>
          </w:rPr>
          <w:t>א</w:t>
        </w:r>
        <w:r w:rsidR="00F437DB" w:rsidRPr="00F437DB">
          <w:rPr>
            <w:rStyle w:val="Hyperlink"/>
            <w:rFonts w:ascii="Century" w:hAnsi="Century" w:cs="FrankRuehl"/>
            <w:sz w:val="22"/>
            <w:rtl/>
          </w:rPr>
          <w:t>)</w:t>
        </w:r>
      </w:hyperlink>
      <w:r>
        <w:rPr>
          <w:rFonts w:ascii="Century" w:hAnsi="Century" w:cs="FrankRuehl" w:hint="cs"/>
          <w:sz w:val="22"/>
          <w:rtl/>
        </w:rPr>
        <w:t xml:space="preserve"> ל</w:t>
      </w:r>
      <w:hyperlink r:id="rId72" w:history="1">
        <w:r w:rsidR="00976EB1" w:rsidRPr="00976EB1">
          <w:rPr>
            <w:rFonts w:ascii="Century" w:hAnsi="Century" w:cs="FrankRuehl" w:hint="cs"/>
            <w:color w:val="0000FF"/>
            <w:sz w:val="22"/>
            <w:u w:val="single"/>
            <w:rtl/>
          </w:rPr>
          <w:t>חוק</w:t>
        </w:r>
        <w:r w:rsidR="00976EB1" w:rsidRPr="00976EB1">
          <w:rPr>
            <w:rFonts w:ascii="Century" w:hAnsi="Century" w:cs="FrankRuehl"/>
            <w:color w:val="0000FF"/>
            <w:sz w:val="22"/>
            <w:u w:val="single"/>
            <w:rtl/>
          </w:rPr>
          <w:t xml:space="preserve"> </w:t>
        </w:r>
        <w:r w:rsidR="00976EB1" w:rsidRPr="00976EB1">
          <w:rPr>
            <w:rFonts w:ascii="Century" w:hAnsi="Century" w:cs="FrankRuehl" w:hint="cs"/>
            <w:color w:val="0000FF"/>
            <w:sz w:val="22"/>
            <w:u w:val="single"/>
            <w:rtl/>
          </w:rPr>
          <w:t>איסור</w:t>
        </w:r>
        <w:r w:rsidR="00976EB1" w:rsidRPr="00976EB1">
          <w:rPr>
            <w:rFonts w:ascii="Century" w:hAnsi="Century" w:cs="FrankRuehl"/>
            <w:color w:val="0000FF"/>
            <w:sz w:val="22"/>
            <w:u w:val="single"/>
            <w:rtl/>
          </w:rPr>
          <w:t xml:space="preserve"> </w:t>
        </w:r>
        <w:r w:rsidR="00976EB1" w:rsidRPr="00976EB1">
          <w:rPr>
            <w:rFonts w:ascii="Century" w:hAnsi="Century" w:cs="FrankRuehl" w:hint="cs"/>
            <w:color w:val="0000FF"/>
            <w:sz w:val="22"/>
            <w:u w:val="single"/>
            <w:rtl/>
          </w:rPr>
          <w:t>הלבנת</w:t>
        </w:r>
        <w:r w:rsidR="00976EB1" w:rsidRPr="00976EB1">
          <w:rPr>
            <w:rFonts w:ascii="Century" w:hAnsi="Century" w:cs="FrankRuehl"/>
            <w:color w:val="0000FF"/>
            <w:sz w:val="22"/>
            <w:u w:val="single"/>
            <w:rtl/>
          </w:rPr>
          <w:t xml:space="preserve"> </w:t>
        </w:r>
        <w:r w:rsidR="00976EB1" w:rsidRPr="00976EB1">
          <w:rPr>
            <w:rFonts w:ascii="Century" w:hAnsi="Century" w:cs="FrankRuehl" w:hint="cs"/>
            <w:color w:val="0000FF"/>
            <w:sz w:val="22"/>
            <w:u w:val="single"/>
            <w:rtl/>
          </w:rPr>
          <w:t>הון</w:t>
        </w:r>
      </w:hyperlink>
      <w:r>
        <w:rPr>
          <w:rFonts w:ascii="Century" w:hAnsi="Century" w:cs="FrankRuehl" w:hint="cs"/>
          <w:sz w:val="22"/>
          <w:rtl/>
        </w:rPr>
        <w:t>,</w:t>
      </w:r>
      <w:r w:rsidRPr="002059AA">
        <w:rPr>
          <w:rFonts w:ascii="Century" w:hAnsi="Century" w:cs="FrankRuehl" w:hint="cs"/>
          <w:sz w:val="22"/>
          <w:rtl/>
        </w:rPr>
        <w:t xml:space="preserve"> </w:t>
      </w:r>
      <w:r>
        <w:rPr>
          <w:rFonts w:ascii="Century" w:hAnsi="Century" w:cs="FrankRuehl" w:hint="cs"/>
          <w:sz w:val="22"/>
          <w:rtl/>
        </w:rPr>
        <w:t>זאת בין היתר משום המסר הגלום בו לפיו העבריין מסתכן לא רק בשלילת הפירות שהפיק מביצוע העבירה, אלא גם בפגיעה כלכלית בעקבות ביצועה [</w:t>
      </w:r>
      <w:hyperlink r:id="rId73" w:history="1">
        <w:r w:rsidR="00976EB1" w:rsidRPr="00976EB1">
          <w:rPr>
            <w:rFonts w:ascii="Century" w:hAnsi="Century" w:cs="FrankRuehl" w:hint="cs"/>
            <w:color w:val="0000FF"/>
            <w:sz w:val="22"/>
            <w:u w:val="single"/>
            <w:rtl/>
          </w:rPr>
          <w:t>ע</w:t>
        </w:r>
        <w:r w:rsidR="00976EB1" w:rsidRPr="00976EB1">
          <w:rPr>
            <w:rFonts w:ascii="Century" w:hAnsi="Century" w:cs="FrankRuehl"/>
            <w:color w:val="0000FF"/>
            <w:sz w:val="22"/>
            <w:u w:val="single"/>
            <w:rtl/>
          </w:rPr>
          <w:t>"</w:t>
        </w:r>
        <w:r w:rsidR="00976EB1" w:rsidRPr="00976EB1">
          <w:rPr>
            <w:rFonts w:ascii="Century" w:hAnsi="Century" w:cs="FrankRuehl" w:hint="cs"/>
            <w:color w:val="0000FF"/>
            <w:sz w:val="22"/>
            <w:u w:val="single"/>
            <w:rtl/>
          </w:rPr>
          <w:t>א</w:t>
        </w:r>
        <w:r w:rsidR="00976EB1" w:rsidRPr="00976EB1">
          <w:rPr>
            <w:rFonts w:ascii="Century" w:hAnsi="Century" w:cs="FrankRuehl"/>
            <w:color w:val="0000FF"/>
            <w:sz w:val="22"/>
            <w:u w:val="single"/>
            <w:rtl/>
          </w:rPr>
          <w:t xml:space="preserve"> 6212/14</w:t>
        </w:r>
      </w:hyperlink>
      <w:r>
        <w:rPr>
          <w:rFonts w:ascii="Century" w:hAnsi="Century" w:cs="FrankRuehl" w:hint="cs"/>
          <w:sz w:val="22"/>
          <w:rtl/>
        </w:rPr>
        <w:t xml:space="preserve"> </w:t>
      </w:r>
      <w:r>
        <w:rPr>
          <w:rFonts w:ascii="Century" w:hAnsi="Century" w:cs="Miriam" w:hint="cs"/>
          <w:b/>
          <w:spacing w:val="0"/>
          <w:sz w:val="22"/>
          <w:szCs w:val="24"/>
          <w:rtl/>
        </w:rPr>
        <w:t>מדינת ישראל נ' ג'סארי</w:t>
      </w:r>
      <w:r>
        <w:rPr>
          <w:rFonts w:ascii="Century" w:hAnsi="Century" w:cs="FrankRuehl" w:hint="cs"/>
          <w:sz w:val="22"/>
          <w:rtl/>
        </w:rPr>
        <w:t xml:space="preserve">, </w:t>
      </w:r>
      <w:r w:rsidR="00D05667" w:rsidRPr="00D05667">
        <w:rPr>
          <w:rFonts w:ascii="Times New Roman" w:hAnsi="Times New Roman" w:cs="David"/>
          <w:spacing w:val="0"/>
          <w:sz w:val="22"/>
          <w:szCs w:val="24"/>
          <w:rtl/>
        </w:rPr>
        <w:t>[</w:t>
      </w:r>
      <w:r w:rsidR="00D05667" w:rsidRPr="00D05667">
        <w:rPr>
          <w:rFonts w:ascii="Times New Roman" w:hAnsi="Times New Roman" w:cs="David" w:hint="cs"/>
          <w:spacing w:val="0"/>
          <w:sz w:val="22"/>
          <w:szCs w:val="24"/>
          <w:rtl/>
        </w:rPr>
        <w:t>פורסם</w:t>
      </w:r>
      <w:r w:rsidR="00D05667" w:rsidRPr="00D05667">
        <w:rPr>
          <w:rFonts w:ascii="Times New Roman" w:hAnsi="Times New Roman" w:cs="David"/>
          <w:spacing w:val="0"/>
          <w:sz w:val="22"/>
          <w:szCs w:val="24"/>
          <w:rtl/>
        </w:rPr>
        <w:t xml:space="preserve"> </w:t>
      </w:r>
      <w:r w:rsidR="00D05667" w:rsidRPr="00D05667">
        <w:rPr>
          <w:rFonts w:ascii="Times New Roman" w:hAnsi="Times New Roman" w:cs="David" w:hint="cs"/>
          <w:spacing w:val="0"/>
          <w:sz w:val="22"/>
          <w:szCs w:val="24"/>
          <w:rtl/>
        </w:rPr>
        <w:t>בנבו</w:t>
      </w:r>
      <w:r w:rsidR="00D05667" w:rsidRPr="00D05667">
        <w:rPr>
          <w:rFonts w:ascii="Times New Roman" w:hAnsi="Times New Roman" w:cs="David"/>
          <w:spacing w:val="0"/>
          <w:sz w:val="22"/>
          <w:szCs w:val="24"/>
          <w:rtl/>
        </w:rPr>
        <w:t xml:space="preserve">] </w:t>
      </w:r>
      <w:r>
        <w:rPr>
          <w:rFonts w:ascii="Century" w:hAnsi="Century" w:cs="FrankRuehl" w:hint="cs"/>
          <w:sz w:val="22"/>
          <w:rtl/>
        </w:rPr>
        <w:t xml:space="preserve">פסקה 6 (8.1.2016). לסקירה מקיפה ולפסיקה נוספת ראו עניין </w:t>
      </w:r>
      <w:r w:rsidRPr="003145B9">
        <w:rPr>
          <w:rStyle w:val="default"/>
          <w:rFonts w:cs="Miriam" w:hint="cs"/>
          <w:b/>
          <w:spacing w:val="0"/>
          <w:szCs w:val="24"/>
          <w:rtl/>
        </w:rPr>
        <w:t>ברהמי</w:t>
      </w:r>
      <w:r>
        <w:rPr>
          <w:rFonts w:ascii="Century" w:hAnsi="Century" w:cs="FrankRuehl" w:hint="cs"/>
          <w:sz w:val="22"/>
          <w:rtl/>
        </w:rPr>
        <w:t>, פסקה 36] .</w:t>
      </w:r>
    </w:p>
    <w:p w14:paraId="35E12062" w14:textId="77777777" w:rsidR="00C76774" w:rsidRDefault="00C76774" w:rsidP="00C76774">
      <w:pPr>
        <w:pStyle w:val="Ruller41"/>
        <w:rPr>
          <w:rtl/>
        </w:rPr>
      </w:pPr>
    </w:p>
    <w:p w14:paraId="18A42566" w14:textId="77777777" w:rsidR="00C76774" w:rsidRDefault="00C76774" w:rsidP="00C76774">
      <w:pPr>
        <w:pStyle w:val="Ruller41"/>
        <w:rPr>
          <w:rtl/>
        </w:rPr>
      </w:pPr>
      <w:r>
        <w:rPr>
          <w:rFonts w:hint="cs"/>
          <w:rtl/>
        </w:rPr>
        <w:t xml:space="preserve">במקרה שלפנינו </w:t>
      </w:r>
      <w:r w:rsidRPr="008024BB">
        <w:rPr>
          <w:rFonts w:cs="Miriam" w:hint="cs"/>
          <w:sz w:val="20"/>
          <w:szCs w:val="24"/>
          <w:rtl/>
        </w:rPr>
        <w:t>כרכה</w:t>
      </w:r>
      <w:r>
        <w:rPr>
          <w:rFonts w:hint="cs"/>
          <w:rtl/>
        </w:rPr>
        <w:t xml:space="preserve"> המאשימה את </w:t>
      </w:r>
      <w:r w:rsidRPr="008024BB">
        <w:rPr>
          <w:rFonts w:cs="Miriam" w:hint="cs"/>
          <w:sz w:val="20"/>
          <w:szCs w:val="24"/>
          <w:rtl/>
        </w:rPr>
        <w:t>העונשים</w:t>
      </w:r>
      <w:r>
        <w:rPr>
          <w:rFonts w:hint="cs"/>
          <w:rtl/>
        </w:rPr>
        <w:t xml:space="preserve"> שהוטלו על כל אחד מהנאשמים המרכזיים, צרפתי והנאשם, יחד עם </w:t>
      </w:r>
      <w:r w:rsidRPr="008024BB">
        <w:rPr>
          <w:rFonts w:cs="Miriam" w:hint="cs"/>
          <w:sz w:val="20"/>
          <w:szCs w:val="24"/>
          <w:rtl/>
        </w:rPr>
        <w:t>הליך</w:t>
      </w:r>
      <w:r>
        <w:rPr>
          <w:rFonts w:hint="cs"/>
          <w:rtl/>
        </w:rPr>
        <w:t xml:space="preserve"> </w:t>
      </w:r>
      <w:r w:rsidRPr="008024BB">
        <w:rPr>
          <w:rFonts w:cs="Miriam" w:hint="cs"/>
          <w:sz w:val="20"/>
          <w:szCs w:val="24"/>
          <w:rtl/>
        </w:rPr>
        <w:t>החילוט</w:t>
      </w:r>
      <w:r>
        <w:rPr>
          <w:rFonts w:hint="cs"/>
          <w:rtl/>
        </w:rPr>
        <w:t xml:space="preserve">, באופן שהוביל להצגת הסדר טיעון כפי שפורט בהרחבה לעיל. ואולם, בהעדר תמימות דעים בנוגע להכרה בתכלית </w:t>
      </w:r>
      <w:r w:rsidRPr="00521A9C">
        <w:rPr>
          <w:rFonts w:cs="Miriam" w:hint="cs"/>
          <w:sz w:val="20"/>
          <w:szCs w:val="24"/>
          <w:rtl/>
        </w:rPr>
        <w:t>הענישתית</w:t>
      </w:r>
      <w:r>
        <w:rPr>
          <w:rFonts w:hint="cs"/>
          <w:rtl/>
        </w:rPr>
        <w:t xml:space="preserve"> העומדת בבסיס החילוט, לא ברור האם יש מקום להציג, ככלל, הסדרי טיעון המשלבים את מסלול העונש עם מסלול החילוט, בפרט כאשר מנגד ניצבות שתי תכליות החילוט </w:t>
      </w:r>
      <w:r w:rsidRPr="006237FF">
        <w:rPr>
          <w:rStyle w:val="default"/>
          <w:rFonts w:cs="Miriam" w:hint="cs"/>
          <w:b/>
          <w:spacing w:val="0"/>
          <w:szCs w:val="24"/>
          <w:rtl/>
        </w:rPr>
        <w:t>האחרות</w:t>
      </w:r>
      <w:r>
        <w:rPr>
          <w:rFonts w:hint="cs"/>
          <w:rtl/>
        </w:rPr>
        <w:t xml:space="preserve">, הן הקניינית והן ההרתעתית, לגביהן אין מחלוקת, כמו גם הוראות החוק הברורות הקובעות סמכות חילוט, ולמעשה </w:t>
      </w:r>
      <w:r w:rsidRPr="00151132">
        <w:rPr>
          <w:rStyle w:val="default"/>
          <w:rFonts w:cs="Miriam" w:hint="cs"/>
          <w:b/>
          <w:spacing w:val="0"/>
          <w:szCs w:val="24"/>
          <w:rtl/>
        </w:rPr>
        <w:t>חובת</w:t>
      </w:r>
      <w:r>
        <w:rPr>
          <w:rFonts w:hint="cs"/>
          <w:rtl/>
        </w:rPr>
        <w:t xml:space="preserve"> חילוט של סכום העבירה </w:t>
      </w:r>
      <w:r w:rsidRPr="006237FF">
        <w:rPr>
          <w:rStyle w:val="default"/>
          <w:rFonts w:cs="Miriam" w:hint="cs"/>
          <w:b/>
          <w:spacing w:val="0"/>
          <w:szCs w:val="24"/>
          <w:rtl/>
        </w:rPr>
        <w:t>במלואו</w:t>
      </w:r>
      <w:r>
        <w:rPr>
          <w:rFonts w:hint="cs"/>
          <w:rtl/>
        </w:rPr>
        <w:t xml:space="preserve"> [</w:t>
      </w:r>
      <w:r>
        <w:rPr>
          <w:rFonts w:ascii="Century" w:hAnsi="Century" w:hint="cs"/>
          <w:rtl/>
        </w:rPr>
        <w:t xml:space="preserve">עניין </w:t>
      </w:r>
      <w:r w:rsidRPr="003145B9">
        <w:rPr>
          <w:rStyle w:val="default"/>
          <w:rFonts w:cs="Miriam" w:hint="cs"/>
          <w:b/>
          <w:spacing w:val="0"/>
          <w:szCs w:val="24"/>
          <w:rtl/>
        </w:rPr>
        <w:t>ברהמי</w:t>
      </w:r>
      <w:r>
        <w:rPr>
          <w:rFonts w:ascii="Century" w:hAnsi="Century" w:hint="cs"/>
          <w:rtl/>
        </w:rPr>
        <w:t>, פסקה 36].</w:t>
      </w:r>
    </w:p>
    <w:p w14:paraId="6C3B6CB4" w14:textId="77777777" w:rsidR="00C76774" w:rsidRDefault="00C76774" w:rsidP="00C76774">
      <w:pPr>
        <w:pStyle w:val="Ruller41"/>
        <w:rPr>
          <w:rtl/>
        </w:rPr>
      </w:pPr>
    </w:p>
    <w:p w14:paraId="3EC62D80" w14:textId="77777777" w:rsidR="00C76774" w:rsidRDefault="00C76774" w:rsidP="00C76774">
      <w:pPr>
        <w:pStyle w:val="Ruller41"/>
        <w:rPr>
          <w:rtl/>
        </w:rPr>
      </w:pPr>
      <w:r>
        <w:rPr>
          <w:rFonts w:hint="cs"/>
          <w:rtl/>
        </w:rPr>
        <w:t>34.</w:t>
      </w:r>
      <w:r>
        <w:rPr>
          <w:rFonts w:hint="cs"/>
          <w:rtl/>
        </w:rPr>
        <w:tab/>
        <w:t>הערה נוספת נוגעת לטענות השונות שעלו בעניין הדירה הנזכרת בפריט 3. עיון ב-</w:t>
      </w:r>
      <w:r w:rsidRPr="002269DD">
        <w:rPr>
          <w:rFonts w:cs="Miriam" w:hint="cs"/>
          <w:sz w:val="20"/>
          <w:szCs w:val="24"/>
          <w:rtl/>
        </w:rPr>
        <w:t>נ/2</w:t>
      </w:r>
      <w:r>
        <w:rPr>
          <w:rFonts w:hint="cs"/>
          <w:rtl/>
        </w:rPr>
        <w:t xml:space="preserve"> מלמד שהנכס המדובר הינו זכות </w:t>
      </w:r>
      <w:r w:rsidRPr="003C1B1F">
        <w:rPr>
          <w:rFonts w:hint="cs"/>
          <w:rtl/>
        </w:rPr>
        <w:t xml:space="preserve">לרכישת דירה שנקנתה על ידי הנאשם </w:t>
      </w:r>
      <w:r>
        <w:rPr>
          <w:rFonts w:hint="cs"/>
          <w:rtl/>
        </w:rPr>
        <w:t xml:space="preserve">ואשתו </w:t>
      </w:r>
      <w:r w:rsidRPr="003C1B1F">
        <w:rPr>
          <w:rFonts w:hint="cs"/>
          <w:rtl/>
        </w:rPr>
        <w:t>לפני מספר שנים, תמורתה שולם סכום כסף ראשוני</w:t>
      </w:r>
      <w:r>
        <w:rPr>
          <w:rFonts w:hint="cs"/>
          <w:rtl/>
        </w:rPr>
        <w:t>.</w:t>
      </w:r>
    </w:p>
    <w:p w14:paraId="53CC67EF" w14:textId="77777777" w:rsidR="00C76774" w:rsidRDefault="00C76774" w:rsidP="00C76774">
      <w:pPr>
        <w:pStyle w:val="Ruller41"/>
        <w:rPr>
          <w:rtl/>
        </w:rPr>
      </w:pPr>
      <w:r>
        <w:rPr>
          <w:rFonts w:hint="cs"/>
          <w:rtl/>
        </w:rPr>
        <w:t>עקב אי הבהירות בעניין הזכויות בדירה וטענות הצדדים לגביה, מצאתי לפנות לנאמן הפרויקט לצורך קבלת הבהרות. מהודעה מטעם הנאמן, שהתקבלה ביום 23.2.2020  הובהר שהנאשם ואשתו רכשו יחדיו זכויות במקרקעין ביחס ליחידה 125 וכי בני הזוג שילמו עד כה סך של 915,265 ₪. מתוך סכום זה שולמו שכ"ט עו"ד, דמי ניהול ו"חשבון קופה קטנה" (שטיבו אינו ברור לי), בסכום כולל של 141,265 ₪. עוד עולה שטרם התקבל היתר בניה לפרויקט, למרות שבמקום החלו עבודות שונות על פי היתר חלקי שניתן, וכי שוויה של היחידה לאחר בנייתה, הינו כ-2.96 מיליון ₪,</w:t>
      </w:r>
      <w:r w:rsidRPr="007F5113">
        <w:rPr>
          <w:rFonts w:hint="cs"/>
          <w:rtl/>
        </w:rPr>
        <w:t xml:space="preserve"> </w:t>
      </w:r>
      <w:r>
        <w:rPr>
          <w:rFonts w:hint="cs"/>
          <w:rtl/>
        </w:rPr>
        <w:t>על פי הערכת שמאי.</w:t>
      </w:r>
    </w:p>
    <w:p w14:paraId="63BC0CE5" w14:textId="77777777" w:rsidR="00C76774" w:rsidRDefault="00C76774" w:rsidP="00C76774">
      <w:pPr>
        <w:pStyle w:val="Ruller41"/>
        <w:rPr>
          <w:rtl/>
        </w:rPr>
      </w:pPr>
      <w:r>
        <w:rPr>
          <w:rFonts w:hint="cs"/>
          <w:rtl/>
        </w:rPr>
        <w:t xml:space="preserve">מהאמור עולה שבניגוד לטענת ההגנה, אין מדובר "בדירת המגורים" של משפחת הנאשם, גם אם יכול ומדובר בדירה אליה התכוון לעבור בבוא העת. </w:t>
      </w:r>
    </w:p>
    <w:p w14:paraId="40479B90" w14:textId="77777777" w:rsidR="00C76774" w:rsidRDefault="00C76774" w:rsidP="00C76774">
      <w:pPr>
        <w:pStyle w:val="Ruller41"/>
        <w:rPr>
          <w:rtl/>
        </w:rPr>
      </w:pPr>
      <w:r>
        <w:rPr>
          <w:rFonts w:hint="cs"/>
          <w:rtl/>
        </w:rPr>
        <w:t>עוד עולה שהנאשם רכש את הנכס יחד עם אשתו, טרם ביצוע העבירות, נסיבה שאמורה אף היא להילקח בחשבון.</w:t>
      </w:r>
    </w:p>
    <w:p w14:paraId="1627AC25" w14:textId="77777777" w:rsidR="00C76774" w:rsidRDefault="00C76774" w:rsidP="00C76774">
      <w:pPr>
        <w:pStyle w:val="Ruller41"/>
        <w:rPr>
          <w:rtl/>
        </w:rPr>
      </w:pPr>
    </w:p>
    <w:p w14:paraId="0B03D033" w14:textId="77777777" w:rsidR="00C76774" w:rsidRDefault="00C76774" w:rsidP="00C76774">
      <w:pPr>
        <w:pStyle w:val="Ruller41"/>
        <w:rPr>
          <w:rtl/>
        </w:rPr>
      </w:pPr>
      <w:r>
        <w:rPr>
          <w:rFonts w:hint="cs"/>
          <w:rtl/>
        </w:rPr>
        <w:t>כפוף להערות לעיל, מצאתי שהרכוש המפורט בטבלת המאשימה הינו בר חילוט.</w:t>
      </w:r>
    </w:p>
    <w:p w14:paraId="2C56F651" w14:textId="77777777" w:rsidR="00C76774" w:rsidRDefault="00C76774" w:rsidP="00C76774">
      <w:pPr>
        <w:pStyle w:val="Ruller5"/>
        <w:rPr>
          <w:rStyle w:val="default"/>
          <w:rFonts w:ascii="Century" w:hAnsi="Century"/>
          <w:rtl/>
        </w:rPr>
      </w:pPr>
    </w:p>
    <w:p w14:paraId="1F344756" w14:textId="77777777" w:rsidR="00C76774" w:rsidRDefault="00C76774" w:rsidP="00C76774">
      <w:pPr>
        <w:pStyle w:val="Ruller41"/>
        <w:rPr>
          <w:rtl/>
        </w:rPr>
      </w:pPr>
      <w:r>
        <w:rPr>
          <w:rFonts w:hint="cs"/>
          <w:rtl/>
        </w:rPr>
        <w:t>35.</w:t>
      </w:r>
      <w:r>
        <w:rPr>
          <w:rFonts w:hint="cs"/>
          <w:rtl/>
        </w:rPr>
        <w:tab/>
        <w:t>עתה, לאחר שעמדנו על היקפו של הרכוש בר החילוט, נחזור לשאלה נוספת שבמחלוקת - האם מתקיימים</w:t>
      </w:r>
      <w:r w:rsidRPr="00F70644">
        <w:rPr>
          <w:rFonts w:hint="cs"/>
          <w:rtl/>
        </w:rPr>
        <w:t xml:space="preserve"> </w:t>
      </w:r>
      <w:r>
        <w:rPr>
          <w:rFonts w:hint="cs"/>
          <w:rtl/>
        </w:rPr>
        <w:t xml:space="preserve">בענייננו "נימוקים מיוחדים" המצדיקים הימנעות מחילוט רכושו של הנאשם, ולחלופין, האם יש מקום להסתפק בחילוט חלק מהכסף והנכסים התפוסים. </w:t>
      </w:r>
    </w:p>
    <w:p w14:paraId="33A173C7" w14:textId="77777777" w:rsidR="00C76774" w:rsidRDefault="00C76774" w:rsidP="00C76774">
      <w:pPr>
        <w:pStyle w:val="Ruller41"/>
        <w:rPr>
          <w:rtl/>
        </w:rPr>
      </w:pPr>
      <w:r w:rsidRPr="000E225A">
        <w:rPr>
          <w:rFonts w:hint="cs"/>
          <w:rtl/>
        </w:rPr>
        <w:t xml:space="preserve">מעבר לתנאים שפורטו </w:t>
      </w:r>
      <w:hyperlink r:id="rId74" w:history="1">
        <w:r w:rsidR="00F437DB" w:rsidRPr="00F437DB">
          <w:rPr>
            <w:rStyle w:val="Hyperlink"/>
            <w:rFonts w:hint="cs"/>
            <w:rtl/>
          </w:rPr>
          <w:t>בסעיף</w:t>
        </w:r>
        <w:r w:rsidR="00F437DB" w:rsidRPr="00F437DB">
          <w:rPr>
            <w:rStyle w:val="Hyperlink"/>
            <w:rtl/>
          </w:rPr>
          <w:t xml:space="preserve"> 36ג(א)</w:t>
        </w:r>
      </w:hyperlink>
      <w:r w:rsidRPr="000E225A">
        <w:rPr>
          <w:rFonts w:hint="cs"/>
          <w:rtl/>
        </w:rPr>
        <w:t xml:space="preserve"> ל</w:t>
      </w:r>
      <w:hyperlink r:id="rId75" w:history="1">
        <w:r w:rsidR="00976EB1" w:rsidRPr="00976EB1">
          <w:rPr>
            <w:color w:val="0000FF"/>
            <w:u w:val="single"/>
            <w:rtl/>
          </w:rPr>
          <w:t>פקודת הסמים המסוכנים</w:t>
        </w:r>
      </w:hyperlink>
      <w:r w:rsidRPr="000E225A">
        <w:rPr>
          <w:rFonts w:hint="cs"/>
          <w:rtl/>
        </w:rPr>
        <w:t xml:space="preserve"> [נוסח חדש], התשל"ג-</w:t>
      </w:r>
      <w:r w:rsidRPr="00D85FD1">
        <w:rPr>
          <w:rFonts w:hint="cs"/>
          <w:sz w:val="20"/>
          <w:szCs w:val="24"/>
          <w:rtl/>
        </w:rPr>
        <w:t>1973</w:t>
      </w:r>
      <w:r w:rsidRPr="000E225A">
        <w:rPr>
          <w:rFonts w:hint="cs"/>
          <w:rtl/>
        </w:rPr>
        <w:t>, המוחל</w:t>
      </w:r>
      <w:r>
        <w:rPr>
          <w:rFonts w:hint="cs"/>
          <w:rtl/>
        </w:rPr>
        <w:t>ים</w:t>
      </w:r>
      <w:r w:rsidRPr="000E225A">
        <w:rPr>
          <w:rFonts w:hint="cs"/>
          <w:rtl/>
        </w:rPr>
        <w:t xml:space="preserve"> על חילוט רכוש לפי </w:t>
      </w:r>
      <w:hyperlink r:id="rId76" w:history="1">
        <w:r w:rsidR="00976EB1" w:rsidRPr="00976EB1">
          <w:rPr>
            <w:color w:val="0000FF"/>
            <w:u w:val="single"/>
            <w:rtl/>
          </w:rPr>
          <w:t>חוק איסור הלבנת הון</w:t>
        </w:r>
      </w:hyperlink>
      <w:r w:rsidRPr="000E225A">
        <w:rPr>
          <w:rFonts w:hint="cs"/>
          <w:rtl/>
        </w:rPr>
        <w:t xml:space="preserve"> מכוח </w:t>
      </w:r>
      <w:hyperlink r:id="rId77" w:history="1">
        <w:r w:rsidR="00F437DB" w:rsidRPr="00F437DB">
          <w:rPr>
            <w:rStyle w:val="Hyperlink"/>
            <w:rFonts w:hint="cs"/>
            <w:rtl/>
          </w:rPr>
          <w:t>סעיף</w:t>
        </w:r>
        <w:r w:rsidR="00F437DB" w:rsidRPr="00F437DB">
          <w:rPr>
            <w:rStyle w:val="Hyperlink"/>
            <w:rtl/>
          </w:rPr>
          <w:t xml:space="preserve"> 23</w:t>
        </w:r>
      </w:hyperlink>
      <w:r w:rsidRPr="000E225A">
        <w:rPr>
          <w:rFonts w:hint="cs"/>
          <w:rtl/>
        </w:rPr>
        <w:t xml:space="preserve"> לחוק זה, נקבעה בפסיקה רשימה של "טעמים מיוחדים" המקנים לבית המשפט סמכות להורות על ביטול החילוט או צמצום היקפו</w:t>
      </w:r>
      <w:r>
        <w:rPr>
          <w:rFonts w:hint="cs"/>
          <w:rtl/>
        </w:rPr>
        <w:t xml:space="preserve"> [</w:t>
      </w:r>
      <w:hyperlink r:id="rId78" w:history="1">
        <w:r w:rsidR="00976EB1" w:rsidRPr="00976EB1">
          <w:rPr>
            <w:color w:val="0000FF"/>
            <w:u w:val="single"/>
            <w:rtl/>
          </w:rPr>
          <w:t>דנ"פ 8439/10</w:t>
        </w:r>
      </w:hyperlink>
      <w:r>
        <w:rPr>
          <w:rFonts w:hint="cs"/>
          <w:rtl/>
        </w:rPr>
        <w:t xml:space="preserve"> </w:t>
      </w:r>
      <w:r w:rsidRPr="00D85FD1">
        <w:rPr>
          <w:rFonts w:cs="Miriam" w:hint="cs"/>
          <w:sz w:val="24"/>
          <w:szCs w:val="24"/>
          <w:rtl/>
        </w:rPr>
        <w:t>מדינת ישראל נ' אלון כהן</w:t>
      </w:r>
      <w:r>
        <w:rPr>
          <w:rFonts w:hint="cs"/>
          <w:rtl/>
        </w:rPr>
        <w:t xml:space="preserve">, </w:t>
      </w:r>
      <w:r w:rsidR="00D05667" w:rsidRPr="00D05667">
        <w:rPr>
          <w:rFonts w:ascii="Times New Roman" w:hAnsi="Times New Roman" w:cs="David"/>
          <w:spacing w:val="0"/>
          <w:szCs w:val="24"/>
          <w:rtl/>
        </w:rPr>
        <w:t xml:space="preserve">[פורסם בנבו] </w:t>
      </w:r>
      <w:r>
        <w:rPr>
          <w:rFonts w:hint="cs"/>
          <w:rtl/>
        </w:rPr>
        <w:t>פסקה 11 (22.2.2011); עניין</w:t>
      </w:r>
      <w:r w:rsidRPr="00D85FD1">
        <w:rPr>
          <w:rFonts w:cs="Miriam" w:hint="cs"/>
          <w:rtl/>
        </w:rPr>
        <w:t xml:space="preserve"> </w:t>
      </w:r>
      <w:r w:rsidRPr="00CF48A4">
        <w:rPr>
          <w:rFonts w:cs="Miriam" w:hint="cs"/>
          <w:sz w:val="20"/>
          <w:szCs w:val="24"/>
          <w:rtl/>
        </w:rPr>
        <w:t>בלווא</w:t>
      </w:r>
      <w:r w:rsidRPr="00CF48A4">
        <w:rPr>
          <w:rFonts w:hint="cs"/>
          <w:rtl/>
        </w:rPr>
        <w:t xml:space="preserve">, פסקה 45]. </w:t>
      </w:r>
      <w:r>
        <w:rPr>
          <w:rFonts w:hint="cs"/>
          <w:rtl/>
        </w:rPr>
        <w:t>במסגרת רשימה זו, שאיננה סגורה,</w:t>
      </w:r>
      <w:r w:rsidRPr="00CF48A4">
        <w:rPr>
          <w:rFonts w:hint="cs"/>
          <w:rtl/>
        </w:rPr>
        <w:t xml:space="preserve"> באים שיקולים פרטניים הנוגעים לנאשם עצמו ולהליך שננקט בעניינו, עצמת הפגיעה בבני משפחתו של הנאשם הסמוכים </w:t>
      </w:r>
      <w:r>
        <w:rPr>
          <w:rFonts w:hint="cs"/>
          <w:rtl/>
        </w:rPr>
        <w:t>ע</w:t>
      </w:r>
      <w:r w:rsidRPr="00CF48A4">
        <w:rPr>
          <w:rFonts w:hint="cs"/>
          <w:rtl/>
        </w:rPr>
        <w:t>ל</w:t>
      </w:r>
      <w:r>
        <w:rPr>
          <w:rFonts w:hint="cs"/>
          <w:rtl/>
        </w:rPr>
        <w:t xml:space="preserve"> </w:t>
      </w:r>
      <w:r w:rsidRPr="00CF48A4">
        <w:rPr>
          <w:rFonts w:hint="cs"/>
          <w:rtl/>
        </w:rPr>
        <w:t>שולחנו מתוך כוונה לאפשר להם אמצעי מחיה סבירים ומקום מגורים סביר</w:t>
      </w:r>
      <w:r>
        <w:rPr>
          <w:rFonts w:hint="cs"/>
          <w:rtl/>
        </w:rPr>
        <w:t xml:space="preserve">. עוד הוכרה כ"נימוק מיוחד" ה"ראשוניות שאפיינה את תמהיל העבירות בכתב האישום" וכן פגמים שנפלו בהליך החילוט הזמני </w:t>
      </w:r>
      <w:r w:rsidRPr="00CF48A4">
        <w:rPr>
          <w:rFonts w:hint="cs"/>
          <w:rtl/>
        </w:rPr>
        <w:t>[עניין</w:t>
      </w:r>
      <w:r w:rsidRPr="00CF48A4">
        <w:rPr>
          <w:rFonts w:cs="Miriam" w:hint="cs"/>
          <w:rtl/>
        </w:rPr>
        <w:t xml:space="preserve"> </w:t>
      </w:r>
      <w:r w:rsidRPr="00CF48A4">
        <w:rPr>
          <w:rFonts w:cs="Miriam" w:hint="cs"/>
          <w:sz w:val="20"/>
          <w:szCs w:val="24"/>
          <w:rtl/>
        </w:rPr>
        <w:t>בלווא</w:t>
      </w:r>
      <w:r w:rsidRPr="00CF48A4">
        <w:rPr>
          <w:rFonts w:hint="cs"/>
          <w:rtl/>
        </w:rPr>
        <w:t>, פסקה 46]</w:t>
      </w:r>
      <w:r>
        <w:rPr>
          <w:rFonts w:hint="cs"/>
          <w:rtl/>
        </w:rPr>
        <w:t>, נימוקים שאינם מתקיימים בענייננו</w:t>
      </w:r>
      <w:r w:rsidRPr="00CF48A4">
        <w:rPr>
          <w:rFonts w:hint="cs"/>
          <w:rtl/>
        </w:rPr>
        <w:t>. סוג נוסף של שיקולים, שאינם מענייננו, עוסקים במידת הפגיעה הקניינית בצדדים שלישיים,</w:t>
      </w:r>
      <w:r>
        <w:rPr>
          <w:rFonts w:hint="cs"/>
          <w:rtl/>
        </w:rPr>
        <w:t xml:space="preserve"> ובכלל זה ב</w:t>
      </w:r>
      <w:r w:rsidRPr="00CF48A4">
        <w:rPr>
          <w:rFonts w:hint="cs"/>
          <w:rtl/>
        </w:rPr>
        <w:t>נושיו של הנאשם שרכושו עומד בפני חילוט [</w:t>
      </w:r>
      <w:hyperlink r:id="rId79" w:history="1">
        <w:r w:rsidR="00976EB1" w:rsidRPr="00976EB1">
          <w:rPr>
            <w:color w:val="0000FF"/>
            <w:u w:val="single"/>
            <w:rtl/>
          </w:rPr>
          <w:t>ע"א 8679/06</w:t>
        </w:r>
      </w:hyperlink>
      <w:r w:rsidRPr="00CF48A4">
        <w:rPr>
          <w:rFonts w:hint="cs"/>
          <w:rtl/>
        </w:rPr>
        <w:t xml:space="preserve"> </w:t>
      </w:r>
      <w:r w:rsidRPr="00CF48A4">
        <w:rPr>
          <w:rFonts w:cs="Miriam" w:hint="cs"/>
          <w:sz w:val="20"/>
          <w:szCs w:val="24"/>
          <w:rtl/>
        </w:rPr>
        <w:t>חביץ נ' מדינת ישראל</w:t>
      </w:r>
      <w:r w:rsidRPr="00CF48A4">
        <w:rPr>
          <w:rFonts w:hint="cs"/>
          <w:rtl/>
        </w:rPr>
        <w:t xml:space="preserve">, </w:t>
      </w:r>
      <w:r w:rsidR="00D05667" w:rsidRPr="00D05667">
        <w:rPr>
          <w:rFonts w:ascii="Times New Roman" w:hAnsi="Times New Roman" w:cs="David"/>
          <w:spacing w:val="0"/>
          <w:szCs w:val="24"/>
          <w:rtl/>
        </w:rPr>
        <w:t xml:space="preserve">[פורסם בנבו] </w:t>
      </w:r>
      <w:r w:rsidRPr="00CF48A4">
        <w:rPr>
          <w:rFonts w:hint="cs"/>
          <w:rtl/>
        </w:rPr>
        <w:t>פסק</w:t>
      </w:r>
      <w:r>
        <w:rPr>
          <w:rFonts w:hint="cs"/>
          <w:rtl/>
        </w:rPr>
        <w:t>אות 7-10</w:t>
      </w:r>
      <w:r w:rsidRPr="00CF48A4">
        <w:rPr>
          <w:rFonts w:hint="cs"/>
          <w:rtl/>
        </w:rPr>
        <w:t xml:space="preserve"> (30.12.2008)].</w:t>
      </w:r>
    </w:p>
    <w:p w14:paraId="53E36259" w14:textId="77777777" w:rsidR="00C76774" w:rsidRDefault="00C76774" w:rsidP="00C76774">
      <w:pPr>
        <w:pStyle w:val="Ruller41"/>
        <w:rPr>
          <w:rtl/>
        </w:rPr>
      </w:pPr>
      <w:r>
        <w:rPr>
          <w:rFonts w:hint="cs"/>
          <w:rtl/>
        </w:rPr>
        <w:t>כהערה כללית נקבע ש</w:t>
      </w:r>
      <w:r>
        <w:rPr>
          <w:rFonts w:ascii="Century" w:hAnsi="Century" w:hint="cs"/>
          <w:rtl/>
        </w:rPr>
        <w:t>יש לבחון את החריגים בצמצום, שכן "</w:t>
      </w:r>
      <w:r w:rsidRPr="007C2996">
        <w:rPr>
          <w:rFonts w:ascii="Century" w:hAnsi="Century" w:cs="Miriam" w:hint="eastAsia"/>
          <w:sz w:val="20"/>
          <w:szCs w:val="24"/>
          <w:rtl/>
        </w:rPr>
        <w:t>הרחבת</w:t>
      </w:r>
      <w:r w:rsidRPr="007C2996">
        <w:rPr>
          <w:rFonts w:ascii="Century" w:hAnsi="Century" w:cs="Miriam"/>
          <w:sz w:val="20"/>
          <w:szCs w:val="24"/>
          <w:rtl/>
        </w:rPr>
        <w:t>-</w:t>
      </w:r>
      <w:r w:rsidRPr="007C2996">
        <w:rPr>
          <w:rFonts w:ascii="Century" w:hAnsi="Century" w:cs="Miriam" w:hint="eastAsia"/>
          <w:sz w:val="20"/>
          <w:szCs w:val="24"/>
          <w:rtl/>
        </w:rPr>
        <w:t>יתר</w:t>
      </w:r>
      <w:r w:rsidRPr="007C2996">
        <w:rPr>
          <w:rFonts w:ascii="Century" w:hAnsi="Century" w:cs="Miriam"/>
          <w:sz w:val="20"/>
          <w:szCs w:val="24"/>
          <w:rtl/>
        </w:rPr>
        <w:t xml:space="preserve"> </w:t>
      </w:r>
      <w:r w:rsidRPr="007C2996">
        <w:rPr>
          <w:rFonts w:ascii="Century" w:hAnsi="Century" w:cs="Miriam" w:hint="eastAsia"/>
          <w:sz w:val="20"/>
          <w:szCs w:val="24"/>
          <w:rtl/>
        </w:rPr>
        <w:t>של</w:t>
      </w:r>
      <w:r w:rsidRPr="007C2996">
        <w:rPr>
          <w:rFonts w:ascii="Century" w:hAnsi="Century" w:cs="Miriam"/>
          <w:sz w:val="20"/>
          <w:szCs w:val="24"/>
          <w:rtl/>
        </w:rPr>
        <w:t xml:space="preserve"> </w:t>
      </w:r>
      <w:r w:rsidRPr="007C2996">
        <w:rPr>
          <w:rFonts w:ascii="Century" w:hAnsi="Century" w:cs="Miriam" w:hint="eastAsia"/>
          <w:sz w:val="20"/>
          <w:szCs w:val="24"/>
          <w:rtl/>
        </w:rPr>
        <w:t>החריגים</w:t>
      </w:r>
      <w:r w:rsidRPr="007C2996">
        <w:rPr>
          <w:rFonts w:ascii="Century" w:hAnsi="Century" w:cs="Miriam"/>
          <w:sz w:val="20"/>
          <w:szCs w:val="24"/>
          <w:rtl/>
        </w:rPr>
        <w:t xml:space="preserve"> </w:t>
      </w:r>
      <w:r w:rsidRPr="007C2996">
        <w:rPr>
          <w:rFonts w:ascii="Century" w:hAnsi="Century" w:cs="Miriam" w:hint="eastAsia"/>
          <w:sz w:val="20"/>
          <w:szCs w:val="24"/>
          <w:rtl/>
        </w:rPr>
        <w:t>עלולה</w:t>
      </w:r>
      <w:r w:rsidRPr="007C2996">
        <w:rPr>
          <w:rFonts w:ascii="Century" w:hAnsi="Century" w:cs="Miriam"/>
          <w:sz w:val="20"/>
          <w:szCs w:val="24"/>
          <w:rtl/>
        </w:rPr>
        <w:t xml:space="preserve"> </w:t>
      </w:r>
      <w:r w:rsidRPr="007C2996">
        <w:rPr>
          <w:rFonts w:ascii="Century" w:hAnsi="Century" w:cs="Miriam" w:hint="eastAsia"/>
          <w:sz w:val="20"/>
          <w:szCs w:val="24"/>
          <w:rtl/>
        </w:rPr>
        <w:t>להוביל</w:t>
      </w:r>
      <w:r w:rsidRPr="007C2996">
        <w:rPr>
          <w:rFonts w:ascii="Century" w:hAnsi="Century" w:cs="Miriam"/>
          <w:sz w:val="20"/>
          <w:szCs w:val="24"/>
          <w:rtl/>
        </w:rPr>
        <w:t xml:space="preserve"> </w:t>
      </w:r>
      <w:r w:rsidRPr="007C2996">
        <w:rPr>
          <w:rFonts w:ascii="Century" w:hAnsi="Century" w:cs="Miriam" w:hint="eastAsia"/>
          <w:sz w:val="20"/>
          <w:szCs w:val="24"/>
          <w:rtl/>
        </w:rPr>
        <w:t>להכשלת</w:t>
      </w:r>
      <w:r w:rsidRPr="007C2996">
        <w:rPr>
          <w:rFonts w:ascii="Century" w:hAnsi="Century" w:cs="Miriam"/>
          <w:sz w:val="20"/>
          <w:szCs w:val="24"/>
          <w:rtl/>
        </w:rPr>
        <w:t xml:space="preserve"> </w:t>
      </w:r>
      <w:r w:rsidRPr="007C2996">
        <w:rPr>
          <w:rFonts w:ascii="Century" w:hAnsi="Century" w:cs="Miriam" w:hint="eastAsia"/>
          <w:sz w:val="20"/>
          <w:szCs w:val="24"/>
          <w:rtl/>
        </w:rPr>
        <w:t>מטרות</w:t>
      </w:r>
      <w:r w:rsidRPr="007C2996">
        <w:rPr>
          <w:rFonts w:ascii="Century" w:hAnsi="Century" w:cs="Miriam"/>
          <w:sz w:val="20"/>
          <w:szCs w:val="24"/>
          <w:rtl/>
        </w:rPr>
        <w:t xml:space="preserve"> </w:t>
      </w:r>
      <w:r w:rsidRPr="007C2996">
        <w:rPr>
          <w:rFonts w:ascii="Century" w:hAnsi="Century" w:cs="Miriam" w:hint="eastAsia"/>
          <w:sz w:val="20"/>
          <w:szCs w:val="24"/>
          <w:rtl/>
        </w:rPr>
        <w:t>החילוט</w:t>
      </w:r>
      <w:r>
        <w:rPr>
          <w:rFonts w:ascii="Century" w:hAnsi="Century" w:hint="cs"/>
          <w:rtl/>
        </w:rPr>
        <w:t>"</w:t>
      </w:r>
      <w:r>
        <w:rPr>
          <w:rFonts w:ascii="Century" w:hAnsi="Century"/>
          <w:rtl/>
        </w:rPr>
        <w:t xml:space="preserve"> </w:t>
      </w:r>
      <w:r>
        <w:rPr>
          <w:rFonts w:ascii="Century" w:hAnsi="Century" w:hint="cs"/>
          <w:rtl/>
        </w:rPr>
        <w:t xml:space="preserve">[עניין </w:t>
      </w:r>
      <w:r w:rsidRPr="009E2228">
        <w:rPr>
          <w:rFonts w:cs="Miriam" w:hint="cs"/>
          <w:sz w:val="20"/>
          <w:szCs w:val="24"/>
          <w:rtl/>
        </w:rPr>
        <w:t>בלווא</w:t>
      </w:r>
      <w:r>
        <w:rPr>
          <w:rFonts w:ascii="Century" w:hAnsi="Century" w:hint="cs"/>
          <w:rtl/>
        </w:rPr>
        <w:t xml:space="preserve">, פסקה 50; </w:t>
      </w:r>
      <w:hyperlink r:id="rId80" w:history="1">
        <w:r w:rsidR="00976EB1" w:rsidRPr="00976EB1">
          <w:rPr>
            <w:rFonts w:ascii="Century" w:hAnsi="Century" w:hint="cs"/>
            <w:color w:val="0000FF"/>
            <w:u w:val="single"/>
            <w:rtl/>
          </w:rPr>
          <w:t>ע</w:t>
        </w:r>
        <w:r w:rsidR="00976EB1" w:rsidRPr="00976EB1">
          <w:rPr>
            <w:rFonts w:ascii="Century" w:hAnsi="Century"/>
            <w:color w:val="0000FF"/>
            <w:u w:val="single"/>
            <w:rtl/>
          </w:rPr>
          <w:t>"</w:t>
        </w:r>
        <w:r w:rsidR="00976EB1" w:rsidRPr="00976EB1">
          <w:rPr>
            <w:rFonts w:ascii="Century" w:hAnsi="Century" w:hint="cs"/>
            <w:color w:val="0000FF"/>
            <w:u w:val="single"/>
            <w:rtl/>
          </w:rPr>
          <w:t>א</w:t>
        </w:r>
        <w:r w:rsidR="00976EB1" w:rsidRPr="00976EB1">
          <w:rPr>
            <w:rFonts w:ascii="Century" w:hAnsi="Century"/>
            <w:color w:val="0000FF"/>
            <w:u w:val="single"/>
            <w:rtl/>
          </w:rPr>
          <w:t xml:space="preserve"> 8487/09</w:t>
        </w:r>
      </w:hyperlink>
      <w:r>
        <w:rPr>
          <w:rFonts w:ascii="Century" w:hAnsi="Century" w:hint="cs"/>
          <w:rtl/>
        </w:rPr>
        <w:t xml:space="preserve"> </w:t>
      </w:r>
      <w:r w:rsidRPr="009E2228">
        <w:rPr>
          <w:rFonts w:ascii="Century" w:hAnsi="Century" w:cs="Miriam" w:hint="cs"/>
          <w:sz w:val="20"/>
          <w:szCs w:val="24"/>
          <w:rtl/>
        </w:rPr>
        <w:t>ניצני נ' מדינת ישראל</w:t>
      </w:r>
      <w:r>
        <w:rPr>
          <w:rFonts w:ascii="Century" w:hAnsi="Century"/>
          <w:rtl/>
        </w:rPr>
        <w:t xml:space="preserve">, </w:t>
      </w:r>
      <w:r w:rsidR="00D05667" w:rsidRPr="00D05667">
        <w:rPr>
          <w:rFonts w:ascii="Times New Roman" w:hAnsi="Times New Roman" w:cs="David"/>
          <w:spacing w:val="0"/>
          <w:szCs w:val="24"/>
          <w:rtl/>
        </w:rPr>
        <w:t>[</w:t>
      </w:r>
      <w:r w:rsidR="00D05667" w:rsidRPr="00D05667">
        <w:rPr>
          <w:rFonts w:ascii="Times New Roman" w:hAnsi="Times New Roman" w:cs="David" w:hint="cs"/>
          <w:spacing w:val="0"/>
          <w:szCs w:val="24"/>
          <w:rtl/>
        </w:rPr>
        <w:t>פורסם</w:t>
      </w:r>
      <w:r w:rsidR="00D05667" w:rsidRPr="00D05667">
        <w:rPr>
          <w:rFonts w:ascii="Times New Roman" w:hAnsi="Times New Roman" w:cs="David"/>
          <w:spacing w:val="0"/>
          <w:szCs w:val="24"/>
          <w:rtl/>
        </w:rPr>
        <w:t xml:space="preserve"> </w:t>
      </w:r>
      <w:r w:rsidR="00D05667" w:rsidRPr="00D05667">
        <w:rPr>
          <w:rFonts w:ascii="Times New Roman" w:hAnsi="Times New Roman" w:cs="David" w:hint="cs"/>
          <w:spacing w:val="0"/>
          <w:szCs w:val="24"/>
          <w:rtl/>
        </w:rPr>
        <w:t>בנבו</w:t>
      </w:r>
      <w:r w:rsidR="00D05667" w:rsidRPr="00D05667">
        <w:rPr>
          <w:rFonts w:ascii="Times New Roman" w:hAnsi="Times New Roman" w:cs="David"/>
          <w:spacing w:val="0"/>
          <w:szCs w:val="24"/>
          <w:rtl/>
        </w:rPr>
        <w:t xml:space="preserve">] </w:t>
      </w:r>
      <w:r>
        <w:rPr>
          <w:rFonts w:ascii="Century" w:hAnsi="Century" w:hint="eastAsia"/>
          <w:rtl/>
        </w:rPr>
        <w:t>פסקה</w:t>
      </w:r>
      <w:r>
        <w:rPr>
          <w:rFonts w:ascii="Century" w:hAnsi="Century"/>
          <w:rtl/>
        </w:rPr>
        <w:t xml:space="preserve"> 14</w:t>
      </w:r>
      <w:r>
        <w:rPr>
          <w:rFonts w:ascii="Century" w:hAnsi="Century" w:hint="cs"/>
          <w:rtl/>
        </w:rPr>
        <w:t xml:space="preserve"> (27.10.2013)]</w:t>
      </w:r>
      <w:r>
        <w:rPr>
          <w:rFonts w:ascii="Century" w:hAnsi="Century"/>
          <w:rtl/>
        </w:rPr>
        <w:t>.</w:t>
      </w:r>
    </w:p>
    <w:p w14:paraId="5540CDFE" w14:textId="77777777" w:rsidR="00C76774" w:rsidRDefault="00C76774" w:rsidP="00C76774">
      <w:pPr>
        <w:pStyle w:val="Ruller41"/>
        <w:rPr>
          <w:rtl/>
        </w:rPr>
      </w:pPr>
    </w:p>
    <w:p w14:paraId="322B6510" w14:textId="77777777" w:rsidR="00C76774" w:rsidRDefault="00C76774" w:rsidP="00C76774">
      <w:pPr>
        <w:pStyle w:val="Ruller41"/>
        <w:rPr>
          <w:rtl/>
        </w:rPr>
      </w:pPr>
    </w:p>
    <w:p w14:paraId="45D0DDD8" w14:textId="77777777" w:rsidR="00C76774" w:rsidRDefault="00C76774" w:rsidP="00C76774">
      <w:pPr>
        <w:pStyle w:val="Ruller41"/>
        <w:rPr>
          <w:rtl/>
        </w:rPr>
      </w:pPr>
    </w:p>
    <w:p w14:paraId="78DB88CC" w14:textId="77777777" w:rsidR="00C76774" w:rsidRDefault="00C76774" w:rsidP="00C76774">
      <w:pPr>
        <w:pStyle w:val="Ruller41"/>
        <w:rPr>
          <w:b/>
          <w:bCs/>
          <w:rtl/>
        </w:rPr>
      </w:pPr>
      <w:r>
        <w:rPr>
          <w:rFonts w:hint="cs"/>
          <w:b/>
          <w:bCs/>
          <w:rtl/>
        </w:rPr>
        <w:t xml:space="preserve">חילוט - </w:t>
      </w:r>
      <w:r w:rsidRPr="00CA1BD6">
        <w:rPr>
          <w:rFonts w:hint="cs"/>
          <w:b/>
          <w:bCs/>
          <w:rtl/>
        </w:rPr>
        <w:t>מן הכלל אל הפרט</w:t>
      </w:r>
    </w:p>
    <w:p w14:paraId="191BF871" w14:textId="77777777" w:rsidR="00C76774" w:rsidRPr="00CA1BD6" w:rsidRDefault="00C76774" w:rsidP="00C76774">
      <w:pPr>
        <w:pStyle w:val="Ruller41"/>
        <w:rPr>
          <w:b/>
          <w:bCs/>
          <w:rtl/>
        </w:rPr>
      </w:pPr>
    </w:p>
    <w:p w14:paraId="6116C41E" w14:textId="77777777" w:rsidR="00C76774" w:rsidRDefault="00C76774" w:rsidP="00C76774">
      <w:pPr>
        <w:pStyle w:val="Ruller41"/>
        <w:rPr>
          <w:rtl/>
        </w:rPr>
      </w:pPr>
      <w:r>
        <w:rPr>
          <w:rFonts w:hint="cs"/>
          <w:rtl/>
        </w:rPr>
        <w:t>36.</w:t>
      </w:r>
      <w:r>
        <w:rPr>
          <w:rFonts w:hint="cs"/>
          <w:rtl/>
        </w:rPr>
        <w:tab/>
        <w:t xml:space="preserve">בחינת עניינו של הנאשם בהתאם לאמות המידה שנקבעו בפסיקה, מובילה למסקנה שלא מתקיימים בעניינו "נימוקים מיוחדים" המצדיקים הימנעות מחילוט או צמצום היקפו. לצד זאת אני סבור שיש להשיב לנאשם, </w:t>
      </w:r>
      <w:r w:rsidRPr="00186B75">
        <w:rPr>
          <w:rFonts w:cs="Miriam" w:hint="cs"/>
          <w:sz w:val="20"/>
          <w:szCs w:val="24"/>
          <w:rtl/>
        </w:rPr>
        <w:t>מטעמים שלפנים משורת הדין</w:t>
      </w:r>
      <w:r>
        <w:rPr>
          <w:rFonts w:hint="cs"/>
          <w:rtl/>
        </w:rPr>
        <w:t>, חלק מהכסף שנתפס, כפי שיובהר להלן.</w:t>
      </w:r>
    </w:p>
    <w:p w14:paraId="416E8E29" w14:textId="77777777" w:rsidR="00C76774" w:rsidRDefault="00C76774" w:rsidP="00C76774">
      <w:pPr>
        <w:pStyle w:val="Ruller41"/>
        <w:rPr>
          <w:rtl/>
        </w:rPr>
      </w:pPr>
    </w:p>
    <w:p w14:paraId="49509DE0" w14:textId="77777777" w:rsidR="00C76774" w:rsidRDefault="00C76774" w:rsidP="00C76774">
      <w:pPr>
        <w:pStyle w:val="Ruller41"/>
        <w:rPr>
          <w:rtl/>
        </w:rPr>
      </w:pPr>
      <w:r>
        <w:rPr>
          <w:rFonts w:hint="cs"/>
          <w:rtl/>
        </w:rPr>
        <w:t>37.</w:t>
      </w:r>
      <w:r>
        <w:rPr>
          <w:rFonts w:hint="cs"/>
          <w:rtl/>
        </w:rPr>
        <w:tab/>
        <w:t>טענה מרכזית בטיעוני ב"כ הנאשם נסבה על הפער בין הרכוש אותו מבקשת המאשימה לחלט לנאשם לבין הרכוש שחולט לצרפתי. מעבר להערתי לעיל בקשר ל"ערבוב" סוגיית העונש עם סוגיית החילוט, אעיר שמפתיע שטיעון זה עולה דווקא מצד הנאשם, שהיה שותף לגיבוש הסדר הטיעון, שעה שבקשתו להקל בעונשו נוכח מצבו הרפואי של בנו וסיום ההליך מבלי שיוטל עליו עונש של מאסר בפועל, נפלה על אוזניה הקשובות של המאשימה. ובמה דברים אמורים? ככל שהנאשם טוען לאפליה מול צרפתי, הרי שאפליה זו באה לידי ביטוי בראש ובראשונה</w:t>
      </w:r>
      <w:r w:rsidRPr="002074DB">
        <w:rPr>
          <w:rFonts w:cs="Miriam" w:hint="cs"/>
          <w:sz w:val="20"/>
          <w:szCs w:val="24"/>
          <w:rtl/>
        </w:rPr>
        <w:t xml:space="preserve"> בסוג העונש העיקרי שהוטל עליו</w:t>
      </w:r>
      <w:r>
        <w:rPr>
          <w:rFonts w:hint="cs"/>
          <w:rtl/>
        </w:rPr>
        <w:t xml:space="preserve">, כאשר הנאשם קיבל, כאמור, הנחה מפליגה, שכפי שהבהרתי בהרחבה לעיל, ספק רב בעיני אם בכלל הגיעה לו. מכאן, שעה שנדרשת בחינת </w:t>
      </w:r>
      <w:r w:rsidRPr="00D84914">
        <w:rPr>
          <w:rFonts w:cs="Miriam" w:hint="cs"/>
          <w:sz w:val="20"/>
          <w:szCs w:val="24"/>
          <w:rtl/>
        </w:rPr>
        <w:t>שיקולי</w:t>
      </w:r>
      <w:r>
        <w:rPr>
          <w:rFonts w:hint="cs"/>
          <w:rtl/>
        </w:rPr>
        <w:t xml:space="preserve"> </w:t>
      </w:r>
      <w:r w:rsidRPr="00D84914">
        <w:rPr>
          <w:rFonts w:cs="Miriam" w:hint="cs"/>
          <w:sz w:val="20"/>
          <w:szCs w:val="24"/>
          <w:rtl/>
        </w:rPr>
        <w:t>המאשימה</w:t>
      </w:r>
      <w:r>
        <w:rPr>
          <w:rFonts w:hint="cs"/>
          <w:rtl/>
        </w:rPr>
        <w:t xml:space="preserve"> בגיבוש הסדר הטיעון, לא ניתן לומר שעתירתה "לאזן" את ההקלה שניתנה לנאשם בהטלת קנס משמעותי וחילוט משמעותי, הינה נטולת היגיון.</w:t>
      </w:r>
    </w:p>
    <w:p w14:paraId="34C57231" w14:textId="77777777" w:rsidR="00C76774" w:rsidRDefault="00C76774" w:rsidP="00C76774">
      <w:pPr>
        <w:pStyle w:val="Ruller41"/>
        <w:rPr>
          <w:rtl/>
        </w:rPr>
      </w:pPr>
    </w:p>
    <w:p w14:paraId="15BA9726" w14:textId="77777777" w:rsidR="00C76774" w:rsidRDefault="00C76774" w:rsidP="00C76774">
      <w:pPr>
        <w:pStyle w:val="Ruller41"/>
        <w:rPr>
          <w:rtl/>
        </w:rPr>
      </w:pPr>
      <w:r>
        <w:rPr>
          <w:rFonts w:hint="cs"/>
          <w:rtl/>
        </w:rPr>
        <w:t>38.</w:t>
      </w:r>
      <w:r>
        <w:rPr>
          <w:rFonts w:hint="cs"/>
          <w:rtl/>
        </w:rPr>
        <w:tab/>
        <w:t xml:space="preserve">ואולם הנימוק המרכזי לדחיית הטענה נעוץ בעובדה שבסופו של יום ביקשה המאשימה לחלט לכל אחד מהנאשמים את </w:t>
      </w:r>
      <w:r w:rsidRPr="007B3BAC">
        <w:rPr>
          <w:rFonts w:cs="Miriam" w:hint="cs"/>
          <w:sz w:val="20"/>
          <w:szCs w:val="24"/>
          <w:rtl/>
        </w:rPr>
        <w:t>כל הרכוש</w:t>
      </w:r>
      <w:r>
        <w:rPr>
          <w:rFonts w:hint="cs"/>
          <w:rtl/>
        </w:rPr>
        <w:t xml:space="preserve"> שנתפס ברשותו, כאשר מטבע הדברים לאחד הנאשמים, במקרה זה לנאשם, נתפס רכוש בהיקף גדול מזה שנתפס אצל חברו צרפתי. </w:t>
      </w:r>
    </w:p>
    <w:p w14:paraId="32453C03" w14:textId="77777777" w:rsidR="00C76774" w:rsidRDefault="00C76774" w:rsidP="00C76774">
      <w:pPr>
        <w:pStyle w:val="Ruller41"/>
        <w:rPr>
          <w:rtl/>
        </w:rPr>
      </w:pPr>
      <w:r>
        <w:rPr>
          <w:rFonts w:hint="cs"/>
          <w:rtl/>
        </w:rPr>
        <w:t>במסגרת ההסכמות שהושגו עם צרפתי, החליטה המאשימה להשיב לידיו כ"שליש" או כ"מחצית" מהרכב, תלוי במועד החישוב (ששוויו ביום התפיסה עמד על כ-150,000 ₪, ואילו ביום החילוט הוערך בכ-99,000 ₪), במובן זה שחולט סכום של 55,000 ₪ אותו שילם צרפתי בתמורה לשחרור הרכב בהליך "התפיסה הזמנית". נוסף על כך חולט כל הכסף שנתפס ברשותו (כ-20,000 ₪). המאשימה נימקה את הסכמתה להשבת הרכב לידי צרפתי בעובדה שמדובר היה ברכב המשפחתי, ששימש בין היתר את אשתו של צרפתי להסעת ילדיהם, ובצורך המוגבר של האישה ברכב בתקופה של כשנה וחצי בה עתיד בעלה לרצות את עונש המאסר שנגזר עליו. נימוק זה הינו נימוק לגיטימי אותו רשאית, שלא לומר חייבת המאשימה לשקול, בשים לב לכך שהוא עולה בקנה אחד עם עמדת הפסיקה והחוק והצורך להשאיר לנאשם ולמשפחתו "אמצעי מחייה סבירים". בנקודה זו אציין שלא הוגשה כל ראייה מצד ההגנה לכך שהרכב שהוחזר הינו "רכב יוקרה" ששוויו "מאות אלפי שקלים", כאשר מנגד הסבירה המאשימה שעלות הרכב עמדה לנגד עיניה בכל אחד משלבי החילוט, החל מיום תפיסתו ועד מועד מתן גזר הדין.</w:t>
      </w:r>
    </w:p>
    <w:p w14:paraId="251C0334" w14:textId="77777777" w:rsidR="00C76774" w:rsidRDefault="00C76774" w:rsidP="00C76774">
      <w:pPr>
        <w:pStyle w:val="Ruller41"/>
        <w:rPr>
          <w:rtl/>
        </w:rPr>
      </w:pPr>
    </w:p>
    <w:p w14:paraId="3EB399A3" w14:textId="77777777" w:rsidR="00C76774" w:rsidRDefault="00C76774" w:rsidP="00C76774">
      <w:pPr>
        <w:pStyle w:val="Ruller41"/>
        <w:rPr>
          <w:rtl/>
        </w:rPr>
      </w:pPr>
      <w:r>
        <w:rPr>
          <w:rFonts w:hint="cs"/>
          <w:rtl/>
        </w:rPr>
        <w:t>במובן זה, וכאשר לצרפתי לא נתפס רכוש רב, באופן יחסי, נופלת מאליה טענת האפליה.</w:t>
      </w:r>
    </w:p>
    <w:p w14:paraId="0B19E174" w14:textId="77777777" w:rsidR="00C76774" w:rsidRDefault="00C76774" w:rsidP="00C76774">
      <w:pPr>
        <w:pStyle w:val="Ruller41"/>
        <w:rPr>
          <w:rtl/>
        </w:rPr>
      </w:pPr>
    </w:p>
    <w:p w14:paraId="7AEACD71" w14:textId="77777777" w:rsidR="00C76774" w:rsidRDefault="00C76774" w:rsidP="00C76774">
      <w:pPr>
        <w:pStyle w:val="Ruller41"/>
        <w:rPr>
          <w:rtl/>
        </w:rPr>
      </w:pPr>
      <w:r>
        <w:rPr>
          <w:rFonts w:hint="cs"/>
          <w:rtl/>
        </w:rPr>
        <w:t xml:space="preserve">על אף האמור, לפנים משורת הדין, בשים לב להסדר אליו הגיעה המאשימה עם צרפתי בקשר לרכב, ומתוך מטרה למנוע תחושה אפשרית של הנאשם לחוסר צדק, אורה על השבת סך של 100,000 ₪ מתוך הכסף והנכסים שנתפסו, המהווים את ההפרש בין שוויו המוערך של רכבו של צרפתי ביום תפיסתו לבין הסכום שחולט בסופו של יום בקשר לאותו רכב.  </w:t>
      </w:r>
    </w:p>
    <w:p w14:paraId="1CD871FF" w14:textId="77777777" w:rsidR="00C76774" w:rsidRDefault="00C76774" w:rsidP="00C76774">
      <w:pPr>
        <w:pStyle w:val="Ruller41"/>
        <w:rPr>
          <w:rtl/>
        </w:rPr>
      </w:pPr>
    </w:p>
    <w:p w14:paraId="369A068C" w14:textId="77777777" w:rsidR="00C76774" w:rsidRDefault="00C76774" w:rsidP="00C76774">
      <w:pPr>
        <w:pStyle w:val="Ruller41"/>
        <w:rPr>
          <w:rtl/>
        </w:rPr>
      </w:pPr>
      <w:r>
        <w:rPr>
          <w:rFonts w:hint="cs"/>
          <w:rtl/>
        </w:rPr>
        <w:t>39.</w:t>
      </w:r>
      <w:r>
        <w:rPr>
          <w:rFonts w:hint="cs"/>
          <w:rtl/>
        </w:rPr>
        <w:tab/>
        <w:t>בקצרה אציין שמצאתי לדחות אף את יתר טענות האפליה שנטענו. כך, מצאתי לדחות את הטענה שחלקו של צרפתי באירוע העברייני גדול מחלקו של הנאשם, או שמעשיו של צרפתי היו בעלי דרגת חומרה גבוהה מזו של הנאשם, זאת מן הטעם שעובדות כתב האישום מלמדות שבין השניים הייתה חלוקת תפקידים ברורה, כאשר פועלו של כל אחד מהם היה משמעותי לצורך קידום העסק המשותף ולצורך השאת רווחים עבור שניהם.</w:t>
      </w:r>
    </w:p>
    <w:p w14:paraId="4DFA0A91" w14:textId="77777777" w:rsidR="00C76774" w:rsidRPr="00E87377" w:rsidRDefault="00C76774" w:rsidP="00C76774">
      <w:pPr>
        <w:pStyle w:val="Ruller41"/>
        <w:rPr>
          <w:rtl/>
        </w:rPr>
      </w:pPr>
      <w:r>
        <w:rPr>
          <w:rFonts w:hint="cs"/>
          <w:rtl/>
        </w:rPr>
        <w:t xml:space="preserve">עוד עולה מכתב האישום, שאין דומים מעשיו של הנאשם, מעמדו, חלקו בפרשיה והרווחים שהפיק, למעשיהם של "סוכני המשנה", ומכאן שדינה של טענת האפליה, גם בהקשר שלהם, להידחות. </w:t>
      </w:r>
    </w:p>
    <w:p w14:paraId="0C743120" w14:textId="77777777" w:rsidR="00C76774" w:rsidRDefault="00C76774" w:rsidP="00C76774">
      <w:pPr>
        <w:pStyle w:val="Ruller41"/>
        <w:rPr>
          <w:rtl/>
        </w:rPr>
      </w:pPr>
    </w:p>
    <w:p w14:paraId="608D40EF" w14:textId="77777777" w:rsidR="00C76774" w:rsidRDefault="00C76774" w:rsidP="00C76774">
      <w:pPr>
        <w:pStyle w:val="Ruller41"/>
        <w:rPr>
          <w:rtl/>
        </w:rPr>
      </w:pPr>
      <w:r>
        <w:rPr>
          <w:rFonts w:hint="cs"/>
          <w:rtl/>
        </w:rPr>
        <w:t>40.</w:t>
      </w:r>
      <w:r>
        <w:rPr>
          <w:rFonts w:hint="cs"/>
          <w:rtl/>
        </w:rPr>
        <w:tab/>
        <w:t xml:space="preserve">טענה נוספת שנטענה היא שרווחיו של הנאשם הסתכמו בלא יותר מ-90,000 ₪. אודה שקיים קושי לקבל את הטענה, הנלמדת מסעיף 5 לכתב האישום המתוקן, כאשר מסעיף 6 לאותו כתב אישום עולה שאתר </w:t>
      </w:r>
      <w:r w:rsidRPr="00E307B1">
        <w:rPr>
          <w:rFonts w:cs="Miriam" w:hint="cs"/>
          <w:sz w:val="24"/>
          <w:szCs w:val="24"/>
          <w:rtl/>
        </w:rPr>
        <w:t>אחד בלבד</w:t>
      </w:r>
      <w:r>
        <w:rPr>
          <w:rFonts w:hint="cs"/>
          <w:rtl/>
        </w:rPr>
        <w:t>, מתוך מספר אתרים אותם הפעילו הנאשמים, גלגל בתקופה בה פעל הנאשם, מחזור של יותר מ-24,000,000 ₪.</w:t>
      </w:r>
    </w:p>
    <w:p w14:paraId="26010663" w14:textId="77777777" w:rsidR="00C76774" w:rsidRDefault="00C76774" w:rsidP="00C76774">
      <w:pPr>
        <w:pStyle w:val="Ruller41"/>
        <w:rPr>
          <w:rtl/>
        </w:rPr>
      </w:pPr>
      <w:r>
        <w:rPr>
          <w:rFonts w:hint="cs"/>
          <w:rtl/>
        </w:rPr>
        <w:t xml:space="preserve">ואולם, בין כך ובין כך אין לנתון זה כל רלוונטיות לענייני החילוט, שכן, כפי שנפסק בעניין </w:t>
      </w:r>
      <w:r w:rsidRPr="00BE7E6E">
        <w:rPr>
          <w:rFonts w:cs="Miriam" w:hint="cs"/>
          <w:sz w:val="20"/>
          <w:szCs w:val="24"/>
          <w:rtl/>
        </w:rPr>
        <w:t>טולטו</w:t>
      </w:r>
      <w:r>
        <w:rPr>
          <w:rFonts w:hint="cs"/>
          <w:rtl/>
        </w:rPr>
        <w:t>, ייגזר סכום החילוט מהיקף העבירה ולא מהרווחים שהופקו ממנה.</w:t>
      </w:r>
    </w:p>
    <w:p w14:paraId="105EDD95" w14:textId="77777777" w:rsidR="00C76774" w:rsidRDefault="00C76774" w:rsidP="00C76774">
      <w:pPr>
        <w:pStyle w:val="Ruller41"/>
        <w:rPr>
          <w:rtl/>
        </w:rPr>
      </w:pPr>
    </w:p>
    <w:p w14:paraId="226759E6" w14:textId="77777777" w:rsidR="00C76774" w:rsidRDefault="00C76774" w:rsidP="00C76774">
      <w:pPr>
        <w:pStyle w:val="Ruller41"/>
        <w:rPr>
          <w:rtl/>
        </w:rPr>
      </w:pPr>
      <w:r>
        <w:rPr>
          <w:rFonts w:hint="cs"/>
          <w:rtl/>
        </w:rPr>
        <w:t>41.</w:t>
      </w:r>
      <w:r>
        <w:rPr>
          <w:rFonts w:hint="cs"/>
          <w:rtl/>
        </w:rPr>
        <w:tab/>
        <w:t>אשר לנימוק הנוגע להעדרו של עבר פלילי, לא מצאתי שלנסיבה זו נפקות כלשהי בסוגיית החילוט.</w:t>
      </w:r>
    </w:p>
    <w:p w14:paraId="71F08BF1" w14:textId="77777777" w:rsidR="00C76774" w:rsidRDefault="00C76774" w:rsidP="00C76774">
      <w:pPr>
        <w:pStyle w:val="Ruller41"/>
        <w:rPr>
          <w:rtl/>
        </w:rPr>
      </w:pPr>
    </w:p>
    <w:p w14:paraId="34359004" w14:textId="77777777" w:rsidR="00C76774" w:rsidRDefault="00C76774" w:rsidP="00C76774">
      <w:pPr>
        <w:pStyle w:val="Ruller41"/>
        <w:rPr>
          <w:rtl/>
        </w:rPr>
      </w:pPr>
      <w:r>
        <w:rPr>
          <w:rFonts w:hint="cs"/>
          <w:rtl/>
        </w:rPr>
        <w:t>42.</w:t>
      </w:r>
      <w:r>
        <w:rPr>
          <w:rFonts w:hint="cs"/>
          <w:rtl/>
        </w:rPr>
        <w:tab/>
        <w:t xml:space="preserve">אשר למצבו של בנו של הנאשם כנימוק להפחתת גובה החילוט, הרי שלא הוצגו מטעם הנאשם מסמכים המעידים על הוצאות חריגות או על פגיעה בבנו כתוצאה מחילוט הכספים, והטענות בעניין זה נותרו תלויות בחלל האוויר. בתוך כך לא מצאתי קשר בין מצבו של הבן וההוצאות הכספיות הנטענות לבין הנכסים המיועדים לחילוט, שהם נכסי נדל"ן שנרכשו לפני מספר שנים. </w:t>
      </w:r>
    </w:p>
    <w:p w14:paraId="05E2BFD9" w14:textId="77777777" w:rsidR="00C76774" w:rsidRDefault="00C76774" w:rsidP="00C76774">
      <w:pPr>
        <w:pStyle w:val="Ruller41"/>
        <w:rPr>
          <w:rtl/>
        </w:rPr>
      </w:pPr>
      <w:r>
        <w:rPr>
          <w:rFonts w:hint="cs"/>
          <w:rtl/>
        </w:rPr>
        <w:t xml:space="preserve">ואולם, מאחר שלא ניתן להישאר אדישים למצב הבן, ושוב </w:t>
      </w:r>
      <w:r>
        <w:rPr>
          <w:rtl/>
        </w:rPr>
        <w:t>–</w:t>
      </w:r>
      <w:r>
        <w:rPr>
          <w:rFonts w:hint="cs"/>
          <w:rtl/>
        </w:rPr>
        <w:t xml:space="preserve"> לפנים משורת הדין, אורה על השבת סך של 100,000 ₪ נוספים מהכספים ברי החילוט.</w:t>
      </w:r>
    </w:p>
    <w:p w14:paraId="66E6ABDD" w14:textId="77777777" w:rsidR="00C76774" w:rsidRDefault="00C76774" w:rsidP="00C76774">
      <w:pPr>
        <w:pStyle w:val="Ruller41"/>
        <w:rPr>
          <w:rtl/>
        </w:rPr>
      </w:pPr>
    </w:p>
    <w:p w14:paraId="3A5C3ACA" w14:textId="77777777" w:rsidR="00C76774" w:rsidRDefault="00C76774" w:rsidP="00C76774">
      <w:pPr>
        <w:pStyle w:val="Ruller4"/>
        <w:numPr>
          <w:ilvl w:val="0"/>
          <w:numId w:val="0"/>
        </w:numPr>
        <w:ind w:left="-58"/>
        <w:rPr>
          <w:rFonts w:ascii="Century" w:hAnsi="Century" w:cs="FrankRuehl"/>
          <w:sz w:val="22"/>
          <w:rtl/>
        </w:rPr>
      </w:pPr>
      <w:r>
        <w:rPr>
          <w:rFonts w:ascii="Century" w:hAnsi="Century" w:cs="FrankRuehl" w:hint="cs"/>
          <w:sz w:val="22"/>
          <w:rtl/>
        </w:rPr>
        <w:t>43.</w:t>
      </w:r>
      <w:r>
        <w:rPr>
          <w:rFonts w:ascii="Century" w:hAnsi="Century" w:cs="FrankRuehl" w:hint="cs"/>
          <w:sz w:val="22"/>
          <w:rtl/>
        </w:rPr>
        <w:tab/>
        <w:t xml:space="preserve">נוכח כל הנימוקים לעיל, מצאתי שיש להורות על חילוט מלוא הנכסים והכספים שנתפסו, להוציא סך של 200,000 </w:t>
      </w:r>
      <w:r>
        <w:rPr>
          <w:rFonts w:ascii="Century" w:hAnsi="Century" w:cs="FrankRuehl" w:hint="eastAsia"/>
          <w:sz w:val="22"/>
          <w:rtl/>
        </w:rPr>
        <w:t>₪</w:t>
      </w:r>
      <w:r>
        <w:rPr>
          <w:rFonts w:ascii="Century" w:hAnsi="Century" w:cs="FrankRuehl" w:hint="cs"/>
          <w:sz w:val="22"/>
          <w:rtl/>
        </w:rPr>
        <w:t xml:space="preserve"> שיושבו לידי הנאשם, וכפוף להערה בנוגע לנכס המצוין בפריט 3 ולחלקה של אשת הנאשם בנכס.</w:t>
      </w:r>
    </w:p>
    <w:p w14:paraId="7F483ABC" w14:textId="77777777" w:rsidR="00C76774" w:rsidRDefault="00C76774" w:rsidP="00C76774">
      <w:pPr>
        <w:jc w:val="both"/>
        <w:rPr>
          <w:rFonts w:ascii="FrankRuehl" w:hAnsi="FrankRuehl" w:cs="FrankRuehl"/>
          <w:color w:val="000000"/>
          <w:sz w:val="28"/>
          <w:szCs w:val="28"/>
        </w:rPr>
      </w:pPr>
    </w:p>
    <w:p w14:paraId="110238F5" w14:textId="77777777" w:rsidR="00C76774" w:rsidRDefault="00C76774" w:rsidP="00C76774">
      <w:pPr>
        <w:spacing w:after="160" w:line="360" w:lineRule="auto"/>
        <w:jc w:val="both"/>
        <w:rPr>
          <w:rFonts w:ascii="Calibri" w:hAnsi="Calibri" w:cs="Miriam"/>
          <w:b/>
          <w:sz w:val="28"/>
          <w:szCs w:val="28"/>
          <w:rtl/>
        </w:rPr>
      </w:pPr>
      <w:r>
        <w:rPr>
          <w:rFonts w:ascii="Calibri" w:hAnsi="Calibri" w:cs="Miriam" w:hint="cs"/>
          <w:b/>
          <w:sz w:val="28"/>
          <w:szCs w:val="28"/>
          <w:rtl/>
        </w:rPr>
        <w:t xml:space="preserve">קיצור משך עבודות השירות </w:t>
      </w:r>
    </w:p>
    <w:p w14:paraId="1D4FCFD2" w14:textId="77777777" w:rsidR="00C76774" w:rsidRDefault="00C76774" w:rsidP="00C76774">
      <w:pPr>
        <w:pStyle w:val="Ruller41"/>
        <w:rPr>
          <w:rtl/>
        </w:rPr>
      </w:pPr>
    </w:p>
    <w:p w14:paraId="19E46357" w14:textId="77777777" w:rsidR="00C76774" w:rsidRDefault="00C76774" w:rsidP="00C76774">
      <w:pPr>
        <w:pStyle w:val="Ruller41"/>
        <w:rPr>
          <w:rtl/>
        </w:rPr>
      </w:pPr>
      <w:r>
        <w:rPr>
          <w:rFonts w:hint="cs"/>
          <w:rtl/>
        </w:rPr>
        <w:t>44.</w:t>
      </w:r>
      <w:r>
        <w:rPr>
          <w:rFonts w:hint="cs"/>
          <w:rtl/>
        </w:rPr>
        <w:tab/>
        <w:t xml:space="preserve">במסגרת טיעוניו לעונש, עתר ב"כ הנאשם, להורות על קיצור שעות עבודות השירות, כך שהנאשם יבצע עבודות שירות בהיקף של 6 שעות ולא של 8.5 שעות, כפי הקבוע בחוק, זאת על מנת שהנאשם יוכל להמשיך ולסעוד את בנו. </w:t>
      </w:r>
    </w:p>
    <w:p w14:paraId="69C3AEFC" w14:textId="77777777" w:rsidR="00C76774" w:rsidRDefault="00C76774" w:rsidP="00C76774">
      <w:pPr>
        <w:pStyle w:val="Ruller41"/>
        <w:rPr>
          <w:rtl/>
        </w:rPr>
      </w:pPr>
    </w:p>
    <w:p w14:paraId="131CE419" w14:textId="77777777" w:rsidR="00C76774" w:rsidRPr="00B26356" w:rsidRDefault="00C76774" w:rsidP="00C76774">
      <w:pPr>
        <w:pStyle w:val="Ruller41"/>
        <w:rPr>
          <w:b/>
          <w:bCs/>
          <w:rtl/>
        </w:rPr>
      </w:pPr>
      <w:r w:rsidRPr="00B26356">
        <w:rPr>
          <w:rFonts w:hint="cs"/>
          <w:b/>
          <w:bCs/>
          <w:rtl/>
        </w:rPr>
        <w:t>קיצור שעות העבודה</w:t>
      </w:r>
    </w:p>
    <w:p w14:paraId="566751CC" w14:textId="77777777" w:rsidR="00C76774" w:rsidRDefault="00F437DB" w:rsidP="00C76774">
      <w:pPr>
        <w:pStyle w:val="Ruller41"/>
        <w:rPr>
          <w:rtl/>
        </w:rPr>
      </w:pPr>
      <w:hyperlink r:id="rId81" w:history="1">
        <w:r w:rsidRPr="00F437DB">
          <w:rPr>
            <w:rStyle w:val="Hyperlink"/>
            <w:rFonts w:hint="cs"/>
            <w:rtl/>
          </w:rPr>
          <w:t>סעיף</w:t>
        </w:r>
        <w:r w:rsidRPr="00F437DB">
          <w:rPr>
            <w:rStyle w:val="Hyperlink"/>
            <w:rtl/>
          </w:rPr>
          <w:t xml:space="preserve"> 51 ו(ב)</w:t>
        </w:r>
      </w:hyperlink>
      <w:r w:rsidR="00C76774">
        <w:rPr>
          <w:rFonts w:hint="cs"/>
          <w:rtl/>
        </w:rPr>
        <w:t xml:space="preserve"> ל</w:t>
      </w:r>
      <w:hyperlink r:id="rId82" w:history="1">
        <w:r w:rsidR="00976EB1" w:rsidRPr="00976EB1">
          <w:rPr>
            <w:color w:val="0000FF"/>
            <w:u w:val="single"/>
            <w:rtl/>
          </w:rPr>
          <w:t>חוק העונשין</w:t>
        </w:r>
      </w:hyperlink>
      <w:r w:rsidR="00C76774">
        <w:rPr>
          <w:rFonts w:hint="cs"/>
          <w:rtl/>
        </w:rPr>
        <w:t xml:space="preserve">, קובע כי: </w:t>
      </w:r>
    </w:p>
    <w:p w14:paraId="54B9DA39" w14:textId="77777777" w:rsidR="00C76774" w:rsidRDefault="00C76774" w:rsidP="00C76774">
      <w:pPr>
        <w:pStyle w:val="Ruller41"/>
        <w:rPr>
          <w:rtl/>
        </w:rPr>
      </w:pPr>
    </w:p>
    <w:p w14:paraId="78F591BF" w14:textId="77777777" w:rsidR="00C76774" w:rsidRDefault="00C76774" w:rsidP="00C76774">
      <w:pPr>
        <w:pStyle w:val="Ruller5"/>
        <w:spacing w:line="360" w:lineRule="auto"/>
        <w:rPr>
          <w:rStyle w:val="default"/>
          <w:rFonts w:ascii="Century" w:hAnsi="Century"/>
          <w:rtl/>
        </w:rPr>
      </w:pPr>
      <w:r>
        <w:rPr>
          <w:rStyle w:val="default"/>
          <w:rFonts w:ascii="Century" w:hAnsi="Century" w:hint="cs"/>
          <w:rtl/>
        </w:rPr>
        <w:t xml:space="preserve">"שבוע עבודה של עובד שירות יהיה בן חמישה ימי עבודה; מספר שעות העבודה ביום עבודה של עובד שירות יהיה שמונה שעות וחצי רצופות, ואולם רשאי בית המשפט או הממונה, במקרים חריגים בשל נסיבות מיוחדת של הנאשם או בהתאם לנהוג במקום עבודות השירות, לאשר ביצוע עבודות שירות בהיקף שעות יומי נמוך יותר, ובלבד שלא יפחת משש שעות עבודה ביום". </w:t>
      </w:r>
    </w:p>
    <w:p w14:paraId="7FE552CE" w14:textId="77777777" w:rsidR="00C76774" w:rsidRDefault="00C76774" w:rsidP="00C76774">
      <w:pPr>
        <w:pStyle w:val="Ruller5"/>
        <w:rPr>
          <w:rStyle w:val="default"/>
          <w:rFonts w:ascii="Century" w:hAnsi="Century"/>
          <w:rtl/>
        </w:rPr>
      </w:pPr>
    </w:p>
    <w:p w14:paraId="1BA6A3F2" w14:textId="77777777" w:rsidR="00C76774" w:rsidRDefault="00C76774" w:rsidP="00C76774">
      <w:pPr>
        <w:pStyle w:val="Ruller41"/>
        <w:rPr>
          <w:rtl/>
        </w:rPr>
      </w:pPr>
      <w:r>
        <w:rPr>
          <w:rFonts w:hint="cs"/>
          <w:rtl/>
        </w:rPr>
        <w:t>45.</w:t>
      </w:r>
      <w:r>
        <w:rPr>
          <w:rFonts w:hint="cs"/>
          <w:rtl/>
        </w:rPr>
        <w:tab/>
        <w:t>הנאשם נמצא כשיר לביצוע עבודות שירות, לאחר שעבר בדיקה רפואית, ולאחר שנבחנו המסמכים שהגיש לממונה על עבודות השירות. לנאשם הובהרו במסגרת הריאיון התנאים והכללים לביצוע עבודות השירות, הוא הבינם והביע הסכמתו לבצעם על פי הדרישות ובמתוכנת שהוסברה לו. עוד עולה מחוות הדעת שהנאשם ביטא מחויבות לעמוד בסדר היום ובכללי מסגרת עבודות השירות, ושלל "</w:t>
      </w:r>
      <w:r w:rsidRPr="006E6119">
        <w:rPr>
          <w:rFonts w:cs="Miriam" w:hint="cs"/>
          <w:sz w:val="20"/>
          <w:szCs w:val="24"/>
          <w:rtl/>
        </w:rPr>
        <w:t>כל</w:t>
      </w:r>
      <w:r w:rsidRPr="006E6119">
        <w:rPr>
          <w:rFonts w:cs="Miriam" w:hint="cs"/>
          <w:sz w:val="24"/>
          <w:szCs w:val="24"/>
          <w:rtl/>
        </w:rPr>
        <w:t xml:space="preserve"> בעיה כלכלית או אחרת שתפגע בריצוי עבודות שירות בהתאם לכללים וברציפות</w:t>
      </w:r>
      <w:r>
        <w:rPr>
          <w:rFonts w:hint="cs"/>
          <w:rtl/>
        </w:rPr>
        <w:t>".</w:t>
      </w:r>
    </w:p>
    <w:p w14:paraId="62EC3F2C" w14:textId="77777777" w:rsidR="00C76774" w:rsidRDefault="00C76774" w:rsidP="00C76774">
      <w:pPr>
        <w:pStyle w:val="Ruller41"/>
        <w:rPr>
          <w:rtl/>
        </w:rPr>
      </w:pPr>
      <w:r>
        <w:rPr>
          <w:rFonts w:hint="cs"/>
          <w:rtl/>
        </w:rPr>
        <w:t>על כך יש להוסיף שמהמסמכים השונים שהוצגו עולה שבנו של הנאשם נמצא במהלך היום במסגרת טיפולי</w:t>
      </w:r>
      <w:r w:rsidRPr="007D135B">
        <w:rPr>
          <w:rFonts w:hint="cs"/>
          <w:rtl/>
        </w:rPr>
        <w:t>ת חוץ ביתית, כאשר משמעות הדבר היא שבמשך שעות היום הנאשם אינו נדרש לטפל בו.</w:t>
      </w:r>
    </w:p>
    <w:p w14:paraId="1C406709" w14:textId="77777777" w:rsidR="00C76774" w:rsidRDefault="00C76774" w:rsidP="00C76774">
      <w:pPr>
        <w:pStyle w:val="Ruller41"/>
        <w:rPr>
          <w:rtl/>
        </w:rPr>
      </w:pPr>
    </w:p>
    <w:p w14:paraId="6DBD74E5" w14:textId="77777777" w:rsidR="00C76774" w:rsidRDefault="00C76774" w:rsidP="00C76774">
      <w:pPr>
        <w:pStyle w:val="Ruller41"/>
        <w:rPr>
          <w:rtl/>
        </w:rPr>
      </w:pPr>
      <w:r>
        <w:rPr>
          <w:rFonts w:hint="cs"/>
          <w:rtl/>
        </w:rPr>
        <w:t>אשר על כן, הבקשה לקיצור שעות עבודות השירות דינה להידחות.</w:t>
      </w:r>
    </w:p>
    <w:p w14:paraId="183A70FA" w14:textId="77777777" w:rsidR="00C76774" w:rsidRDefault="00C76774" w:rsidP="00C76774">
      <w:pPr>
        <w:pStyle w:val="Ruller41"/>
        <w:rPr>
          <w:rtl/>
        </w:rPr>
      </w:pPr>
    </w:p>
    <w:p w14:paraId="150CDCFF" w14:textId="77777777" w:rsidR="00C76774" w:rsidRDefault="00C76774" w:rsidP="00C76774">
      <w:pPr>
        <w:spacing w:after="160" w:line="360" w:lineRule="auto"/>
        <w:jc w:val="both"/>
        <w:rPr>
          <w:rFonts w:ascii="Miriam" w:hAnsi="Miriam" w:cs="Miriam"/>
          <w:b/>
          <w:sz w:val="28"/>
          <w:szCs w:val="28"/>
          <w:rtl/>
        </w:rPr>
      </w:pPr>
      <w:r>
        <w:rPr>
          <w:rFonts w:ascii="Calibri" w:hAnsi="Calibri" w:cs="Miriam" w:hint="cs"/>
          <w:b/>
          <w:sz w:val="28"/>
          <w:szCs w:val="28"/>
          <w:rtl/>
        </w:rPr>
        <w:t>סוף דבר</w:t>
      </w:r>
    </w:p>
    <w:p w14:paraId="2986E2A1" w14:textId="77777777" w:rsidR="00C76774" w:rsidRPr="000E5006" w:rsidRDefault="00C76774" w:rsidP="00C76774">
      <w:pPr>
        <w:spacing w:after="160" w:line="360" w:lineRule="auto"/>
        <w:contextualSpacing/>
        <w:jc w:val="both"/>
        <w:rPr>
          <w:rFonts w:ascii="FrankRuehl" w:hAnsi="FrankRuehl" w:cs="FrankRuehl"/>
          <w:color w:val="000000"/>
          <w:sz w:val="28"/>
          <w:szCs w:val="28"/>
          <w:rtl/>
        </w:rPr>
      </w:pPr>
    </w:p>
    <w:p w14:paraId="36B0F29C"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46.</w:t>
      </w:r>
      <w:r>
        <w:rPr>
          <w:rFonts w:ascii="Calibri" w:hAnsi="Calibri" w:cs="FrankRuehl" w:hint="cs"/>
          <w:sz w:val="28"/>
          <w:szCs w:val="28"/>
          <w:rtl/>
        </w:rPr>
        <w:tab/>
        <w:t>לאחר שנתתי דעתי לכל האמור, אני גוזר על הנאשם את העונשים הבאים:</w:t>
      </w:r>
    </w:p>
    <w:p w14:paraId="3D582662" w14:textId="77777777" w:rsidR="00C76774" w:rsidRDefault="00C76774" w:rsidP="00C76774">
      <w:pPr>
        <w:spacing w:after="160" w:line="360" w:lineRule="auto"/>
        <w:contextualSpacing/>
        <w:jc w:val="both"/>
        <w:rPr>
          <w:rFonts w:ascii="Calibri" w:hAnsi="Calibri" w:cs="FrankRuehl"/>
          <w:sz w:val="28"/>
          <w:szCs w:val="28"/>
          <w:rtl/>
        </w:rPr>
      </w:pPr>
    </w:p>
    <w:p w14:paraId="79C56406" w14:textId="77777777" w:rsidR="00C76774" w:rsidRDefault="00C76774" w:rsidP="00C76774">
      <w:pPr>
        <w:spacing w:after="160" w:line="360" w:lineRule="auto"/>
        <w:ind w:left="1440" w:hanging="720"/>
        <w:contextualSpacing/>
        <w:jc w:val="both"/>
        <w:rPr>
          <w:rFonts w:ascii="Calibri" w:hAnsi="Calibri" w:cs="FrankRuehl"/>
          <w:sz w:val="28"/>
          <w:szCs w:val="28"/>
          <w:rtl/>
        </w:rPr>
      </w:pPr>
      <w:r>
        <w:rPr>
          <w:rFonts w:ascii="Calibri" w:hAnsi="Calibri" w:cs="FrankRuehl" w:hint="cs"/>
          <w:sz w:val="28"/>
          <w:szCs w:val="28"/>
          <w:rtl/>
        </w:rPr>
        <w:t>א.</w:t>
      </w:r>
      <w:r>
        <w:rPr>
          <w:rFonts w:ascii="Calibri" w:hAnsi="Calibri" w:cs="FrankRuehl" w:hint="cs"/>
          <w:sz w:val="28"/>
          <w:szCs w:val="28"/>
          <w:rtl/>
        </w:rPr>
        <w:tab/>
        <w:t xml:space="preserve">מאסר למשך 8 חודשים אשר ירוצה בדרך של עבודות שירות בבית אבות ברחוב הרב ניסים 17 באשדוד. </w:t>
      </w:r>
    </w:p>
    <w:p w14:paraId="249B45FF" w14:textId="77777777" w:rsidR="00C76774" w:rsidRDefault="00C76774" w:rsidP="00C76774">
      <w:pPr>
        <w:spacing w:after="160" w:line="360" w:lineRule="auto"/>
        <w:ind w:left="1440"/>
        <w:contextualSpacing/>
        <w:jc w:val="both"/>
        <w:rPr>
          <w:rFonts w:ascii="Calibri" w:hAnsi="Calibri" w:cs="FrankRuehl"/>
          <w:sz w:val="28"/>
          <w:szCs w:val="28"/>
          <w:rtl/>
        </w:rPr>
      </w:pPr>
      <w:r>
        <w:rPr>
          <w:rFonts w:ascii="Calibri" w:hAnsi="Calibri" w:cs="FrankRuehl" w:hint="cs"/>
          <w:sz w:val="28"/>
          <w:szCs w:val="28"/>
          <w:rtl/>
        </w:rPr>
        <w:t>מאחר שהמועד לתחילת ריצוי עונש עבודות השירות חלף, יתייצב הנאשם ביום 1.5.2020 בשעה 08:00 לצורך קליטה והצבה במשרדי הממונה על עבודות השירות, מפקדת מחוז דרום, כשהוא מצויד בתעודת זהות ובעותק של גזר הדין.</w:t>
      </w:r>
    </w:p>
    <w:p w14:paraId="73D91F60" w14:textId="77777777" w:rsidR="00C76774" w:rsidRDefault="00C76774" w:rsidP="00C76774">
      <w:pPr>
        <w:spacing w:after="160" w:line="360" w:lineRule="auto"/>
        <w:ind w:left="1440"/>
        <w:contextualSpacing/>
        <w:jc w:val="both"/>
        <w:rPr>
          <w:rFonts w:ascii="Calibri" w:hAnsi="Calibri" w:cs="FrankRuehl"/>
          <w:sz w:val="28"/>
          <w:szCs w:val="28"/>
          <w:rtl/>
        </w:rPr>
      </w:pPr>
      <w:r>
        <w:rPr>
          <w:rFonts w:ascii="Calibri" w:hAnsi="Calibri" w:cs="FrankRuehl" w:hint="cs"/>
          <w:sz w:val="28"/>
          <w:szCs w:val="28"/>
          <w:rtl/>
        </w:rPr>
        <w:t xml:space="preserve">הנאשם מוזהר כי כל הפרה של תנאי עבודות השירות או אי עמידה בתנאי מקום ההשמה, יכול ותוביל להפקעה מנהלית של עבודות השירות ולריצוי יתרת התקופה במתקן כליאה. </w:t>
      </w:r>
    </w:p>
    <w:p w14:paraId="6B959A9C" w14:textId="77777777" w:rsidR="00C76774" w:rsidRDefault="00C76774" w:rsidP="00C76774">
      <w:pPr>
        <w:spacing w:after="160" w:line="360" w:lineRule="auto"/>
        <w:contextualSpacing/>
        <w:jc w:val="both"/>
        <w:rPr>
          <w:rFonts w:ascii="Calibri" w:hAnsi="Calibri" w:cs="FrankRuehl"/>
          <w:sz w:val="28"/>
          <w:szCs w:val="28"/>
          <w:rtl/>
        </w:rPr>
      </w:pPr>
    </w:p>
    <w:p w14:paraId="655952DF" w14:textId="77777777" w:rsidR="00C76774" w:rsidRDefault="00C76774" w:rsidP="00C76774">
      <w:pPr>
        <w:spacing w:after="160" w:line="360" w:lineRule="auto"/>
        <w:ind w:left="1440" w:hanging="720"/>
        <w:contextualSpacing/>
        <w:jc w:val="both"/>
        <w:rPr>
          <w:rFonts w:ascii="Calibri" w:hAnsi="Calibri" w:cs="FrankRuehl"/>
          <w:sz w:val="28"/>
          <w:szCs w:val="28"/>
          <w:rtl/>
        </w:rPr>
      </w:pPr>
      <w:r>
        <w:rPr>
          <w:rFonts w:ascii="Calibri" w:hAnsi="Calibri" w:cs="FrankRuehl" w:hint="cs"/>
          <w:sz w:val="28"/>
          <w:szCs w:val="28"/>
          <w:rtl/>
        </w:rPr>
        <w:t>ב.</w:t>
      </w:r>
      <w:r>
        <w:rPr>
          <w:rFonts w:ascii="Calibri" w:hAnsi="Calibri" w:cs="FrankRuehl" w:hint="cs"/>
          <w:sz w:val="28"/>
          <w:szCs w:val="28"/>
          <w:rtl/>
        </w:rPr>
        <w:tab/>
        <w:t xml:space="preserve">מאסר למשך 10 חודשים, אותו לא יישא הנאשם אלא אם יעבור בתוך תקופה של 3 שנים מהיום על עבירה לפי </w:t>
      </w:r>
      <w:hyperlink r:id="rId83" w:history="1">
        <w:r w:rsidR="00976EB1" w:rsidRPr="00976EB1">
          <w:rPr>
            <w:rFonts w:ascii="Calibri" w:hAnsi="Calibri" w:cs="FrankRuehl" w:hint="eastAsia"/>
            <w:color w:val="0000FF"/>
            <w:sz w:val="28"/>
            <w:szCs w:val="28"/>
            <w:u w:val="single"/>
            <w:rtl/>
          </w:rPr>
          <w:t>חוק</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איסור</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הלבנת</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הון</w:t>
        </w:r>
      </w:hyperlink>
      <w:r>
        <w:rPr>
          <w:rFonts w:ascii="Calibri" w:hAnsi="Calibri" w:cs="FrankRuehl" w:hint="cs"/>
          <w:sz w:val="28"/>
          <w:szCs w:val="28"/>
          <w:rtl/>
        </w:rPr>
        <w:t xml:space="preserve">, או עבירה לפי סימן </w:t>
      </w:r>
      <w:hyperlink r:id="rId84" w:history="1">
        <w:r w:rsidR="00F437DB" w:rsidRPr="00F437DB">
          <w:rPr>
            <w:rStyle w:val="Hyperlink"/>
            <w:rFonts w:ascii="Calibri" w:hAnsi="Calibri" w:cs="FrankRuehl" w:hint="eastAsia"/>
            <w:sz w:val="28"/>
            <w:szCs w:val="28"/>
            <w:rtl/>
          </w:rPr>
          <w:t>י</w:t>
        </w:r>
        <w:r w:rsidR="00F437DB" w:rsidRPr="00F437DB">
          <w:rPr>
            <w:rStyle w:val="Hyperlink"/>
            <w:rFonts w:ascii="Calibri" w:hAnsi="Calibri" w:cs="FrankRuehl"/>
            <w:sz w:val="28"/>
            <w:szCs w:val="28"/>
            <w:rtl/>
          </w:rPr>
          <w:t>"</w:t>
        </w:r>
        <w:r w:rsidR="00F437DB" w:rsidRPr="00F437DB">
          <w:rPr>
            <w:rStyle w:val="Hyperlink"/>
            <w:rFonts w:ascii="Calibri" w:hAnsi="Calibri" w:cs="FrankRuehl" w:hint="eastAsia"/>
            <w:sz w:val="28"/>
            <w:szCs w:val="28"/>
            <w:rtl/>
          </w:rPr>
          <w:t>ב</w:t>
        </w:r>
      </w:hyperlink>
      <w:r>
        <w:rPr>
          <w:rFonts w:ascii="Calibri" w:hAnsi="Calibri" w:cs="FrankRuehl" w:hint="cs"/>
          <w:sz w:val="28"/>
          <w:szCs w:val="28"/>
          <w:rtl/>
        </w:rPr>
        <w:t xml:space="preserve"> לפרק ח' לחוק, להוציא </w:t>
      </w:r>
      <w:hyperlink r:id="rId85" w:history="1">
        <w:r w:rsidR="00F437DB" w:rsidRPr="00F437DB">
          <w:rPr>
            <w:rStyle w:val="Hyperlink"/>
            <w:rFonts w:ascii="Calibri" w:hAnsi="Calibri" w:cs="FrankRuehl" w:hint="eastAsia"/>
            <w:sz w:val="28"/>
            <w:szCs w:val="28"/>
            <w:rtl/>
          </w:rPr>
          <w:t>סעיף</w:t>
        </w:r>
        <w:r w:rsidR="00F437DB" w:rsidRPr="00F437DB">
          <w:rPr>
            <w:rStyle w:val="Hyperlink"/>
            <w:rFonts w:ascii="Calibri" w:hAnsi="Calibri" w:cs="FrankRuehl"/>
            <w:sz w:val="28"/>
            <w:szCs w:val="28"/>
            <w:rtl/>
          </w:rPr>
          <w:t xml:space="preserve"> 226</w:t>
        </w:r>
      </w:hyperlink>
      <w:r>
        <w:rPr>
          <w:rFonts w:ascii="Calibri" w:hAnsi="Calibri" w:cs="FrankRuehl" w:hint="cs"/>
          <w:sz w:val="28"/>
          <w:szCs w:val="28"/>
          <w:rtl/>
        </w:rPr>
        <w:t xml:space="preserve"> לחוק.</w:t>
      </w:r>
    </w:p>
    <w:p w14:paraId="2ECD2D20" w14:textId="77777777" w:rsidR="00C76774" w:rsidRDefault="00C76774" w:rsidP="00C76774">
      <w:pPr>
        <w:spacing w:after="160" w:line="360" w:lineRule="auto"/>
        <w:ind w:left="1440" w:hanging="720"/>
        <w:contextualSpacing/>
        <w:jc w:val="both"/>
        <w:rPr>
          <w:rFonts w:ascii="Calibri" w:hAnsi="Calibri" w:cs="FrankRuehl"/>
          <w:sz w:val="28"/>
          <w:szCs w:val="28"/>
          <w:rtl/>
        </w:rPr>
      </w:pPr>
    </w:p>
    <w:p w14:paraId="1048DE9F" w14:textId="77777777" w:rsidR="00C76774" w:rsidRDefault="00C76774" w:rsidP="00C76774">
      <w:pPr>
        <w:spacing w:after="160" w:line="360" w:lineRule="auto"/>
        <w:ind w:left="1440" w:hanging="720"/>
        <w:contextualSpacing/>
        <w:jc w:val="both"/>
        <w:rPr>
          <w:rFonts w:ascii="Calibri" w:hAnsi="Calibri" w:cs="FrankRuehl"/>
          <w:sz w:val="28"/>
          <w:szCs w:val="28"/>
          <w:rtl/>
        </w:rPr>
      </w:pPr>
      <w:r>
        <w:rPr>
          <w:rFonts w:ascii="Calibri" w:hAnsi="Calibri" w:cs="FrankRuehl" w:hint="cs"/>
          <w:sz w:val="28"/>
          <w:szCs w:val="28"/>
          <w:rtl/>
        </w:rPr>
        <w:t>ג.</w:t>
      </w:r>
      <w:r>
        <w:rPr>
          <w:rFonts w:ascii="Calibri" w:hAnsi="Calibri" w:cs="FrankRuehl" w:hint="cs"/>
          <w:sz w:val="28"/>
          <w:szCs w:val="28"/>
          <w:rtl/>
        </w:rPr>
        <w:tab/>
        <w:t>מאסר למשך 4 חודשים, אותו לא יישא הנאשם אלא אם יעבור בתוך תקופה של 3 שנים מהיום על עבירה של קשירת קשר לביצוע עוון או פשע.</w:t>
      </w:r>
    </w:p>
    <w:p w14:paraId="569143DD" w14:textId="77777777" w:rsidR="00C76774" w:rsidRDefault="00C76774" w:rsidP="00C76774">
      <w:pPr>
        <w:spacing w:after="160" w:line="360" w:lineRule="auto"/>
        <w:contextualSpacing/>
        <w:jc w:val="both"/>
        <w:rPr>
          <w:rFonts w:ascii="Calibri" w:hAnsi="Calibri" w:cs="FrankRuehl"/>
          <w:sz w:val="28"/>
          <w:szCs w:val="28"/>
          <w:rtl/>
        </w:rPr>
      </w:pPr>
    </w:p>
    <w:p w14:paraId="1DE567C7" w14:textId="77777777" w:rsidR="00C76774" w:rsidRDefault="00C76774" w:rsidP="00C76774">
      <w:pPr>
        <w:spacing w:after="160" w:line="360" w:lineRule="auto"/>
        <w:ind w:left="1440" w:hanging="720"/>
        <w:contextualSpacing/>
        <w:jc w:val="both"/>
        <w:rPr>
          <w:rFonts w:ascii="Calibri" w:hAnsi="Calibri" w:cs="FrankRuehl"/>
          <w:sz w:val="28"/>
          <w:szCs w:val="28"/>
          <w:rtl/>
        </w:rPr>
      </w:pPr>
      <w:r>
        <w:rPr>
          <w:rFonts w:ascii="Calibri" w:hAnsi="Calibri" w:cs="FrankRuehl" w:hint="cs"/>
          <w:sz w:val="28"/>
          <w:szCs w:val="28"/>
          <w:rtl/>
        </w:rPr>
        <w:t>ד</w:t>
      </w:r>
      <w:r w:rsidRPr="002132A2">
        <w:rPr>
          <w:rFonts w:ascii="Calibri" w:hAnsi="Calibri" w:cs="FrankRuehl" w:hint="cs"/>
          <w:sz w:val="28"/>
          <w:szCs w:val="28"/>
          <w:rtl/>
        </w:rPr>
        <w:t>.</w:t>
      </w:r>
      <w:r w:rsidRPr="002132A2">
        <w:rPr>
          <w:rFonts w:ascii="Calibri" w:hAnsi="Calibri" w:cs="FrankRuehl" w:hint="cs"/>
          <w:sz w:val="28"/>
          <w:szCs w:val="28"/>
          <w:rtl/>
        </w:rPr>
        <w:tab/>
        <w:t>קנס כספי בסך 100,000 ₪ או 10 חודשי מאסר תמורתו. הקנס ישולם עד ליום 1</w:t>
      </w:r>
      <w:r>
        <w:rPr>
          <w:rFonts w:ascii="Calibri" w:hAnsi="Calibri" w:cs="FrankRuehl" w:hint="cs"/>
          <w:sz w:val="28"/>
          <w:szCs w:val="28"/>
          <w:rtl/>
        </w:rPr>
        <w:t>.</w:t>
      </w:r>
      <w:r w:rsidRPr="002132A2">
        <w:rPr>
          <w:rFonts w:ascii="Calibri" w:hAnsi="Calibri" w:cs="FrankRuehl" w:hint="cs"/>
          <w:sz w:val="28"/>
          <w:szCs w:val="28"/>
          <w:rtl/>
        </w:rPr>
        <w:t>5.2020.</w:t>
      </w:r>
      <w:r>
        <w:rPr>
          <w:rFonts w:ascii="Calibri" w:hAnsi="Calibri" w:cs="FrankRuehl" w:hint="cs"/>
          <w:sz w:val="28"/>
          <w:szCs w:val="28"/>
          <w:rtl/>
        </w:rPr>
        <w:t xml:space="preserve"> </w:t>
      </w:r>
    </w:p>
    <w:p w14:paraId="04CB05C1" w14:textId="77777777" w:rsidR="00C76774" w:rsidRDefault="00C76774" w:rsidP="00C76774">
      <w:pPr>
        <w:spacing w:after="160" w:line="360" w:lineRule="auto"/>
        <w:contextualSpacing/>
        <w:jc w:val="both"/>
        <w:rPr>
          <w:rFonts w:ascii="Calibri" w:hAnsi="Calibri" w:cs="FrankRuehl"/>
          <w:sz w:val="28"/>
          <w:szCs w:val="28"/>
          <w:rtl/>
        </w:rPr>
      </w:pPr>
    </w:p>
    <w:p w14:paraId="7BA86306" w14:textId="77777777" w:rsidR="00C76774" w:rsidRDefault="00C76774" w:rsidP="00C76774">
      <w:pPr>
        <w:spacing w:after="160" w:line="360" w:lineRule="auto"/>
        <w:ind w:left="1440" w:hanging="720"/>
        <w:contextualSpacing/>
        <w:jc w:val="both"/>
        <w:rPr>
          <w:rFonts w:ascii="Calibri" w:hAnsi="Calibri" w:cs="FrankRuehl"/>
          <w:sz w:val="28"/>
          <w:szCs w:val="28"/>
          <w:rtl/>
        </w:rPr>
      </w:pPr>
      <w:r>
        <w:rPr>
          <w:rFonts w:ascii="Calibri" w:hAnsi="Calibri" w:cs="FrankRuehl" w:hint="cs"/>
          <w:sz w:val="28"/>
          <w:szCs w:val="28"/>
          <w:rtl/>
        </w:rPr>
        <w:t>ה.</w:t>
      </w:r>
      <w:r>
        <w:rPr>
          <w:rFonts w:ascii="Calibri" w:hAnsi="Calibri" w:cs="FrankRuehl" w:hint="cs"/>
          <w:sz w:val="28"/>
          <w:szCs w:val="28"/>
          <w:rtl/>
        </w:rPr>
        <w:tab/>
        <w:t xml:space="preserve">הנאשם יתחייב להימנע בתוך תקופה של 3 שנים מהיום מביצוע עבירה לפי </w:t>
      </w:r>
      <w:hyperlink r:id="rId86" w:history="1">
        <w:r w:rsidR="00976EB1" w:rsidRPr="00976EB1">
          <w:rPr>
            <w:rFonts w:ascii="Calibri" w:hAnsi="Calibri" w:cs="FrankRuehl" w:hint="eastAsia"/>
            <w:color w:val="0000FF"/>
            <w:sz w:val="28"/>
            <w:szCs w:val="28"/>
            <w:u w:val="single"/>
            <w:rtl/>
          </w:rPr>
          <w:t>חוק</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איסור</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הלבנת</w:t>
        </w:r>
        <w:r w:rsidR="00976EB1" w:rsidRPr="00976EB1">
          <w:rPr>
            <w:rFonts w:ascii="Calibri" w:hAnsi="Calibri" w:cs="FrankRuehl"/>
            <w:color w:val="0000FF"/>
            <w:sz w:val="28"/>
            <w:szCs w:val="28"/>
            <w:u w:val="single"/>
            <w:rtl/>
          </w:rPr>
          <w:t xml:space="preserve"> </w:t>
        </w:r>
        <w:r w:rsidR="00976EB1" w:rsidRPr="00976EB1">
          <w:rPr>
            <w:rFonts w:ascii="Calibri" w:hAnsi="Calibri" w:cs="FrankRuehl" w:hint="eastAsia"/>
            <w:color w:val="0000FF"/>
            <w:sz w:val="28"/>
            <w:szCs w:val="28"/>
            <w:u w:val="single"/>
            <w:rtl/>
          </w:rPr>
          <w:t>הון</w:t>
        </w:r>
      </w:hyperlink>
      <w:r>
        <w:rPr>
          <w:rFonts w:ascii="Calibri" w:hAnsi="Calibri" w:cs="FrankRuehl" w:hint="cs"/>
          <w:sz w:val="28"/>
          <w:szCs w:val="28"/>
          <w:rtl/>
        </w:rPr>
        <w:t xml:space="preserve">, או עבירה לפי </w:t>
      </w:r>
      <w:hyperlink r:id="rId87" w:history="1">
        <w:r w:rsidR="00F437DB" w:rsidRPr="00F437DB">
          <w:rPr>
            <w:rStyle w:val="Hyperlink"/>
            <w:rFonts w:ascii="Calibri" w:hAnsi="Calibri" w:cs="FrankRuehl" w:hint="eastAsia"/>
            <w:sz w:val="28"/>
            <w:szCs w:val="28"/>
            <w:rtl/>
          </w:rPr>
          <w:t>סימן</w:t>
        </w:r>
        <w:r w:rsidR="00F437DB" w:rsidRPr="00F437DB">
          <w:rPr>
            <w:rStyle w:val="Hyperlink"/>
            <w:rFonts w:ascii="Calibri" w:hAnsi="Calibri" w:cs="FrankRuehl"/>
            <w:sz w:val="28"/>
            <w:szCs w:val="28"/>
            <w:rtl/>
          </w:rPr>
          <w:t xml:space="preserve"> </w:t>
        </w:r>
        <w:r w:rsidR="00F437DB" w:rsidRPr="00F437DB">
          <w:rPr>
            <w:rStyle w:val="Hyperlink"/>
            <w:rFonts w:ascii="Calibri" w:hAnsi="Calibri" w:cs="FrankRuehl" w:hint="eastAsia"/>
            <w:sz w:val="28"/>
            <w:szCs w:val="28"/>
            <w:rtl/>
          </w:rPr>
          <w:t>י</w:t>
        </w:r>
        <w:r w:rsidR="00F437DB" w:rsidRPr="00F437DB">
          <w:rPr>
            <w:rStyle w:val="Hyperlink"/>
            <w:rFonts w:ascii="Calibri" w:hAnsi="Calibri" w:cs="FrankRuehl"/>
            <w:sz w:val="28"/>
            <w:szCs w:val="28"/>
            <w:rtl/>
          </w:rPr>
          <w:t>"</w:t>
        </w:r>
        <w:r w:rsidR="00F437DB" w:rsidRPr="00F437DB">
          <w:rPr>
            <w:rStyle w:val="Hyperlink"/>
            <w:rFonts w:ascii="Calibri" w:hAnsi="Calibri" w:cs="FrankRuehl" w:hint="eastAsia"/>
            <w:sz w:val="28"/>
            <w:szCs w:val="28"/>
            <w:rtl/>
          </w:rPr>
          <w:t>ב</w:t>
        </w:r>
      </w:hyperlink>
      <w:r>
        <w:rPr>
          <w:rFonts w:ascii="Calibri" w:hAnsi="Calibri" w:cs="FrankRuehl" w:hint="cs"/>
          <w:sz w:val="28"/>
          <w:szCs w:val="28"/>
          <w:rtl/>
        </w:rPr>
        <w:t xml:space="preserve"> לפרק ח' לחוק, להוציא </w:t>
      </w:r>
      <w:hyperlink r:id="rId88" w:history="1">
        <w:r w:rsidR="00F437DB" w:rsidRPr="00F437DB">
          <w:rPr>
            <w:rStyle w:val="Hyperlink"/>
            <w:rFonts w:ascii="Calibri" w:hAnsi="Calibri" w:cs="FrankRuehl" w:hint="eastAsia"/>
            <w:sz w:val="28"/>
            <w:szCs w:val="28"/>
            <w:rtl/>
          </w:rPr>
          <w:t>סעיף</w:t>
        </w:r>
        <w:r w:rsidR="00F437DB" w:rsidRPr="00F437DB">
          <w:rPr>
            <w:rStyle w:val="Hyperlink"/>
            <w:rFonts w:ascii="Calibri" w:hAnsi="Calibri" w:cs="FrankRuehl"/>
            <w:sz w:val="28"/>
            <w:szCs w:val="28"/>
            <w:rtl/>
          </w:rPr>
          <w:t xml:space="preserve"> 226</w:t>
        </w:r>
      </w:hyperlink>
      <w:r>
        <w:rPr>
          <w:rFonts w:ascii="Calibri" w:hAnsi="Calibri" w:cs="FrankRuehl" w:hint="cs"/>
          <w:sz w:val="28"/>
          <w:szCs w:val="28"/>
          <w:rtl/>
        </w:rPr>
        <w:t xml:space="preserve"> לחוק, וככל שיבצעה יהיה עליו לשלם סך של 20,000 </w:t>
      </w:r>
      <w:r>
        <w:rPr>
          <w:rFonts w:ascii="Calibri" w:hAnsi="Calibri" w:cs="FrankRuehl" w:hint="eastAsia"/>
          <w:sz w:val="28"/>
          <w:szCs w:val="28"/>
          <w:rtl/>
        </w:rPr>
        <w:t>₪</w:t>
      </w:r>
      <w:r>
        <w:rPr>
          <w:rFonts w:ascii="Calibri" w:hAnsi="Calibri" w:cs="FrankRuehl" w:hint="cs"/>
          <w:sz w:val="28"/>
          <w:szCs w:val="28"/>
          <w:rtl/>
        </w:rPr>
        <w:t>.</w:t>
      </w:r>
    </w:p>
    <w:p w14:paraId="05EBD9F0" w14:textId="77777777" w:rsidR="00C76774" w:rsidRDefault="00C76774" w:rsidP="00C76774">
      <w:pPr>
        <w:spacing w:after="160" w:line="360" w:lineRule="auto"/>
        <w:ind w:left="1440" w:hanging="720"/>
        <w:contextualSpacing/>
        <w:jc w:val="both"/>
        <w:rPr>
          <w:rFonts w:ascii="Calibri" w:hAnsi="Calibri" w:cs="FrankRuehl"/>
          <w:sz w:val="28"/>
          <w:szCs w:val="28"/>
          <w:rtl/>
        </w:rPr>
      </w:pPr>
    </w:p>
    <w:p w14:paraId="4414904C" w14:textId="77777777" w:rsidR="00C76774" w:rsidRDefault="00C76774" w:rsidP="00C76774">
      <w:pPr>
        <w:spacing w:after="160" w:line="360" w:lineRule="auto"/>
        <w:contextualSpacing/>
        <w:jc w:val="both"/>
        <w:rPr>
          <w:rFonts w:ascii="FrankRuehl" w:hAnsi="FrankRuehl" w:cs="FrankRuehl"/>
          <w:color w:val="000000"/>
          <w:sz w:val="28"/>
          <w:szCs w:val="28"/>
          <w:rtl/>
        </w:rPr>
      </w:pPr>
      <w:r w:rsidRPr="00EB1FA4">
        <w:rPr>
          <w:rFonts w:ascii="Calibri" w:hAnsi="Calibri" w:cs="FrankRuehl" w:hint="cs"/>
          <w:sz w:val="28"/>
          <w:szCs w:val="28"/>
          <w:rtl/>
        </w:rPr>
        <w:t>47.</w:t>
      </w:r>
      <w:r w:rsidRPr="00EB1FA4">
        <w:rPr>
          <w:rFonts w:ascii="Calibri" w:hAnsi="Calibri" w:cs="FrankRuehl" w:hint="cs"/>
          <w:sz w:val="28"/>
          <w:szCs w:val="28"/>
          <w:rtl/>
        </w:rPr>
        <w:tab/>
        <w:t xml:space="preserve">אני מורה על חילוט </w:t>
      </w:r>
      <w:r w:rsidRPr="00EB1FA4">
        <w:rPr>
          <w:rFonts w:ascii="Calibri" w:hAnsi="Calibri" w:cs="Miriam" w:hint="cs"/>
          <w:rtl/>
        </w:rPr>
        <w:t>כל</w:t>
      </w:r>
      <w:r w:rsidRPr="00EB1FA4">
        <w:rPr>
          <w:rFonts w:ascii="Calibri" w:hAnsi="Calibri" w:cs="FrankRuehl" w:hint="cs"/>
          <w:rtl/>
        </w:rPr>
        <w:t xml:space="preserve"> </w:t>
      </w:r>
      <w:r w:rsidRPr="00EB1FA4">
        <w:rPr>
          <w:rFonts w:ascii="Calibri" w:hAnsi="Calibri" w:cs="FrankRuehl" w:hint="cs"/>
          <w:sz w:val="28"/>
          <w:szCs w:val="28"/>
          <w:rtl/>
        </w:rPr>
        <w:t>הכסף והנכסים שפורטו בסעיף 2</w:t>
      </w:r>
      <w:r>
        <w:rPr>
          <w:rFonts w:ascii="Calibri" w:hAnsi="Calibri" w:cs="FrankRuehl" w:hint="cs"/>
          <w:sz w:val="28"/>
          <w:szCs w:val="28"/>
          <w:rtl/>
        </w:rPr>
        <w:t>8</w:t>
      </w:r>
      <w:r w:rsidRPr="00EB1FA4">
        <w:rPr>
          <w:rFonts w:ascii="Calibri" w:hAnsi="Calibri" w:cs="FrankRuehl" w:hint="cs"/>
          <w:sz w:val="28"/>
          <w:szCs w:val="28"/>
          <w:rtl/>
        </w:rPr>
        <w:t xml:space="preserve"> לעיל,</w:t>
      </w:r>
      <w:r w:rsidRPr="00F76D2A">
        <w:rPr>
          <w:rFonts w:ascii="Calibri" w:hAnsi="Calibri" w:cs="Miriam" w:hint="cs"/>
          <w:rtl/>
        </w:rPr>
        <w:t xml:space="preserve"> להוציא סך של 200,000 </w:t>
      </w:r>
      <w:r w:rsidRPr="00F76D2A">
        <w:rPr>
          <w:rFonts w:ascii="Calibri" w:hAnsi="Calibri" w:cs="Miriam" w:hint="eastAsia"/>
          <w:rtl/>
        </w:rPr>
        <w:t>₪</w:t>
      </w:r>
      <w:r w:rsidRPr="00F76D2A">
        <w:rPr>
          <w:rFonts w:ascii="Calibri" w:hAnsi="Calibri" w:cs="Miriam" w:hint="cs"/>
          <w:rtl/>
        </w:rPr>
        <w:t xml:space="preserve"> שיושבו לידי הנאשם, ולמעט הנכס המפורט בפסקה 2</w:t>
      </w:r>
      <w:r>
        <w:rPr>
          <w:rFonts w:ascii="Calibri" w:hAnsi="Calibri" w:cs="Miriam" w:hint="cs"/>
          <w:rtl/>
        </w:rPr>
        <w:t>8</w:t>
      </w:r>
      <w:r w:rsidRPr="00F76D2A">
        <w:rPr>
          <w:rFonts w:ascii="Calibri" w:hAnsi="Calibri" w:cs="Miriam" w:hint="cs"/>
          <w:rtl/>
        </w:rPr>
        <w:t>(ג) לעיל</w:t>
      </w:r>
      <w:r>
        <w:rPr>
          <w:rFonts w:ascii="Calibri" w:hAnsi="Calibri" w:cs="Miriam" w:hint="cs"/>
          <w:rtl/>
        </w:rPr>
        <w:t>.</w:t>
      </w:r>
      <w:r w:rsidRPr="007E3C44">
        <w:rPr>
          <w:rFonts w:ascii="Calibri" w:hAnsi="Calibri" w:cs="Miriam" w:hint="cs"/>
          <w:rtl/>
        </w:rPr>
        <w:t xml:space="preserve"> </w:t>
      </w:r>
      <w:r>
        <w:rPr>
          <w:rFonts w:ascii="FrankRuehl" w:hAnsi="FrankRuehl" w:cs="FrankRuehl" w:hint="cs"/>
          <w:color w:val="000000"/>
          <w:sz w:val="28"/>
          <w:szCs w:val="28"/>
          <w:rtl/>
        </w:rPr>
        <w:t>ביחס לנכס זה, הידוע כגוש חלקה 7121/35 בבת ים, אני מורה על חילוט מחצית הזכויות בלבד. מאחר שהנאשם ואשתו טרם השלימו את מלוא חובותיהם כלפי מוכר הנכס בהתאם לחוזה הרכישה, תבוא המדינה בנעליו של הנאשם ותפעל בעניין זה כפי הבנתה.</w:t>
      </w:r>
    </w:p>
    <w:p w14:paraId="63F091B8" w14:textId="77777777" w:rsidR="00C76774" w:rsidRDefault="00C76774" w:rsidP="00C76774">
      <w:pPr>
        <w:spacing w:after="160" w:line="360" w:lineRule="auto"/>
        <w:contextualSpacing/>
        <w:jc w:val="both"/>
        <w:rPr>
          <w:rFonts w:ascii="Calibri" w:hAnsi="Calibri" w:cs="FrankRuehl"/>
          <w:sz w:val="28"/>
          <w:szCs w:val="28"/>
          <w:rtl/>
        </w:rPr>
      </w:pPr>
    </w:p>
    <w:p w14:paraId="1F131F14"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48.</w:t>
      </w:r>
      <w:r>
        <w:rPr>
          <w:rFonts w:ascii="Calibri" w:hAnsi="Calibri" w:cs="FrankRuehl" w:hint="cs"/>
          <w:sz w:val="28"/>
          <w:szCs w:val="28"/>
          <w:rtl/>
        </w:rPr>
        <w:tab/>
        <w:t>ניתן בזאת צו כללי למוצגים.</w:t>
      </w:r>
    </w:p>
    <w:p w14:paraId="3B9C16EF" w14:textId="77777777" w:rsidR="00C76774" w:rsidRDefault="00C76774" w:rsidP="00C76774">
      <w:pPr>
        <w:spacing w:after="160" w:line="360" w:lineRule="auto"/>
        <w:contextualSpacing/>
        <w:jc w:val="both"/>
        <w:rPr>
          <w:rFonts w:ascii="Calibri" w:hAnsi="Calibri" w:cs="FrankRuehl"/>
          <w:sz w:val="28"/>
          <w:szCs w:val="28"/>
          <w:rtl/>
        </w:rPr>
      </w:pPr>
    </w:p>
    <w:p w14:paraId="6E28B267"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49.</w:t>
      </w:r>
      <w:r>
        <w:rPr>
          <w:rFonts w:ascii="Calibri" w:hAnsi="Calibri" w:cs="FrankRuehl"/>
          <w:sz w:val="28"/>
          <w:szCs w:val="28"/>
          <w:rtl/>
        </w:rPr>
        <w:tab/>
      </w:r>
      <w:r>
        <w:rPr>
          <w:rFonts w:ascii="Calibri" w:hAnsi="Calibri" w:cs="FrankRuehl" w:hint="cs"/>
          <w:sz w:val="28"/>
          <w:szCs w:val="28"/>
          <w:rtl/>
        </w:rPr>
        <w:t>המזכירות תעביר העתק מגזר הדין לממונה על עבודות השירות ולשירות המבחן.</w:t>
      </w:r>
    </w:p>
    <w:p w14:paraId="2A51029E" w14:textId="77777777" w:rsidR="00C76774" w:rsidRDefault="00C76774" w:rsidP="00C76774">
      <w:pPr>
        <w:bidi w:val="0"/>
        <w:rPr>
          <w:rFonts w:ascii="Calibri" w:hAnsi="Calibri" w:cs="FrankRuehl"/>
          <w:sz w:val="28"/>
          <w:szCs w:val="28"/>
        </w:rPr>
      </w:pPr>
    </w:p>
    <w:p w14:paraId="00DE4224" w14:textId="77777777" w:rsidR="00C76774" w:rsidRDefault="00C76774" w:rsidP="00C76774">
      <w:pPr>
        <w:spacing w:after="160" w:line="360" w:lineRule="auto"/>
        <w:contextualSpacing/>
        <w:jc w:val="both"/>
        <w:rPr>
          <w:rFonts w:ascii="Calibri" w:hAnsi="Calibri" w:cs="FrankRuehl"/>
          <w:sz w:val="28"/>
          <w:szCs w:val="28"/>
          <w:rtl/>
        </w:rPr>
      </w:pPr>
    </w:p>
    <w:p w14:paraId="699C1147" w14:textId="77777777" w:rsidR="00C76774" w:rsidRDefault="00C76774" w:rsidP="00C76774">
      <w:pPr>
        <w:spacing w:after="160" w:line="360" w:lineRule="auto"/>
        <w:contextualSpacing/>
        <w:jc w:val="both"/>
        <w:rPr>
          <w:rFonts w:ascii="Calibri" w:hAnsi="Calibri" w:cs="FrankRuehl"/>
          <w:sz w:val="28"/>
          <w:szCs w:val="28"/>
          <w:rtl/>
        </w:rPr>
      </w:pPr>
      <w:r>
        <w:rPr>
          <w:rFonts w:ascii="Calibri" w:hAnsi="Calibri" w:cs="FrankRuehl" w:hint="cs"/>
          <w:sz w:val="28"/>
          <w:szCs w:val="28"/>
          <w:rtl/>
        </w:rPr>
        <w:t>50.</w:t>
      </w:r>
      <w:r>
        <w:rPr>
          <w:rFonts w:ascii="Calibri" w:hAnsi="Calibri" w:cs="FrankRuehl" w:hint="cs"/>
          <w:sz w:val="28"/>
          <w:szCs w:val="28"/>
          <w:rtl/>
        </w:rPr>
        <w:tab/>
        <w:t>ניתן בזאת צו עיכוב יציאה מהארץ. הנאשם יפקיד את דרכונו, ככל שזה טרם הופקד, במזכירות בית המשפט, זאת עד ליום 2.3.2020.</w:t>
      </w:r>
    </w:p>
    <w:p w14:paraId="234FC576" w14:textId="77777777" w:rsidR="00C76774" w:rsidRDefault="00C76774" w:rsidP="00C76774">
      <w:pPr>
        <w:spacing w:after="160" w:line="360" w:lineRule="auto"/>
        <w:contextualSpacing/>
        <w:jc w:val="both"/>
        <w:rPr>
          <w:rFonts w:ascii="Calibri" w:hAnsi="Calibri" w:cs="FrankRuehl"/>
          <w:sz w:val="28"/>
          <w:szCs w:val="28"/>
          <w:rtl/>
        </w:rPr>
      </w:pPr>
    </w:p>
    <w:p w14:paraId="4656F7B0" w14:textId="77777777" w:rsidR="00C76774" w:rsidRDefault="00C76774" w:rsidP="00C76774">
      <w:pPr>
        <w:spacing w:after="160" w:line="360" w:lineRule="auto"/>
        <w:contextualSpacing/>
        <w:jc w:val="both"/>
        <w:rPr>
          <w:rFonts w:ascii="Calibri" w:hAnsi="Calibri" w:cs="FrankRuehl"/>
          <w:sz w:val="28"/>
          <w:szCs w:val="28"/>
          <w:rtl/>
        </w:rPr>
      </w:pPr>
    </w:p>
    <w:p w14:paraId="11690125" w14:textId="77777777" w:rsidR="00C76774" w:rsidRDefault="00C76774" w:rsidP="00C76774">
      <w:pPr>
        <w:spacing w:after="160" w:line="360" w:lineRule="auto"/>
        <w:contextualSpacing/>
        <w:jc w:val="both"/>
        <w:rPr>
          <w:color w:val="0000FF"/>
          <w:u w:val="single"/>
          <w:rtl/>
        </w:rPr>
      </w:pPr>
      <w:r>
        <w:rPr>
          <w:rFonts w:ascii="Calibri" w:hAnsi="Calibri" w:cs="FrankRuehl" w:hint="cs"/>
          <w:sz w:val="28"/>
          <w:szCs w:val="28"/>
          <w:rtl/>
        </w:rPr>
        <w:t>זכות ערעור לבית המשפט מחוזי מרכז בתוך 45 ימים.</w:t>
      </w:r>
    </w:p>
    <w:p w14:paraId="045D92A1" w14:textId="77777777" w:rsidR="00C76774" w:rsidRPr="00B05847" w:rsidRDefault="00C76774" w:rsidP="00C76774">
      <w:pPr>
        <w:rPr>
          <w:rtl/>
        </w:rPr>
      </w:pPr>
    </w:p>
    <w:p w14:paraId="14CEE815" w14:textId="77777777" w:rsidR="00C76774" w:rsidRPr="00B05847" w:rsidRDefault="00C76774" w:rsidP="00C76774">
      <w:pPr>
        <w:rPr>
          <w:rtl/>
        </w:rPr>
      </w:pPr>
    </w:p>
    <w:p w14:paraId="60AA2CF1" w14:textId="77777777" w:rsidR="00C76774" w:rsidRPr="00976EB1" w:rsidRDefault="00976EB1" w:rsidP="00C76774">
      <w:pPr>
        <w:rPr>
          <w:color w:val="FFFFFF"/>
          <w:sz w:val="2"/>
          <w:szCs w:val="2"/>
          <w:rtl/>
        </w:rPr>
      </w:pPr>
      <w:r w:rsidRPr="00976EB1">
        <w:rPr>
          <w:color w:val="FFFFFF"/>
          <w:sz w:val="2"/>
          <w:szCs w:val="2"/>
          <w:rtl/>
        </w:rPr>
        <w:t>5129371</w:t>
      </w:r>
    </w:p>
    <w:p w14:paraId="7B8B060B" w14:textId="77777777" w:rsidR="00C76774" w:rsidRDefault="00976EB1" w:rsidP="00C76774">
      <w:pPr>
        <w:rPr>
          <w:rFonts w:cs="FrankRuehl"/>
          <w:sz w:val="28"/>
          <w:szCs w:val="28"/>
          <w:rtl/>
        </w:rPr>
      </w:pPr>
      <w:bookmarkStart w:id="8" w:name="Nitan"/>
      <w:r w:rsidRPr="00976EB1">
        <w:rPr>
          <w:rFonts w:ascii="Arial" w:hAnsi="Arial"/>
          <w:color w:val="FFFFFF"/>
          <w:sz w:val="2"/>
          <w:szCs w:val="2"/>
          <w:rtl/>
        </w:rPr>
        <w:t>54678313</w:t>
      </w:r>
      <w:r>
        <w:rPr>
          <w:rFonts w:ascii="Arial" w:hAnsi="Arial"/>
          <w:rtl/>
        </w:rPr>
        <w:t xml:space="preserve">ניתן היום,  ה' אדר תש"פ, 01 מרץ 2020, בנוכחות הצדדים. </w:t>
      </w:r>
      <w:bookmarkEnd w:id="8"/>
    </w:p>
    <w:p w14:paraId="1F73D4CD" w14:textId="77777777" w:rsidR="00C76774" w:rsidRDefault="00C76774" w:rsidP="00976EB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9B7793D" w14:textId="77777777" w:rsidR="00C76774" w:rsidRDefault="00C76774" w:rsidP="00C76774">
      <w:pPr>
        <w:jc w:val="center"/>
        <w:rPr>
          <w:rFonts w:ascii="Arial" w:hAnsi="Arial" w:cs="FrankRuehl"/>
          <w:sz w:val="28"/>
          <w:szCs w:val="28"/>
          <w:rtl/>
        </w:rPr>
      </w:pPr>
    </w:p>
    <w:p w14:paraId="4EB2FEEA" w14:textId="77777777" w:rsidR="00976EB1" w:rsidRDefault="00976EB1" w:rsidP="00976EB1">
      <w:pPr>
        <w:rPr>
          <w:rtl/>
        </w:rPr>
      </w:pPr>
    </w:p>
    <w:p w14:paraId="43EA241C" w14:textId="77777777" w:rsidR="00976EB1" w:rsidRDefault="00976EB1" w:rsidP="00976EB1">
      <w:pPr>
        <w:jc w:val="center"/>
        <w:rPr>
          <w:color w:val="0000FF"/>
          <w:u w:val="single"/>
        </w:rPr>
      </w:pPr>
      <w:hyperlink r:id="rId89" w:history="1">
        <w:r>
          <w:rPr>
            <w:color w:val="0000FF"/>
            <w:u w:val="single"/>
            <w:rtl/>
          </w:rPr>
          <w:t>בעניין עריכה ושינויים במסמכי פסיקה, חקיקה ועוד באתר נבו – הקש כאן</w:t>
        </w:r>
      </w:hyperlink>
    </w:p>
    <w:p w14:paraId="08781C7E" w14:textId="77777777" w:rsidR="00F437DB" w:rsidRPr="00F437DB" w:rsidRDefault="00F437DB" w:rsidP="00F437DB">
      <w:pPr>
        <w:keepNext/>
        <w:rPr>
          <w:rFonts w:ascii="David" w:hAnsi="David"/>
          <w:color w:val="000000"/>
          <w:sz w:val="22"/>
          <w:szCs w:val="22"/>
          <w:rtl/>
        </w:rPr>
      </w:pPr>
    </w:p>
    <w:p w14:paraId="02E9CAD8" w14:textId="77777777" w:rsidR="00F437DB" w:rsidRPr="00F437DB" w:rsidRDefault="00F437DB" w:rsidP="00F437DB">
      <w:pPr>
        <w:keepNext/>
        <w:rPr>
          <w:rFonts w:ascii="David" w:hAnsi="David"/>
          <w:color w:val="000000"/>
          <w:sz w:val="22"/>
          <w:szCs w:val="22"/>
          <w:rtl/>
        </w:rPr>
      </w:pPr>
      <w:r w:rsidRPr="00F437DB">
        <w:rPr>
          <w:rFonts w:ascii="David" w:hAnsi="David"/>
          <w:color w:val="000000"/>
          <w:sz w:val="22"/>
          <w:szCs w:val="22"/>
          <w:rtl/>
        </w:rPr>
        <w:t>עמית מיכלס 54678313-/</w:t>
      </w:r>
    </w:p>
    <w:p w14:paraId="5E17755E" w14:textId="77777777" w:rsidR="00976EB1" w:rsidRPr="00976EB1" w:rsidRDefault="00F437DB" w:rsidP="00F437DB">
      <w:pPr>
        <w:rPr>
          <w:color w:val="0000FF"/>
          <w:u w:val="single"/>
        </w:rPr>
      </w:pPr>
      <w:r w:rsidRPr="00F437DB">
        <w:rPr>
          <w:color w:val="000000"/>
          <w:u w:val="single"/>
          <w:rtl/>
        </w:rPr>
        <w:t>נוסח מסמך זה כפוף לשינויי ניסוח ועריכה</w:t>
      </w:r>
    </w:p>
    <w:sectPr w:rsidR="00976EB1" w:rsidRPr="00976EB1" w:rsidSect="00F437DB">
      <w:headerReference w:type="even" r:id="rId90"/>
      <w:headerReference w:type="default" r:id="rId91"/>
      <w:footerReference w:type="even" r:id="rId92"/>
      <w:footerReference w:type="default" r:id="rId9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557E0" w14:textId="77777777" w:rsidR="00676DC7" w:rsidRDefault="00676DC7" w:rsidP="009E29EE">
      <w:r>
        <w:separator/>
      </w:r>
    </w:p>
  </w:endnote>
  <w:endnote w:type="continuationSeparator" w:id="0">
    <w:p w14:paraId="77CA0BEE" w14:textId="77777777" w:rsidR="00676DC7" w:rsidRDefault="00676DC7" w:rsidP="009E2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34DA9" w14:textId="77777777" w:rsidR="00F437DB" w:rsidRDefault="00F437DB" w:rsidP="00F437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471261" w14:textId="77777777" w:rsidR="005B329A" w:rsidRPr="00F437DB" w:rsidRDefault="00F437DB" w:rsidP="00F437DB">
    <w:pPr>
      <w:pStyle w:val="a5"/>
      <w:pBdr>
        <w:top w:val="single" w:sz="4" w:space="1" w:color="auto"/>
        <w:between w:val="single" w:sz="4" w:space="0" w:color="auto"/>
      </w:pBdr>
      <w:spacing w:after="60"/>
      <w:jc w:val="center"/>
      <w:rPr>
        <w:rFonts w:ascii="FrankRuehl" w:hAnsi="FrankRuehl" w:cs="FrankRuehl"/>
        <w:color w:val="000000"/>
      </w:rPr>
    </w:pPr>
    <w:r w:rsidRPr="00F437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C40F5" w14:textId="77777777" w:rsidR="00F437DB" w:rsidRDefault="00F437DB" w:rsidP="00F437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330F">
      <w:rPr>
        <w:rFonts w:ascii="FrankRuehl" w:hAnsi="FrankRuehl" w:cs="FrankRuehl"/>
        <w:noProof/>
        <w:rtl/>
      </w:rPr>
      <w:t>1</w:t>
    </w:r>
    <w:r>
      <w:rPr>
        <w:rFonts w:ascii="FrankRuehl" w:hAnsi="FrankRuehl" w:cs="FrankRuehl"/>
        <w:rtl/>
      </w:rPr>
      <w:fldChar w:fldCharType="end"/>
    </w:r>
  </w:p>
  <w:p w14:paraId="2FE4D50A" w14:textId="77777777" w:rsidR="005B329A" w:rsidRPr="00F437DB" w:rsidRDefault="00F437DB" w:rsidP="00F437DB">
    <w:pPr>
      <w:pStyle w:val="a5"/>
      <w:pBdr>
        <w:top w:val="single" w:sz="4" w:space="1" w:color="auto"/>
        <w:between w:val="single" w:sz="4" w:space="0" w:color="auto"/>
      </w:pBdr>
      <w:spacing w:after="60"/>
      <w:jc w:val="center"/>
      <w:rPr>
        <w:rFonts w:ascii="FrankRuehl" w:hAnsi="FrankRuehl" w:cs="FrankRuehl"/>
        <w:color w:val="000000"/>
      </w:rPr>
    </w:pPr>
    <w:r w:rsidRPr="00F437DB">
      <w:rPr>
        <w:rFonts w:ascii="FrankRuehl" w:hAnsi="FrankRuehl" w:cs="FrankRuehl"/>
        <w:color w:val="000000"/>
      </w:rPr>
      <w:pict w14:anchorId="03879B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032CE" w14:textId="77777777" w:rsidR="00676DC7" w:rsidRDefault="00676DC7" w:rsidP="009E29EE">
      <w:r>
        <w:separator/>
      </w:r>
    </w:p>
  </w:footnote>
  <w:footnote w:type="continuationSeparator" w:id="0">
    <w:p w14:paraId="44C14DDD" w14:textId="77777777" w:rsidR="00676DC7" w:rsidRDefault="00676DC7" w:rsidP="009E2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41E67" w14:textId="77777777" w:rsidR="00976EB1" w:rsidRPr="00F437DB" w:rsidRDefault="00F437DB" w:rsidP="00F437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44871-12-17</w:t>
    </w:r>
    <w:r>
      <w:rPr>
        <w:rFonts w:ascii="David" w:hAnsi="David"/>
        <w:color w:val="000000"/>
        <w:sz w:val="22"/>
        <w:szCs w:val="22"/>
        <w:rtl/>
      </w:rPr>
      <w:tab/>
      <w:t xml:space="preserve"> מדינת ישראל נ' חנניה ביטון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5A233" w14:textId="77777777" w:rsidR="00976EB1" w:rsidRPr="00F437DB" w:rsidRDefault="00F437DB" w:rsidP="00F437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44871-12-17</w:t>
    </w:r>
    <w:r>
      <w:rPr>
        <w:rFonts w:ascii="David" w:hAnsi="David"/>
        <w:color w:val="000000"/>
        <w:sz w:val="22"/>
        <w:szCs w:val="22"/>
        <w:rtl/>
      </w:rPr>
      <w:tab/>
      <w:t xml:space="preserve"> מדינת ישראל נ' חנניה ביטון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A1ACE8CC"/>
    <w:lvl w:ilvl="0" w:tplc="3BE2D1AE">
      <w:start w:val="1"/>
      <w:numFmt w:val="decimal"/>
      <w:pStyle w:val="Ruller4"/>
      <w:lvlText w:val="%1."/>
      <w:lvlJc w:val="left"/>
      <w:pPr>
        <w:tabs>
          <w:tab w:val="num" w:pos="1049"/>
        </w:tabs>
        <w:ind w:left="142" w:firstLine="0"/>
      </w:pPr>
      <w:rPr>
        <w:rFonts w:ascii="Century" w:hAnsi="Century" w:cs="FrankRuehl" w:hint="default"/>
        <w:b w:val="0"/>
        <w:bCs w:val="0"/>
        <w:i w:val="0"/>
        <w:iCs w:val="0"/>
        <w:caps w:val="0"/>
        <w:smallCaps w:val="0"/>
        <w:strike w:val="0"/>
        <w:dstrike w:val="0"/>
        <w:outline w:val="0"/>
        <w:shadow w:val="0"/>
        <w:emboss w:val="0"/>
        <w:imprint w:val="0"/>
        <w:vanish w:val="0"/>
        <w:webHidden w:val="0"/>
        <w:color w:val="auto"/>
        <w:spacing w:val="10"/>
        <w:w w:val="100"/>
        <w:kern w:val="0"/>
        <w:position w:val="0"/>
        <w:sz w:val="22"/>
        <w:szCs w:val="28"/>
        <w:u w:val="none"/>
        <w:effect w:val="none"/>
        <w:vertAlign w:val="baseline"/>
        <w:specVanish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11124027">
    <w:abstractNumId w:val="2"/>
  </w:num>
  <w:num w:numId="2" w16cid:durableId="1150750339">
    <w:abstractNumId w:val="1"/>
  </w:num>
  <w:num w:numId="3" w16cid:durableId="18398109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580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73033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1655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03569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390114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3382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7718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72387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29357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6774"/>
    <w:rsid w:val="0012330F"/>
    <w:rsid w:val="0026322E"/>
    <w:rsid w:val="002D728A"/>
    <w:rsid w:val="00434D97"/>
    <w:rsid w:val="00516970"/>
    <w:rsid w:val="005B329A"/>
    <w:rsid w:val="00676DC7"/>
    <w:rsid w:val="007447A1"/>
    <w:rsid w:val="00976EB1"/>
    <w:rsid w:val="009E29EE"/>
    <w:rsid w:val="00A932B6"/>
    <w:rsid w:val="00C501AB"/>
    <w:rsid w:val="00C76774"/>
    <w:rsid w:val="00D05667"/>
    <w:rsid w:val="00F437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04F9A0"/>
  <w15:chartTrackingRefBased/>
  <w15:docId w15:val="{54C9ECEC-E264-489D-99BA-ED31B7EC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6774"/>
    <w:pPr>
      <w:bidi/>
    </w:pPr>
    <w:rPr>
      <w:rFonts w:ascii="Times New Roman" w:eastAsia="Times New Roman" w:hAnsi="Times New Roman" w:cs="David"/>
      <w:sz w:val="24"/>
      <w:szCs w:val="24"/>
    </w:rPr>
  </w:style>
  <w:style w:type="paragraph" w:styleId="1">
    <w:name w:val="heading 1"/>
    <w:basedOn w:val="a"/>
    <w:next w:val="a"/>
    <w:link w:val="10"/>
    <w:qFormat/>
    <w:rsid w:val="00C7677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C7677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76774"/>
    <w:rPr>
      <w:rFonts w:ascii="Arial" w:eastAsia="Times New Roman" w:hAnsi="Arial" w:cs="Arial"/>
      <w:b/>
      <w:bCs/>
      <w:kern w:val="32"/>
      <w:sz w:val="32"/>
      <w:szCs w:val="32"/>
    </w:rPr>
  </w:style>
  <w:style w:type="character" w:customStyle="1" w:styleId="40">
    <w:name w:val="כותרת 4 תו"/>
    <w:link w:val="4"/>
    <w:rsid w:val="00C76774"/>
    <w:rPr>
      <w:rFonts w:ascii="Times New Roman" w:eastAsia="Times New Roman" w:hAnsi="Times New Roman" w:cs="Narkisim"/>
      <w:b/>
      <w:bCs/>
      <w:sz w:val="24"/>
      <w:szCs w:val="24"/>
    </w:rPr>
  </w:style>
  <w:style w:type="paragraph" w:styleId="a3">
    <w:name w:val="header"/>
    <w:basedOn w:val="a"/>
    <w:link w:val="a4"/>
    <w:rsid w:val="00C76774"/>
    <w:pPr>
      <w:tabs>
        <w:tab w:val="center" w:pos="4153"/>
        <w:tab w:val="right" w:pos="8306"/>
      </w:tabs>
    </w:pPr>
  </w:style>
  <w:style w:type="character" w:customStyle="1" w:styleId="a4">
    <w:name w:val="כותרת עליונה תו"/>
    <w:link w:val="a3"/>
    <w:rsid w:val="00C76774"/>
    <w:rPr>
      <w:rFonts w:ascii="Times New Roman" w:eastAsia="Times New Roman" w:hAnsi="Times New Roman" w:cs="David"/>
      <w:sz w:val="24"/>
      <w:szCs w:val="24"/>
    </w:rPr>
  </w:style>
  <w:style w:type="paragraph" w:styleId="a5">
    <w:name w:val="footer"/>
    <w:basedOn w:val="a"/>
    <w:link w:val="a6"/>
    <w:rsid w:val="00C76774"/>
    <w:pPr>
      <w:tabs>
        <w:tab w:val="center" w:pos="4153"/>
        <w:tab w:val="right" w:pos="8306"/>
      </w:tabs>
    </w:pPr>
  </w:style>
  <w:style w:type="character" w:customStyle="1" w:styleId="a6">
    <w:name w:val="כותרת תחתונה תו"/>
    <w:link w:val="a5"/>
    <w:rsid w:val="00C76774"/>
    <w:rPr>
      <w:rFonts w:ascii="Times New Roman" w:eastAsia="Times New Roman" w:hAnsi="Times New Roman" w:cs="David"/>
      <w:sz w:val="24"/>
      <w:szCs w:val="24"/>
    </w:rPr>
  </w:style>
  <w:style w:type="character" w:styleId="a7">
    <w:name w:val="annotation reference"/>
    <w:rsid w:val="00C76774"/>
    <w:rPr>
      <w:sz w:val="16"/>
      <w:szCs w:val="16"/>
    </w:rPr>
  </w:style>
  <w:style w:type="paragraph" w:styleId="a8">
    <w:name w:val="annotation text"/>
    <w:basedOn w:val="a"/>
    <w:link w:val="a9"/>
    <w:rsid w:val="00C76774"/>
    <w:rPr>
      <w:rFonts w:cs="Times New Roman"/>
      <w:lang w:eastAsia="he-IL"/>
    </w:rPr>
  </w:style>
  <w:style w:type="character" w:customStyle="1" w:styleId="a9">
    <w:name w:val="טקסט הערה תו"/>
    <w:link w:val="a8"/>
    <w:rsid w:val="00C76774"/>
    <w:rPr>
      <w:rFonts w:ascii="Times New Roman" w:eastAsia="Times New Roman" w:hAnsi="Times New Roman" w:cs="Times New Roman"/>
      <w:sz w:val="24"/>
      <w:szCs w:val="24"/>
      <w:lang w:eastAsia="he-IL"/>
    </w:rPr>
  </w:style>
  <w:style w:type="paragraph" w:styleId="aa">
    <w:name w:val="Balloon Text"/>
    <w:basedOn w:val="a"/>
    <w:link w:val="ab"/>
    <w:rsid w:val="00C76774"/>
    <w:rPr>
      <w:rFonts w:ascii="Tahoma" w:hAnsi="Tahoma" w:cs="Tahoma"/>
      <w:sz w:val="16"/>
      <w:szCs w:val="16"/>
    </w:rPr>
  </w:style>
  <w:style w:type="character" w:customStyle="1" w:styleId="ab">
    <w:name w:val="טקסט בלונים תו"/>
    <w:link w:val="aa"/>
    <w:rsid w:val="00C76774"/>
    <w:rPr>
      <w:rFonts w:ascii="Tahoma" w:eastAsia="Times New Roman" w:hAnsi="Tahoma" w:cs="Tahoma"/>
      <w:sz w:val="16"/>
      <w:szCs w:val="16"/>
    </w:rPr>
  </w:style>
  <w:style w:type="table" w:styleId="ac">
    <w:name w:val="Table Grid"/>
    <w:basedOn w:val="a1"/>
    <w:rsid w:val="00C7677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C76774"/>
  </w:style>
  <w:style w:type="character" w:customStyle="1" w:styleId="Ruller40">
    <w:name w:val="Ruller4 תו"/>
    <w:link w:val="Ruller41"/>
    <w:locked/>
    <w:rsid w:val="00C76774"/>
    <w:rPr>
      <w:rFonts w:ascii="Arial TUR" w:hAnsi="Arial TUR" w:cs="FrankRuehl"/>
      <w:spacing w:val="10"/>
      <w:szCs w:val="28"/>
    </w:rPr>
  </w:style>
  <w:style w:type="paragraph" w:customStyle="1" w:styleId="Ruller41">
    <w:name w:val="Ruller4"/>
    <w:basedOn w:val="a"/>
    <w:link w:val="Ruller40"/>
    <w:rsid w:val="00C76774"/>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5">
    <w:name w:val="Ruller5"/>
    <w:basedOn w:val="a"/>
    <w:rsid w:val="00C76774"/>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Ruller42">
    <w:name w:val="Ruller 4 ממוספר תו"/>
    <w:link w:val="Ruller4"/>
    <w:locked/>
    <w:rsid w:val="00C76774"/>
    <w:rPr>
      <w:rFonts w:ascii="Garamond" w:hAnsi="Garamond"/>
      <w:spacing w:val="10"/>
      <w:sz w:val="24"/>
      <w:szCs w:val="28"/>
    </w:rPr>
  </w:style>
  <w:style w:type="paragraph" w:customStyle="1" w:styleId="Ruller4">
    <w:name w:val="Ruller 4 ממוספר"/>
    <w:basedOn w:val="Ruller41"/>
    <w:next w:val="Ruller41"/>
    <w:link w:val="Ruller42"/>
    <w:rsid w:val="00C76774"/>
    <w:pPr>
      <w:numPr>
        <w:numId w:val="3"/>
      </w:numPr>
    </w:pPr>
    <w:rPr>
      <w:rFonts w:ascii="Garamond" w:hAnsi="Garamond" w:cs="Arial"/>
      <w:sz w:val="24"/>
    </w:rPr>
  </w:style>
  <w:style w:type="character" w:customStyle="1" w:styleId="default">
    <w:name w:val="default"/>
    <w:rsid w:val="00C76774"/>
  </w:style>
  <w:style w:type="character" w:styleId="Hyperlink">
    <w:name w:val="Hyperlink"/>
    <w:rsid w:val="00C76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345" TargetMode="External"/><Relationship Id="rId21" Type="http://schemas.openxmlformats.org/officeDocument/2006/relationships/hyperlink" Target="http://www.nevo.co.il/law/74345/23" TargetMode="External"/><Relationship Id="rId42" Type="http://schemas.openxmlformats.org/officeDocument/2006/relationships/hyperlink" Target="http://www.nevo.co.il/law/74345/21" TargetMode="External"/><Relationship Id="rId47" Type="http://schemas.openxmlformats.org/officeDocument/2006/relationships/hyperlink" Target="http://www.nevo.co.il/case/161892" TargetMode="External"/><Relationship Id="rId63" Type="http://schemas.openxmlformats.org/officeDocument/2006/relationships/hyperlink" Target="http://www.nevo.co.il/case/17948199" TargetMode="External"/><Relationship Id="rId68" Type="http://schemas.openxmlformats.org/officeDocument/2006/relationships/hyperlink" Target="http://www.nevo.co.il/law/74345" TargetMode="External"/><Relationship Id="rId84" Type="http://schemas.openxmlformats.org/officeDocument/2006/relationships/hyperlink" Target="http://www.nevo.co.il/law/70301/hC12S"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74345" TargetMode="External"/><Relationship Id="rId11" Type="http://schemas.openxmlformats.org/officeDocument/2006/relationships/hyperlink" Target="http://www.nevo.co.il/law/70301/225" TargetMode="External"/><Relationship Id="rId32" Type="http://schemas.openxmlformats.org/officeDocument/2006/relationships/hyperlink" Target="http://www.nevo.co.il/law/70301/228" TargetMode="External"/><Relationship Id="rId37" Type="http://schemas.openxmlformats.org/officeDocument/2006/relationships/hyperlink" Target="http://www.nevo.co.il/law/70301/29.a" TargetMode="External"/><Relationship Id="rId53" Type="http://schemas.openxmlformats.org/officeDocument/2006/relationships/hyperlink" Target="http://www.nevo.co.il/law/74345/3" TargetMode="External"/><Relationship Id="rId58" Type="http://schemas.openxmlformats.org/officeDocument/2006/relationships/hyperlink" Target="http://www.nevo.co.il/case/20588755" TargetMode="External"/><Relationship Id="rId74" Type="http://schemas.openxmlformats.org/officeDocument/2006/relationships/hyperlink" Target="http://www.nevo.co.il/law/4216/36c.a" TargetMode="External"/><Relationship Id="rId79" Type="http://schemas.openxmlformats.org/officeDocument/2006/relationships/hyperlink" Target="http://www.nevo.co.il/case/6135299"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74345/1T5" TargetMode="External"/><Relationship Id="rId27" Type="http://schemas.openxmlformats.org/officeDocument/2006/relationships/hyperlink" Target="http://www.nevo.co.il/law/74345/21" TargetMode="External"/><Relationship Id="rId43" Type="http://schemas.openxmlformats.org/officeDocument/2006/relationships/hyperlink" Target="http://www.nevo.co.il/law/74345" TargetMode="External"/><Relationship Id="rId48" Type="http://schemas.openxmlformats.org/officeDocument/2006/relationships/hyperlink" Target="http://www.nevo.co.il/case/5715084" TargetMode="External"/><Relationship Id="rId64" Type="http://schemas.openxmlformats.org/officeDocument/2006/relationships/hyperlink" Target="http://www.nevo.co.il/case/24966863" TargetMode="External"/><Relationship Id="rId69" Type="http://schemas.openxmlformats.org/officeDocument/2006/relationships/hyperlink" Target="http://www.nevo.co.il/case/25289958" TargetMode="External"/><Relationship Id="rId8" Type="http://schemas.openxmlformats.org/officeDocument/2006/relationships/hyperlink" Target="http://www.nevo.co.il/law/70301/29.a" TargetMode="External"/><Relationship Id="rId51" Type="http://schemas.openxmlformats.org/officeDocument/2006/relationships/hyperlink" Target="http://www.nevo.co.il/law/74345/21.a" TargetMode="External"/><Relationship Id="rId72" Type="http://schemas.openxmlformats.org/officeDocument/2006/relationships/hyperlink" Target="http://www.nevo.co.il/law/74345" TargetMode="External"/><Relationship Id="rId80" Type="http://schemas.openxmlformats.org/officeDocument/2006/relationships/hyperlink" Target="http://www.nevo.co.il/case/6130671" TargetMode="External"/><Relationship Id="rId85" Type="http://schemas.openxmlformats.org/officeDocument/2006/relationships/hyperlink" Target="http://www.nevo.co.il/law/70301/226"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226" TargetMode="External"/><Relationship Id="rId17" Type="http://schemas.openxmlformats.org/officeDocument/2006/relationships/hyperlink" Target="http://www.nevo.co.il/law/74345/3" TargetMode="External"/><Relationship Id="rId25" Type="http://schemas.openxmlformats.org/officeDocument/2006/relationships/hyperlink" Target="http://www.nevo.co.il/law/74345/21.a" TargetMode="External"/><Relationship Id="rId33" Type="http://schemas.openxmlformats.org/officeDocument/2006/relationships/hyperlink" Target="http://www.nevo.co.il/law/70301/29.a" TargetMode="External"/><Relationship Id="rId38" Type="http://schemas.openxmlformats.org/officeDocument/2006/relationships/hyperlink" Target="http://www.nevo.co.il/law/74345/1T5" TargetMode="External"/><Relationship Id="rId46" Type="http://schemas.openxmlformats.org/officeDocument/2006/relationships/hyperlink" Target="http://www.nevo.co.il/case/5784437" TargetMode="External"/><Relationship Id="rId59" Type="http://schemas.openxmlformats.org/officeDocument/2006/relationships/hyperlink" Target="http://www.nevo.co.il/case/22928295" TargetMode="External"/><Relationship Id="rId67" Type="http://schemas.openxmlformats.org/officeDocument/2006/relationships/hyperlink" Target="http://www.nevo.co.il/law/74345" TargetMode="External"/><Relationship Id="rId20" Type="http://schemas.openxmlformats.org/officeDocument/2006/relationships/hyperlink" Target="http://www.nevo.co.il/law/74345/21.a" TargetMode="External"/><Relationship Id="rId41" Type="http://schemas.openxmlformats.org/officeDocument/2006/relationships/hyperlink" Target="http://www.nevo.co.il/law/74345" TargetMode="External"/><Relationship Id="rId54" Type="http://schemas.openxmlformats.org/officeDocument/2006/relationships/hyperlink" Target="http://www.nevo.co.il/case/5826430" TargetMode="External"/><Relationship Id="rId62" Type="http://schemas.openxmlformats.org/officeDocument/2006/relationships/hyperlink" Target="http://www.nevo.co.il/case/5571500" TargetMode="External"/><Relationship Id="rId70" Type="http://schemas.openxmlformats.org/officeDocument/2006/relationships/hyperlink" Target="http://www.nevo.co.il/case/5603871" TargetMode="External"/><Relationship Id="rId75" Type="http://schemas.openxmlformats.org/officeDocument/2006/relationships/hyperlink" Target="http://www.nevo.co.il/law/4216" TargetMode="External"/><Relationship Id="rId83" Type="http://schemas.openxmlformats.org/officeDocument/2006/relationships/hyperlink" Target="http://www.nevo.co.il/law/74345" TargetMode="External"/><Relationship Id="rId88" Type="http://schemas.openxmlformats.org/officeDocument/2006/relationships/hyperlink" Target="http://www.nevo.co.il/law/70301/226"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hC12S" TargetMode="External"/><Relationship Id="rId23" Type="http://schemas.openxmlformats.org/officeDocument/2006/relationships/hyperlink" Target="http://www.nevo.co.il/law/4216" TargetMode="External"/><Relationship Id="rId28" Type="http://schemas.openxmlformats.org/officeDocument/2006/relationships/hyperlink" Target="http://www.nevo.co.il/law/74345" TargetMode="External"/><Relationship Id="rId36" Type="http://schemas.openxmlformats.org/officeDocument/2006/relationships/hyperlink" Target="http://www.nevo.co.il/law/74345" TargetMode="External"/><Relationship Id="rId49" Type="http://schemas.openxmlformats.org/officeDocument/2006/relationships/hyperlink" Target="http://www.nevo.co.il/law/70301/51c.c" TargetMode="External"/><Relationship Id="rId57" Type="http://schemas.openxmlformats.org/officeDocument/2006/relationships/hyperlink" Target="http://www.nevo.co.il/case/21015204" TargetMode="External"/><Relationship Id="rId10" Type="http://schemas.openxmlformats.org/officeDocument/2006/relationships/hyperlink" Target="http://www.nevo.co.il/law/70301/51f.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5585849" TargetMode="External"/><Relationship Id="rId52" Type="http://schemas.openxmlformats.org/officeDocument/2006/relationships/hyperlink" Target="http://www.nevo.co.il/law/74345" TargetMode="External"/><Relationship Id="rId60" Type="http://schemas.openxmlformats.org/officeDocument/2006/relationships/hyperlink" Target="http://www.nevo.co.il/law/74345/21" TargetMode="External"/><Relationship Id="rId65" Type="http://schemas.openxmlformats.org/officeDocument/2006/relationships/hyperlink" Target="http://www.nevo.co.il/law/74345" TargetMode="External"/><Relationship Id="rId73" Type="http://schemas.openxmlformats.org/officeDocument/2006/relationships/hyperlink" Target="http://www.nevo.co.il/case/17947547" TargetMode="External"/><Relationship Id="rId78" Type="http://schemas.openxmlformats.org/officeDocument/2006/relationships/hyperlink" Target="http://www.nevo.co.il/case/5738554" TargetMode="External"/><Relationship Id="rId81" Type="http://schemas.openxmlformats.org/officeDocument/2006/relationships/hyperlink" Target="http://www.nevo.co.il/law/70301/51f.b" TargetMode="External"/><Relationship Id="rId86" Type="http://schemas.openxmlformats.org/officeDocument/2006/relationships/hyperlink" Target="http://www.nevo.co.il/law/74345"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51c.c" TargetMode="External"/><Relationship Id="rId13" Type="http://schemas.openxmlformats.org/officeDocument/2006/relationships/hyperlink" Target="http://www.nevo.co.il/law/70301/228" TargetMode="External"/><Relationship Id="rId18" Type="http://schemas.openxmlformats.org/officeDocument/2006/relationships/hyperlink" Target="http://www.nevo.co.il/law/74345/4" TargetMode="External"/><Relationship Id="rId39" Type="http://schemas.openxmlformats.org/officeDocument/2006/relationships/hyperlink" Target="http://www.nevo.co.il/law/74345" TargetMode="External"/><Relationship Id="rId34" Type="http://schemas.openxmlformats.org/officeDocument/2006/relationships/hyperlink" Target="http://www.nevo.co.il/law/70301/499.a.2" TargetMode="External"/><Relationship Id="rId50" Type="http://schemas.openxmlformats.org/officeDocument/2006/relationships/hyperlink" Target="http://www.nevo.co.il/case/18090623" TargetMode="External"/><Relationship Id="rId55" Type="http://schemas.openxmlformats.org/officeDocument/2006/relationships/hyperlink" Target="http://www.nevo.co.il/case/23226444" TargetMode="External"/><Relationship Id="rId76" Type="http://schemas.openxmlformats.org/officeDocument/2006/relationships/hyperlink" Target="http://www.nevo.co.il/law/74345" TargetMode="External"/><Relationship Id="rId7" Type="http://schemas.openxmlformats.org/officeDocument/2006/relationships/hyperlink" Target="http://www.nevo.co.il/law/70301" TargetMode="External"/><Relationship Id="rId71" Type="http://schemas.openxmlformats.org/officeDocument/2006/relationships/hyperlink" Target="http://www.nevo.co.il/law/74345/21.a"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law/70301/225" TargetMode="External"/><Relationship Id="rId24" Type="http://schemas.openxmlformats.org/officeDocument/2006/relationships/hyperlink" Target="http://www.nevo.co.il/law/4216/36c.a" TargetMode="External"/><Relationship Id="rId40" Type="http://schemas.openxmlformats.org/officeDocument/2006/relationships/hyperlink" Target="http://www.nevo.co.il/law/74345" TargetMode="External"/><Relationship Id="rId45" Type="http://schemas.openxmlformats.org/officeDocument/2006/relationships/hyperlink" Target="http://www.nevo.co.il/law/74345" TargetMode="External"/><Relationship Id="rId66" Type="http://schemas.openxmlformats.org/officeDocument/2006/relationships/hyperlink" Target="http://www.nevo.co.il/law/74345/21" TargetMode="External"/><Relationship Id="rId87" Type="http://schemas.openxmlformats.org/officeDocument/2006/relationships/hyperlink" Target="http://www.nevo.co.il/law/70301/hC12S" TargetMode="External"/><Relationship Id="rId61" Type="http://schemas.openxmlformats.org/officeDocument/2006/relationships/hyperlink" Target="http://www.nevo.co.il/law/74345"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4345/21" TargetMode="External"/><Relationship Id="rId14" Type="http://schemas.openxmlformats.org/officeDocument/2006/relationships/hyperlink" Target="http://www.nevo.co.il/law/70301/499.a.2" TargetMode="External"/><Relationship Id="rId30" Type="http://schemas.openxmlformats.org/officeDocument/2006/relationships/hyperlink" Target="http://www.nevo.co.il/law/70301/29.a" TargetMode="External"/><Relationship Id="rId35" Type="http://schemas.openxmlformats.org/officeDocument/2006/relationships/hyperlink" Target="http://www.nevo.co.il/law/74345/4" TargetMode="External"/><Relationship Id="rId56" Type="http://schemas.openxmlformats.org/officeDocument/2006/relationships/hyperlink" Target="http://www.nevo.co.il/case/23129183" TargetMode="External"/><Relationship Id="rId77" Type="http://schemas.openxmlformats.org/officeDocument/2006/relationships/hyperlink" Target="http://www.nevo.co.il/law/74345/2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8348</Words>
  <Characters>41744</Characters>
  <Application>Microsoft Office Word</Application>
  <DocSecurity>0</DocSecurity>
  <Lines>347</Lines>
  <Paragraphs>99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49993</CharactersWithSpaces>
  <SharedDoc>false</SharedDoc>
  <HLinks>
    <vt:vector size="498" baseType="variant">
      <vt:variant>
        <vt:i4>393283</vt:i4>
      </vt:variant>
      <vt:variant>
        <vt:i4>246</vt:i4>
      </vt:variant>
      <vt:variant>
        <vt:i4>0</vt:i4>
      </vt:variant>
      <vt:variant>
        <vt:i4>5</vt:i4>
      </vt:variant>
      <vt:variant>
        <vt:lpwstr>http://www.nevo.co.il/advertisements/nevo-100.doc</vt:lpwstr>
      </vt:variant>
      <vt:variant>
        <vt:lpwstr/>
      </vt:variant>
      <vt:variant>
        <vt:i4>6750311</vt:i4>
      </vt:variant>
      <vt:variant>
        <vt:i4>243</vt:i4>
      </vt:variant>
      <vt:variant>
        <vt:i4>0</vt:i4>
      </vt:variant>
      <vt:variant>
        <vt:i4>5</vt:i4>
      </vt:variant>
      <vt:variant>
        <vt:lpwstr>http://www.nevo.co.il/law/70301/226</vt:lpwstr>
      </vt:variant>
      <vt:variant>
        <vt:lpwstr/>
      </vt:variant>
      <vt:variant>
        <vt:i4>262156</vt:i4>
      </vt:variant>
      <vt:variant>
        <vt:i4>240</vt:i4>
      </vt:variant>
      <vt:variant>
        <vt:i4>0</vt:i4>
      </vt:variant>
      <vt:variant>
        <vt:i4>5</vt:i4>
      </vt:variant>
      <vt:variant>
        <vt:lpwstr>http://www.nevo.co.il/law/70301/hC12S</vt:lpwstr>
      </vt:variant>
      <vt:variant>
        <vt:lpwstr/>
      </vt:variant>
      <vt:variant>
        <vt:i4>7995492</vt:i4>
      </vt:variant>
      <vt:variant>
        <vt:i4>237</vt:i4>
      </vt:variant>
      <vt:variant>
        <vt:i4>0</vt:i4>
      </vt:variant>
      <vt:variant>
        <vt:i4>5</vt:i4>
      </vt:variant>
      <vt:variant>
        <vt:lpwstr>http://www.nevo.co.il/law/74345</vt:lpwstr>
      </vt:variant>
      <vt:variant>
        <vt:lpwstr/>
      </vt:variant>
      <vt:variant>
        <vt:i4>6750311</vt:i4>
      </vt:variant>
      <vt:variant>
        <vt:i4>234</vt:i4>
      </vt:variant>
      <vt:variant>
        <vt:i4>0</vt:i4>
      </vt:variant>
      <vt:variant>
        <vt:i4>5</vt:i4>
      </vt:variant>
      <vt:variant>
        <vt:lpwstr>http://www.nevo.co.il/law/70301/226</vt:lpwstr>
      </vt:variant>
      <vt:variant>
        <vt:lpwstr/>
      </vt:variant>
      <vt:variant>
        <vt:i4>262156</vt:i4>
      </vt:variant>
      <vt:variant>
        <vt:i4>231</vt:i4>
      </vt:variant>
      <vt:variant>
        <vt:i4>0</vt:i4>
      </vt:variant>
      <vt:variant>
        <vt:i4>5</vt:i4>
      </vt:variant>
      <vt:variant>
        <vt:lpwstr>http://www.nevo.co.il/law/70301/hC12S</vt:lpwstr>
      </vt:variant>
      <vt:variant>
        <vt:lpwstr/>
      </vt:variant>
      <vt:variant>
        <vt:i4>7995492</vt:i4>
      </vt:variant>
      <vt:variant>
        <vt:i4>228</vt:i4>
      </vt:variant>
      <vt:variant>
        <vt:i4>0</vt:i4>
      </vt:variant>
      <vt:variant>
        <vt:i4>5</vt:i4>
      </vt:variant>
      <vt:variant>
        <vt:lpwstr>http://www.nevo.co.il/law/74345</vt:lpwstr>
      </vt:variant>
      <vt:variant>
        <vt:lpwstr/>
      </vt:variant>
      <vt:variant>
        <vt:i4>7995492</vt:i4>
      </vt:variant>
      <vt:variant>
        <vt:i4>225</vt:i4>
      </vt:variant>
      <vt:variant>
        <vt:i4>0</vt:i4>
      </vt:variant>
      <vt:variant>
        <vt:i4>5</vt:i4>
      </vt:variant>
      <vt:variant>
        <vt:lpwstr>http://www.nevo.co.il/law/70301</vt:lpwstr>
      </vt:variant>
      <vt:variant>
        <vt:lpwstr/>
      </vt:variant>
      <vt:variant>
        <vt:i4>4849670</vt:i4>
      </vt:variant>
      <vt:variant>
        <vt:i4>222</vt:i4>
      </vt:variant>
      <vt:variant>
        <vt:i4>0</vt:i4>
      </vt:variant>
      <vt:variant>
        <vt:i4>5</vt:i4>
      </vt:variant>
      <vt:variant>
        <vt:lpwstr>http://www.nevo.co.il/law/70301/51f.b</vt:lpwstr>
      </vt:variant>
      <vt:variant>
        <vt:lpwstr/>
      </vt:variant>
      <vt:variant>
        <vt:i4>3276914</vt:i4>
      </vt:variant>
      <vt:variant>
        <vt:i4>219</vt:i4>
      </vt:variant>
      <vt:variant>
        <vt:i4>0</vt:i4>
      </vt:variant>
      <vt:variant>
        <vt:i4>5</vt:i4>
      </vt:variant>
      <vt:variant>
        <vt:lpwstr>http://www.nevo.co.il/case/6130671</vt:lpwstr>
      </vt:variant>
      <vt:variant>
        <vt:lpwstr/>
      </vt:variant>
      <vt:variant>
        <vt:i4>4063353</vt:i4>
      </vt:variant>
      <vt:variant>
        <vt:i4>216</vt:i4>
      </vt:variant>
      <vt:variant>
        <vt:i4>0</vt:i4>
      </vt:variant>
      <vt:variant>
        <vt:i4>5</vt:i4>
      </vt:variant>
      <vt:variant>
        <vt:lpwstr>http://www.nevo.co.il/case/6135299</vt:lpwstr>
      </vt:variant>
      <vt:variant>
        <vt:lpwstr/>
      </vt:variant>
      <vt:variant>
        <vt:i4>3604606</vt:i4>
      </vt:variant>
      <vt:variant>
        <vt:i4>213</vt:i4>
      </vt:variant>
      <vt:variant>
        <vt:i4>0</vt:i4>
      </vt:variant>
      <vt:variant>
        <vt:i4>5</vt:i4>
      </vt:variant>
      <vt:variant>
        <vt:lpwstr>http://www.nevo.co.il/case/5738554</vt:lpwstr>
      </vt:variant>
      <vt:variant>
        <vt:lpwstr/>
      </vt:variant>
      <vt:variant>
        <vt:i4>6684771</vt:i4>
      </vt:variant>
      <vt:variant>
        <vt:i4>210</vt:i4>
      </vt:variant>
      <vt:variant>
        <vt:i4>0</vt:i4>
      </vt:variant>
      <vt:variant>
        <vt:i4>5</vt:i4>
      </vt:variant>
      <vt:variant>
        <vt:lpwstr>http://www.nevo.co.il/law/74345/23</vt:lpwstr>
      </vt:variant>
      <vt:variant>
        <vt:lpwstr/>
      </vt:variant>
      <vt:variant>
        <vt:i4>7995492</vt:i4>
      </vt:variant>
      <vt:variant>
        <vt:i4>207</vt:i4>
      </vt:variant>
      <vt:variant>
        <vt:i4>0</vt:i4>
      </vt:variant>
      <vt:variant>
        <vt:i4>5</vt:i4>
      </vt:variant>
      <vt:variant>
        <vt:lpwstr>http://www.nevo.co.il/law/74345</vt:lpwstr>
      </vt:variant>
      <vt:variant>
        <vt:lpwstr/>
      </vt:variant>
      <vt:variant>
        <vt:i4>8257637</vt:i4>
      </vt:variant>
      <vt:variant>
        <vt:i4>204</vt:i4>
      </vt:variant>
      <vt:variant>
        <vt:i4>0</vt:i4>
      </vt:variant>
      <vt:variant>
        <vt:i4>5</vt:i4>
      </vt:variant>
      <vt:variant>
        <vt:lpwstr>http://www.nevo.co.il/law/4216</vt:lpwstr>
      </vt:variant>
      <vt:variant>
        <vt:lpwstr/>
      </vt:variant>
      <vt:variant>
        <vt:i4>5177426</vt:i4>
      </vt:variant>
      <vt:variant>
        <vt:i4>201</vt:i4>
      </vt:variant>
      <vt:variant>
        <vt:i4>0</vt:i4>
      </vt:variant>
      <vt:variant>
        <vt:i4>5</vt:i4>
      </vt:variant>
      <vt:variant>
        <vt:lpwstr>http://www.nevo.co.il/law/4216/36c.a</vt:lpwstr>
      </vt:variant>
      <vt:variant>
        <vt:lpwstr/>
      </vt:variant>
      <vt:variant>
        <vt:i4>3866738</vt:i4>
      </vt:variant>
      <vt:variant>
        <vt:i4>198</vt:i4>
      </vt:variant>
      <vt:variant>
        <vt:i4>0</vt:i4>
      </vt:variant>
      <vt:variant>
        <vt:i4>5</vt:i4>
      </vt:variant>
      <vt:variant>
        <vt:lpwstr>http://www.nevo.co.il/case/17947547</vt:lpwstr>
      </vt:variant>
      <vt:variant>
        <vt:lpwstr/>
      </vt:variant>
      <vt:variant>
        <vt:i4>7995492</vt:i4>
      </vt:variant>
      <vt:variant>
        <vt:i4>195</vt:i4>
      </vt:variant>
      <vt:variant>
        <vt:i4>0</vt:i4>
      </vt:variant>
      <vt:variant>
        <vt:i4>5</vt:i4>
      </vt:variant>
      <vt:variant>
        <vt:lpwstr>http://www.nevo.co.il/law/74345</vt:lpwstr>
      </vt:variant>
      <vt:variant>
        <vt:lpwstr/>
      </vt:variant>
      <vt:variant>
        <vt:i4>327757</vt:i4>
      </vt:variant>
      <vt:variant>
        <vt:i4>192</vt:i4>
      </vt:variant>
      <vt:variant>
        <vt:i4>0</vt:i4>
      </vt:variant>
      <vt:variant>
        <vt:i4>5</vt:i4>
      </vt:variant>
      <vt:variant>
        <vt:lpwstr>http://www.nevo.co.il/law/74345/21.a</vt:lpwstr>
      </vt:variant>
      <vt:variant>
        <vt:lpwstr/>
      </vt:variant>
      <vt:variant>
        <vt:i4>3932278</vt:i4>
      </vt:variant>
      <vt:variant>
        <vt:i4>189</vt:i4>
      </vt:variant>
      <vt:variant>
        <vt:i4>0</vt:i4>
      </vt:variant>
      <vt:variant>
        <vt:i4>5</vt:i4>
      </vt:variant>
      <vt:variant>
        <vt:lpwstr>http://www.nevo.co.il/case/5603871</vt:lpwstr>
      </vt:variant>
      <vt:variant>
        <vt:lpwstr/>
      </vt:variant>
      <vt:variant>
        <vt:i4>3932272</vt:i4>
      </vt:variant>
      <vt:variant>
        <vt:i4>186</vt:i4>
      </vt:variant>
      <vt:variant>
        <vt:i4>0</vt:i4>
      </vt:variant>
      <vt:variant>
        <vt:i4>5</vt:i4>
      </vt:variant>
      <vt:variant>
        <vt:lpwstr>http://www.nevo.co.il/case/25289958</vt:lpwstr>
      </vt:variant>
      <vt:variant>
        <vt:lpwstr/>
      </vt:variant>
      <vt:variant>
        <vt:i4>7995492</vt:i4>
      </vt:variant>
      <vt:variant>
        <vt:i4>183</vt:i4>
      </vt:variant>
      <vt:variant>
        <vt:i4>0</vt:i4>
      </vt:variant>
      <vt:variant>
        <vt:i4>5</vt:i4>
      </vt:variant>
      <vt:variant>
        <vt:lpwstr>http://www.nevo.co.il/law/74345</vt:lpwstr>
      </vt:variant>
      <vt:variant>
        <vt:lpwstr/>
      </vt:variant>
      <vt:variant>
        <vt:i4>7995492</vt:i4>
      </vt:variant>
      <vt:variant>
        <vt:i4>180</vt:i4>
      </vt:variant>
      <vt:variant>
        <vt:i4>0</vt:i4>
      </vt:variant>
      <vt:variant>
        <vt:i4>5</vt:i4>
      </vt:variant>
      <vt:variant>
        <vt:lpwstr>http://www.nevo.co.il/law/74345</vt:lpwstr>
      </vt:variant>
      <vt:variant>
        <vt:lpwstr/>
      </vt:variant>
      <vt:variant>
        <vt:i4>6553699</vt:i4>
      </vt:variant>
      <vt:variant>
        <vt:i4>177</vt:i4>
      </vt:variant>
      <vt:variant>
        <vt:i4>0</vt:i4>
      </vt:variant>
      <vt:variant>
        <vt:i4>5</vt:i4>
      </vt:variant>
      <vt:variant>
        <vt:lpwstr>http://www.nevo.co.il/law/74345/21</vt:lpwstr>
      </vt:variant>
      <vt:variant>
        <vt:lpwstr/>
      </vt:variant>
      <vt:variant>
        <vt:i4>7995492</vt:i4>
      </vt:variant>
      <vt:variant>
        <vt:i4>174</vt:i4>
      </vt:variant>
      <vt:variant>
        <vt:i4>0</vt:i4>
      </vt:variant>
      <vt:variant>
        <vt:i4>5</vt:i4>
      </vt:variant>
      <vt:variant>
        <vt:lpwstr>http://www.nevo.co.il/law/74345</vt:lpwstr>
      </vt:variant>
      <vt:variant>
        <vt:lpwstr/>
      </vt:variant>
      <vt:variant>
        <vt:i4>3866750</vt:i4>
      </vt:variant>
      <vt:variant>
        <vt:i4>171</vt:i4>
      </vt:variant>
      <vt:variant>
        <vt:i4>0</vt:i4>
      </vt:variant>
      <vt:variant>
        <vt:i4>5</vt:i4>
      </vt:variant>
      <vt:variant>
        <vt:lpwstr>http://www.nevo.co.il/case/24966863</vt:lpwstr>
      </vt:variant>
      <vt:variant>
        <vt:lpwstr/>
      </vt:variant>
      <vt:variant>
        <vt:i4>3735670</vt:i4>
      </vt:variant>
      <vt:variant>
        <vt:i4>168</vt:i4>
      </vt:variant>
      <vt:variant>
        <vt:i4>0</vt:i4>
      </vt:variant>
      <vt:variant>
        <vt:i4>5</vt:i4>
      </vt:variant>
      <vt:variant>
        <vt:lpwstr>http://www.nevo.co.il/case/17948199</vt:lpwstr>
      </vt:variant>
      <vt:variant>
        <vt:lpwstr/>
      </vt:variant>
      <vt:variant>
        <vt:i4>3604592</vt:i4>
      </vt:variant>
      <vt:variant>
        <vt:i4>165</vt:i4>
      </vt:variant>
      <vt:variant>
        <vt:i4>0</vt:i4>
      </vt:variant>
      <vt:variant>
        <vt:i4>5</vt:i4>
      </vt:variant>
      <vt:variant>
        <vt:lpwstr>http://www.nevo.co.il/case/5571500</vt:lpwstr>
      </vt:variant>
      <vt:variant>
        <vt:lpwstr/>
      </vt:variant>
      <vt:variant>
        <vt:i4>7995492</vt:i4>
      </vt:variant>
      <vt:variant>
        <vt:i4>162</vt:i4>
      </vt:variant>
      <vt:variant>
        <vt:i4>0</vt:i4>
      </vt:variant>
      <vt:variant>
        <vt:i4>5</vt:i4>
      </vt:variant>
      <vt:variant>
        <vt:lpwstr>http://www.nevo.co.il/law/74345</vt:lpwstr>
      </vt:variant>
      <vt:variant>
        <vt:lpwstr/>
      </vt:variant>
      <vt:variant>
        <vt:i4>6553699</vt:i4>
      </vt:variant>
      <vt:variant>
        <vt:i4>159</vt:i4>
      </vt:variant>
      <vt:variant>
        <vt:i4>0</vt:i4>
      </vt:variant>
      <vt:variant>
        <vt:i4>5</vt:i4>
      </vt:variant>
      <vt:variant>
        <vt:lpwstr>http://www.nevo.co.il/law/74345/21</vt:lpwstr>
      </vt:variant>
      <vt:variant>
        <vt:lpwstr/>
      </vt:variant>
      <vt:variant>
        <vt:i4>3801206</vt:i4>
      </vt:variant>
      <vt:variant>
        <vt:i4>156</vt:i4>
      </vt:variant>
      <vt:variant>
        <vt:i4>0</vt:i4>
      </vt:variant>
      <vt:variant>
        <vt:i4>5</vt:i4>
      </vt:variant>
      <vt:variant>
        <vt:lpwstr>http://www.nevo.co.il/case/22928295</vt:lpwstr>
      </vt:variant>
      <vt:variant>
        <vt:lpwstr/>
      </vt:variant>
      <vt:variant>
        <vt:i4>3801211</vt:i4>
      </vt:variant>
      <vt:variant>
        <vt:i4>153</vt:i4>
      </vt:variant>
      <vt:variant>
        <vt:i4>0</vt:i4>
      </vt:variant>
      <vt:variant>
        <vt:i4>5</vt:i4>
      </vt:variant>
      <vt:variant>
        <vt:lpwstr>http://www.nevo.co.il/case/20588755</vt:lpwstr>
      </vt:variant>
      <vt:variant>
        <vt:lpwstr/>
      </vt:variant>
      <vt:variant>
        <vt:i4>3604598</vt:i4>
      </vt:variant>
      <vt:variant>
        <vt:i4>150</vt:i4>
      </vt:variant>
      <vt:variant>
        <vt:i4>0</vt:i4>
      </vt:variant>
      <vt:variant>
        <vt:i4>5</vt:i4>
      </vt:variant>
      <vt:variant>
        <vt:lpwstr>http://www.nevo.co.il/case/21015204</vt:lpwstr>
      </vt:variant>
      <vt:variant>
        <vt:lpwstr/>
      </vt:variant>
      <vt:variant>
        <vt:i4>3276916</vt:i4>
      </vt:variant>
      <vt:variant>
        <vt:i4>147</vt:i4>
      </vt:variant>
      <vt:variant>
        <vt:i4>0</vt:i4>
      </vt:variant>
      <vt:variant>
        <vt:i4>5</vt:i4>
      </vt:variant>
      <vt:variant>
        <vt:lpwstr>http://www.nevo.co.il/case/23129183</vt:lpwstr>
      </vt:variant>
      <vt:variant>
        <vt:lpwstr/>
      </vt:variant>
      <vt:variant>
        <vt:i4>3276913</vt:i4>
      </vt:variant>
      <vt:variant>
        <vt:i4>144</vt:i4>
      </vt:variant>
      <vt:variant>
        <vt:i4>0</vt:i4>
      </vt:variant>
      <vt:variant>
        <vt:i4>5</vt:i4>
      </vt:variant>
      <vt:variant>
        <vt:lpwstr>http://www.nevo.co.il/case/23226444</vt:lpwstr>
      </vt:variant>
      <vt:variant>
        <vt:lpwstr/>
      </vt:variant>
      <vt:variant>
        <vt:i4>3342457</vt:i4>
      </vt:variant>
      <vt:variant>
        <vt:i4>141</vt:i4>
      </vt:variant>
      <vt:variant>
        <vt:i4>0</vt:i4>
      </vt:variant>
      <vt:variant>
        <vt:i4>5</vt:i4>
      </vt:variant>
      <vt:variant>
        <vt:lpwstr>http://www.nevo.co.il/case/5826430</vt:lpwstr>
      </vt:variant>
      <vt:variant>
        <vt:lpwstr/>
      </vt:variant>
      <vt:variant>
        <vt:i4>5570641</vt:i4>
      </vt:variant>
      <vt:variant>
        <vt:i4>138</vt:i4>
      </vt:variant>
      <vt:variant>
        <vt:i4>0</vt:i4>
      </vt:variant>
      <vt:variant>
        <vt:i4>5</vt:i4>
      </vt:variant>
      <vt:variant>
        <vt:lpwstr>http://www.nevo.co.il/law/74345/3</vt:lpwstr>
      </vt:variant>
      <vt:variant>
        <vt:lpwstr/>
      </vt:variant>
      <vt:variant>
        <vt:i4>7995492</vt:i4>
      </vt:variant>
      <vt:variant>
        <vt:i4>135</vt:i4>
      </vt:variant>
      <vt:variant>
        <vt:i4>0</vt:i4>
      </vt:variant>
      <vt:variant>
        <vt:i4>5</vt:i4>
      </vt:variant>
      <vt:variant>
        <vt:lpwstr>http://www.nevo.co.il/law/74345</vt:lpwstr>
      </vt:variant>
      <vt:variant>
        <vt:lpwstr/>
      </vt:variant>
      <vt:variant>
        <vt:i4>327757</vt:i4>
      </vt:variant>
      <vt:variant>
        <vt:i4>132</vt:i4>
      </vt:variant>
      <vt:variant>
        <vt:i4>0</vt:i4>
      </vt:variant>
      <vt:variant>
        <vt:i4>5</vt:i4>
      </vt:variant>
      <vt:variant>
        <vt:lpwstr>http://www.nevo.co.il/law/74345/21.a</vt:lpwstr>
      </vt:variant>
      <vt:variant>
        <vt:lpwstr/>
      </vt:variant>
      <vt:variant>
        <vt:i4>3342451</vt:i4>
      </vt:variant>
      <vt:variant>
        <vt:i4>129</vt:i4>
      </vt:variant>
      <vt:variant>
        <vt:i4>0</vt:i4>
      </vt:variant>
      <vt:variant>
        <vt:i4>5</vt:i4>
      </vt:variant>
      <vt:variant>
        <vt:lpwstr>http://www.nevo.co.il/case/18090623</vt:lpwstr>
      </vt:variant>
      <vt:variant>
        <vt:lpwstr/>
      </vt:variant>
      <vt:variant>
        <vt:i4>4849667</vt:i4>
      </vt:variant>
      <vt:variant>
        <vt:i4>126</vt:i4>
      </vt:variant>
      <vt:variant>
        <vt:i4>0</vt:i4>
      </vt:variant>
      <vt:variant>
        <vt:i4>5</vt:i4>
      </vt:variant>
      <vt:variant>
        <vt:lpwstr>http://www.nevo.co.il/law/70301/51c.c</vt:lpwstr>
      </vt:variant>
      <vt:variant>
        <vt:lpwstr/>
      </vt:variant>
      <vt:variant>
        <vt:i4>3145854</vt:i4>
      </vt:variant>
      <vt:variant>
        <vt:i4>123</vt:i4>
      </vt:variant>
      <vt:variant>
        <vt:i4>0</vt:i4>
      </vt:variant>
      <vt:variant>
        <vt:i4>5</vt:i4>
      </vt:variant>
      <vt:variant>
        <vt:lpwstr>http://www.nevo.co.il/case/5715084</vt:lpwstr>
      </vt:variant>
      <vt:variant>
        <vt:lpwstr/>
      </vt:variant>
      <vt:variant>
        <vt:i4>589898</vt:i4>
      </vt:variant>
      <vt:variant>
        <vt:i4>120</vt:i4>
      </vt:variant>
      <vt:variant>
        <vt:i4>0</vt:i4>
      </vt:variant>
      <vt:variant>
        <vt:i4>5</vt:i4>
      </vt:variant>
      <vt:variant>
        <vt:lpwstr>http://www.nevo.co.il/case/161892</vt:lpwstr>
      </vt:variant>
      <vt:variant>
        <vt:lpwstr/>
      </vt:variant>
      <vt:variant>
        <vt:i4>4063348</vt:i4>
      </vt:variant>
      <vt:variant>
        <vt:i4>117</vt:i4>
      </vt:variant>
      <vt:variant>
        <vt:i4>0</vt:i4>
      </vt:variant>
      <vt:variant>
        <vt:i4>5</vt:i4>
      </vt:variant>
      <vt:variant>
        <vt:lpwstr>http://www.nevo.co.il/case/5784437</vt:lpwstr>
      </vt:variant>
      <vt:variant>
        <vt:lpwstr/>
      </vt:variant>
      <vt:variant>
        <vt:i4>7995492</vt:i4>
      </vt:variant>
      <vt:variant>
        <vt:i4>114</vt:i4>
      </vt:variant>
      <vt:variant>
        <vt:i4>0</vt:i4>
      </vt:variant>
      <vt:variant>
        <vt:i4>5</vt:i4>
      </vt:variant>
      <vt:variant>
        <vt:lpwstr>http://www.nevo.co.il/law/74345</vt:lpwstr>
      </vt:variant>
      <vt:variant>
        <vt:lpwstr/>
      </vt:variant>
      <vt:variant>
        <vt:i4>3932272</vt:i4>
      </vt:variant>
      <vt:variant>
        <vt:i4>111</vt:i4>
      </vt:variant>
      <vt:variant>
        <vt:i4>0</vt:i4>
      </vt:variant>
      <vt:variant>
        <vt:i4>5</vt:i4>
      </vt:variant>
      <vt:variant>
        <vt:lpwstr>http://www.nevo.co.il/case/5585849</vt:lpwstr>
      </vt:variant>
      <vt:variant>
        <vt:lpwstr/>
      </vt:variant>
      <vt:variant>
        <vt:i4>7995492</vt:i4>
      </vt:variant>
      <vt:variant>
        <vt:i4>108</vt:i4>
      </vt:variant>
      <vt:variant>
        <vt:i4>0</vt:i4>
      </vt:variant>
      <vt:variant>
        <vt:i4>5</vt:i4>
      </vt:variant>
      <vt:variant>
        <vt:lpwstr>http://www.nevo.co.il/law/74345</vt:lpwstr>
      </vt:variant>
      <vt:variant>
        <vt:lpwstr/>
      </vt:variant>
      <vt:variant>
        <vt:i4>6553699</vt:i4>
      </vt:variant>
      <vt:variant>
        <vt:i4>105</vt:i4>
      </vt:variant>
      <vt:variant>
        <vt:i4>0</vt:i4>
      </vt:variant>
      <vt:variant>
        <vt:i4>5</vt:i4>
      </vt:variant>
      <vt:variant>
        <vt:lpwstr>http://www.nevo.co.il/law/74345/21</vt:lpwstr>
      </vt:variant>
      <vt:variant>
        <vt:lpwstr/>
      </vt:variant>
      <vt:variant>
        <vt:i4>7995492</vt:i4>
      </vt:variant>
      <vt:variant>
        <vt:i4>102</vt:i4>
      </vt:variant>
      <vt:variant>
        <vt:i4>0</vt:i4>
      </vt:variant>
      <vt:variant>
        <vt:i4>5</vt:i4>
      </vt:variant>
      <vt:variant>
        <vt:lpwstr>http://www.nevo.co.il/law/74345</vt:lpwstr>
      </vt:variant>
      <vt:variant>
        <vt:lpwstr/>
      </vt:variant>
      <vt:variant>
        <vt:i4>7995492</vt:i4>
      </vt:variant>
      <vt:variant>
        <vt:i4>99</vt:i4>
      </vt:variant>
      <vt:variant>
        <vt:i4>0</vt:i4>
      </vt:variant>
      <vt:variant>
        <vt:i4>5</vt:i4>
      </vt:variant>
      <vt:variant>
        <vt:lpwstr>http://www.nevo.co.il/law/74345</vt:lpwstr>
      </vt:variant>
      <vt:variant>
        <vt:lpwstr/>
      </vt:variant>
      <vt:variant>
        <vt:i4>7995492</vt:i4>
      </vt:variant>
      <vt:variant>
        <vt:i4>96</vt:i4>
      </vt:variant>
      <vt:variant>
        <vt:i4>0</vt:i4>
      </vt:variant>
      <vt:variant>
        <vt:i4>5</vt:i4>
      </vt:variant>
      <vt:variant>
        <vt:lpwstr>http://www.nevo.co.il/law/74345</vt:lpwstr>
      </vt:variant>
      <vt:variant>
        <vt:lpwstr/>
      </vt:variant>
      <vt:variant>
        <vt:i4>2162784</vt:i4>
      </vt:variant>
      <vt:variant>
        <vt:i4>93</vt:i4>
      </vt:variant>
      <vt:variant>
        <vt:i4>0</vt:i4>
      </vt:variant>
      <vt:variant>
        <vt:i4>5</vt:i4>
      </vt:variant>
      <vt:variant>
        <vt:lpwstr>http://www.nevo.co.il/law/74345/1T5</vt:lpwstr>
      </vt:variant>
      <vt:variant>
        <vt:lpwstr/>
      </vt:variant>
      <vt:variant>
        <vt:i4>852041</vt:i4>
      </vt:variant>
      <vt:variant>
        <vt:i4>90</vt:i4>
      </vt:variant>
      <vt:variant>
        <vt:i4>0</vt:i4>
      </vt:variant>
      <vt:variant>
        <vt:i4>5</vt:i4>
      </vt:variant>
      <vt:variant>
        <vt:lpwstr>http://www.nevo.co.il/law/70301/29.a</vt:lpwstr>
      </vt:variant>
      <vt:variant>
        <vt:lpwstr/>
      </vt:variant>
      <vt:variant>
        <vt:i4>7995492</vt:i4>
      </vt:variant>
      <vt:variant>
        <vt:i4>87</vt:i4>
      </vt:variant>
      <vt:variant>
        <vt:i4>0</vt:i4>
      </vt:variant>
      <vt:variant>
        <vt:i4>5</vt:i4>
      </vt:variant>
      <vt:variant>
        <vt:lpwstr>http://www.nevo.co.il/law/74345</vt:lpwstr>
      </vt:variant>
      <vt:variant>
        <vt:lpwstr/>
      </vt:variant>
      <vt:variant>
        <vt:i4>5570641</vt:i4>
      </vt:variant>
      <vt:variant>
        <vt:i4>84</vt:i4>
      </vt:variant>
      <vt:variant>
        <vt:i4>0</vt:i4>
      </vt:variant>
      <vt:variant>
        <vt:i4>5</vt:i4>
      </vt:variant>
      <vt:variant>
        <vt:lpwstr>http://www.nevo.co.il/law/74345/4</vt:lpwstr>
      </vt:variant>
      <vt:variant>
        <vt:lpwstr/>
      </vt:variant>
      <vt:variant>
        <vt:i4>7077945</vt:i4>
      </vt:variant>
      <vt:variant>
        <vt:i4>81</vt:i4>
      </vt:variant>
      <vt:variant>
        <vt:i4>0</vt:i4>
      </vt:variant>
      <vt:variant>
        <vt:i4>5</vt:i4>
      </vt:variant>
      <vt:variant>
        <vt:lpwstr>http://www.nevo.co.il/law/70301/499.a.2</vt:lpwstr>
      </vt:variant>
      <vt:variant>
        <vt:lpwstr/>
      </vt:variant>
      <vt:variant>
        <vt:i4>852041</vt:i4>
      </vt:variant>
      <vt:variant>
        <vt:i4>78</vt:i4>
      </vt:variant>
      <vt:variant>
        <vt:i4>0</vt:i4>
      </vt:variant>
      <vt:variant>
        <vt:i4>5</vt:i4>
      </vt:variant>
      <vt:variant>
        <vt:lpwstr>http://www.nevo.co.il/law/70301/29.a</vt:lpwstr>
      </vt:variant>
      <vt:variant>
        <vt:lpwstr/>
      </vt:variant>
      <vt:variant>
        <vt:i4>6750311</vt:i4>
      </vt:variant>
      <vt:variant>
        <vt:i4>75</vt:i4>
      </vt:variant>
      <vt:variant>
        <vt:i4>0</vt:i4>
      </vt:variant>
      <vt:variant>
        <vt:i4>5</vt:i4>
      </vt:variant>
      <vt:variant>
        <vt:lpwstr>http://www.nevo.co.il/law/70301/228</vt:lpwstr>
      </vt:variant>
      <vt:variant>
        <vt:lpwstr/>
      </vt:variant>
      <vt:variant>
        <vt:i4>7995492</vt:i4>
      </vt:variant>
      <vt:variant>
        <vt:i4>72</vt:i4>
      </vt:variant>
      <vt:variant>
        <vt:i4>0</vt:i4>
      </vt:variant>
      <vt:variant>
        <vt:i4>5</vt:i4>
      </vt:variant>
      <vt:variant>
        <vt:lpwstr>http://www.nevo.co.il/law/70301</vt:lpwstr>
      </vt:variant>
      <vt:variant>
        <vt:lpwstr/>
      </vt:variant>
      <vt:variant>
        <vt:i4>852041</vt:i4>
      </vt:variant>
      <vt:variant>
        <vt:i4>69</vt:i4>
      </vt:variant>
      <vt:variant>
        <vt:i4>0</vt:i4>
      </vt:variant>
      <vt:variant>
        <vt:i4>5</vt:i4>
      </vt:variant>
      <vt:variant>
        <vt:lpwstr>http://www.nevo.co.il/law/70301/29.a</vt:lpwstr>
      </vt:variant>
      <vt:variant>
        <vt:lpwstr/>
      </vt:variant>
      <vt:variant>
        <vt:i4>6750311</vt:i4>
      </vt:variant>
      <vt:variant>
        <vt:i4>66</vt:i4>
      </vt:variant>
      <vt:variant>
        <vt:i4>0</vt:i4>
      </vt:variant>
      <vt:variant>
        <vt:i4>5</vt:i4>
      </vt:variant>
      <vt:variant>
        <vt:lpwstr>http://www.nevo.co.il/law/70301/225</vt:lpwstr>
      </vt:variant>
      <vt:variant>
        <vt:lpwstr/>
      </vt:variant>
      <vt:variant>
        <vt:i4>7995492</vt:i4>
      </vt:variant>
      <vt:variant>
        <vt:i4>63</vt:i4>
      </vt:variant>
      <vt:variant>
        <vt:i4>0</vt:i4>
      </vt:variant>
      <vt:variant>
        <vt:i4>5</vt:i4>
      </vt:variant>
      <vt:variant>
        <vt:lpwstr>http://www.nevo.co.il/law/74345</vt:lpwstr>
      </vt:variant>
      <vt:variant>
        <vt:lpwstr/>
      </vt:variant>
      <vt:variant>
        <vt:i4>6553699</vt:i4>
      </vt:variant>
      <vt:variant>
        <vt:i4>60</vt:i4>
      </vt:variant>
      <vt:variant>
        <vt:i4>0</vt:i4>
      </vt:variant>
      <vt:variant>
        <vt:i4>5</vt:i4>
      </vt:variant>
      <vt:variant>
        <vt:lpwstr>http://www.nevo.co.il/law/74345/21</vt:lpwstr>
      </vt:variant>
      <vt:variant>
        <vt:lpwstr/>
      </vt:variant>
      <vt:variant>
        <vt:i4>7995492</vt:i4>
      </vt:variant>
      <vt:variant>
        <vt:i4>57</vt:i4>
      </vt:variant>
      <vt:variant>
        <vt:i4>0</vt:i4>
      </vt:variant>
      <vt:variant>
        <vt:i4>5</vt:i4>
      </vt:variant>
      <vt:variant>
        <vt:lpwstr>http://www.nevo.co.il/law/74345</vt:lpwstr>
      </vt:variant>
      <vt:variant>
        <vt:lpwstr/>
      </vt:variant>
      <vt:variant>
        <vt:i4>327757</vt:i4>
      </vt:variant>
      <vt:variant>
        <vt:i4>54</vt:i4>
      </vt:variant>
      <vt:variant>
        <vt:i4>0</vt:i4>
      </vt:variant>
      <vt:variant>
        <vt:i4>5</vt:i4>
      </vt:variant>
      <vt:variant>
        <vt:lpwstr>http://www.nevo.co.il/law/74345/21.a</vt:lpwstr>
      </vt:variant>
      <vt:variant>
        <vt:lpwstr/>
      </vt:variant>
      <vt:variant>
        <vt:i4>5177426</vt:i4>
      </vt:variant>
      <vt:variant>
        <vt:i4>51</vt:i4>
      </vt:variant>
      <vt:variant>
        <vt:i4>0</vt:i4>
      </vt:variant>
      <vt:variant>
        <vt:i4>5</vt:i4>
      </vt:variant>
      <vt:variant>
        <vt:lpwstr>http://www.nevo.co.il/law/4216/36c.a</vt:lpwstr>
      </vt:variant>
      <vt:variant>
        <vt:lpwstr/>
      </vt:variant>
      <vt:variant>
        <vt:i4>8257637</vt:i4>
      </vt:variant>
      <vt:variant>
        <vt:i4>48</vt:i4>
      </vt:variant>
      <vt:variant>
        <vt:i4>0</vt:i4>
      </vt:variant>
      <vt:variant>
        <vt:i4>5</vt:i4>
      </vt:variant>
      <vt:variant>
        <vt:lpwstr>http://www.nevo.co.il/law/4216</vt:lpwstr>
      </vt:variant>
      <vt:variant>
        <vt:lpwstr/>
      </vt:variant>
      <vt:variant>
        <vt:i4>2162784</vt:i4>
      </vt:variant>
      <vt:variant>
        <vt:i4>45</vt:i4>
      </vt:variant>
      <vt:variant>
        <vt:i4>0</vt:i4>
      </vt:variant>
      <vt:variant>
        <vt:i4>5</vt:i4>
      </vt:variant>
      <vt:variant>
        <vt:lpwstr>http://www.nevo.co.il/law/74345/1T5</vt:lpwstr>
      </vt:variant>
      <vt:variant>
        <vt:lpwstr/>
      </vt:variant>
      <vt:variant>
        <vt:i4>6684771</vt:i4>
      </vt:variant>
      <vt:variant>
        <vt:i4>42</vt:i4>
      </vt:variant>
      <vt:variant>
        <vt:i4>0</vt:i4>
      </vt:variant>
      <vt:variant>
        <vt:i4>5</vt:i4>
      </vt:variant>
      <vt:variant>
        <vt:lpwstr>http://www.nevo.co.il/law/74345/23</vt:lpwstr>
      </vt:variant>
      <vt:variant>
        <vt:lpwstr/>
      </vt:variant>
      <vt:variant>
        <vt:i4>327757</vt:i4>
      </vt:variant>
      <vt:variant>
        <vt:i4>39</vt:i4>
      </vt:variant>
      <vt:variant>
        <vt:i4>0</vt:i4>
      </vt:variant>
      <vt:variant>
        <vt:i4>5</vt:i4>
      </vt:variant>
      <vt:variant>
        <vt:lpwstr>http://www.nevo.co.il/law/74345/21.a</vt:lpwstr>
      </vt:variant>
      <vt:variant>
        <vt:lpwstr/>
      </vt:variant>
      <vt:variant>
        <vt:i4>6553699</vt:i4>
      </vt:variant>
      <vt:variant>
        <vt:i4>36</vt:i4>
      </vt:variant>
      <vt:variant>
        <vt:i4>0</vt:i4>
      </vt:variant>
      <vt:variant>
        <vt:i4>5</vt:i4>
      </vt:variant>
      <vt:variant>
        <vt:lpwstr>http://www.nevo.co.il/law/74345/21</vt:lpwstr>
      </vt:variant>
      <vt:variant>
        <vt:lpwstr/>
      </vt:variant>
      <vt:variant>
        <vt:i4>5570641</vt:i4>
      </vt:variant>
      <vt:variant>
        <vt:i4>33</vt:i4>
      </vt:variant>
      <vt:variant>
        <vt:i4>0</vt:i4>
      </vt:variant>
      <vt:variant>
        <vt:i4>5</vt:i4>
      </vt:variant>
      <vt:variant>
        <vt:lpwstr>http://www.nevo.co.il/law/74345/4</vt:lpwstr>
      </vt:variant>
      <vt:variant>
        <vt:lpwstr/>
      </vt:variant>
      <vt:variant>
        <vt:i4>5570641</vt:i4>
      </vt:variant>
      <vt:variant>
        <vt:i4>30</vt:i4>
      </vt:variant>
      <vt:variant>
        <vt:i4>0</vt:i4>
      </vt:variant>
      <vt:variant>
        <vt:i4>5</vt:i4>
      </vt:variant>
      <vt:variant>
        <vt:lpwstr>http://www.nevo.co.il/law/74345/3</vt:lpwstr>
      </vt:variant>
      <vt:variant>
        <vt:lpwstr/>
      </vt:variant>
      <vt:variant>
        <vt:i4>7995492</vt:i4>
      </vt:variant>
      <vt:variant>
        <vt:i4>27</vt:i4>
      </vt:variant>
      <vt:variant>
        <vt:i4>0</vt:i4>
      </vt:variant>
      <vt:variant>
        <vt:i4>5</vt:i4>
      </vt:variant>
      <vt:variant>
        <vt:lpwstr>http://www.nevo.co.il/law/74345</vt:lpwstr>
      </vt:variant>
      <vt:variant>
        <vt:lpwstr/>
      </vt:variant>
      <vt:variant>
        <vt:i4>262156</vt:i4>
      </vt:variant>
      <vt:variant>
        <vt:i4>24</vt:i4>
      </vt:variant>
      <vt:variant>
        <vt:i4>0</vt:i4>
      </vt:variant>
      <vt:variant>
        <vt:i4>5</vt:i4>
      </vt:variant>
      <vt:variant>
        <vt:lpwstr>http://www.nevo.co.il/law/70301/hC12S</vt:lpwstr>
      </vt:variant>
      <vt:variant>
        <vt:lpwstr/>
      </vt:variant>
      <vt:variant>
        <vt:i4>7077945</vt:i4>
      </vt:variant>
      <vt:variant>
        <vt:i4>21</vt:i4>
      </vt:variant>
      <vt:variant>
        <vt:i4>0</vt:i4>
      </vt:variant>
      <vt:variant>
        <vt:i4>5</vt:i4>
      </vt:variant>
      <vt:variant>
        <vt:lpwstr>http://www.nevo.co.il/law/70301/499.a.2</vt:lpwstr>
      </vt:variant>
      <vt:variant>
        <vt:lpwstr/>
      </vt:variant>
      <vt:variant>
        <vt:i4>6750311</vt:i4>
      </vt:variant>
      <vt:variant>
        <vt:i4>18</vt:i4>
      </vt:variant>
      <vt:variant>
        <vt:i4>0</vt:i4>
      </vt:variant>
      <vt:variant>
        <vt:i4>5</vt:i4>
      </vt:variant>
      <vt:variant>
        <vt:lpwstr>http://www.nevo.co.il/law/70301/228</vt:lpwstr>
      </vt:variant>
      <vt:variant>
        <vt:lpwstr/>
      </vt:variant>
      <vt:variant>
        <vt:i4>6750311</vt:i4>
      </vt:variant>
      <vt:variant>
        <vt:i4>15</vt:i4>
      </vt:variant>
      <vt:variant>
        <vt:i4>0</vt:i4>
      </vt:variant>
      <vt:variant>
        <vt:i4>5</vt:i4>
      </vt:variant>
      <vt:variant>
        <vt:lpwstr>http://www.nevo.co.il/law/70301/226</vt:lpwstr>
      </vt:variant>
      <vt:variant>
        <vt:lpwstr/>
      </vt:variant>
      <vt:variant>
        <vt:i4>6750311</vt:i4>
      </vt:variant>
      <vt:variant>
        <vt:i4>12</vt:i4>
      </vt:variant>
      <vt:variant>
        <vt:i4>0</vt:i4>
      </vt:variant>
      <vt:variant>
        <vt:i4>5</vt:i4>
      </vt:variant>
      <vt:variant>
        <vt:lpwstr>http://www.nevo.co.il/law/70301/225</vt:lpwstr>
      </vt:variant>
      <vt:variant>
        <vt:lpwstr/>
      </vt:variant>
      <vt:variant>
        <vt:i4>4849670</vt:i4>
      </vt:variant>
      <vt:variant>
        <vt:i4>9</vt:i4>
      </vt:variant>
      <vt:variant>
        <vt:i4>0</vt:i4>
      </vt:variant>
      <vt:variant>
        <vt:i4>5</vt:i4>
      </vt:variant>
      <vt:variant>
        <vt:lpwstr>http://www.nevo.co.il/law/70301/51f.b</vt:lpwstr>
      </vt:variant>
      <vt:variant>
        <vt:lpwstr/>
      </vt:variant>
      <vt:variant>
        <vt:i4>4849667</vt:i4>
      </vt:variant>
      <vt:variant>
        <vt:i4>6</vt:i4>
      </vt:variant>
      <vt:variant>
        <vt:i4>0</vt:i4>
      </vt:variant>
      <vt:variant>
        <vt:i4>5</vt:i4>
      </vt:variant>
      <vt:variant>
        <vt:lpwstr>http://www.nevo.co.il/law/70301/51c.c</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2025-04-22T23:36:00Z</dcterms:created>
  <dcterms:modified xsi:type="dcterms:W3CDTF">2025-04-22T23:36:00Z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44871</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חנניה ביטון</vt:lpwstr>
  </property>
  <property fmtid="{D5CDD505-2E9C-101B-9397-08002B2CF9AE}" pid="10" name="LAWYER">
    <vt:lpwstr>נעמה ניר;ציון סהראי ;ניר לזר</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20200301</vt:lpwstr>
  </property>
  <property fmtid="{D5CDD505-2E9C-101B-9397-08002B2CF9AE}" pid="14" name="TYPE_N_DATE">
    <vt:lpwstr>38020200301</vt:lpwstr>
  </property>
  <property fmtid="{D5CDD505-2E9C-101B-9397-08002B2CF9AE}" pid="15" name="WORDNUMPAGES">
    <vt:lpwstr>27</vt:lpwstr>
  </property>
  <property fmtid="{D5CDD505-2E9C-101B-9397-08002B2CF9AE}" pid="16" name="TYPE_ABS_DATE">
    <vt:lpwstr>380120200301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5585849;5784437;161892;5715084;18090623;5826430;23226444;23129183;21015204;20588755;22928295;5571500;17948199;24966863;25289958;5603871;17947547;5738554;6135299;6130671</vt:lpwstr>
  </property>
  <property fmtid="{D5CDD505-2E9C-101B-9397-08002B2CF9AE}" pid="36" name="LAWLISTTMP1">
    <vt:lpwstr>70301/225;029.a:3;228;499.a.2;051c.c;051f.b;hC12S:2;226:2</vt:lpwstr>
  </property>
  <property fmtid="{D5CDD505-2E9C-101B-9397-08002B2CF9AE}" pid="37" name="LAWLISTTMP2">
    <vt:lpwstr>74345/004;1T5;021:3;021.a:2;003;023</vt:lpwstr>
  </property>
  <property fmtid="{D5CDD505-2E9C-101B-9397-08002B2CF9AE}" pid="38" name="LAWLISTTMP3">
    <vt:lpwstr>4216/036c.a</vt:lpwstr>
  </property>
  <property fmtid="{D5CDD505-2E9C-101B-9397-08002B2CF9AE}" pid="39" name="METAKZER">
    <vt:lpwstr>שירלי</vt:lpwstr>
  </property>
  <property fmtid="{D5CDD505-2E9C-101B-9397-08002B2CF9AE}" pid="40" name="NOSE1ID">
    <vt:lpwstr>18;18;77;77;77</vt:lpwstr>
  </property>
  <property fmtid="{D5CDD505-2E9C-101B-9397-08002B2CF9AE}" pid="41" name="NOSE2ID">
    <vt:lpwstr>461;461;1446;1443;1446</vt:lpwstr>
  </property>
  <property fmtid="{D5CDD505-2E9C-101B-9397-08002B2CF9AE}" pid="42" name="NOSE3ID">
    <vt:lpwstr>3612;3610;8994;8803;8957</vt:lpwstr>
  </property>
  <property fmtid="{D5CDD505-2E9C-101B-9397-08002B2CF9AE}" pid="43" name="NOSE11">
    <vt:lpwstr>דיון פלילי</vt:lpwstr>
  </property>
  <property fmtid="{D5CDD505-2E9C-101B-9397-08002B2CF9AE}" pid="44" name="NOSE21">
    <vt:lpwstr>הסדר טיעון</vt:lpwstr>
  </property>
  <property fmtid="{D5CDD505-2E9C-101B-9397-08002B2CF9AE}" pid="45" name="NOSE31">
    <vt:lpwstr>סטייה ממנו</vt:lpwstr>
  </property>
  <property fmtid="{D5CDD505-2E9C-101B-9397-08002B2CF9AE}" pid="46" name="NOSE12">
    <vt:lpwstr>דיון פלילי</vt:lpwstr>
  </property>
  <property fmtid="{D5CDD505-2E9C-101B-9397-08002B2CF9AE}" pid="47" name="NOSE22">
    <vt:lpwstr>הסדר טיעון</vt:lpwstr>
  </property>
  <property fmtid="{D5CDD505-2E9C-101B-9397-08002B2CF9AE}" pid="48" name="NOSE32">
    <vt:lpwstr>מעורבות בית-המשפט</vt:lpwstr>
  </property>
  <property fmtid="{D5CDD505-2E9C-101B-9397-08002B2CF9AE}" pid="49" name="NOSE13">
    <vt:lpwstr>עונשין</vt:lpwstr>
  </property>
  <property fmtid="{D5CDD505-2E9C-101B-9397-08002B2CF9AE}" pid="50" name="NOSE23">
    <vt:lpwstr>ענישה</vt:lpwstr>
  </property>
  <property fmtid="{D5CDD505-2E9C-101B-9397-08002B2CF9AE}" pid="51" name="NOSE33">
    <vt:lpwstr>מדיניות ענישה: שיקולים</vt:lpwstr>
  </property>
  <property fmtid="{D5CDD505-2E9C-101B-9397-08002B2CF9AE}" pid="52" name="NOSE14">
    <vt:lpwstr>עונשין</vt:lpwstr>
  </property>
  <property fmtid="{D5CDD505-2E9C-101B-9397-08002B2CF9AE}" pid="53" name="NOSE24">
    <vt:lpwstr>עבירות</vt:lpwstr>
  </property>
  <property fmtid="{D5CDD505-2E9C-101B-9397-08002B2CF9AE}" pid="54" name="NOSE34">
    <vt:lpwstr>הלבנת הון</vt:lpwstr>
  </property>
  <property fmtid="{D5CDD505-2E9C-101B-9397-08002B2CF9AE}" pid="55" name="NOSE15">
    <vt:lpwstr>עונשין</vt:lpwstr>
  </property>
  <property fmtid="{D5CDD505-2E9C-101B-9397-08002B2CF9AE}" pid="56" name="NOSE25">
    <vt:lpwstr>ענישה</vt:lpwstr>
  </property>
  <property fmtid="{D5CDD505-2E9C-101B-9397-08002B2CF9AE}" pid="57" name="NOSE35">
    <vt:lpwstr>דרכי ענישה: חילוט</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20200413</vt:lpwstr>
  </property>
</Properties>
</file>