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C47127" w:rsidRPr="00857751" w14:paraId="5D39DF01" w14:textId="77777777" w:rsidTr="00CC19B1">
        <w:trPr>
          <w:trHeight w:hRule="exact" w:val="418"/>
          <w:jc w:val="center"/>
        </w:trPr>
        <w:tc>
          <w:tcPr>
            <w:tcW w:w="8523" w:type="dxa"/>
            <w:gridSpan w:val="2"/>
          </w:tcPr>
          <w:p w14:paraId="27A76E29" w14:textId="77777777" w:rsidR="00C47127" w:rsidRPr="00857751" w:rsidRDefault="00C47127" w:rsidP="00E559F9">
            <w:pPr>
              <w:pStyle w:val="a3"/>
              <w:jc w:val="center"/>
              <w:rPr>
                <w:rFonts w:ascii="Tahoma" w:hAnsi="Tahoma"/>
                <w:color w:val="000080"/>
                <w:sz w:val="32"/>
                <w:szCs w:val="32"/>
                <w:rtl/>
              </w:rPr>
            </w:pPr>
            <w:bookmarkStart w:id="0" w:name="LastJudge"/>
            <w:r w:rsidRPr="00857751">
              <w:rPr>
                <w:rFonts w:ascii="Tahoma" w:hAnsi="Tahoma"/>
                <w:b/>
                <w:bCs/>
                <w:color w:val="000080"/>
                <w:sz w:val="32"/>
                <w:szCs w:val="32"/>
                <w:rtl/>
              </w:rPr>
              <w:t>בית משפט השלום בתל אביב - יפו</w:t>
            </w:r>
          </w:p>
        </w:tc>
      </w:tr>
      <w:tr w:rsidR="00C47127" w:rsidRPr="00857751" w14:paraId="3A030878" w14:textId="77777777" w:rsidTr="00CC19B1">
        <w:trPr>
          <w:trHeight w:val="337"/>
          <w:jc w:val="center"/>
        </w:trPr>
        <w:tc>
          <w:tcPr>
            <w:tcW w:w="4945" w:type="dxa"/>
          </w:tcPr>
          <w:p w14:paraId="102D077A" w14:textId="77777777" w:rsidR="00C47127" w:rsidRPr="00857751" w:rsidRDefault="00C47127" w:rsidP="00E559F9">
            <w:pPr>
              <w:rPr>
                <w:sz w:val="26"/>
                <w:szCs w:val="26"/>
                <w:rtl/>
              </w:rPr>
            </w:pPr>
            <w:r w:rsidRPr="00857751">
              <w:rPr>
                <w:sz w:val="26"/>
                <w:szCs w:val="26"/>
                <w:rtl/>
              </w:rPr>
              <w:t>ת"פ</w:t>
            </w:r>
            <w:r w:rsidRPr="00857751">
              <w:rPr>
                <w:rFonts w:hint="cs"/>
                <w:sz w:val="26"/>
                <w:szCs w:val="26"/>
                <w:rtl/>
              </w:rPr>
              <w:t xml:space="preserve"> </w:t>
            </w:r>
            <w:r w:rsidRPr="00857751">
              <w:rPr>
                <w:sz w:val="26"/>
                <w:szCs w:val="26"/>
                <w:rtl/>
              </w:rPr>
              <w:t>50520-12-17</w:t>
            </w:r>
            <w:r w:rsidRPr="00857751">
              <w:rPr>
                <w:rFonts w:hint="cs"/>
                <w:sz w:val="26"/>
                <w:szCs w:val="26"/>
                <w:rtl/>
              </w:rPr>
              <w:t xml:space="preserve"> </w:t>
            </w:r>
            <w:r w:rsidRPr="00857751">
              <w:rPr>
                <w:b/>
                <w:bCs/>
                <w:sz w:val="26"/>
                <w:szCs w:val="26"/>
                <w:rtl/>
              </w:rPr>
              <w:t>מדינת ישראל נ' סעדה</w:t>
            </w:r>
          </w:p>
        </w:tc>
        <w:tc>
          <w:tcPr>
            <w:tcW w:w="3578" w:type="dxa"/>
          </w:tcPr>
          <w:p w14:paraId="2A848C31" w14:textId="77777777" w:rsidR="00C47127" w:rsidRPr="00857751" w:rsidRDefault="00C47127" w:rsidP="00E559F9">
            <w:pPr>
              <w:pStyle w:val="a3"/>
              <w:jc w:val="right"/>
              <w:rPr>
                <w:rFonts w:cs="FrankRuehl"/>
                <w:sz w:val="28"/>
                <w:szCs w:val="28"/>
                <w:rtl/>
              </w:rPr>
            </w:pPr>
          </w:p>
        </w:tc>
      </w:tr>
    </w:tbl>
    <w:p w14:paraId="2168C72D" w14:textId="77777777" w:rsidR="00C47127" w:rsidRPr="00857751" w:rsidRDefault="00C47127" w:rsidP="00C47127">
      <w:pPr>
        <w:pStyle w:val="a3"/>
        <w:rPr>
          <w:rtl/>
        </w:rPr>
      </w:pPr>
      <w:r w:rsidRPr="00857751">
        <w:rPr>
          <w:rFonts w:hint="cs"/>
          <w:rtl/>
        </w:rPr>
        <w:t xml:space="preserve"> </w:t>
      </w:r>
    </w:p>
    <w:p w14:paraId="4BADCC2F" w14:textId="77777777" w:rsidR="00C47127" w:rsidRPr="00857751" w:rsidRDefault="00C47127" w:rsidP="00C47127">
      <w:pPr>
        <w:spacing w:line="360" w:lineRule="auto"/>
        <w:rPr>
          <w:rtl/>
        </w:rPr>
      </w:pPr>
    </w:p>
    <w:p w14:paraId="657F01CF" w14:textId="77777777" w:rsidR="00C47127" w:rsidRPr="00857751" w:rsidRDefault="00C47127" w:rsidP="00C47127">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2"/>
        <w:gridCol w:w="3326"/>
      </w:tblGrid>
      <w:tr w:rsidR="00C47127" w:rsidRPr="00857751" w14:paraId="682C4C2A" w14:textId="77777777" w:rsidTr="00C47127">
        <w:trPr>
          <w:trHeight w:val="295"/>
          <w:jc w:val="center"/>
        </w:trPr>
        <w:tc>
          <w:tcPr>
            <w:tcW w:w="8820" w:type="dxa"/>
            <w:gridSpan w:val="3"/>
            <w:tcBorders>
              <w:top w:val="nil"/>
              <w:left w:val="nil"/>
              <w:bottom w:val="nil"/>
              <w:right w:val="nil"/>
            </w:tcBorders>
            <w:shd w:val="clear" w:color="auto" w:fill="auto"/>
          </w:tcPr>
          <w:p w14:paraId="54756120" w14:textId="77777777" w:rsidR="00C47127" w:rsidRPr="00857751" w:rsidRDefault="00C47127" w:rsidP="00C47127">
            <w:pPr>
              <w:spacing w:line="360" w:lineRule="auto"/>
              <w:jc w:val="both"/>
              <w:rPr>
                <w:b/>
                <w:bCs/>
                <w:sz w:val="26"/>
                <w:szCs w:val="26"/>
                <w:rtl/>
              </w:rPr>
            </w:pPr>
            <w:r w:rsidRPr="00857751">
              <w:rPr>
                <w:rFonts w:ascii="Arial" w:hAnsi="Arial" w:hint="cs"/>
                <w:b/>
                <w:bCs/>
                <w:sz w:val="26"/>
                <w:szCs w:val="26"/>
                <w:rtl/>
              </w:rPr>
              <w:t>ל</w:t>
            </w:r>
            <w:r w:rsidRPr="00857751">
              <w:rPr>
                <w:rFonts w:ascii="Arial" w:hAnsi="Arial"/>
                <w:b/>
                <w:bCs/>
                <w:sz w:val="26"/>
                <w:szCs w:val="26"/>
                <w:rtl/>
              </w:rPr>
              <w:t xml:space="preserve">פני </w:t>
            </w:r>
            <w:r w:rsidRPr="00857751">
              <w:rPr>
                <w:rFonts w:ascii="Arial" w:hAnsi="Arial" w:hint="cs"/>
                <w:b/>
                <w:bCs/>
                <w:sz w:val="26"/>
                <w:szCs w:val="26"/>
                <w:rtl/>
              </w:rPr>
              <w:t>כבוד ה</w:t>
            </w:r>
            <w:r w:rsidRPr="00857751">
              <w:rPr>
                <w:rFonts w:ascii="Arial" w:hAnsi="Arial"/>
                <w:b/>
                <w:bCs/>
                <w:sz w:val="26"/>
                <w:szCs w:val="26"/>
                <w:rtl/>
              </w:rPr>
              <w:t>שופט</w:t>
            </w:r>
            <w:r w:rsidRPr="00857751">
              <w:rPr>
                <w:rFonts w:ascii="Arial" w:hAnsi="Arial" w:hint="cs"/>
                <w:b/>
                <w:bCs/>
                <w:sz w:val="26"/>
                <w:szCs w:val="26"/>
                <w:rtl/>
              </w:rPr>
              <w:t xml:space="preserve"> </w:t>
            </w:r>
            <w:r w:rsidRPr="00857751">
              <w:rPr>
                <w:rFonts w:ascii="Arial" w:hAnsi="Arial"/>
                <w:b/>
                <w:bCs/>
                <w:sz w:val="26"/>
                <w:szCs w:val="26"/>
                <w:rtl/>
              </w:rPr>
              <w:t>שאול אבינור</w:t>
            </w:r>
          </w:p>
          <w:p w14:paraId="361BFD4A" w14:textId="77777777" w:rsidR="00C47127" w:rsidRPr="00857751" w:rsidRDefault="00C47127" w:rsidP="00C47127">
            <w:pPr>
              <w:spacing w:line="360" w:lineRule="auto"/>
              <w:jc w:val="both"/>
              <w:rPr>
                <w:rFonts w:ascii="Arial" w:hAnsi="Arial"/>
                <w:b/>
                <w:bCs/>
                <w:sz w:val="26"/>
                <w:szCs w:val="26"/>
                <w:rtl/>
              </w:rPr>
            </w:pPr>
          </w:p>
          <w:p w14:paraId="6AD0D29A" w14:textId="77777777" w:rsidR="00C47127" w:rsidRPr="00857751" w:rsidRDefault="00C47127" w:rsidP="00C47127">
            <w:pPr>
              <w:spacing w:line="360" w:lineRule="auto"/>
              <w:jc w:val="both"/>
              <w:rPr>
                <w:rFonts w:ascii="Arial" w:hAnsi="Arial"/>
                <w:b/>
                <w:bCs/>
                <w:sz w:val="26"/>
                <w:szCs w:val="26"/>
              </w:rPr>
            </w:pPr>
          </w:p>
        </w:tc>
      </w:tr>
      <w:tr w:rsidR="00C47127" w:rsidRPr="00857751" w14:paraId="699DA1AF" w14:textId="77777777" w:rsidTr="00C47127">
        <w:trPr>
          <w:trHeight w:val="355"/>
          <w:jc w:val="center"/>
        </w:trPr>
        <w:tc>
          <w:tcPr>
            <w:tcW w:w="885" w:type="dxa"/>
            <w:tcBorders>
              <w:top w:val="nil"/>
              <w:left w:val="nil"/>
              <w:bottom w:val="nil"/>
              <w:right w:val="nil"/>
            </w:tcBorders>
            <w:shd w:val="clear" w:color="auto" w:fill="auto"/>
          </w:tcPr>
          <w:p w14:paraId="0672C898" w14:textId="77777777" w:rsidR="00C47127" w:rsidRPr="00857751" w:rsidRDefault="00C47127" w:rsidP="00C47127">
            <w:pPr>
              <w:spacing w:line="360" w:lineRule="auto"/>
              <w:jc w:val="both"/>
              <w:rPr>
                <w:rFonts w:ascii="Arial" w:hAnsi="Arial"/>
                <w:b/>
                <w:bCs/>
                <w:sz w:val="26"/>
                <w:szCs w:val="26"/>
              </w:rPr>
            </w:pPr>
            <w:bookmarkStart w:id="1" w:name="FirstAppellant"/>
            <w:bookmarkStart w:id="2" w:name="FirstLawyer"/>
            <w:r w:rsidRPr="00857751">
              <w:rPr>
                <w:rFonts w:ascii="Arial" w:hAnsi="Arial" w:hint="cs"/>
                <w:b/>
                <w:bCs/>
                <w:sz w:val="26"/>
                <w:szCs w:val="26"/>
                <w:rtl/>
              </w:rPr>
              <w:t>ה</w:t>
            </w:r>
            <w:r w:rsidRPr="00857751">
              <w:rPr>
                <w:rFonts w:ascii="Arial" w:hAnsi="Arial"/>
                <w:b/>
                <w:bCs/>
                <w:sz w:val="26"/>
                <w:szCs w:val="26"/>
                <w:rtl/>
              </w:rPr>
              <w:t>מאשימה</w:t>
            </w:r>
            <w:r w:rsidRPr="00857751">
              <w:rPr>
                <w:rFonts w:ascii="Arial" w:hAnsi="Arial" w:hint="cs"/>
                <w:b/>
                <w:bCs/>
                <w:sz w:val="26"/>
                <w:szCs w:val="26"/>
                <w:rtl/>
              </w:rPr>
              <w:t>:</w:t>
            </w:r>
          </w:p>
        </w:tc>
        <w:tc>
          <w:tcPr>
            <w:tcW w:w="4384" w:type="dxa"/>
            <w:tcBorders>
              <w:top w:val="nil"/>
              <w:left w:val="nil"/>
              <w:bottom w:val="nil"/>
              <w:right w:val="nil"/>
            </w:tcBorders>
            <w:shd w:val="clear" w:color="auto" w:fill="auto"/>
          </w:tcPr>
          <w:p w14:paraId="7C8620D1" w14:textId="77777777" w:rsidR="00C47127" w:rsidRPr="00857751" w:rsidRDefault="00C47127" w:rsidP="00C47127">
            <w:pPr>
              <w:spacing w:line="360" w:lineRule="auto"/>
              <w:rPr>
                <w:b/>
                <w:bCs/>
                <w:sz w:val="26"/>
                <w:szCs w:val="26"/>
                <w:rtl/>
              </w:rPr>
            </w:pPr>
            <w:r w:rsidRPr="00857751">
              <w:rPr>
                <w:rFonts w:ascii="Arial" w:hAnsi="Arial"/>
                <w:b/>
                <w:bCs/>
                <w:sz w:val="26"/>
                <w:szCs w:val="26"/>
                <w:rtl/>
              </w:rPr>
              <w:t>מדינת ישראל</w:t>
            </w:r>
          </w:p>
          <w:p w14:paraId="40A5FB92" w14:textId="77777777" w:rsidR="00C47127" w:rsidRPr="00857751" w:rsidRDefault="00C47127" w:rsidP="00C47127">
            <w:pPr>
              <w:spacing w:line="360" w:lineRule="auto"/>
              <w:rPr>
                <w:rtl/>
              </w:rPr>
            </w:pPr>
            <w:r w:rsidRPr="00857751">
              <w:rPr>
                <w:rFonts w:hint="cs"/>
                <w:rtl/>
              </w:rPr>
              <w:t>ע"י ב"כ עו"ד אתי זהבי</w:t>
            </w:r>
          </w:p>
          <w:p w14:paraId="3AB0DD71" w14:textId="77777777" w:rsidR="00C47127" w:rsidRPr="00857751" w:rsidRDefault="00C47127" w:rsidP="00C47127">
            <w:pPr>
              <w:spacing w:line="360" w:lineRule="auto"/>
              <w:rPr>
                <w:b/>
                <w:bCs/>
                <w:sz w:val="26"/>
                <w:szCs w:val="26"/>
              </w:rPr>
            </w:pPr>
            <w:r w:rsidRPr="00857751">
              <w:rPr>
                <w:rFonts w:hint="cs"/>
                <w:rtl/>
              </w:rPr>
              <w:t>פרקליטות מחוז תל-אביב (פלילי)</w:t>
            </w:r>
          </w:p>
        </w:tc>
        <w:tc>
          <w:tcPr>
            <w:tcW w:w="3551" w:type="dxa"/>
            <w:tcBorders>
              <w:top w:val="nil"/>
              <w:left w:val="nil"/>
              <w:bottom w:val="nil"/>
              <w:right w:val="nil"/>
            </w:tcBorders>
            <w:shd w:val="clear" w:color="auto" w:fill="auto"/>
          </w:tcPr>
          <w:p w14:paraId="2E2C03E1" w14:textId="77777777" w:rsidR="00C47127" w:rsidRPr="00857751" w:rsidRDefault="00C47127" w:rsidP="00C47127">
            <w:pPr>
              <w:spacing w:line="360" w:lineRule="auto"/>
              <w:jc w:val="both"/>
              <w:rPr>
                <w:rFonts w:ascii="Arial" w:hAnsi="Arial"/>
                <w:b/>
                <w:bCs/>
                <w:sz w:val="26"/>
                <w:szCs w:val="26"/>
              </w:rPr>
            </w:pPr>
          </w:p>
        </w:tc>
      </w:tr>
      <w:bookmarkEnd w:id="1"/>
      <w:bookmarkEnd w:id="2"/>
      <w:tr w:rsidR="00C47127" w:rsidRPr="00857751" w14:paraId="2F42889F" w14:textId="77777777" w:rsidTr="00C47127">
        <w:trPr>
          <w:trHeight w:val="373"/>
          <w:jc w:val="center"/>
        </w:trPr>
        <w:tc>
          <w:tcPr>
            <w:tcW w:w="885" w:type="dxa"/>
            <w:tcBorders>
              <w:top w:val="nil"/>
              <w:left w:val="nil"/>
              <w:bottom w:val="nil"/>
              <w:right w:val="nil"/>
            </w:tcBorders>
            <w:shd w:val="clear" w:color="auto" w:fill="auto"/>
          </w:tcPr>
          <w:p w14:paraId="5F509355" w14:textId="77777777" w:rsidR="00C47127" w:rsidRPr="00857751" w:rsidRDefault="00C47127" w:rsidP="00C47127">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31311F23" w14:textId="77777777" w:rsidR="00C47127" w:rsidRPr="00857751" w:rsidRDefault="00C47127" w:rsidP="00C47127">
            <w:pPr>
              <w:spacing w:line="360" w:lineRule="auto"/>
              <w:jc w:val="center"/>
              <w:rPr>
                <w:rFonts w:ascii="Arial" w:hAnsi="Arial"/>
                <w:b/>
                <w:bCs/>
                <w:sz w:val="26"/>
                <w:szCs w:val="26"/>
                <w:rtl/>
              </w:rPr>
            </w:pPr>
          </w:p>
          <w:p w14:paraId="448453D6" w14:textId="77777777" w:rsidR="00C47127" w:rsidRPr="00857751" w:rsidRDefault="00C47127" w:rsidP="00C47127">
            <w:pPr>
              <w:spacing w:line="360" w:lineRule="auto"/>
              <w:jc w:val="center"/>
              <w:rPr>
                <w:rFonts w:ascii="Arial" w:hAnsi="Arial"/>
                <w:b/>
                <w:bCs/>
                <w:sz w:val="26"/>
                <w:szCs w:val="26"/>
                <w:rtl/>
              </w:rPr>
            </w:pPr>
          </w:p>
          <w:p w14:paraId="23911595" w14:textId="77777777" w:rsidR="00C47127" w:rsidRPr="00857751" w:rsidRDefault="00C47127" w:rsidP="00C47127">
            <w:pPr>
              <w:spacing w:line="360" w:lineRule="auto"/>
              <w:jc w:val="center"/>
              <w:rPr>
                <w:rFonts w:ascii="Arial" w:hAnsi="Arial"/>
                <w:b/>
                <w:bCs/>
                <w:sz w:val="26"/>
                <w:szCs w:val="26"/>
                <w:rtl/>
              </w:rPr>
            </w:pPr>
            <w:r w:rsidRPr="00857751">
              <w:rPr>
                <w:rFonts w:ascii="Arial" w:hAnsi="Arial"/>
                <w:b/>
                <w:bCs/>
                <w:sz w:val="26"/>
                <w:szCs w:val="26"/>
                <w:rtl/>
              </w:rPr>
              <w:t>נגד</w:t>
            </w:r>
          </w:p>
          <w:p w14:paraId="0FF5AAA2" w14:textId="77777777" w:rsidR="00C47127" w:rsidRPr="00857751" w:rsidRDefault="00C47127" w:rsidP="00C47127">
            <w:pPr>
              <w:spacing w:line="360" w:lineRule="auto"/>
              <w:jc w:val="both"/>
              <w:rPr>
                <w:rFonts w:ascii="Arial" w:hAnsi="Arial"/>
                <w:b/>
                <w:bCs/>
                <w:sz w:val="26"/>
                <w:szCs w:val="26"/>
                <w:rtl/>
              </w:rPr>
            </w:pPr>
          </w:p>
          <w:p w14:paraId="5E9FB07D" w14:textId="77777777" w:rsidR="00C47127" w:rsidRPr="00857751" w:rsidRDefault="00C47127" w:rsidP="00C47127">
            <w:pPr>
              <w:spacing w:line="360" w:lineRule="auto"/>
              <w:jc w:val="both"/>
              <w:rPr>
                <w:rFonts w:ascii="Arial" w:hAnsi="Arial"/>
                <w:b/>
                <w:bCs/>
                <w:sz w:val="26"/>
                <w:szCs w:val="26"/>
              </w:rPr>
            </w:pPr>
          </w:p>
        </w:tc>
      </w:tr>
      <w:tr w:rsidR="00C47127" w:rsidRPr="00857751" w14:paraId="0346140C" w14:textId="77777777" w:rsidTr="00C47127">
        <w:trPr>
          <w:trHeight w:val="355"/>
          <w:jc w:val="center"/>
        </w:trPr>
        <w:tc>
          <w:tcPr>
            <w:tcW w:w="885" w:type="dxa"/>
            <w:tcBorders>
              <w:top w:val="nil"/>
              <w:left w:val="nil"/>
              <w:bottom w:val="nil"/>
              <w:right w:val="nil"/>
            </w:tcBorders>
            <w:shd w:val="clear" w:color="auto" w:fill="auto"/>
          </w:tcPr>
          <w:p w14:paraId="2680141B" w14:textId="77777777" w:rsidR="00C47127" w:rsidRPr="00857751" w:rsidRDefault="00C47127" w:rsidP="00C47127">
            <w:pPr>
              <w:spacing w:line="360" w:lineRule="auto"/>
              <w:rPr>
                <w:rFonts w:ascii="Arial" w:hAnsi="Arial"/>
                <w:b/>
                <w:bCs/>
                <w:sz w:val="26"/>
                <w:szCs w:val="26"/>
                <w:rtl/>
              </w:rPr>
            </w:pPr>
            <w:r w:rsidRPr="00857751">
              <w:rPr>
                <w:rFonts w:ascii="Arial" w:hAnsi="Arial" w:hint="cs"/>
                <w:b/>
                <w:bCs/>
                <w:sz w:val="26"/>
                <w:szCs w:val="26"/>
                <w:rtl/>
              </w:rPr>
              <w:t>ה</w:t>
            </w:r>
            <w:r w:rsidRPr="00857751">
              <w:rPr>
                <w:rFonts w:ascii="Arial" w:hAnsi="Arial"/>
                <w:b/>
                <w:bCs/>
                <w:sz w:val="26"/>
                <w:szCs w:val="26"/>
                <w:rtl/>
              </w:rPr>
              <w:t>נאשם</w:t>
            </w:r>
            <w:r w:rsidRPr="00857751">
              <w:rPr>
                <w:rFonts w:ascii="Arial" w:hAnsi="Arial" w:hint="cs"/>
                <w:b/>
                <w:bCs/>
                <w:sz w:val="26"/>
                <w:szCs w:val="26"/>
                <w:rtl/>
              </w:rPr>
              <w:t>:</w:t>
            </w:r>
          </w:p>
        </w:tc>
        <w:tc>
          <w:tcPr>
            <w:tcW w:w="4384" w:type="dxa"/>
            <w:tcBorders>
              <w:top w:val="nil"/>
              <w:left w:val="nil"/>
              <w:bottom w:val="nil"/>
              <w:right w:val="nil"/>
            </w:tcBorders>
            <w:shd w:val="clear" w:color="auto" w:fill="auto"/>
          </w:tcPr>
          <w:p w14:paraId="1A900935" w14:textId="77777777" w:rsidR="00C47127" w:rsidRPr="00857751" w:rsidRDefault="00C47127" w:rsidP="00C47127">
            <w:pPr>
              <w:spacing w:line="360" w:lineRule="auto"/>
              <w:rPr>
                <w:b/>
                <w:bCs/>
                <w:sz w:val="26"/>
                <w:szCs w:val="26"/>
                <w:rtl/>
              </w:rPr>
            </w:pPr>
            <w:r w:rsidRPr="00857751">
              <w:rPr>
                <w:rFonts w:ascii="Arial" w:hAnsi="Arial"/>
                <w:b/>
                <w:bCs/>
                <w:sz w:val="26"/>
                <w:szCs w:val="26"/>
                <w:rtl/>
              </w:rPr>
              <w:t>מחמוד סעדה</w:t>
            </w:r>
          </w:p>
          <w:p w14:paraId="22BDEEFA" w14:textId="77777777" w:rsidR="00C47127" w:rsidRPr="00857751" w:rsidRDefault="00C47127" w:rsidP="00C47127">
            <w:pPr>
              <w:spacing w:line="360" w:lineRule="auto"/>
              <w:rPr>
                <w:sz w:val="26"/>
                <w:szCs w:val="26"/>
                <w:rtl/>
              </w:rPr>
            </w:pPr>
            <w:r w:rsidRPr="00857751">
              <w:rPr>
                <w:rFonts w:hint="cs"/>
                <w:rtl/>
              </w:rPr>
              <w:t>ע"י ב"כ עו"ד איתן און</w:t>
            </w:r>
          </w:p>
        </w:tc>
        <w:tc>
          <w:tcPr>
            <w:tcW w:w="3551" w:type="dxa"/>
            <w:tcBorders>
              <w:top w:val="nil"/>
              <w:left w:val="nil"/>
              <w:bottom w:val="nil"/>
              <w:right w:val="nil"/>
            </w:tcBorders>
            <w:shd w:val="clear" w:color="auto" w:fill="auto"/>
          </w:tcPr>
          <w:p w14:paraId="6B85B38D" w14:textId="77777777" w:rsidR="00C47127" w:rsidRPr="00857751" w:rsidRDefault="00C47127" w:rsidP="00C47127">
            <w:pPr>
              <w:spacing w:line="360" w:lineRule="auto"/>
              <w:jc w:val="right"/>
              <w:rPr>
                <w:rFonts w:ascii="Arial" w:hAnsi="Arial"/>
                <w:b/>
                <w:bCs/>
                <w:sz w:val="26"/>
                <w:szCs w:val="26"/>
              </w:rPr>
            </w:pPr>
          </w:p>
        </w:tc>
      </w:tr>
    </w:tbl>
    <w:p w14:paraId="327BD286" w14:textId="77777777" w:rsidR="00CC19B1" w:rsidRPr="00CC19B1" w:rsidRDefault="00CC19B1" w:rsidP="00CC19B1">
      <w:pPr>
        <w:spacing w:before="120" w:after="120" w:line="240" w:lineRule="exact"/>
        <w:ind w:left="283" w:hanging="283"/>
        <w:jc w:val="both"/>
        <w:rPr>
          <w:rFonts w:ascii="FrankRuehl" w:hAnsi="FrankRuehl" w:cs="FrankRuehl"/>
          <w:rtl/>
        </w:rPr>
      </w:pPr>
      <w:bookmarkStart w:id="3" w:name="LawTable"/>
      <w:bookmarkEnd w:id="3"/>
    </w:p>
    <w:p w14:paraId="53482111" w14:textId="77777777" w:rsidR="00CC19B1" w:rsidRPr="00CC19B1" w:rsidRDefault="00CC19B1" w:rsidP="00CC19B1">
      <w:pPr>
        <w:spacing w:before="120" w:after="120" w:line="240" w:lineRule="exact"/>
        <w:ind w:left="283" w:hanging="283"/>
        <w:jc w:val="both"/>
        <w:rPr>
          <w:rFonts w:ascii="FrankRuehl" w:hAnsi="FrankRuehl" w:cs="FrankRuehl"/>
          <w:rtl/>
        </w:rPr>
      </w:pPr>
      <w:r w:rsidRPr="00CC19B1">
        <w:rPr>
          <w:rFonts w:ascii="FrankRuehl" w:hAnsi="FrankRuehl" w:cs="FrankRuehl"/>
          <w:rtl/>
        </w:rPr>
        <w:t xml:space="preserve">חקיקה שאוזכרה: </w:t>
      </w:r>
    </w:p>
    <w:p w14:paraId="11297779" w14:textId="77777777" w:rsidR="00CC19B1" w:rsidRPr="00CC19B1" w:rsidRDefault="00CC19B1" w:rsidP="00CC19B1">
      <w:pPr>
        <w:spacing w:before="120" w:after="120" w:line="240" w:lineRule="exact"/>
        <w:ind w:left="283" w:hanging="283"/>
        <w:jc w:val="both"/>
        <w:rPr>
          <w:rFonts w:ascii="FrankRuehl" w:hAnsi="FrankRuehl" w:cs="FrankRuehl"/>
          <w:color w:val="0000FF"/>
          <w:rtl/>
        </w:rPr>
      </w:pPr>
      <w:hyperlink r:id="rId7" w:history="1">
        <w:r w:rsidRPr="00CC19B1">
          <w:rPr>
            <w:rStyle w:val="Hyperlink"/>
            <w:rFonts w:ascii="FrankRuehl" w:hAnsi="FrankRuehl" w:cs="FrankRuehl"/>
            <w:rtl/>
          </w:rPr>
          <w:t>פקודת הסמים המסוכנים [נוסח חדש], תשל"ג-1973</w:t>
        </w:r>
      </w:hyperlink>
      <w:r w:rsidRPr="00CC19B1">
        <w:rPr>
          <w:rFonts w:ascii="FrankRuehl" w:hAnsi="FrankRuehl" w:cs="FrankRuehl"/>
          <w:color w:val="0000FF"/>
          <w:u w:val="single"/>
          <w:rtl/>
        </w:rPr>
        <w:t xml:space="preserve">: סע'  </w:t>
      </w:r>
      <w:hyperlink r:id="rId8" w:history="1">
        <w:r w:rsidRPr="00CC19B1">
          <w:rPr>
            <w:rStyle w:val="Hyperlink"/>
            <w:rFonts w:ascii="FrankRuehl" w:hAnsi="FrankRuehl" w:cs="FrankRuehl"/>
          </w:rPr>
          <w:t>7</w:t>
        </w:r>
      </w:hyperlink>
      <w:r w:rsidRPr="00CC19B1">
        <w:rPr>
          <w:rFonts w:ascii="FrankRuehl" w:hAnsi="FrankRuehl" w:cs="FrankRuehl"/>
          <w:color w:val="0000FF"/>
          <w:rtl/>
        </w:rPr>
        <w:t xml:space="preserve">(א), </w:t>
      </w:r>
      <w:hyperlink r:id="rId9" w:history="1">
        <w:r w:rsidRPr="00CC19B1">
          <w:rPr>
            <w:rStyle w:val="Hyperlink"/>
            <w:rFonts w:ascii="FrankRuehl" w:hAnsi="FrankRuehl" w:cs="FrankRuehl"/>
          </w:rPr>
          <w:t>7</w:t>
        </w:r>
      </w:hyperlink>
      <w:r w:rsidRPr="00CC19B1">
        <w:rPr>
          <w:rFonts w:ascii="FrankRuehl" w:hAnsi="FrankRuehl" w:cs="FrankRuehl"/>
          <w:color w:val="0000FF"/>
          <w:rtl/>
        </w:rPr>
        <w:t xml:space="preserve">(ג), </w:t>
      </w:r>
      <w:hyperlink r:id="rId10" w:history="1">
        <w:r w:rsidRPr="00CC19B1">
          <w:rPr>
            <w:rStyle w:val="Hyperlink"/>
            <w:rFonts w:ascii="FrankRuehl" w:hAnsi="FrankRuehl" w:cs="FrankRuehl"/>
          </w:rPr>
          <w:t>36</w:t>
        </w:r>
        <w:r w:rsidRPr="00CC19B1">
          <w:rPr>
            <w:rStyle w:val="Hyperlink"/>
            <w:rFonts w:ascii="FrankRuehl" w:hAnsi="FrankRuehl" w:cs="FrankRuehl"/>
            <w:rtl/>
          </w:rPr>
          <w:t>א</w:t>
        </w:r>
      </w:hyperlink>
    </w:p>
    <w:p w14:paraId="7ED91ED1" w14:textId="77777777" w:rsidR="00C47127" w:rsidRPr="00CC19B1" w:rsidRDefault="00C47127" w:rsidP="00CC19B1">
      <w:pPr>
        <w:spacing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7127" w14:paraId="1E002C71" w14:textId="77777777" w:rsidTr="00C47127">
        <w:trPr>
          <w:trHeight w:val="355"/>
          <w:jc w:val="center"/>
        </w:trPr>
        <w:tc>
          <w:tcPr>
            <w:tcW w:w="8820" w:type="dxa"/>
            <w:tcBorders>
              <w:top w:val="nil"/>
              <w:left w:val="nil"/>
              <w:bottom w:val="nil"/>
              <w:right w:val="nil"/>
            </w:tcBorders>
            <w:shd w:val="clear" w:color="auto" w:fill="auto"/>
          </w:tcPr>
          <w:p w14:paraId="6A802B2A" w14:textId="77777777" w:rsidR="00857751" w:rsidRPr="00857751" w:rsidRDefault="00857751" w:rsidP="00857751">
            <w:pPr>
              <w:spacing w:after="120" w:line="360" w:lineRule="auto"/>
              <w:jc w:val="center"/>
              <w:rPr>
                <w:rFonts w:ascii="Arial" w:hAnsi="Arial"/>
                <w:b/>
                <w:bCs/>
                <w:sz w:val="36"/>
                <w:szCs w:val="36"/>
                <w:u w:val="single"/>
                <w:rtl/>
              </w:rPr>
            </w:pPr>
            <w:bookmarkStart w:id="5" w:name="PsakDin" w:colFirst="0" w:colLast="0"/>
            <w:bookmarkEnd w:id="0"/>
            <w:r w:rsidRPr="00857751">
              <w:rPr>
                <w:rFonts w:ascii="Arial" w:hAnsi="Arial"/>
                <w:b/>
                <w:bCs/>
                <w:sz w:val="36"/>
                <w:szCs w:val="36"/>
                <w:u w:val="single"/>
                <w:rtl/>
              </w:rPr>
              <w:t>גזר דין</w:t>
            </w:r>
          </w:p>
          <w:p w14:paraId="5204D22F" w14:textId="77777777" w:rsidR="00C47127" w:rsidRPr="00857751" w:rsidRDefault="00C47127" w:rsidP="00857751">
            <w:pPr>
              <w:spacing w:after="120" w:line="360" w:lineRule="auto"/>
              <w:jc w:val="center"/>
              <w:rPr>
                <w:rFonts w:ascii="Arial" w:hAnsi="Arial"/>
                <w:bCs/>
                <w:sz w:val="36"/>
                <w:szCs w:val="36"/>
                <w:u w:val="single"/>
                <w:rtl/>
              </w:rPr>
            </w:pPr>
          </w:p>
        </w:tc>
      </w:tr>
    </w:tbl>
    <w:bookmarkEnd w:id="5"/>
    <w:p w14:paraId="07B5BCF3" w14:textId="77777777" w:rsidR="00C47127" w:rsidRDefault="00C47127" w:rsidP="00C47127">
      <w:pPr>
        <w:spacing w:after="120" w:line="360" w:lineRule="auto"/>
        <w:jc w:val="both"/>
        <w:rPr>
          <w:rFonts w:ascii="Tahoma" w:hAnsi="Tahoma"/>
          <w:b/>
          <w:bCs/>
          <w:u w:val="single"/>
        </w:rPr>
      </w:pPr>
      <w:r>
        <w:rPr>
          <w:rFonts w:ascii="Tahoma" w:hAnsi="Tahoma"/>
          <w:b/>
          <w:bCs/>
          <w:rtl/>
        </w:rPr>
        <w:t>א.</w:t>
      </w:r>
      <w:r>
        <w:rPr>
          <w:rFonts w:ascii="Tahoma" w:hAnsi="Tahoma"/>
          <w:b/>
          <w:bCs/>
          <w:rtl/>
        </w:rPr>
        <w:tab/>
      </w:r>
      <w:r>
        <w:rPr>
          <w:rFonts w:ascii="Tahoma" w:hAnsi="Tahoma"/>
          <w:b/>
          <w:bCs/>
          <w:u w:val="single"/>
          <w:rtl/>
        </w:rPr>
        <w:t>רקע כללי ופרטי הסדר הטיעון הדיוני:</w:t>
      </w:r>
    </w:p>
    <w:p w14:paraId="621E7E35" w14:textId="77777777" w:rsidR="00C47127" w:rsidRDefault="00C47127" w:rsidP="00C47127">
      <w:pPr>
        <w:numPr>
          <w:ilvl w:val="0"/>
          <w:numId w:val="1"/>
        </w:numPr>
        <w:tabs>
          <w:tab w:val="num" w:pos="720"/>
        </w:tabs>
        <w:spacing w:after="120" w:line="360" w:lineRule="auto"/>
        <w:ind w:left="720"/>
        <w:jc w:val="both"/>
        <w:rPr>
          <w:rFonts w:ascii="Tahoma" w:hAnsi="Tahoma"/>
        </w:rPr>
      </w:pPr>
      <w:bookmarkStart w:id="6" w:name="ABSTRACT_START"/>
      <w:bookmarkEnd w:id="6"/>
      <w:r>
        <w:rPr>
          <w:rFonts w:ascii="Tahoma" w:hAnsi="Tahoma"/>
          <w:rtl/>
        </w:rPr>
        <w:t xml:space="preserve">הנאשם הורשע על יסוד הודאתו בעובדות כתב האישום המתוקן – שניתנה במסגרת הסדר טיעון דיוני, ללא הסכמות לעניין העונש – בביצוע עבירה של </w:t>
      </w:r>
      <w:r>
        <w:rPr>
          <w:rFonts w:ascii="Tahoma" w:hAnsi="Tahoma"/>
          <w:b/>
          <w:bCs/>
          <w:rtl/>
        </w:rPr>
        <w:t>החזקת סם מסוכן שלא לצריכה עצמית</w:t>
      </w:r>
      <w:r>
        <w:rPr>
          <w:rFonts w:ascii="Tahoma" w:hAnsi="Tahoma"/>
          <w:rtl/>
        </w:rPr>
        <w:t xml:space="preserve">, לפי הוראות </w:t>
      </w:r>
      <w:hyperlink r:id="rId11" w:history="1">
        <w:r w:rsidR="00CC19B1" w:rsidRPr="00CC19B1">
          <w:rPr>
            <w:rStyle w:val="Hyperlink"/>
            <w:rFonts w:ascii="Tahoma" w:hAnsi="Tahoma"/>
            <w:color w:val="0000FF"/>
            <w:rtl/>
          </w:rPr>
          <w:t>סעיף 7(א)</w:t>
        </w:r>
      </w:hyperlink>
      <w:r>
        <w:rPr>
          <w:rFonts w:ascii="Tahoma" w:hAnsi="Tahoma"/>
          <w:rtl/>
        </w:rPr>
        <w:t xml:space="preserve"> יחד עם </w:t>
      </w:r>
      <w:hyperlink r:id="rId12" w:history="1">
        <w:r w:rsidR="00CC19B1" w:rsidRPr="00CC19B1">
          <w:rPr>
            <w:rStyle w:val="Hyperlink"/>
            <w:rFonts w:ascii="Tahoma" w:hAnsi="Tahoma"/>
            <w:color w:val="0000FF"/>
            <w:rtl/>
          </w:rPr>
          <w:t>סעיף 7(ג)</w:t>
        </w:r>
      </w:hyperlink>
      <w:r>
        <w:rPr>
          <w:rFonts w:ascii="Tahoma" w:hAnsi="Tahoma"/>
          <w:rtl/>
        </w:rPr>
        <w:t xml:space="preserve"> רישא ל</w:t>
      </w:r>
      <w:hyperlink r:id="rId13" w:history="1">
        <w:r w:rsidR="00857751" w:rsidRPr="00857751">
          <w:rPr>
            <w:rFonts w:ascii="Tahoma" w:hAnsi="Tahoma"/>
            <w:color w:val="0000FF"/>
            <w:u w:val="single"/>
            <w:rtl/>
          </w:rPr>
          <w:t>פקודת הסמים המסוכנים</w:t>
        </w:r>
      </w:hyperlink>
      <w:r>
        <w:rPr>
          <w:rFonts w:ascii="Tahoma" w:hAnsi="Tahoma"/>
          <w:rtl/>
        </w:rPr>
        <w:t xml:space="preserve"> [נוסח חדש], תשל"ג-1973 </w:t>
      </w:r>
      <w:bookmarkStart w:id="7" w:name="ABSTRACT_END"/>
      <w:bookmarkEnd w:id="7"/>
      <w:r>
        <w:rPr>
          <w:rFonts w:ascii="Tahoma" w:hAnsi="Tahoma"/>
          <w:rtl/>
        </w:rPr>
        <w:t>(להלן – פקודת הסמים המסוכנים).</w:t>
      </w:r>
    </w:p>
    <w:p w14:paraId="46DC9F7B"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 xml:space="preserve">על פי האמור בעובדות כתב האישום המתוקן, ביום 17.12.17 החזיק הנאשם בדירתו, בשקית בארון הבגדים, 172 מנות סמים מסוכנים מסוג </w:t>
      </w:r>
      <w:r>
        <w:rPr>
          <w:rFonts w:ascii="Tahoma" w:hAnsi="Tahoma"/>
          <w:b/>
          <w:bCs/>
          <w:rtl/>
        </w:rPr>
        <w:t>קוקאין</w:t>
      </w:r>
      <w:r>
        <w:rPr>
          <w:rFonts w:ascii="Tahoma" w:hAnsi="Tahoma"/>
          <w:rtl/>
        </w:rPr>
        <w:t xml:space="preserve">, במשקל כולל של </w:t>
      </w:r>
      <w:r>
        <w:rPr>
          <w:rFonts w:ascii="Tahoma" w:hAnsi="Tahoma"/>
          <w:b/>
          <w:bCs/>
          <w:rtl/>
        </w:rPr>
        <w:t>25.0824 גרם נטו</w:t>
      </w:r>
      <w:r>
        <w:rPr>
          <w:rFonts w:ascii="Tahoma" w:hAnsi="Tahoma"/>
          <w:rtl/>
        </w:rPr>
        <w:t xml:space="preserve">. </w:t>
      </w:r>
      <w:r>
        <w:rPr>
          <w:rFonts w:ascii="Tahoma" w:hAnsi="Tahoma" w:hint="cs"/>
          <w:rtl/>
        </w:rPr>
        <w:t xml:space="preserve">יצוין, כי </w:t>
      </w:r>
      <w:r>
        <w:rPr>
          <w:rFonts w:ascii="Tahoma" w:hAnsi="Tahoma"/>
          <w:rtl/>
        </w:rPr>
        <w:t xml:space="preserve">בכתב האישום נכללה בקשה לחילוט הכספים שנתפסו על הנאשם, בסך כולל של 6,749 ₪, וזאת </w:t>
      </w:r>
      <w:r>
        <w:rPr>
          <w:rFonts w:ascii="Tahoma" w:hAnsi="Tahoma" w:hint="cs"/>
          <w:rtl/>
        </w:rPr>
        <w:t>במסגרת</w:t>
      </w:r>
      <w:r>
        <w:rPr>
          <w:rFonts w:ascii="Tahoma" w:hAnsi="Tahoma"/>
          <w:rtl/>
        </w:rPr>
        <w:t xml:space="preserve"> הוראות </w:t>
      </w:r>
      <w:hyperlink r:id="rId14" w:history="1">
        <w:r w:rsidR="00CC19B1" w:rsidRPr="00CC19B1">
          <w:rPr>
            <w:rStyle w:val="Hyperlink"/>
            <w:rFonts w:ascii="Tahoma" w:hAnsi="Tahoma"/>
            <w:color w:val="0000FF"/>
            <w:rtl/>
          </w:rPr>
          <w:t>סעיף 36א</w:t>
        </w:r>
      </w:hyperlink>
      <w:r>
        <w:rPr>
          <w:rFonts w:ascii="Tahoma" w:hAnsi="Tahoma"/>
          <w:rtl/>
        </w:rPr>
        <w:t xml:space="preserve"> ל</w:t>
      </w:r>
      <w:hyperlink r:id="rId15" w:history="1">
        <w:r w:rsidR="00857751" w:rsidRPr="00857751">
          <w:rPr>
            <w:rFonts w:ascii="Tahoma" w:hAnsi="Tahoma"/>
            <w:color w:val="0000FF"/>
            <w:u w:val="single"/>
            <w:rtl/>
          </w:rPr>
          <w:t>פקודת הסמים המסוכנים</w:t>
        </w:r>
      </w:hyperlink>
      <w:r>
        <w:rPr>
          <w:rFonts w:ascii="Tahoma" w:hAnsi="Tahoma"/>
          <w:rtl/>
        </w:rPr>
        <w:t>.</w:t>
      </w:r>
    </w:p>
    <w:p w14:paraId="18DEFE90"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lastRenderedPageBreak/>
        <w:t>במסגרת ההליכים המקדמיים לא הגיעו הצדדים לכלל הסכמות ועל כן הועבר התיק לשמיעת הראיות לפניי. ואולם, בטרם תחילת שמיעת הראיות הציגו ב"כ הצדדים הסדר טיעון דיוני, שבמסגרתו הוגש כתב האישום המתוקן (הסדר הטיעון גם הוגש בכתב). יוטעם, כי במסגרת תיקון כתב האישום הושמטה עבירה נוספת</w:t>
      </w:r>
      <w:r>
        <w:rPr>
          <w:rFonts w:ascii="Tahoma" w:hAnsi="Tahoma" w:hint="cs"/>
          <w:rtl/>
        </w:rPr>
        <w:t>,</w:t>
      </w:r>
      <w:r>
        <w:rPr>
          <w:rFonts w:ascii="Tahoma" w:hAnsi="Tahoma"/>
          <w:rtl/>
        </w:rPr>
        <w:t xml:space="preserve"> של סחר בסמים מסוכנים מסוג הירואין, בה הואשם הנאשם בכתב האישום המקורי בנוסף לאישום הנ"ל בהחזקה. כאמור, הצדדים לא הגיעו להסכמות לעניין העונש, הגם שהוסכם כי ההגנה לא תעתור להימנעות מהרשעה.</w:t>
      </w:r>
    </w:p>
    <w:p w14:paraId="3DD89BBA"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הנאשם הודה אפוא בעובדות כתב האישום המתוקן והורשע על יסוד הודא</w:t>
      </w:r>
      <w:r>
        <w:rPr>
          <w:rFonts w:ascii="Tahoma" w:hAnsi="Tahoma" w:hint="cs"/>
          <w:rtl/>
        </w:rPr>
        <w:t>תו</w:t>
      </w:r>
      <w:r>
        <w:rPr>
          <w:rFonts w:ascii="Tahoma" w:hAnsi="Tahoma"/>
          <w:rtl/>
        </w:rPr>
        <w:t xml:space="preserve"> זו בעבירה </w:t>
      </w:r>
      <w:r>
        <w:rPr>
          <w:rFonts w:ascii="Tahoma" w:hAnsi="Tahoma" w:hint="cs"/>
          <w:rtl/>
        </w:rPr>
        <w:t>של החזקת סמים מסוכנים שלא לצריכה עצמית</w:t>
      </w:r>
      <w:r>
        <w:rPr>
          <w:rFonts w:ascii="Tahoma" w:hAnsi="Tahoma"/>
          <w:rtl/>
        </w:rPr>
        <w:t>. בנוסף, נוכח מהות העבירה בה הורשע הנאשם נקבע</w:t>
      </w:r>
      <w:r>
        <w:rPr>
          <w:rFonts w:ascii="Tahoma" w:hAnsi="Tahoma" w:hint="cs"/>
          <w:rtl/>
        </w:rPr>
        <w:t>,</w:t>
      </w:r>
      <w:r>
        <w:rPr>
          <w:rFonts w:ascii="Tahoma" w:hAnsi="Tahoma"/>
          <w:rtl/>
        </w:rPr>
        <w:t xml:space="preserve"> ב</w:t>
      </w:r>
      <w:r>
        <w:rPr>
          <w:rFonts w:ascii="Tahoma" w:hAnsi="Tahoma" w:hint="cs"/>
          <w:rtl/>
        </w:rPr>
        <w:t xml:space="preserve">מסגרת </w:t>
      </w:r>
      <w:r>
        <w:rPr>
          <w:rFonts w:ascii="Tahoma" w:hAnsi="Tahoma"/>
          <w:rtl/>
        </w:rPr>
        <w:t>הכרעת הדין</w:t>
      </w:r>
      <w:r>
        <w:rPr>
          <w:rFonts w:ascii="Tahoma" w:hAnsi="Tahoma" w:hint="cs"/>
          <w:rtl/>
        </w:rPr>
        <w:t>,</w:t>
      </w:r>
      <w:r>
        <w:rPr>
          <w:rFonts w:ascii="Tahoma" w:hAnsi="Tahoma"/>
          <w:rtl/>
        </w:rPr>
        <w:t xml:space="preserve"> כי הנאשם הוא סוחר סמים (ר' בפרוטוקול, עמ' 7 שורה 12 ואילך).</w:t>
      </w:r>
    </w:p>
    <w:p w14:paraId="39DAF800"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בהתחשב בנסיבות העניין ובטענ</w:t>
      </w:r>
      <w:r>
        <w:rPr>
          <w:rFonts w:ascii="Tahoma" w:hAnsi="Tahoma" w:hint="cs"/>
          <w:rtl/>
        </w:rPr>
        <w:t>ו</w:t>
      </w:r>
      <w:r>
        <w:rPr>
          <w:rFonts w:ascii="Tahoma" w:hAnsi="Tahoma"/>
          <w:rtl/>
        </w:rPr>
        <w:t>ת ההגנה שלפיה</w:t>
      </w:r>
      <w:r>
        <w:rPr>
          <w:rFonts w:ascii="Tahoma" w:hAnsi="Tahoma" w:hint="cs"/>
          <w:rtl/>
        </w:rPr>
        <w:t>ן</w:t>
      </w:r>
      <w:r>
        <w:rPr>
          <w:rFonts w:ascii="Tahoma" w:hAnsi="Tahoma"/>
          <w:rtl/>
        </w:rPr>
        <w:t xml:space="preserve"> הנאשם מבקש </w:t>
      </w:r>
      <w:r>
        <w:rPr>
          <w:rFonts w:ascii="Tahoma" w:hAnsi="Tahoma" w:hint="cs"/>
          <w:rtl/>
        </w:rPr>
        <w:t xml:space="preserve">לערוך שינוי מהותי בחייו, </w:t>
      </w:r>
      <w:r>
        <w:rPr>
          <w:rFonts w:ascii="Tahoma" w:hAnsi="Tahoma"/>
          <w:rtl/>
        </w:rPr>
        <w:t>לשנות את דרכיו ולהשתקם, הור</w:t>
      </w:r>
      <w:r>
        <w:rPr>
          <w:rFonts w:ascii="Tahoma" w:hAnsi="Tahoma" w:hint="cs"/>
          <w:rtl/>
        </w:rPr>
        <w:t>ה בית המשפט</w:t>
      </w:r>
      <w:r>
        <w:rPr>
          <w:rFonts w:ascii="Tahoma" w:hAnsi="Tahoma"/>
          <w:rtl/>
        </w:rPr>
        <w:t xml:space="preserve"> על הכנת תסקיר שירות המבחן בטרם </w:t>
      </w:r>
      <w:r>
        <w:rPr>
          <w:rFonts w:ascii="Tahoma" w:hAnsi="Tahoma" w:hint="cs"/>
          <w:rtl/>
        </w:rPr>
        <w:t>שמיעת הראיות והטיעונים לעונש</w:t>
      </w:r>
      <w:r>
        <w:rPr>
          <w:rFonts w:ascii="Tahoma" w:hAnsi="Tahoma"/>
          <w:rtl/>
        </w:rPr>
        <w:t>.</w:t>
      </w:r>
    </w:p>
    <w:p w14:paraId="2068F224" w14:textId="77777777" w:rsidR="00C47127" w:rsidRPr="00C60B51" w:rsidRDefault="00C47127" w:rsidP="00C47127">
      <w:pPr>
        <w:spacing w:after="120" w:line="360" w:lineRule="auto"/>
        <w:jc w:val="both"/>
        <w:rPr>
          <w:rFonts w:ascii="Tahoma" w:hAnsi="Tahoma"/>
        </w:rPr>
      </w:pPr>
    </w:p>
    <w:p w14:paraId="751E1642" w14:textId="77777777" w:rsidR="00C47127" w:rsidRDefault="00C47127" w:rsidP="00C47127">
      <w:pPr>
        <w:spacing w:after="120" w:line="360" w:lineRule="auto"/>
        <w:jc w:val="both"/>
        <w:rPr>
          <w:rFonts w:ascii="Tahoma" w:hAnsi="Tahoma"/>
          <w:b/>
          <w:bCs/>
          <w:u w:val="single"/>
          <w:rtl/>
        </w:rPr>
      </w:pPr>
      <w:r>
        <w:rPr>
          <w:rFonts w:ascii="Tahoma" w:hAnsi="Tahoma"/>
          <w:b/>
          <w:bCs/>
          <w:rtl/>
        </w:rPr>
        <w:t>ב.</w:t>
      </w:r>
      <w:r>
        <w:rPr>
          <w:rFonts w:ascii="Tahoma" w:hAnsi="Tahoma"/>
          <w:b/>
          <w:bCs/>
          <w:rtl/>
        </w:rPr>
        <w:tab/>
      </w:r>
      <w:r>
        <w:rPr>
          <w:rFonts w:ascii="Tahoma" w:hAnsi="Tahoma"/>
          <w:b/>
          <w:bCs/>
          <w:u w:val="single"/>
          <w:rtl/>
        </w:rPr>
        <w:t>תסקירי שירות המבחן:</w:t>
      </w:r>
    </w:p>
    <w:p w14:paraId="1E48D13F"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 xml:space="preserve">בתסקיר שהוכן (מיום </w:t>
      </w:r>
      <w:r>
        <w:rPr>
          <w:rFonts w:ascii="Tahoma" w:hAnsi="Tahoma" w:hint="cs"/>
          <w:rtl/>
        </w:rPr>
        <w:t>16.04</w:t>
      </w:r>
      <w:r>
        <w:rPr>
          <w:rFonts w:ascii="Tahoma" w:hAnsi="Tahoma"/>
          <w:rtl/>
        </w:rPr>
        <w:t>.2019) עמד שירות המבחן על נסיבות חייו המורכבות של הנאשם, יליד שנת 1991 (בן 29 שנים כיום). אין מקום להידרש לפרטים כאן, אך ב</w:t>
      </w:r>
      <w:r>
        <w:rPr>
          <w:rFonts w:ascii="Tahoma" w:hAnsi="Tahoma" w:hint="cs"/>
          <w:rtl/>
        </w:rPr>
        <w:t>ת</w:t>
      </w:r>
      <w:r>
        <w:rPr>
          <w:rFonts w:ascii="Tahoma" w:hAnsi="Tahoma"/>
          <w:rtl/>
        </w:rPr>
        <w:t>מצית יצוין כי הנאשם התייתם מאביו בגיל צעיר</w:t>
      </w:r>
      <w:r>
        <w:rPr>
          <w:rFonts w:ascii="Tahoma" w:hAnsi="Tahoma" w:hint="cs"/>
          <w:rtl/>
        </w:rPr>
        <w:t xml:space="preserve"> ו</w:t>
      </w:r>
      <w:r>
        <w:rPr>
          <w:rFonts w:ascii="Tahoma" w:hAnsi="Tahoma"/>
          <w:rtl/>
        </w:rPr>
        <w:t>נדרש לסייע בפרנסת המשפחה</w:t>
      </w:r>
      <w:r>
        <w:rPr>
          <w:rFonts w:ascii="Tahoma" w:hAnsi="Tahoma" w:hint="cs"/>
          <w:rtl/>
        </w:rPr>
        <w:t xml:space="preserve">. הנאשם </w:t>
      </w:r>
      <w:r>
        <w:rPr>
          <w:rFonts w:ascii="Tahoma" w:hAnsi="Tahoma"/>
          <w:rtl/>
        </w:rPr>
        <w:t>התקשה לשמור על יציבות במסגרות חינוכיות</w:t>
      </w:r>
      <w:r>
        <w:rPr>
          <w:rFonts w:ascii="Tahoma" w:hAnsi="Tahoma" w:hint="cs"/>
          <w:rtl/>
        </w:rPr>
        <w:t xml:space="preserve">, </w:t>
      </w:r>
      <w:r>
        <w:rPr>
          <w:rFonts w:ascii="Tahoma" w:hAnsi="Tahoma"/>
          <w:rtl/>
        </w:rPr>
        <w:t>פנה לחברה שולית והחל להסתבך בפלילים. ל</w:t>
      </w:r>
      <w:r>
        <w:rPr>
          <w:rFonts w:ascii="Tahoma" w:hAnsi="Tahoma" w:hint="cs"/>
          <w:rtl/>
        </w:rPr>
        <w:t xml:space="preserve">פי </w:t>
      </w:r>
      <w:r>
        <w:rPr>
          <w:rFonts w:ascii="Tahoma" w:hAnsi="Tahoma"/>
          <w:rtl/>
        </w:rPr>
        <w:t>דברי</w:t>
      </w:r>
      <w:r>
        <w:rPr>
          <w:rFonts w:ascii="Tahoma" w:hAnsi="Tahoma" w:hint="cs"/>
          <w:rtl/>
        </w:rPr>
        <w:t>ו החל</w:t>
      </w:r>
      <w:r>
        <w:rPr>
          <w:rFonts w:ascii="Tahoma" w:hAnsi="Tahoma"/>
          <w:rtl/>
        </w:rPr>
        <w:t xml:space="preserve"> הנאשם</w:t>
      </w:r>
      <w:r>
        <w:rPr>
          <w:rFonts w:ascii="Tahoma" w:hAnsi="Tahoma" w:hint="cs"/>
          <w:rtl/>
        </w:rPr>
        <w:t xml:space="preserve">, </w:t>
      </w:r>
      <w:r>
        <w:rPr>
          <w:rFonts w:ascii="Tahoma" w:hAnsi="Tahoma"/>
          <w:rtl/>
        </w:rPr>
        <w:t>במהלך מאסרו האחרון</w:t>
      </w:r>
      <w:r>
        <w:rPr>
          <w:rFonts w:ascii="Tahoma" w:hAnsi="Tahoma" w:hint="cs"/>
          <w:rtl/>
        </w:rPr>
        <w:t>,</w:t>
      </w:r>
      <w:r>
        <w:rPr>
          <w:rFonts w:ascii="Tahoma" w:hAnsi="Tahoma"/>
          <w:rtl/>
        </w:rPr>
        <w:t xml:space="preserve"> לעשות שימוש בסמים מסוכנים. שימוש זה הפך לאינטנסיב</w:t>
      </w:r>
      <w:r>
        <w:rPr>
          <w:rFonts w:ascii="Tahoma" w:hAnsi="Tahoma" w:hint="cs"/>
          <w:rtl/>
        </w:rPr>
        <w:t xml:space="preserve">י </w:t>
      </w:r>
      <w:r>
        <w:rPr>
          <w:rFonts w:ascii="Tahoma" w:hAnsi="Tahoma"/>
          <w:rtl/>
        </w:rPr>
        <w:t xml:space="preserve">ולא פסק עד למעצרו </w:t>
      </w:r>
      <w:r>
        <w:rPr>
          <w:rFonts w:ascii="Tahoma" w:hAnsi="Tahoma" w:hint="cs"/>
          <w:rtl/>
        </w:rPr>
        <w:t xml:space="preserve">של הנאשם </w:t>
      </w:r>
      <w:r>
        <w:rPr>
          <w:rFonts w:ascii="Tahoma" w:hAnsi="Tahoma"/>
          <w:rtl/>
        </w:rPr>
        <w:t>בגין התיק דנא.</w:t>
      </w:r>
    </w:p>
    <w:p w14:paraId="6A902DAF"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לאחר שחרורו מ</w:t>
      </w:r>
      <w:r>
        <w:rPr>
          <w:rFonts w:ascii="Tahoma" w:hAnsi="Tahoma" w:hint="cs"/>
          <w:rtl/>
        </w:rPr>
        <w:t xml:space="preserve">ן </w:t>
      </w:r>
      <w:r>
        <w:rPr>
          <w:rFonts w:ascii="Tahoma" w:hAnsi="Tahoma"/>
          <w:rtl/>
        </w:rPr>
        <w:t xml:space="preserve">המעצר פנה הנאשם מיוזמתו – ובעידוד משפחתו – לקבלת טיפול במרפאה פרטית העוסקת בתחום ההתמכרויות ובמקביל עבד בעבודות מזדמנות, לרבות בתחום הבנייה ושטיפת מכוניות. הנאשם הציג בפני שירות המבחן מסמכים המלמדים כי </w:t>
      </w:r>
      <w:r>
        <w:rPr>
          <w:rFonts w:ascii="Tahoma" w:hAnsi="Tahoma" w:hint="cs"/>
          <w:rtl/>
        </w:rPr>
        <w:t xml:space="preserve">הוא </w:t>
      </w:r>
      <w:r>
        <w:rPr>
          <w:rFonts w:ascii="Tahoma" w:hAnsi="Tahoma"/>
          <w:rtl/>
        </w:rPr>
        <w:t>טופל במרפאה החל מחודש יולי 201</w:t>
      </w:r>
      <w:r>
        <w:rPr>
          <w:rFonts w:ascii="Tahoma" w:hAnsi="Tahoma" w:hint="cs"/>
          <w:rtl/>
        </w:rPr>
        <w:t>8</w:t>
      </w:r>
      <w:r>
        <w:rPr>
          <w:rFonts w:ascii="Tahoma" w:hAnsi="Tahoma"/>
          <w:rtl/>
        </w:rPr>
        <w:t xml:space="preserve"> ועד לחודש ינואר 2019. בנוסף הביע הנאשם בפני שירות המבחן נכונות לשיתוף פעולה ורצון להשתלב בטיפול בתחום הגמילה מסמים. בנסיבות אלה – ונוכח קיומם של גורמי תמיכה משפחתיים ואירוסיו הטריים של הנאשם – המליצה קצינת המבחן לשלב את הנאשם בהליך טיפולי במסגרת היחידה לטיפול בהתמכרויות ולצורך כך לדחות את הדיון.</w:t>
      </w:r>
    </w:p>
    <w:p w14:paraId="38357D93"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 xml:space="preserve">עד למועד הדיון הנדחה טרם החל הנאשם בטיפול, מסיבות שאינן תלויות בו (ר' בתסקיר המשלים מיום 15.7.2019). עם זאת, קצינת המבחן ציינה כי על אף תקופה משברית בה </w:t>
      </w:r>
      <w:r>
        <w:rPr>
          <w:rFonts w:ascii="Tahoma" w:hAnsi="Tahoma" w:hint="cs"/>
          <w:rtl/>
        </w:rPr>
        <w:t xml:space="preserve">היה מצוי </w:t>
      </w:r>
      <w:r>
        <w:rPr>
          <w:rFonts w:ascii="Tahoma" w:hAnsi="Tahoma"/>
          <w:rtl/>
        </w:rPr>
        <w:t>הנאשם – בין השאר לאור ביטול אירוסיו – הוא שב לעבודה קבועה ו</w:t>
      </w:r>
      <w:r>
        <w:rPr>
          <w:rFonts w:ascii="Tahoma" w:hAnsi="Tahoma" w:hint="cs"/>
          <w:rtl/>
        </w:rPr>
        <w:t>ה</w:t>
      </w:r>
      <w:r>
        <w:rPr>
          <w:rFonts w:ascii="Tahoma" w:hAnsi="Tahoma"/>
          <w:rtl/>
        </w:rPr>
        <w:t xml:space="preserve">שקיע מאמצים לשמירה על אורך חיים יציב, תוך הימנעות משימוש בחומרים ממכרים. </w:t>
      </w:r>
      <w:r>
        <w:rPr>
          <w:rFonts w:ascii="Tahoma" w:hAnsi="Tahoma"/>
          <w:rtl/>
        </w:rPr>
        <w:lastRenderedPageBreak/>
        <w:t>בנסיבות אלה המליצה קצינת המבחן על דחיית דיון נוספת</w:t>
      </w:r>
      <w:r>
        <w:rPr>
          <w:rFonts w:ascii="Tahoma" w:hAnsi="Tahoma" w:hint="cs"/>
          <w:rtl/>
        </w:rPr>
        <w:t xml:space="preserve"> לצורך שילוב הנאשם בטיפול, ובית המשפט נעתר לבקשה</w:t>
      </w:r>
      <w:r>
        <w:rPr>
          <w:rFonts w:ascii="Tahoma" w:hAnsi="Tahoma"/>
          <w:rtl/>
        </w:rPr>
        <w:t>.</w:t>
      </w:r>
    </w:p>
    <w:p w14:paraId="771F3290"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 xml:space="preserve">בשלב זה הועבר הטיפול בעניינו של הנאשם לקצינת מבחן אחרת. </w:t>
      </w:r>
      <w:r>
        <w:rPr>
          <w:rFonts w:ascii="Tahoma" w:hAnsi="Tahoma" w:hint="cs"/>
          <w:rtl/>
        </w:rPr>
        <w:t xml:space="preserve">להבדיל מקצינת המבחן הקודמת התרשמה </w:t>
      </w:r>
      <w:r>
        <w:rPr>
          <w:rFonts w:ascii="Tahoma" w:hAnsi="Tahoma"/>
          <w:rtl/>
        </w:rPr>
        <w:t>קצינה זו מהידרדרות במצבו של הנאשם</w:t>
      </w:r>
      <w:r>
        <w:rPr>
          <w:rFonts w:ascii="Tahoma" w:hAnsi="Tahoma" w:hint="cs"/>
          <w:rtl/>
        </w:rPr>
        <w:t xml:space="preserve">. לפי התרשמותה </w:t>
      </w:r>
      <w:r>
        <w:rPr>
          <w:rFonts w:ascii="Tahoma" w:hAnsi="Tahoma"/>
          <w:rtl/>
        </w:rPr>
        <w:t xml:space="preserve">התקשה </w:t>
      </w:r>
      <w:r>
        <w:rPr>
          <w:rFonts w:ascii="Tahoma" w:hAnsi="Tahoma" w:hint="cs"/>
          <w:rtl/>
        </w:rPr>
        <w:t xml:space="preserve">הנאשם </w:t>
      </w:r>
      <w:r>
        <w:rPr>
          <w:rFonts w:ascii="Tahoma" w:hAnsi="Tahoma"/>
          <w:rtl/>
        </w:rPr>
        <w:t>להגיע באופן יציב לפגישות</w:t>
      </w:r>
      <w:r>
        <w:rPr>
          <w:rFonts w:ascii="Tahoma" w:hAnsi="Tahoma" w:hint="cs"/>
          <w:rtl/>
        </w:rPr>
        <w:t>,</w:t>
      </w:r>
      <w:r>
        <w:rPr>
          <w:rFonts w:ascii="Tahoma" w:hAnsi="Tahoma"/>
          <w:rtl/>
        </w:rPr>
        <w:t xml:space="preserve"> שנקבעו לו במסגרת היחידה לטיפול בהתמכרויות</w:t>
      </w:r>
      <w:r>
        <w:rPr>
          <w:rFonts w:ascii="Tahoma" w:hAnsi="Tahoma" w:hint="cs"/>
          <w:rtl/>
        </w:rPr>
        <w:t>,</w:t>
      </w:r>
      <w:r>
        <w:rPr>
          <w:rFonts w:ascii="Tahoma" w:hAnsi="Tahoma"/>
          <w:rtl/>
        </w:rPr>
        <w:t xml:space="preserve"> ועל אף נכונות מילולית שהביע לא הגיש </w:t>
      </w:r>
      <w:r>
        <w:rPr>
          <w:rFonts w:ascii="Tahoma" w:hAnsi="Tahoma" w:hint="cs"/>
          <w:rtl/>
        </w:rPr>
        <w:t xml:space="preserve">הנאשם </w:t>
      </w:r>
      <w:r>
        <w:rPr>
          <w:rFonts w:ascii="Tahoma" w:hAnsi="Tahoma"/>
          <w:rtl/>
        </w:rPr>
        <w:t>את המסמכים הנדרשים לאשפוזית. בנסיבות אלה נמנעה קצינת המבחן ממתן המלצה טיפולית-שיקומית בעניינו של הנאשם (ר' בתסקיר המשלים הנוסף מיום 24.10.2019).</w:t>
      </w:r>
    </w:p>
    <w:p w14:paraId="02E3A711"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בדיון שנערך לאחר מכן עתר ב"כ הנאשם למתן הזדמנות נוספת למרשו</w:t>
      </w:r>
      <w:r>
        <w:rPr>
          <w:rFonts w:ascii="Tahoma" w:hAnsi="Tahoma" w:hint="cs"/>
          <w:rtl/>
        </w:rPr>
        <w:t>, תוך טיעון ל</w:t>
      </w:r>
      <w:r>
        <w:rPr>
          <w:rFonts w:ascii="Tahoma" w:hAnsi="Tahoma"/>
          <w:rtl/>
        </w:rPr>
        <w:t>קשיים בתקשורת שבין הנאשם לבין קצינת המבחן החדשה, ו</w:t>
      </w:r>
      <w:r>
        <w:rPr>
          <w:rFonts w:ascii="Tahoma" w:hAnsi="Tahoma" w:hint="cs"/>
          <w:rtl/>
        </w:rPr>
        <w:t xml:space="preserve">בית המשפט </w:t>
      </w:r>
      <w:r>
        <w:rPr>
          <w:rFonts w:ascii="Tahoma" w:hAnsi="Tahoma"/>
          <w:rtl/>
        </w:rPr>
        <w:t>נעתר לבקשה (ר' ההחלטה בפרוטוקול, עמ' 10). עם זאת, גם בתסקיר משלים נוסף (מיום 28.01.20) לא שינתה קצינת המבחן (החדשה) מהתרשמותה. בין השאר ציינה קצינת המבחן שהנאשם לא פעל באופן אקטיבי לקידום ההליך הטיפולי, לרבות בהגשת המסמכים הנדרשים ל"אשפוזית", והתייצב לבדיקת שתן אחת בלבד (שנמצאה נקייה).</w:t>
      </w:r>
    </w:p>
    <w:p w14:paraId="728CE840" w14:textId="77777777" w:rsidR="00C47127" w:rsidRDefault="00C47127" w:rsidP="00C47127">
      <w:pPr>
        <w:spacing w:after="120" w:line="360" w:lineRule="auto"/>
        <w:jc w:val="both"/>
        <w:rPr>
          <w:rFonts w:ascii="Tahoma" w:hAnsi="Tahoma"/>
        </w:rPr>
      </w:pPr>
    </w:p>
    <w:p w14:paraId="22B6DE7C" w14:textId="77777777" w:rsidR="00C47127" w:rsidRDefault="00C47127" w:rsidP="00C47127">
      <w:pPr>
        <w:spacing w:after="120" w:line="360" w:lineRule="auto"/>
        <w:jc w:val="both"/>
        <w:rPr>
          <w:rFonts w:ascii="Tahoma" w:hAnsi="Tahoma"/>
          <w:b/>
          <w:bCs/>
          <w:u w:val="single"/>
          <w:rtl/>
        </w:rPr>
      </w:pPr>
      <w:r>
        <w:rPr>
          <w:rFonts w:ascii="Tahoma" w:hAnsi="Tahoma"/>
          <w:b/>
          <w:bCs/>
          <w:rtl/>
        </w:rPr>
        <w:t>ג.</w:t>
      </w:r>
      <w:r>
        <w:rPr>
          <w:rFonts w:ascii="Tahoma" w:hAnsi="Tahoma"/>
          <w:b/>
          <w:bCs/>
          <w:rtl/>
        </w:rPr>
        <w:tab/>
      </w:r>
      <w:r>
        <w:rPr>
          <w:rFonts w:ascii="Tahoma" w:hAnsi="Tahoma"/>
          <w:b/>
          <w:bCs/>
          <w:u w:val="single"/>
          <w:rtl/>
        </w:rPr>
        <w:t>הראיות לקביעת העונש ותמצית טיעוני הצדדים:</w:t>
      </w:r>
    </w:p>
    <w:p w14:paraId="5C81EF92"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 xml:space="preserve">כראייה לקביעת </w:t>
      </w:r>
      <w:r>
        <w:rPr>
          <w:rFonts w:ascii="Tahoma" w:hAnsi="Tahoma" w:hint="cs"/>
          <w:rtl/>
        </w:rPr>
        <w:t>ה</w:t>
      </w:r>
      <w:r>
        <w:rPr>
          <w:rFonts w:ascii="Tahoma" w:hAnsi="Tahoma"/>
          <w:rtl/>
        </w:rPr>
        <w:t>עונש הגישה ב"כ המאשימה את גיליון הרישום הפלילי של הנאשם (סומן ע/1). כעולה מגיליון זה לנאשם חמש הרשעות קודמות</w:t>
      </w:r>
      <w:r>
        <w:rPr>
          <w:rFonts w:ascii="Tahoma" w:hAnsi="Tahoma" w:hint="cs"/>
          <w:rtl/>
        </w:rPr>
        <w:t>,</w:t>
      </w:r>
      <w:r>
        <w:rPr>
          <w:rFonts w:ascii="Tahoma" w:hAnsi="Tahoma"/>
          <w:rtl/>
        </w:rPr>
        <w:t xml:space="preserve"> במגוון רחב של עבירות, וכן שני רישומים נוספים ללא הרשעה. </w:t>
      </w:r>
      <w:r>
        <w:rPr>
          <w:rFonts w:ascii="Tahoma" w:hAnsi="Tahoma" w:hint="cs"/>
          <w:rtl/>
        </w:rPr>
        <w:t xml:space="preserve">עם זאת, </w:t>
      </w:r>
      <w:r>
        <w:rPr>
          <w:rFonts w:ascii="Tahoma" w:hAnsi="Tahoma"/>
          <w:rtl/>
        </w:rPr>
        <w:t xml:space="preserve">כל הרישומים </w:t>
      </w:r>
      <w:r>
        <w:rPr>
          <w:rFonts w:ascii="Tahoma" w:hAnsi="Tahoma" w:hint="cs"/>
          <w:rtl/>
        </w:rPr>
        <w:t xml:space="preserve">הקודמים </w:t>
      </w:r>
      <w:r>
        <w:rPr>
          <w:rFonts w:ascii="Tahoma" w:hAnsi="Tahoma"/>
          <w:rtl/>
        </w:rPr>
        <w:t xml:space="preserve">– </w:t>
      </w:r>
      <w:r>
        <w:rPr>
          <w:rFonts w:ascii="Tahoma" w:hAnsi="Tahoma" w:hint="cs"/>
          <w:rtl/>
        </w:rPr>
        <w:t xml:space="preserve">למעט </w:t>
      </w:r>
      <w:r>
        <w:rPr>
          <w:rFonts w:ascii="Tahoma" w:hAnsi="Tahoma"/>
          <w:rtl/>
        </w:rPr>
        <w:t>ההרשעה הקודמת האחרונה, ש</w:t>
      </w:r>
      <w:r>
        <w:rPr>
          <w:rFonts w:ascii="Tahoma" w:hAnsi="Tahoma" w:hint="cs"/>
          <w:rtl/>
        </w:rPr>
        <w:t xml:space="preserve">גם </w:t>
      </w:r>
      <w:r>
        <w:rPr>
          <w:rFonts w:ascii="Tahoma" w:hAnsi="Tahoma"/>
          <w:rtl/>
        </w:rPr>
        <w:t xml:space="preserve">היא ישנה יחסית (מיום 29.01.12) – הם </w:t>
      </w:r>
      <w:r>
        <w:rPr>
          <w:rFonts w:ascii="Tahoma" w:hAnsi="Tahoma" w:hint="cs"/>
          <w:rtl/>
        </w:rPr>
        <w:t xml:space="preserve">עוד </w:t>
      </w:r>
      <w:r>
        <w:rPr>
          <w:rFonts w:ascii="Tahoma" w:hAnsi="Tahoma"/>
          <w:rtl/>
        </w:rPr>
        <w:t>מבית המשפט לנוער</w:t>
      </w:r>
      <w:r>
        <w:rPr>
          <w:rFonts w:ascii="Tahoma" w:hAnsi="Tahoma" w:hint="cs"/>
          <w:rtl/>
        </w:rPr>
        <w:t xml:space="preserve">. </w:t>
      </w:r>
      <w:r>
        <w:rPr>
          <w:rFonts w:ascii="Tahoma" w:hAnsi="Tahoma"/>
          <w:rtl/>
        </w:rPr>
        <w:t xml:space="preserve">אחד הרישומים מבית המשפט לנוער (ללא הרשעה) הוא בגין עבירה של החזקת סמים מסוכנים לצריכה עצמית, אך מדובר ברישום ישן </w:t>
      </w:r>
      <w:r>
        <w:rPr>
          <w:rFonts w:ascii="Tahoma" w:hAnsi="Tahoma" w:hint="cs"/>
          <w:rtl/>
        </w:rPr>
        <w:t xml:space="preserve">מלפני 14 שנים ויותר </w:t>
      </w:r>
      <w:r>
        <w:rPr>
          <w:rFonts w:ascii="Tahoma" w:hAnsi="Tahoma"/>
          <w:rtl/>
        </w:rPr>
        <w:t>(מיום 12.02.06). עוד הגישה ב"כ המאשימה ראיות מתיק החקירה, וזאת בהקשר לבקשת חילוט הכספים שנתפסו ברשותו של הנאשם</w:t>
      </w:r>
      <w:r>
        <w:rPr>
          <w:rFonts w:ascii="Tahoma" w:hAnsi="Tahoma" w:hint="cs"/>
          <w:rtl/>
        </w:rPr>
        <w:t>,</w:t>
      </w:r>
      <w:r>
        <w:rPr>
          <w:rFonts w:ascii="Tahoma" w:hAnsi="Tahoma"/>
          <w:rtl/>
        </w:rPr>
        <w:t xml:space="preserve"> הכלולה </w:t>
      </w:r>
      <w:r>
        <w:rPr>
          <w:rFonts w:ascii="Tahoma" w:hAnsi="Tahoma" w:hint="cs"/>
          <w:rtl/>
        </w:rPr>
        <w:t xml:space="preserve">כאמור </w:t>
      </w:r>
      <w:r>
        <w:rPr>
          <w:rFonts w:ascii="Tahoma" w:hAnsi="Tahoma"/>
          <w:rtl/>
        </w:rPr>
        <w:t>בכתב האישום (דו"ח הפעולה ע/2 והודעות הנאשם ע/3).</w:t>
      </w:r>
    </w:p>
    <w:p w14:paraId="7FD09A8A"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בטיעוניה לעונש עמדה ב"כ המאשימה על פרטי עובדות כתב האישום המתוקן, שבהן כאמור הודה הנאשם, ובמיוחד על סוג הסמים המדוברים (קוקאין) וכן העובדה שהסמים נמצאו בארון בגדים, כשהם מחולקים ל-172 מנות. ב"כ המאשימה הדגישה את הפגיעה שנגרמה עקב מעשי הנאשם לערכים החברתיים של השמירה על שלום הציבור ו</w:t>
      </w:r>
      <w:r>
        <w:rPr>
          <w:rFonts w:ascii="Tahoma" w:hAnsi="Tahoma" w:hint="cs"/>
          <w:rtl/>
        </w:rPr>
        <w:t xml:space="preserve">על </w:t>
      </w:r>
      <w:r>
        <w:rPr>
          <w:rFonts w:ascii="Tahoma" w:hAnsi="Tahoma"/>
          <w:rtl/>
        </w:rPr>
        <w:t xml:space="preserve">בריאותו, </w:t>
      </w:r>
      <w:r>
        <w:rPr>
          <w:rFonts w:ascii="Tahoma" w:hAnsi="Tahoma" w:hint="cs"/>
          <w:rtl/>
        </w:rPr>
        <w:t xml:space="preserve">והכל </w:t>
      </w:r>
      <w:r>
        <w:rPr>
          <w:rFonts w:ascii="Tahoma" w:hAnsi="Tahoma"/>
          <w:rtl/>
        </w:rPr>
        <w:t>בשל נזקי השימוש בסמים מסוכנים.</w:t>
      </w:r>
    </w:p>
    <w:p w14:paraId="00C58C8F"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 xml:space="preserve">ב"כ המאשימה טענה כי במקרים דומים </w:t>
      </w:r>
      <w:r>
        <w:rPr>
          <w:rFonts w:ascii="Tahoma" w:hAnsi="Tahoma" w:hint="cs"/>
          <w:rtl/>
        </w:rPr>
        <w:t>נ</w:t>
      </w:r>
      <w:r>
        <w:rPr>
          <w:rFonts w:ascii="Tahoma" w:hAnsi="Tahoma"/>
          <w:rtl/>
        </w:rPr>
        <w:t xml:space="preserve">קבע </w:t>
      </w:r>
      <w:r>
        <w:rPr>
          <w:rFonts w:ascii="Tahoma" w:hAnsi="Tahoma" w:hint="cs"/>
          <w:rtl/>
        </w:rPr>
        <w:t>ב</w:t>
      </w:r>
      <w:r>
        <w:rPr>
          <w:rFonts w:ascii="Tahoma" w:hAnsi="Tahoma"/>
          <w:rtl/>
        </w:rPr>
        <w:t>פסיקה מתחם עונש הולם שהרף התחתון בו נע בין 10 חודשי מאסר בפועל לבין 12 חודשי מאסר בפועל, ובענייננו עתרה – נוכח כמו</w:t>
      </w:r>
      <w:r>
        <w:rPr>
          <w:rFonts w:ascii="Tahoma" w:hAnsi="Tahoma" w:hint="cs"/>
          <w:rtl/>
        </w:rPr>
        <w:t>ת</w:t>
      </w:r>
      <w:r>
        <w:rPr>
          <w:rFonts w:ascii="Tahoma" w:hAnsi="Tahoma"/>
          <w:rtl/>
        </w:rPr>
        <w:t xml:space="preserve"> הסמים – לקביעת מתחם עונש הולם שבין 12 חודשי מאסר בפועל לבין 24 חודשי מאסר בפועל. ב"כ המאשימה הפנתה בהקשר זה ל</w:t>
      </w:r>
      <w:hyperlink r:id="rId16" w:history="1">
        <w:r w:rsidR="00857751" w:rsidRPr="00857751">
          <w:rPr>
            <w:rFonts w:ascii="Tahoma" w:hAnsi="Tahoma"/>
            <w:color w:val="0000FF"/>
            <w:u w:val="single"/>
            <w:rtl/>
          </w:rPr>
          <w:t>רע"פ 1122/17</w:t>
        </w:r>
      </w:hyperlink>
      <w:r>
        <w:rPr>
          <w:rFonts w:ascii="Tahoma" w:hAnsi="Tahoma"/>
          <w:rtl/>
        </w:rPr>
        <w:t xml:space="preserve"> </w:t>
      </w:r>
      <w:r>
        <w:rPr>
          <w:rFonts w:ascii="Tahoma" w:hAnsi="Tahoma"/>
          <w:b/>
          <w:bCs/>
          <w:rtl/>
        </w:rPr>
        <w:t xml:space="preserve">גולדשטיין נ' מדינת ישראל </w:t>
      </w:r>
      <w:r>
        <w:rPr>
          <w:rFonts w:ascii="Tahoma" w:hAnsi="Tahoma"/>
          <w:rtl/>
        </w:rPr>
        <w:t xml:space="preserve">(05.07.2017), שם נקבע מתחם עונש הולם שבין 10 חודשי מאסר בפועל לבין 24 חודשי מאסר בפועל. יוטעם, כי בעניין </w:t>
      </w:r>
      <w:r>
        <w:rPr>
          <w:rFonts w:ascii="Tahoma" w:hAnsi="Tahoma"/>
          <w:b/>
          <w:bCs/>
          <w:rtl/>
        </w:rPr>
        <w:t>גולדשטיין</w:t>
      </w:r>
      <w:r>
        <w:rPr>
          <w:rFonts w:ascii="Tahoma" w:hAnsi="Tahoma"/>
          <w:rtl/>
        </w:rPr>
        <w:t xml:space="preserve"> אמנם דובר בסמים מסוכנים זהים (מסוג קוקאין) בכמות קטנה יותר מבענייננו (18.65 גרם נטו), </w:t>
      </w:r>
      <w:r>
        <w:rPr>
          <w:rFonts w:ascii="Tahoma" w:hAnsi="Tahoma" w:hint="cs"/>
          <w:rtl/>
        </w:rPr>
        <w:t xml:space="preserve">כאשר </w:t>
      </w:r>
      <w:r>
        <w:rPr>
          <w:rFonts w:ascii="Tahoma" w:hAnsi="Tahoma"/>
          <w:rtl/>
        </w:rPr>
        <w:t xml:space="preserve">בנוסף הורשע הנאשם דשם בהחזקת 9 מנות של סמים מסוכנים מסוג </w:t>
      </w:r>
      <w:r w:rsidRPr="00D74AFD">
        <w:rPr>
          <w:rFonts w:ascii="David" w:hAnsi="David"/>
        </w:rPr>
        <w:t>MDMA</w:t>
      </w:r>
      <w:r>
        <w:rPr>
          <w:rFonts w:ascii="Tahoma" w:hAnsi="Tahoma"/>
          <w:rtl/>
        </w:rPr>
        <w:t xml:space="preserve"> וכן בעבירה של נהיגה תחת השפעת סמים מסוכנים.</w:t>
      </w:r>
    </w:p>
    <w:p w14:paraId="35ADF722"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 xml:space="preserve">אשר לגזירת עונשו של הנאשם בתוך מתחם העונש ההולם עתרה ב"כ המאשימה למיקומו בשליש העליון של המתחם. ב"כ המאשימה ערה לכך שיש לזקוף לזכות הנאשם את ההודאה ונטילת האחריות, אך לשיטתה </w:t>
      </w:r>
      <w:r>
        <w:rPr>
          <w:rFonts w:ascii="Tahoma" w:hAnsi="Tahoma" w:hint="cs"/>
          <w:rtl/>
        </w:rPr>
        <w:t xml:space="preserve">יש </w:t>
      </w:r>
      <w:r>
        <w:rPr>
          <w:rFonts w:ascii="Tahoma" w:hAnsi="Tahoma"/>
          <w:rtl/>
        </w:rPr>
        <w:t xml:space="preserve">ליתן משקל מכריע לעברו הפלילי של הנאשם ולנתונים השליליים העולים משני תסקירי שירות המבחן האחרונים. </w:t>
      </w:r>
      <w:r>
        <w:rPr>
          <w:rFonts w:ascii="Tahoma" w:hAnsi="Tahoma" w:hint="cs"/>
          <w:rtl/>
        </w:rPr>
        <w:t xml:space="preserve">עוד </w:t>
      </w:r>
      <w:r>
        <w:rPr>
          <w:rFonts w:ascii="Tahoma" w:hAnsi="Tahoma"/>
          <w:rtl/>
        </w:rPr>
        <w:t>עתרה ב"כ המאשימה להשתת ענישה נלווית</w:t>
      </w:r>
      <w:r>
        <w:rPr>
          <w:rFonts w:ascii="Tahoma" w:hAnsi="Tahoma" w:hint="cs"/>
          <w:rtl/>
        </w:rPr>
        <w:t>,</w:t>
      </w:r>
      <w:r>
        <w:rPr>
          <w:rFonts w:ascii="Tahoma" w:hAnsi="Tahoma"/>
          <w:rtl/>
        </w:rPr>
        <w:t xml:space="preserve"> שתכלול מאסר מותנה וקנס כספי שיבטא את חומרת העבירות</w:t>
      </w:r>
      <w:r>
        <w:rPr>
          <w:rFonts w:ascii="Tahoma" w:hAnsi="Tahoma" w:hint="cs"/>
          <w:rtl/>
        </w:rPr>
        <w:t xml:space="preserve">, וכן </w:t>
      </w:r>
      <w:r>
        <w:rPr>
          <w:rFonts w:ascii="Tahoma" w:hAnsi="Tahoma"/>
          <w:rtl/>
        </w:rPr>
        <w:t xml:space="preserve">– בהמשך לקביעה בהכרעת הדין כי הנאשם הוא סוחר סמים – </w:t>
      </w:r>
      <w:r>
        <w:rPr>
          <w:rFonts w:ascii="Tahoma" w:hAnsi="Tahoma" w:hint="cs"/>
          <w:rtl/>
        </w:rPr>
        <w:t>ל</w:t>
      </w:r>
      <w:r>
        <w:rPr>
          <w:rFonts w:ascii="Tahoma" w:hAnsi="Tahoma"/>
          <w:rtl/>
        </w:rPr>
        <w:t>חילוט הכספים שנתפסו ברשות הנאשם לטובת אוצר המדינה.</w:t>
      </w:r>
    </w:p>
    <w:p w14:paraId="6DEE9B22"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 xml:space="preserve">ב"כ הנאשם, מצידו, התמקד בטיעוניו בנסיבותיו האישיות המיוחדות של הנאשם והשתלבותו בהליך טיפולי-שיקומי משמעותי, השתלבות שלשיטת הסניגור נגדעה בשל היעדר "כימיה" עם קצינת המבחן </w:t>
      </w:r>
      <w:r>
        <w:rPr>
          <w:rFonts w:ascii="Tahoma" w:hAnsi="Tahoma" w:hint="cs"/>
          <w:rtl/>
        </w:rPr>
        <w:t xml:space="preserve">החדשה </w:t>
      </w:r>
      <w:r>
        <w:rPr>
          <w:rFonts w:ascii="Tahoma" w:hAnsi="Tahoma"/>
          <w:rtl/>
        </w:rPr>
        <w:t xml:space="preserve">(ר' בפרוטוקול, עמ' 14 שורה </w:t>
      </w:r>
      <w:r>
        <w:rPr>
          <w:rFonts w:ascii="Tahoma" w:hAnsi="Tahoma" w:hint="cs"/>
          <w:rtl/>
        </w:rPr>
        <w:t>22</w:t>
      </w:r>
      <w:r>
        <w:rPr>
          <w:rFonts w:ascii="Tahoma" w:hAnsi="Tahoma"/>
          <w:rtl/>
        </w:rPr>
        <w:t xml:space="preserve"> ואילך). ב"כ הנאשם הוסיף וטען כי לגרסת הנאשם הוא פעל לקידום ההליך הטיפולי, ניגש לאשפוזית אך נאמר לו שהוא צריך להמתין בשל העומס במרפאה, ואף התייצב כנדרש לבדיקות השתן ולא פעם אחת בלבד כפי שצוין בתסקיר</w:t>
      </w:r>
      <w:r>
        <w:rPr>
          <w:rFonts w:ascii="Tahoma" w:hAnsi="Tahoma" w:hint="cs"/>
          <w:rtl/>
        </w:rPr>
        <w:t xml:space="preserve"> האחרון</w:t>
      </w:r>
      <w:r>
        <w:rPr>
          <w:rFonts w:ascii="Tahoma" w:hAnsi="Tahoma"/>
          <w:rtl/>
        </w:rPr>
        <w:t>.</w:t>
      </w:r>
    </w:p>
    <w:p w14:paraId="75C24D1A" w14:textId="77777777" w:rsidR="00C47127" w:rsidRDefault="00C47127" w:rsidP="00C47127">
      <w:pPr>
        <w:spacing w:after="120" w:line="360" w:lineRule="auto"/>
        <w:ind w:left="720"/>
        <w:jc w:val="both"/>
        <w:rPr>
          <w:rFonts w:ascii="Tahoma" w:hAnsi="Tahoma"/>
        </w:rPr>
      </w:pPr>
      <w:r>
        <w:rPr>
          <w:rFonts w:ascii="Tahoma" w:hAnsi="Tahoma" w:hint="cs"/>
          <w:rtl/>
        </w:rPr>
        <w:t xml:space="preserve">יוטעם, כי </w:t>
      </w:r>
      <w:r>
        <w:rPr>
          <w:rFonts w:ascii="Tahoma" w:hAnsi="Tahoma"/>
          <w:rtl/>
        </w:rPr>
        <w:t xml:space="preserve">בנסיבות אלה הוריתי לב"כ המאשימה לערוך בירור בדבר </w:t>
      </w:r>
      <w:r>
        <w:rPr>
          <w:rFonts w:ascii="Tahoma" w:hAnsi="Tahoma" w:hint="cs"/>
          <w:rtl/>
        </w:rPr>
        <w:t xml:space="preserve">ולהודיע את תוצאותיו </w:t>
      </w:r>
      <w:r>
        <w:rPr>
          <w:rFonts w:ascii="Tahoma" w:hAnsi="Tahoma"/>
          <w:rtl/>
        </w:rPr>
        <w:t>(ר' ההחלטה בפרוטוקול, עמ' 17)</w:t>
      </w:r>
      <w:r>
        <w:rPr>
          <w:rFonts w:ascii="Tahoma" w:hAnsi="Tahoma" w:hint="cs"/>
          <w:rtl/>
        </w:rPr>
        <w:t>. בהודעה שהגישה ב"כ המאשימה צוין כ</w:t>
      </w:r>
      <w:r>
        <w:rPr>
          <w:rFonts w:ascii="Tahoma" w:hAnsi="Tahoma"/>
          <w:rtl/>
        </w:rPr>
        <w:t xml:space="preserve">י בחודש ינואר </w:t>
      </w:r>
      <w:r>
        <w:rPr>
          <w:rFonts w:ascii="Tahoma" w:hAnsi="Tahoma" w:hint="cs"/>
          <w:rtl/>
        </w:rPr>
        <w:t xml:space="preserve">אכן </w:t>
      </w:r>
      <w:r>
        <w:rPr>
          <w:rFonts w:ascii="Tahoma" w:hAnsi="Tahoma"/>
          <w:rtl/>
        </w:rPr>
        <w:t>התייצב הנאשם לשתי בדיקות שתן (שנמצאו נקיות)</w:t>
      </w:r>
      <w:r>
        <w:rPr>
          <w:rFonts w:ascii="Tahoma" w:hAnsi="Tahoma" w:hint="cs"/>
          <w:rtl/>
        </w:rPr>
        <w:t xml:space="preserve">, כאשר </w:t>
      </w:r>
      <w:r>
        <w:rPr>
          <w:rFonts w:ascii="Tahoma" w:hAnsi="Tahoma"/>
          <w:rtl/>
        </w:rPr>
        <w:t>האמור בהקשר זה בתסקיר נבע מטעות אנוש (ר' הודעת ב"כ המאשימה במסגרת בקשה מס' 15).</w:t>
      </w:r>
    </w:p>
    <w:p w14:paraId="3A14D20F"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ב"כ הנאשם חזר והדגיש כי מדובר בנאשם שערך תפנית משמעותית בחייו ב</w:t>
      </w:r>
      <w:r>
        <w:rPr>
          <w:rFonts w:ascii="Tahoma" w:hAnsi="Tahoma" w:hint="cs"/>
          <w:rtl/>
        </w:rPr>
        <w:t>מהלך ה</w:t>
      </w:r>
      <w:r>
        <w:rPr>
          <w:rFonts w:ascii="Tahoma" w:hAnsi="Tahoma"/>
          <w:rtl/>
        </w:rPr>
        <w:t xml:space="preserve">תקופה של שנתיים ויותר </w:t>
      </w:r>
      <w:r>
        <w:rPr>
          <w:rFonts w:ascii="Tahoma" w:hAnsi="Tahoma" w:hint="cs"/>
          <w:rtl/>
        </w:rPr>
        <w:t>א</w:t>
      </w:r>
      <w:r>
        <w:rPr>
          <w:rFonts w:ascii="Tahoma" w:hAnsi="Tahoma"/>
          <w:rtl/>
        </w:rPr>
        <w:t>ש</w:t>
      </w:r>
      <w:r>
        <w:rPr>
          <w:rFonts w:ascii="Tahoma" w:hAnsi="Tahoma" w:hint="cs"/>
          <w:rtl/>
        </w:rPr>
        <w:t xml:space="preserve">ר </w:t>
      </w:r>
      <w:r>
        <w:rPr>
          <w:rFonts w:ascii="Tahoma" w:hAnsi="Tahoma"/>
          <w:rtl/>
        </w:rPr>
        <w:t>חלפה מאז ביצוע העבירה מושא כתב האישום המתוקן</w:t>
      </w:r>
      <w:r>
        <w:rPr>
          <w:rFonts w:ascii="Tahoma" w:hAnsi="Tahoma" w:hint="cs"/>
          <w:rtl/>
        </w:rPr>
        <w:t xml:space="preserve"> ועד היום</w:t>
      </w:r>
      <w:r>
        <w:rPr>
          <w:rFonts w:ascii="Tahoma" w:hAnsi="Tahoma"/>
          <w:rtl/>
        </w:rPr>
        <w:t>. הנאשם התנקה מסמים, השתלב בשוק העבודה, חזר לארוסתו ו</w:t>
      </w:r>
      <w:r>
        <w:rPr>
          <w:rFonts w:ascii="Tahoma" w:hAnsi="Tahoma" w:hint="cs"/>
          <w:rtl/>
        </w:rPr>
        <w:t xml:space="preserve">כיום </w:t>
      </w:r>
      <w:r>
        <w:rPr>
          <w:rFonts w:ascii="Tahoma" w:hAnsi="Tahoma"/>
          <w:rtl/>
        </w:rPr>
        <w:t xml:space="preserve">מנסה לבנות לעצמו חיים נורמטיביים. בנסיבות אלה, כך לשיטת הסניגור, יש להעדיף את האינטרס </w:t>
      </w:r>
      <w:r>
        <w:rPr>
          <w:rFonts w:ascii="Tahoma" w:hAnsi="Tahoma" w:hint="cs"/>
          <w:rtl/>
        </w:rPr>
        <w:t>ה</w:t>
      </w:r>
      <w:r>
        <w:rPr>
          <w:rFonts w:ascii="Tahoma" w:hAnsi="Tahoma"/>
          <w:rtl/>
        </w:rPr>
        <w:t xml:space="preserve">טיפולי-שיקומי ולהקל עם הנאשם, </w:t>
      </w:r>
      <w:r>
        <w:rPr>
          <w:rFonts w:ascii="Tahoma" w:hAnsi="Tahoma" w:hint="cs"/>
          <w:rtl/>
        </w:rPr>
        <w:t xml:space="preserve">והכל </w:t>
      </w:r>
      <w:r>
        <w:rPr>
          <w:rFonts w:ascii="Tahoma" w:hAnsi="Tahoma"/>
          <w:rtl/>
        </w:rPr>
        <w:t>על מנת לעודדו להתמיד במסלול הנורמטיבי בו הוא מצוי כעת. עוד הדגיש ב"כ הנאשם, בהקשר זה, כי עברו הפלילי של הנאשם אינו כה חמור</w:t>
      </w:r>
      <w:r>
        <w:rPr>
          <w:rFonts w:ascii="Tahoma" w:hAnsi="Tahoma" w:hint="cs"/>
          <w:rtl/>
        </w:rPr>
        <w:t xml:space="preserve"> ואף אינו רלוואנטי. לנאשם רק </w:t>
      </w:r>
      <w:r>
        <w:rPr>
          <w:rFonts w:ascii="Tahoma" w:hAnsi="Tahoma"/>
          <w:rtl/>
        </w:rPr>
        <w:t xml:space="preserve">הרשעה אחת ישנה מאוד בעבירת סמים, </w:t>
      </w:r>
      <w:r>
        <w:rPr>
          <w:rFonts w:ascii="Tahoma" w:hAnsi="Tahoma" w:hint="cs"/>
          <w:rtl/>
        </w:rPr>
        <w:t xml:space="preserve">וגם </w:t>
      </w:r>
      <w:r>
        <w:rPr>
          <w:rFonts w:ascii="Tahoma" w:hAnsi="Tahoma"/>
          <w:rtl/>
        </w:rPr>
        <w:t>הרשעתו הקודמת האחרונה היא בגין עבירות משנת 2011.</w:t>
      </w:r>
    </w:p>
    <w:p w14:paraId="4BCB6DC7"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אשר למתחם העונש ההולם ציין ב"כ הנאשם כי אינו חולק מהותית על עמדת ב"כ המאשימה, אך לשיטתו הרף התחתון של מתחם העונש ההולם צריך לעמוד על 9 חודשי מאסר בפועל ולא 10 חודשים</w:t>
      </w:r>
      <w:r>
        <w:rPr>
          <w:rFonts w:ascii="Tahoma" w:hAnsi="Tahoma" w:hint="cs"/>
          <w:rtl/>
        </w:rPr>
        <w:t>,</w:t>
      </w:r>
      <w:r>
        <w:rPr>
          <w:rFonts w:ascii="Tahoma" w:hAnsi="Tahoma"/>
          <w:rtl/>
        </w:rPr>
        <w:t xml:space="preserve"> כטענת ב"כ המאשימה. לפיכך, וכאשר במקרה דנא קיים סיכוי ממשי לשיקום – כמוכח בהתנהגות הנאשם </w:t>
      </w:r>
      <w:r>
        <w:rPr>
          <w:rFonts w:ascii="Tahoma" w:hAnsi="Tahoma" w:hint="cs"/>
          <w:rtl/>
        </w:rPr>
        <w:t xml:space="preserve">בתקופה שחלפה </w:t>
      </w:r>
      <w:r>
        <w:rPr>
          <w:rFonts w:ascii="Tahoma" w:hAnsi="Tahoma"/>
          <w:rtl/>
        </w:rPr>
        <w:t>מאז ביצוע העבירה – עתר ב"כ הנאשם להקל עם הנאשם ולהסתפק בעניינו בענישה שניתן לשאתה בדרך של עבודות שירות.</w:t>
      </w:r>
    </w:p>
    <w:p w14:paraId="563F4D73"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rtl/>
        </w:rPr>
        <w:t xml:space="preserve">לבסוף הנאשם, בדברו האחרון לעונש, </w:t>
      </w:r>
      <w:r>
        <w:rPr>
          <w:rFonts w:ascii="Tahoma" w:hAnsi="Tahoma" w:hint="cs"/>
          <w:rtl/>
        </w:rPr>
        <w:t xml:space="preserve">חזר והדגיש </w:t>
      </w:r>
      <w:r>
        <w:rPr>
          <w:rFonts w:ascii="Tahoma" w:hAnsi="Tahoma"/>
          <w:rtl/>
        </w:rPr>
        <w:t xml:space="preserve">את שיתוף הפעולה מצידו עם שירות המבחן, </w:t>
      </w:r>
      <w:r>
        <w:rPr>
          <w:rFonts w:ascii="Tahoma" w:hAnsi="Tahoma" w:hint="cs"/>
          <w:rtl/>
        </w:rPr>
        <w:t xml:space="preserve">הן </w:t>
      </w:r>
      <w:r>
        <w:rPr>
          <w:rFonts w:ascii="Tahoma" w:hAnsi="Tahoma"/>
          <w:rtl/>
        </w:rPr>
        <w:t>בהגעה לפגישות</w:t>
      </w:r>
      <w:r>
        <w:rPr>
          <w:rFonts w:ascii="Tahoma" w:hAnsi="Tahoma" w:hint="cs"/>
          <w:rtl/>
        </w:rPr>
        <w:t xml:space="preserve"> והן בכל שנדרש ממנו לרבות </w:t>
      </w:r>
      <w:r>
        <w:rPr>
          <w:rFonts w:ascii="Tahoma" w:hAnsi="Tahoma"/>
          <w:rtl/>
        </w:rPr>
        <w:t>במסירת בדיקות שתן. הנאשם הוסיף כי מסר בדיק</w:t>
      </w:r>
      <w:r>
        <w:rPr>
          <w:rFonts w:ascii="Tahoma" w:hAnsi="Tahoma" w:hint="cs"/>
          <w:rtl/>
        </w:rPr>
        <w:t xml:space="preserve">ה גם </w:t>
      </w:r>
      <w:r>
        <w:rPr>
          <w:rFonts w:ascii="Tahoma" w:hAnsi="Tahoma"/>
          <w:rtl/>
        </w:rPr>
        <w:t>אצל הממונה על עבודות השירות (בחוות דעת הממונה אכן מצוין שהנאשם נדגם ונמצא נקי).</w:t>
      </w:r>
    </w:p>
    <w:p w14:paraId="558B0CAB" w14:textId="77777777" w:rsidR="00C47127" w:rsidRDefault="00C47127" w:rsidP="00C47127">
      <w:pPr>
        <w:spacing w:after="120" w:line="360" w:lineRule="auto"/>
        <w:jc w:val="both"/>
        <w:rPr>
          <w:rFonts w:ascii="Tahoma" w:hAnsi="Tahoma"/>
          <w:rtl/>
        </w:rPr>
      </w:pPr>
    </w:p>
    <w:p w14:paraId="5271D86F" w14:textId="77777777" w:rsidR="00C47127" w:rsidRPr="00CD5C10" w:rsidRDefault="00C47127" w:rsidP="00C47127">
      <w:pPr>
        <w:snapToGrid w:val="0"/>
        <w:spacing w:after="120" w:line="360" w:lineRule="auto"/>
        <w:jc w:val="both"/>
        <w:rPr>
          <w:b/>
          <w:bCs/>
          <w:u w:val="single"/>
          <w:rtl/>
        </w:rPr>
      </w:pPr>
      <w:r>
        <w:rPr>
          <w:rFonts w:hint="cs"/>
          <w:b/>
          <w:bCs/>
          <w:rtl/>
        </w:rPr>
        <w:t>ד</w:t>
      </w:r>
      <w:r w:rsidRPr="00CD5C10">
        <w:rPr>
          <w:rFonts w:hint="cs"/>
          <w:b/>
          <w:bCs/>
          <w:rtl/>
        </w:rPr>
        <w:t>.</w:t>
      </w:r>
      <w:r w:rsidRPr="00CD5C10">
        <w:rPr>
          <w:rFonts w:hint="cs"/>
          <w:b/>
          <w:bCs/>
          <w:rtl/>
        </w:rPr>
        <w:tab/>
      </w:r>
      <w:r w:rsidRPr="00CD5C10">
        <w:rPr>
          <w:rFonts w:hint="cs"/>
          <w:b/>
          <w:bCs/>
          <w:u w:val="single"/>
          <w:rtl/>
        </w:rPr>
        <w:t>קביעת מתחם העונש ההולם:</w:t>
      </w:r>
    </w:p>
    <w:p w14:paraId="7488EBC5"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hint="cs"/>
          <w:rtl/>
        </w:rPr>
        <w:t xml:space="preserve">בעת גזירת עונשו של נאשם על בית המשפט לקבוע, תחילה, את מתחם העונש ההולם לאירוע שבגינו הורשע הנאשם, בהתאם </w:t>
      </w:r>
      <w:r w:rsidRPr="00004077">
        <w:rPr>
          <w:rFonts w:ascii="Tahoma" w:hAnsi="Tahoma" w:hint="cs"/>
          <w:rtl/>
        </w:rPr>
        <w:t>לעיקרון ה</w:t>
      </w:r>
      <w:r>
        <w:rPr>
          <w:rFonts w:ascii="Tahoma" w:hAnsi="Tahoma" w:hint="cs"/>
          <w:rtl/>
        </w:rPr>
        <w:t>הלימה. בהקשר זה יתחשב בית המשפט</w:t>
      </w:r>
      <w:r>
        <w:rPr>
          <w:rFonts w:hint="cs"/>
          <w:rtl/>
        </w:rPr>
        <w:t xml:space="preserve"> בערכים החברתיים שנפגעו מביצוע העבירות ובמידת הפגיעה בהם, במדיניות הענישה הנהוגה ובנסיבות הקשורות בביצוע העבירות.</w:t>
      </w:r>
    </w:p>
    <w:p w14:paraId="43C9CF6A"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ascii="Tahoma" w:hAnsi="Tahoma" w:hint="cs"/>
          <w:rtl/>
        </w:rPr>
        <w:t>הפסיקה חזרה ועמדה על חומרתן הרבה של עבירות הסמים, הן בשל הסכנה הנשקפת לבריאות הציבור מצריכתם של סמים מסוכנים והן בשל היותן גורם "מחולל פשיעה", דהיינו: גורם הכרוך או אף עומד ביסוד ביצוען של עבירות רבות אחרות. ברי אפוא כי ביצוען של עבירות סמים פוגע, ובמידה משמעותית, בערכים החברתיים של ההגנה על שלום הציבור ועל בריאותו. דברים אלה הם בבחינת קל וחומר כאשר מדובר, כבענייננו, בסמים "קשים", ולפיכך הרף התחתון של מתחם העונש ההולם במקרים כגון דא חייב לכלול עונש של מאסר בפועל.</w:t>
      </w:r>
    </w:p>
    <w:p w14:paraId="3026F03F" w14:textId="77777777" w:rsidR="00C47127" w:rsidRPr="00B01E52" w:rsidRDefault="00C47127" w:rsidP="00C47127">
      <w:pPr>
        <w:numPr>
          <w:ilvl w:val="0"/>
          <w:numId w:val="1"/>
        </w:numPr>
        <w:tabs>
          <w:tab w:val="num" w:pos="720"/>
        </w:tabs>
        <w:spacing w:after="120" w:line="360" w:lineRule="auto"/>
        <w:ind w:left="720"/>
        <w:jc w:val="both"/>
        <w:rPr>
          <w:rFonts w:ascii="Tahoma" w:hAnsi="Tahoma"/>
        </w:rPr>
      </w:pPr>
      <w:r w:rsidRPr="00B01E52">
        <w:rPr>
          <w:rFonts w:ascii="Tahoma" w:hAnsi="Tahoma" w:hint="cs"/>
          <w:rtl/>
        </w:rPr>
        <w:t xml:space="preserve">עם זאת, בקביעת מתחם העונש ההולם בעבירות סמים יש להתחשב לא רק בסוג הסמים (בענייננו קוקאין), אלא גם בכמות הסמים (בענייננו 25 גרם) ובמהות העבירה (בענייננו החזקה שלא לצריכה עצמית). עוד יש להתחשב, בהקשר זה, בתיקון המשמעותי לקולה בעובדות כתב האישום המתוקן, שכלל השמטה של עבירת סחר. בנסיבות אלה </w:t>
      </w:r>
      <w:r w:rsidRPr="00B01E52">
        <w:rPr>
          <w:rFonts w:ascii="Tahoma" w:hAnsi="Tahoma"/>
          <w:rtl/>
        </w:rPr>
        <w:t>–</w:t>
      </w:r>
      <w:r w:rsidRPr="00B01E52">
        <w:rPr>
          <w:rFonts w:ascii="Tahoma" w:hAnsi="Tahoma" w:hint="cs"/>
          <w:rtl/>
        </w:rPr>
        <w:t xml:space="preserve"> גם בהתייחס למדיניות הענישה המשתקפת מרע"פ </w:t>
      </w:r>
      <w:r w:rsidRPr="00B01E52">
        <w:rPr>
          <w:rFonts w:ascii="Tahoma" w:hAnsi="Tahoma" w:hint="cs"/>
          <w:b/>
          <w:bCs/>
          <w:rtl/>
        </w:rPr>
        <w:t>גולדשטיין</w:t>
      </w:r>
      <w:r w:rsidRPr="00B01E52">
        <w:rPr>
          <w:rFonts w:ascii="Tahoma" w:hAnsi="Tahoma" w:hint="cs"/>
          <w:rtl/>
        </w:rPr>
        <w:t xml:space="preserve"> הנ"ל שאליו הפנתה ב"כ המאשימה </w:t>
      </w:r>
      <w:r w:rsidRPr="00B01E52">
        <w:rPr>
          <w:rFonts w:ascii="Tahoma" w:hAnsi="Tahoma"/>
          <w:rtl/>
        </w:rPr>
        <w:t>–</w:t>
      </w:r>
      <w:r w:rsidRPr="00B01E52">
        <w:rPr>
          <w:rFonts w:ascii="Tahoma" w:hAnsi="Tahoma" w:hint="cs"/>
          <w:rtl/>
        </w:rPr>
        <w:t xml:space="preserve"> יש להעמיד את הרף התחתון של מתחם העונש ההולם בענייננו על תשעה חודשי מאסר בפועל.</w:t>
      </w:r>
    </w:p>
    <w:p w14:paraId="60DB7973" w14:textId="77777777" w:rsidR="00C47127" w:rsidRPr="00CE1F20" w:rsidRDefault="00C47127" w:rsidP="00C47127">
      <w:pPr>
        <w:numPr>
          <w:ilvl w:val="0"/>
          <w:numId w:val="1"/>
        </w:numPr>
        <w:tabs>
          <w:tab w:val="num" w:pos="720"/>
        </w:tabs>
        <w:spacing w:after="120" w:line="360" w:lineRule="auto"/>
        <w:ind w:left="720"/>
        <w:jc w:val="both"/>
        <w:rPr>
          <w:rFonts w:ascii="Tahoma" w:hAnsi="Tahoma"/>
        </w:rPr>
      </w:pPr>
      <w:r>
        <w:rPr>
          <w:rFonts w:hint="cs"/>
          <w:rtl/>
        </w:rPr>
        <w:t>אני קובע אפוא את מתחם העונש ההולם, במקרה זה, בין 9 חודשי מאסר בפועל לבין 24 חודשי מאסר בפועל.</w:t>
      </w:r>
    </w:p>
    <w:p w14:paraId="5ECF2570" w14:textId="77777777" w:rsidR="00C47127" w:rsidRPr="00CE1F20" w:rsidRDefault="00C47127" w:rsidP="00C47127">
      <w:pPr>
        <w:spacing w:after="120" w:line="360" w:lineRule="auto"/>
        <w:jc w:val="both"/>
        <w:rPr>
          <w:rtl/>
        </w:rPr>
      </w:pPr>
    </w:p>
    <w:p w14:paraId="4BDC32C5" w14:textId="77777777" w:rsidR="00C47127" w:rsidRPr="00CE1F20" w:rsidRDefault="00C47127" w:rsidP="00C47127">
      <w:pPr>
        <w:snapToGrid w:val="0"/>
        <w:spacing w:after="120" w:line="360" w:lineRule="auto"/>
        <w:jc w:val="both"/>
        <w:rPr>
          <w:b/>
          <w:bCs/>
          <w:u w:val="single"/>
          <w:rtl/>
        </w:rPr>
      </w:pPr>
      <w:r>
        <w:rPr>
          <w:rFonts w:hint="cs"/>
          <w:b/>
          <w:bCs/>
          <w:rtl/>
        </w:rPr>
        <w:t>ה</w:t>
      </w:r>
      <w:r w:rsidRPr="00CE1F20">
        <w:rPr>
          <w:rFonts w:hint="cs"/>
          <w:b/>
          <w:bCs/>
          <w:rtl/>
        </w:rPr>
        <w:t>.</w:t>
      </w:r>
      <w:r w:rsidRPr="00CE1F20">
        <w:rPr>
          <w:b/>
          <w:bCs/>
          <w:rtl/>
        </w:rPr>
        <w:tab/>
      </w:r>
      <w:r w:rsidRPr="00CE1F20">
        <w:rPr>
          <w:rFonts w:hint="cs"/>
          <w:b/>
          <w:bCs/>
          <w:u w:val="single"/>
          <w:rtl/>
        </w:rPr>
        <w:t>גזירת עונשו של הנאשם בתוך מתחם העונש ההולם:</w:t>
      </w:r>
    </w:p>
    <w:p w14:paraId="59949DC9" w14:textId="77777777" w:rsidR="00C47127" w:rsidRDefault="00C47127" w:rsidP="00C47127">
      <w:pPr>
        <w:numPr>
          <w:ilvl w:val="0"/>
          <w:numId w:val="1"/>
        </w:numPr>
        <w:tabs>
          <w:tab w:val="num" w:pos="720"/>
        </w:tabs>
        <w:spacing w:after="120" w:line="360" w:lineRule="auto"/>
        <w:ind w:left="720"/>
        <w:jc w:val="both"/>
        <w:rPr>
          <w:rFonts w:ascii="Tahoma" w:hAnsi="Tahoma"/>
        </w:rPr>
      </w:pPr>
      <w:r>
        <w:rPr>
          <w:rFonts w:hint="cs"/>
          <w:rtl/>
        </w:rPr>
        <w:t>לאחר קביעת מתחם העונש ההולם, על בית המשפט לגזור את עונשו של הנאשם בתוך מתחם זה תוך התחשבות בנסיבות שאינן קשורות בביצוע העבירות.</w:t>
      </w:r>
    </w:p>
    <w:p w14:paraId="35760947" w14:textId="77777777" w:rsidR="00C47127" w:rsidRPr="00627467" w:rsidRDefault="00C47127" w:rsidP="00C47127">
      <w:pPr>
        <w:numPr>
          <w:ilvl w:val="0"/>
          <w:numId w:val="1"/>
        </w:numPr>
        <w:tabs>
          <w:tab w:val="num" w:pos="720"/>
        </w:tabs>
        <w:spacing w:after="120" w:line="360" w:lineRule="auto"/>
        <w:ind w:left="720"/>
        <w:jc w:val="both"/>
        <w:rPr>
          <w:rFonts w:ascii="Tahoma" w:hAnsi="Tahoma"/>
        </w:rPr>
      </w:pPr>
      <w:r>
        <w:rPr>
          <w:rFonts w:hint="cs"/>
          <w:rtl/>
        </w:rPr>
        <w:t>אשר לנאשם שלפניי, השיקולים הרלוואנטיים לגזירת עונשו הם כלהלן:</w:t>
      </w:r>
    </w:p>
    <w:p w14:paraId="0C4EB9CB" w14:textId="77777777" w:rsidR="00C47127" w:rsidRDefault="00C47127" w:rsidP="00C47127">
      <w:pPr>
        <w:snapToGrid w:val="0"/>
        <w:spacing w:after="120" w:line="360" w:lineRule="auto"/>
        <w:ind w:left="1440"/>
        <w:jc w:val="both"/>
        <w:rPr>
          <w:rFonts w:ascii="Tahoma" w:hAnsi="Tahoma"/>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 xml:space="preserve">לנאשם </w:t>
      </w:r>
      <w:r>
        <w:rPr>
          <w:rFonts w:ascii="Tahoma" w:hAnsi="Tahoma"/>
          <w:rtl/>
        </w:rPr>
        <w:t>חמש הרשעות קודמות, וכן שני רישומים נוספים ללא הרשעה</w:t>
      </w:r>
      <w:r>
        <w:rPr>
          <w:rFonts w:ascii="Tahoma" w:hAnsi="Tahoma" w:hint="cs"/>
          <w:rtl/>
        </w:rPr>
        <w:t>, והוא אף נשא עונשי מאסר בפועל. עם זאת, כפי שכבר צוין מדובר בעבר פלילי ישן: הרשעתו הקודמת האחרונה של הנאשם היא בגין עבירות משנת 2011 ומאז ביצוע העבירה מושא כתב האישום דנא הוא לא שב והסתבך בפלילים.</w:t>
      </w:r>
    </w:p>
    <w:p w14:paraId="433A61C9" w14:textId="77777777" w:rsidR="00C47127" w:rsidRDefault="00C47127" w:rsidP="00C47127">
      <w:pPr>
        <w:snapToGrid w:val="0"/>
        <w:spacing w:after="120" w:line="360" w:lineRule="auto"/>
        <w:ind w:left="1440"/>
        <w:jc w:val="both"/>
        <w:rPr>
          <w:rtl/>
        </w:rPr>
      </w:pPr>
      <w:r w:rsidRPr="0047118D">
        <w:rPr>
          <w:rFonts w:hint="cs"/>
          <w:b/>
          <w:bCs/>
          <w:rtl/>
        </w:rPr>
        <w:t>הפגיעה של העונש בנאשם ובמשפחתו –</w:t>
      </w:r>
      <w:r w:rsidRPr="0047118D">
        <w:rPr>
          <w:rFonts w:hint="cs"/>
          <w:rtl/>
        </w:rPr>
        <w:t xml:space="preserve"> הטלת עונש של מאסר בפועל </w:t>
      </w:r>
      <w:r>
        <w:rPr>
          <w:rFonts w:hint="cs"/>
          <w:rtl/>
        </w:rPr>
        <w:t xml:space="preserve">לנשיאה מאחורי סורג ובריח </w:t>
      </w:r>
      <w:r w:rsidRPr="0047118D">
        <w:rPr>
          <w:rFonts w:hint="cs"/>
          <w:rtl/>
        </w:rPr>
        <w:t>תפגע הן בנאשם והן במשפחתו</w:t>
      </w:r>
      <w:r>
        <w:rPr>
          <w:rFonts w:hint="cs"/>
          <w:rtl/>
        </w:rPr>
        <w:t>; ויש להתחשב בנתון זה.</w:t>
      </w:r>
    </w:p>
    <w:p w14:paraId="31C628F9" w14:textId="77777777" w:rsidR="00C47127" w:rsidRDefault="00C47127" w:rsidP="00C47127">
      <w:pPr>
        <w:snapToGrid w:val="0"/>
        <w:spacing w:after="120" w:line="360" w:lineRule="auto"/>
        <w:ind w:left="1440"/>
        <w:jc w:val="both"/>
        <w:rPr>
          <w:rtl/>
        </w:rPr>
      </w:pPr>
      <w:r w:rsidRPr="00627467">
        <w:rPr>
          <w:rFonts w:hint="cs"/>
          <w:b/>
          <w:bCs/>
          <w:rtl/>
        </w:rPr>
        <w:t xml:space="preserve">הודאה ונטילת אחריות </w:t>
      </w:r>
      <w:r>
        <w:rPr>
          <w:rtl/>
        </w:rPr>
        <w:t>–</w:t>
      </w:r>
      <w:r>
        <w:rPr>
          <w:rFonts w:hint="cs"/>
          <w:rtl/>
        </w:rPr>
        <w:t xml:space="preserve"> הנאשם הודה בעובדות כתב האישום המתוקן. בכך חסך הנאשם מזמנם של העדים, הצדדים ובית המשפט. נסיבות אלה יש לזקוף, כמובן, לזכותו של הנאשם.</w:t>
      </w:r>
    </w:p>
    <w:p w14:paraId="1A1EA0D7" w14:textId="77777777" w:rsidR="00C47127" w:rsidRDefault="00C47127" w:rsidP="00C47127">
      <w:pPr>
        <w:snapToGrid w:val="0"/>
        <w:spacing w:after="120" w:line="360" w:lineRule="auto"/>
        <w:ind w:left="1440"/>
        <w:jc w:val="both"/>
        <w:rPr>
          <w:rtl/>
        </w:rPr>
      </w:pPr>
      <w:r w:rsidRPr="00627467">
        <w:rPr>
          <w:rFonts w:hint="cs"/>
          <w:b/>
          <w:bCs/>
          <w:rtl/>
        </w:rPr>
        <w:t xml:space="preserve">נתוניו האישיים של הנאשם ונסיבות חייו </w:t>
      </w:r>
      <w:r>
        <w:rPr>
          <w:rtl/>
        </w:rPr>
        <w:t>–</w:t>
      </w:r>
      <w:r>
        <w:rPr>
          <w:rFonts w:hint="cs"/>
          <w:rtl/>
        </w:rPr>
        <w:t xml:space="preserve"> הנאשם יליד שנת 1991, בן 29 שנים כיום. הנאשם היה מעורב בחברה שולית ובפשיעה מאז ימי נערותו, כפי שגם עולה מרישומיו מבית המשפט לנוער. עם זאת, ישנן אינדיקציות של ממש כי בזמן האחרון הנאשם אמנם מבקש לערוך שינוי מהותי בחייו. אכן, בשני התסקירים האחרונים לא נכללה המלצה טיפולית, אך גם מהם עולה התייצבות מסוימת בחייו של הנאשם. בהקשר זה יש גם להתחשב בהתנקות הנאשם משימוש בסמים מסוכנים, שבאה לידי ביטוי בבדיקות שנערכו לו הן במסגרת שירות המבחן והן אצל הממונה על עבודות השירות.</w:t>
      </w:r>
    </w:p>
    <w:p w14:paraId="240D1D6B" w14:textId="77777777" w:rsidR="00C47127" w:rsidRPr="00807528" w:rsidRDefault="00C47127" w:rsidP="00C47127">
      <w:pPr>
        <w:numPr>
          <w:ilvl w:val="0"/>
          <w:numId w:val="1"/>
        </w:numPr>
        <w:tabs>
          <w:tab w:val="num" w:pos="720"/>
        </w:tabs>
        <w:spacing w:after="120" w:line="360" w:lineRule="auto"/>
        <w:ind w:left="720"/>
        <w:jc w:val="both"/>
        <w:rPr>
          <w:rFonts w:ascii="Tahoma" w:hAnsi="Tahoma"/>
        </w:rPr>
      </w:pPr>
      <w:r>
        <w:rPr>
          <w:rFonts w:hint="cs"/>
          <w:rtl/>
        </w:rPr>
        <w:t xml:space="preserve">מכלול הנסיבות והשיקולים שפורטו לעיל מלמד כי במקרה זה נסיבות הקולה עולות במשקלן על נסיבות החומרה. בנסיבות אלה, ותוך התחשבות בסיכויי השיקום במקרה מיוחד זה, ניתן להסתפק </w:t>
      </w:r>
      <w:r>
        <w:rPr>
          <w:rtl/>
        </w:rPr>
        <w:t>–</w:t>
      </w:r>
      <w:r>
        <w:rPr>
          <w:rFonts w:hint="cs"/>
          <w:rtl/>
        </w:rPr>
        <w:t xml:space="preserve"> ולו לפנים משורת הדין </w:t>
      </w:r>
      <w:r>
        <w:rPr>
          <w:rtl/>
        </w:rPr>
        <w:t>–</w:t>
      </w:r>
      <w:r>
        <w:rPr>
          <w:rFonts w:hint="cs"/>
          <w:rtl/>
        </w:rPr>
        <w:t xml:space="preserve"> </w:t>
      </w:r>
      <w:r>
        <w:rPr>
          <w:rFonts w:ascii="Tahoma" w:hAnsi="Tahoma" w:hint="cs"/>
          <w:rtl/>
        </w:rPr>
        <w:t xml:space="preserve">בגזירת עונש </w:t>
      </w:r>
      <w:r w:rsidRPr="00807528">
        <w:rPr>
          <w:rFonts w:ascii="Tahoma" w:hAnsi="Tahoma" w:hint="cs"/>
          <w:rtl/>
        </w:rPr>
        <w:t>ברף התחתון של מתחם העונש ההולם.</w:t>
      </w:r>
      <w:r>
        <w:rPr>
          <w:rFonts w:ascii="Tahoma" w:hAnsi="Tahoma" w:hint="cs"/>
          <w:rtl/>
        </w:rPr>
        <w:t xml:space="preserve"> בנסיבות העניין, יש לאזן הקלה זו בענישה כספית-כלכלית, לרבות בחילוט הכספים שנתפסו על הנאשם (כאמור בדו"ח הפעולה ע/2).</w:t>
      </w:r>
    </w:p>
    <w:p w14:paraId="262E4606" w14:textId="77777777" w:rsidR="00C47127" w:rsidRDefault="00C47127" w:rsidP="00C47127">
      <w:pPr>
        <w:spacing w:after="120" w:line="360" w:lineRule="auto"/>
        <w:jc w:val="both"/>
        <w:rPr>
          <w:rtl/>
        </w:rPr>
      </w:pPr>
    </w:p>
    <w:p w14:paraId="584117D7" w14:textId="77777777" w:rsidR="00C47127" w:rsidRPr="00DE411D" w:rsidRDefault="00C47127" w:rsidP="00C47127">
      <w:pPr>
        <w:snapToGrid w:val="0"/>
        <w:spacing w:after="120" w:line="360" w:lineRule="auto"/>
        <w:jc w:val="both"/>
        <w:rPr>
          <w:b/>
          <w:bCs/>
          <w:u w:val="single"/>
          <w:rtl/>
        </w:rPr>
      </w:pPr>
      <w:r>
        <w:rPr>
          <w:rFonts w:hint="cs"/>
          <w:b/>
          <w:bCs/>
          <w:rtl/>
        </w:rPr>
        <w:t>ו</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543C6DC5" w14:textId="77777777" w:rsidR="00C47127" w:rsidRPr="00120D59" w:rsidRDefault="00C47127" w:rsidP="00C47127">
      <w:pPr>
        <w:numPr>
          <w:ilvl w:val="0"/>
          <w:numId w:val="1"/>
        </w:numPr>
        <w:tabs>
          <w:tab w:val="num" w:pos="720"/>
        </w:tabs>
        <w:spacing w:after="120" w:line="360" w:lineRule="auto"/>
        <w:ind w:left="72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2D4BF02A" w14:textId="77777777" w:rsidR="00C47127" w:rsidRDefault="00C47127" w:rsidP="00C47127">
      <w:pPr>
        <w:spacing w:after="120" w:line="360" w:lineRule="auto"/>
        <w:ind w:left="720"/>
        <w:jc w:val="both"/>
        <w:rPr>
          <w:rFonts w:ascii="Tahoma" w:hAnsi="Tahoma"/>
          <w:rtl/>
        </w:rPr>
      </w:pPr>
      <w:r>
        <w:rPr>
          <w:rFonts w:hint="cs"/>
          <w:rtl/>
        </w:rPr>
        <w:t>(א)</w:t>
      </w:r>
      <w:r>
        <w:rPr>
          <w:rtl/>
        </w:rPr>
        <w:tab/>
      </w:r>
      <w:r>
        <w:rPr>
          <w:rFonts w:hint="cs"/>
          <w:rtl/>
        </w:rPr>
        <w:t>9 חודשי מאסר בפועל.</w:t>
      </w:r>
    </w:p>
    <w:p w14:paraId="55494DAE" w14:textId="77777777" w:rsidR="00C47127" w:rsidRDefault="00C47127" w:rsidP="00C47127">
      <w:pPr>
        <w:spacing w:after="120" w:line="360" w:lineRule="auto"/>
        <w:ind w:left="144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27.01.20.</w:t>
      </w:r>
    </w:p>
    <w:p w14:paraId="7835DE8E" w14:textId="77777777" w:rsidR="00C47127" w:rsidRDefault="00C47127" w:rsidP="00C47127">
      <w:pPr>
        <w:spacing w:after="120" w:line="360" w:lineRule="auto"/>
        <w:ind w:left="1440"/>
        <w:jc w:val="both"/>
        <w:rPr>
          <w:rFonts w:ascii="Tahoma" w:hAnsi="Tahoma"/>
          <w:rtl/>
        </w:rPr>
      </w:pPr>
      <w:r>
        <w:rPr>
          <w:rFonts w:ascii="Tahoma" w:hAnsi="Tahoma" w:hint="cs"/>
          <w:rtl/>
        </w:rPr>
        <w:t>על הנאשם להתייצב לנשיאת עונשו במשרדי הממונה על עבודות השירות, ביום  17.06.20 עד השעה 08:00.</w:t>
      </w:r>
    </w:p>
    <w:p w14:paraId="45A7DF54" w14:textId="77777777" w:rsidR="00C47127" w:rsidRDefault="00C47127" w:rsidP="00C47127">
      <w:pPr>
        <w:spacing w:after="120" w:line="360" w:lineRule="auto"/>
        <w:ind w:left="144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542F692A" w14:textId="77777777" w:rsidR="00C47127" w:rsidRDefault="00C47127" w:rsidP="00C47127">
      <w:pPr>
        <w:spacing w:after="120" w:line="360" w:lineRule="auto"/>
        <w:ind w:left="1440" w:hanging="720"/>
        <w:jc w:val="both"/>
        <w:rPr>
          <w:rtl/>
        </w:rPr>
      </w:pPr>
      <w:r>
        <w:rPr>
          <w:rFonts w:hint="cs"/>
          <w:rtl/>
        </w:rPr>
        <w:t>(ב)</w:t>
      </w:r>
      <w:r>
        <w:rPr>
          <w:rtl/>
        </w:rPr>
        <w:tab/>
      </w:r>
      <w:r>
        <w:rPr>
          <w:rFonts w:hint="cs"/>
          <w:rtl/>
        </w:rPr>
        <w:t xml:space="preserve">מאסר על תנאי למשך 6 חודשים אותו לא יישא הנאשם אלא אם כן יעבור, תוך שלוש שנים מהיום, כל עבירה מסוג פשע לפי הוראות </w:t>
      </w:r>
      <w:hyperlink r:id="rId17" w:history="1">
        <w:r w:rsidR="00857751" w:rsidRPr="00857751">
          <w:rPr>
            <w:color w:val="0000FF"/>
            <w:u w:val="single"/>
            <w:rtl/>
          </w:rPr>
          <w:t>פקודת הסמים המסוכנים</w:t>
        </w:r>
      </w:hyperlink>
      <w:r>
        <w:rPr>
          <w:rFonts w:hint="cs"/>
          <w:rtl/>
        </w:rPr>
        <w:t>.</w:t>
      </w:r>
    </w:p>
    <w:p w14:paraId="39E24D52" w14:textId="77777777" w:rsidR="00C47127" w:rsidRPr="00E0628E" w:rsidRDefault="00C47127" w:rsidP="00C47127">
      <w:pPr>
        <w:spacing w:after="120" w:line="360" w:lineRule="auto"/>
        <w:ind w:left="720"/>
        <w:jc w:val="both"/>
        <w:rPr>
          <w:rFonts w:ascii="Tahoma" w:hAnsi="Tahoma"/>
        </w:rPr>
      </w:pPr>
      <w:r>
        <w:rPr>
          <w:rFonts w:hint="cs"/>
          <w:rtl/>
        </w:rPr>
        <w:t>(ג)</w:t>
      </w:r>
      <w:r>
        <w:rPr>
          <w:rtl/>
        </w:rPr>
        <w:tab/>
      </w:r>
      <w:r>
        <w:rPr>
          <w:rFonts w:hint="cs"/>
          <w:rtl/>
        </w:rPr>
        <w:t>קנס בסך של 5,000 ₪, או 30 ימי מאסר תמורתו.</w:t>
      </w:r>
    </w:p>
    <w:p w14:paraId="39BD0D32" w14:textId="77777777" w:rsidR="00C47127" w:rsidRDefault="00C47127" w:rsidP="00C47127">
      <w:pPr>
        <w:spacing w:after="120" w:line="360" w:lineRule="auto"/>
        <w:ind w:left="1440"/>
        <w:jc w:val="both"/>
        <w:rPr>
          <w:rtl/>
        </w:rPr>
      </w:pPr>
      <w:r>
        <w:rPr>
          <w:rFonts w:hint="cs"/>
          <w:rtl/>
        </w:rPr>
        <w:t>הקנס ישולם בעשרה תשלומים חודשיים, שווים ורצופים, החל מיום 01.09.20 ובכל אחד בחודש שלאחריו. היה והנאשם לא ישלם את אחד התשלומים במועד תועמד כל יתרת הקנס לפירעון מידי.</w:t>
      </w:r>
    </w:p>
    <w:p w14:paraId="24AFF8CE" w14:textId="77777777" w:rsidR="00C47127" w:rsidRDefault="00C47127" w:rsidP="00C47127">
      <w:pPr>
        <w:spacing w:after="120" w:line="360" w:lineRule="auto"/>
        <w:ind w:left="1440" w:hanging="720"/>
        <w:jc w:val="both"/>
        <w:rPr>
          <w:rFonts w:ascii="Tahoma" w:hAnsi="Tahoma"/>
        </w:rPr>
      </w:pPr>
      <w:r>
        <w:rPr>
          <w:rFonts w:hint="cs"/>
          <w:rtl/>
        </w:rPr>
        <w:t>(ד)</w:t>
      </w:r>
      <w:r>
        <w:rPr>
          <w:rFonts w:ascii="Tahoma" w:hAnsi="Tahoma"/>
          <w:rtl/>
        </w:rPr>
        <w:tab/>
        <w:t xml:space="preserve">חילוט הכספים שנתפסו על הנאשם בסך כולל של 6,749 ₪, </w:t>
      </w:r>
      <w:r>
        <w:rPr>
          <w:rFonts w:ascii="Tahoma" w:hAnsi="Tahoma" w:hint="cs"/>
          <w:rtl/>
        </w:rPr>
        <w:t xml:space="preserve">לטובת אוצר המדינה, </w:t>
      </w:r>
      <w:r>
        <w:rPr>
          <w:rFonts w:ascii="Tahoma" w:hAnsi="Tahoma"/>
          <w:rtl/>
        </w:rPr>
        <w:t xml:space="preserve">לפי הוראות </w:t>
      </w:r>
      <w:hyperlink r:id="rId18" w:history="1">
        <w:r w:rsidR="00CC19B1" w:rsidRPr="00CC19B1">
          <w:rPr>
            <w:rStyle w:val="Hyperlink"/>
            <w:rFonts w:ascii="Tahoma" w:hAnsi="Tahoma"/>
            <w:color w:val="0000FF"/>
            <w:rtl/>
          </w:rPr>
          <w:t>סעיף 36א</w:t>
        </w:r>
      </w:hyperlink>
      <w:r>
        <w:rPr>
          <w:rFonts w:ascii="Tahoma" w:hAnsi="Tahoma"/>
          <w:rtl/>
        </w:rPr>
        <w:t xml:space="preserve"> ל</w:t>
      </w:r>
      <w:hyperlink r:id="rId19" w:history="1">
        <w:r w:rsidR="00857751" w:rsidRPr="00857751">
          <w:rPr>
            <w:rFonts w:ascii="Tahoma" w:hAnsi="Tahoma"/>
            <w:color w:val="0000FF"/>
            <w:u w:val="single"/>
            <w:rtl/>
          </w:rPr>
          <w:t>פקודת הסמים המסוכנים</w:t>
        </w:r>
      </w:hyperlink>
      <w:r>
        <w:rPr>
          <w:rFonts w:ascii="Tahoma" w:hAnsi="Tahoma"/>
          <w:rtl/>
        </w:rPr>
        <w:t>.</w:t>
      </w:r>
    </w:p>
    <w:p w14:paraId="0DE8AED0" w14:textId="77777777" w:rsidR="00C47127" w:rsidRDefault="00C47127" w:rsidP="00C47127">
      <w:pPr>
        <w:spacing w:after="120" w:line="360" w:lineRule="auto"/>
        <w:jc w:val="both"/>
        <w:rPr>
          <w:rtl/>
        </w:rPr>
      </w:pPr>
      <w:r>
        <w:rPr>
          <w:rFonts w:hint="cs"/>
          <w:rtl/>
        </w:rPr>
        <w:t>בהסכמת הנאשם יחולט הפיקדון שהופקד בזמנו בתיק המעצר לטובת תשלום הקנס, כאשר הנאשם יידרש לשלם רק את יתרת הסכום שתיוותר.</w:t>
      </w:r>
    </w:p>
    <w:p w14:paraId="328708FA" w14:textId="77777777" w:rsidR="00C47127" w:rsidRDefault="00C47127" w:rsidP="00C47127">
      <w:pPr>
        <w:spacing w:after="120" w:line="360" w:lineRule="auto"/>
        <w:jc w:val="both"/>
        <w:rPr>
          <w:rtl/>
        </w:rPr>
      </w:pPr>
      <w:r>
        <w:rPr>
          <w:rFonts w:hint="cs"/>
          <w:rtl/>
        </w:rPr>
        <w:t>ניתן בזה צו כללי, לעניין מוצגים, לשיקול דעתו של קצין משטרה. הסמים יושמדו.</w:t>
      </w:r>
    </w:p>
    <w:p w14:paraId="01702721" w14:textId="77777777" w:rsidR="00C47127" w:rsidRDefault="00C47127" w:rsidP="00C47127">
      <w:pPr>
        <w:snapToGrid w:val="0"/>
        <w:spacing w:after="120" w:line="360" w:lineRule="auto"/>
        <w:jc w:val="both"/>
        <w:rPr>
          <w:rtl/>
        </w:rPr>
      </w:pPr>
      <w:r>
        <w:rPr>
          <w:rFonts w:hint="cs"/>
          <w:rtl/>
        </w:rPr>
        <w:t>זכות ערעור בתוך 45 יום מהיום.</w:t>
      </w:r>
    </w:p>
    <w:p w14:paraId="4699DB54" w14:textId="77777777" w:rsidR="00C47127" w:rsidRDefault="00857751" w:rsidP="00C47127">
      <w:pPr>
        <w:snapToGrid w:val="0"/>
        <w:spacing w:after="120" w:line="360" w:lineRule="auto"/>
        <w:jc w:val="both"/>
        <w:rPr>
          <w:rtl/>
        </w:rPr>
      </w:pPr>
      <w:r w:rsidRPr="00857751">
        <w:rPr>
          <w:color w:val="FFFFFF"/>
          <w:sz w:val="2"/>
          <w:szCs w:val="2"/>
          <w:rtl/>
        </w:rPr>
        <w:t>5129371</w:t>
      </w:r>
      <w:r w:rsidR="00C47127">
        <w:rPr>
          <w:rFonts w:hint="cs"/>
          <w:rtl/>
        </w:rPr>
        <w:t>המזכירות תמציא העתק גזר דין זה לשירות המבחן.</w:t>
      </w:r>
    </w:p>
    <w:p w14:paraId="17800427" w14:textId="77777777" w:rsidR="00C47127" w:rsidRPr="00250B83" w:rsidRDefault="00857751" w:rsidP="00C47127">
      <w:pPr>
        <w:rPr>
          <w:rtl/>
        </w:rPr>
      </w:pPr>
      <w:bookmarkStart w:id="8" w:name="Nitan"/>
      <w:r w:rsidRPr="00857751">
        <w:rPr>
          <w:rFonts w:ascii="Arial" w:hAnsi="Arial"/>
          <w:color w:val="FFFFFF"/>
          <w:sz w:val="2"/>
          <w:szCs w:val="2"/>
          <w:rtl/>
        </w:rPr>
        <w:t>54678313</w:t>
      </w:r>
      <w:r>
        <w:rPr>
          <w:rFonts w:ascii="Arial" w:hAnsi="Arial"/>
          <w:rtl/>
        </w:rPr>
        <w:t xml:space="preserve">ניתן היום, ט' אייר תש"פ, 03 מאי 2020, במעמד הצדדים. </w:t>
      </w:r>
      <w:bookmarkEnd w:id="8"/>
    </w:p>
    <w:p w14:paraId="252C1AEB" w14:textId="77777777" w:rsidR="00C47127" w:rsidRPr="00250B83" w:rsidRDefault="00C47127" w:rsidP="00857751">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8117F8A" w14:textId="77777777" w:rsidR="00C47127" w:rsidRPr="00250B83" w:rsidRDefault="00C47127" w:rsidP="00C47127">
      <w:pPr>
        <w:jc w:val="center"/>
        <w:rPr>
          <w:rFonts w:ascii="Arial" w:hAnsi="Arial"/>
          <w:rtl/>
        </w:rPr>
      </w:pPr>
    </w:p>
    <w:p w14:paraId="4256A6A0" w14:textId="77777777" w:rsidR="00C47127" w:rsidRPr="00250B83" w:rsidRDefault="00C47127" w:rsidP="00C47127">
      <w:pPr>
        <w:rPr>
          <w:rtl/>
        </w:rPr>
      </w:pPr>
    </w:p>
    <w:p w14:paraId="11432BA2" w14:textId="77777777" w:rsidR="00C47127" w:rsidRPr="00CC19B1" w:rsidRDefault="00CC19B1" w:rsidP="00C47127">
      <w:pPr>
        <w:pStyle w:val="a3"/>
        <w:jc w:val="center"/>
        <w:rPr>
          <w:color w:val="FFFFFF"/>
          <w:sz w:val="2"/>
          <w:szCs w:val="2"/>
          <w:rtl/>
        </w:rPr>
      </w:pPr>
      <w:r w:rsidRPr="00CC19B1">
        <w:rPr>
          <w:color w:val="FFFFFF"/>
          <w:sz w:val="2"/>
          <w:szCs w:val="2"/>
          <w:rtl/>
        </w:rPr>
        <w:t>5129371</w:t>
      </w:r>
    </w:p>
    <w:p w14:paraId="58EDA1B8" w14:textId="77777777" w:rsidR="004D0E1C" w:rsidRPr="00CC19B1" w:rsidRDefault="00CC19B1" w:rsidP="00857751">
      <w:pPr>
        <w:keepNext/>
        <w:rPr>
          <w:rFonts w:ascii="David" w:hAnsi="David"/>
          <w:color w:val="FFFFFF"/>
          <w:sz w:val="2"/>
          <w:szCs w:val="2"/>
          <w:rtl/>
        </w:rPr>
      </w:pPr>
      <w:r w:rsidRPr="00CC19B1">
        <w:rPr>
          <w:rFonts w:ascii="David" w:hAnsi="David"/>
          <w:color w:val="FFFFFF"/>
          <w:sz w:val="2"/>
          <w:szCs w:val="2"/>
          <w:rtl/>
        </w:rPr>
        <w:t>54678313</w:t>
      </w:r>
    </w:p>
    <w:p w14:paraId="2F61EEB4" w14:textId="77777777" w:rsidR="00857751" w:rsidRDefault="00857751" w:rsidP="00857751">
      <w:pPr>
        <w:rPr>
          <w:rtl/>
        </w:rPr>
      </w:pPr>
    </w:p>
    <w:p w14:paraId="5B0F4794" w14:textId="77777777" w:rsidR="00857751" w:rsidRDefault="00857751" w:rsidP="00857751">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7439F0F3" w14:textId="77777777" w:rsidR="00CC19B1" w:rsidRPr="00CC19B1" w:rsidRDefault="00CC19B1" w:rsidP="00CC19B1">
      <w:pPr>
        <w:keepNext/>
        <w:rPr>
          <w:rFonts w:ascii="David" w:hAnsi="David"/>
          <w:color w:val="000000"/>
          <w:sz w:val="22"/>
          <w:szCs w:val="22"/>
          <w:rtl/>
        </w:rPr>
      </w:pPr>
    </w:p>
    <w:p w14:paraId="6DDD819A" w14:textId="77777777" w:rsidR="00CC19B1" w:rsidRPr="00CC19B1" w:rsidRDefault="00CC19B1" w:rsidP="00CC19B1">
      <w:pPr>
        <w:keepNext/>
        <w:rPr>
          <w:rFonts w:ascii="David" w:hAnsi="David"/>
          <w:color w:val="000000"/>
          <w:sz w:val="22"/>
          <w:szCs w:val="22"/>
          <w:rtl/>
        </w:rPr>
      </w:pPr>
      <w:r w:rsidRPr="00CC19B1">
        <w:rPr>
          <w:rFonts w:ascii="David" w:hAnsi="David"/>
          <w:color w:val="000000"/>
          <w:sz w:val="22"/>
          <w:szCs w:val="22"/>
          <w:rtl/>
        </w:rPr>
        <w:t>שאול אבינור 54678313-/</w:t>
      </w:r>
    </w:p>
    <w:p w14:paraId="65C1DD5D" w14:textId="77777777" w:rsidR="00857751" w:rsidRPr="00857751" w:rsidRDefault="00CC19B1" w:rsidP="00CC19B1">
      <w:pPr>
        <w:rPr>
          <w:color w:val="0000FF"/>
          <w:u w:val="single"/>
        </w:rPr>
      </w:pPr>
      <w:r w:rsidRPr="00CC19B1">
        <w:rPr>
          <w:color w:val="000000"/>
          <w:u w:val="single"/>
          <w:rtl/>
        </w:rPr>
        <w:t>נוסח מסמך זה כפוף לשינויי ניסוח ועריכה</w:t>
      </w:r>
    </w:p>
    <w:sectPr w:rsidR="00857751" w:rsidRPr="00857751" w:rsidSect="00CC19B1">
      <w:headerReference w:type="even" r:id="rId21"/>
      <w:headerReference w:type="default" r:id="rId22"/>
      <w:footerReference w:type="even" r:id="rId23"/>
      <w:footerReference w:type="default" r:id="rId2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08F17" w14:textId="77777777" w:rsidR="00C621DB" w:rsidRDefault="00C621DB" w:rsidP="00625C46">
      <w:r>
        <w:separator/>
      </w:r>
    </w:p>
  </w:endnote>
  <w:endnote w:type="continuationSeparator" w:id="0">
    <w:p w14:paraId="2BF42F9F" w14:textId="77777777" w:rsidR="00C621DB" w:rsidRDefault="00C621DB" w:rsidP="00625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450A6" w14:textId="77777777" w:rsidR="00CC19B1" w:rsidRDefault="00CC19B1" w:rsidP="00CC19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446CDE5" w14:textId="77777777" w:rsidR="00E559F9" w:rsidRPr="00CC19B1" w:rsidRDefault="00CC19B1" w:rsidP="00CC19B1">
    <w:pPr>
      <w:pStyle w:val="a5"/>
      <w:pBdr>
        <w:top w:val="single" w:sz="4" w:space="1" w:color="auto"/>
        <w:between w:val="single" w:sz="4" w:space="0" w:color="auto"/>
      </w:pBdr>
      <w:spacing w:after="60"/>
      <w:jc w:val="center"/>
      <w:rPr>
        <w:rFonts w:ascii="FrankRuehl" w:hAnsi="FrankRuehl" w:cs="FrankRuehl"/>
        <w:color w:val="000000"/>
      </w:rPr>
    </w:pPr>
    <w:r w:rsidRPr="00CC19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A0FAC" w14:textId="77777777" w:rsidR="00CC19B1" w:rsidRDefault="00CC19B1" w:rsidP="00CC19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37AF">
      <w:rPr>
        <w:rFonts w:ascii="FrankRuehl" w:hAnsi="FrankRuehl" w:cs="FrankRuehl"/>
        <w:noProof/>
        <w:rtl/>
      </w:rPr>
      <w:t>1</w:t>
    </w:r>
    <w:r>
      <w:rPr>
        <w:rFonts w:ascii="FrankRuehl" w:hAnsi="FrankRuehl" w:cs="FrankRuehl"/>
        <w:rtl/>
      </w:rPr>
      <w:fldChar w:fldCharType="end"/>
    </w:r>
  </w:p>
  <w:p w14:paraId="3EF809BC" w14:textId="77777777" w:rsidR="00E559F9" w:rsidRPr="00CC19B1" w:rsidRDefault="00CC19B1" w:rsidP="00CC19B1">
    <w:pPr>
      <w:pStyle w:val="a5"/>
      <w:pBdr>
        <w:top w:val="single" w:sz="4" w:space="1" w:color="auto"/>
        <w:between w:val="single" w:sz="4" w:space="0" w:color="auto"/>
      </w:pBdr>
      <w:spacing w:after="60"/>
      <w:jc w:val="center"/>
      <w:rPr>
        <w:rFonts w:ascii="FrankRuehl" w:hAnsi="FrankRuehl" w:cs="FrankRuehl"/>
        <w:color w:val="000000"/>
      </w:rPr>
    </w:pPr>
    <w:r w:rsidRPr="00CC19B1">
      <w:rPr>
        <w:rFonts w:ascii="FrankRuehl" w:hAnsi="FrankRuehl" w:cs="FrankRuehl"/>
        <w:color w:val="000000"/>
      </w:rPr>
      <w:pict w14:anchorId="0B5F5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39E72" w14:textId="77777777" w:rsidR="00C621DB" w:rsidRDefault="00C621DB" w:rsidP="00625C46">
      <w:r>
        <w:separator/>
      </w:r>
    </w:p>
  </w:footnote>
  <w:footnote w:type="continuationSeparator" w:id="0">
    <w:p w14:paraId="30DEAF83" w14:textId="77777777" w:rsidR="00C621DB" w:rsidRDefault="00C621DB" w:rsidP="00625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E4847" w14:textId="77777777" w:rsidR="00857751" w:rsidRPr="00CC19B1" w:rsidRDefault="00CC19B1" w:rsidP="00CC19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50520-12-17</w:t>
    </w:r>
    <w:r>
      <w:rPr>
        <w:rFonts w:ascii="David" w:hAnsi="David"/>
        <w:color w:val="000000"/>
        <w:sz w:val="22"/>
        <w:szCs w:val="22"/>
        <w:rtl/>
      </w:rPr>
      <w:tab/>
      <w:t xml:space="preserve"> מדינת ישראל נ' מחמוד סעדה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25844" w14:textId="77777777" w:rsidR="00857751" w:rsidRPr="00CC19B1" w:rsidRDefault="00CC19B1" w:rsidP="00CC19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50520-12-17</w:t>
    </w:r>
    <w:r>
      <w:rPr>
        <w:rFonts w:ascii="David" w:hAnsi="David"/>
        <w:color w:val="000000"/>
        <w:sz w:val="22"/>
        <w:szCs w:val="22"/>
        <w:rtl/>
      </w:rPr>
      <w:tab/>
      <w:t xml:space="preserve"> מדינת ישראל נ' מחמוד סעדה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E40AE9F8"/>
    <w:lvl w:ilvl="0" w:tplc="9490FDD4">
      <w:start w:val="1"/>
      <w:numFmt w:val="decimal"/>
      <w:lvlText w:val="%1."/>
      <w:lvlJc w:val="left"/>
      <w:pPr>
        <w:tabs>
          <w:tab w:val="num" w:pos="1080"/>
        </w:tabs>
        <w:ind w:left="1080" w:hanging="720"/>
      </w:pPr>
      <w:rPr>
        <w:rFonts w:cs="David"/>
        <w:b w:val="0"/>
        <w:bCs w:val="0"/>
        <w:lang w:val="en-US" w:bidi="he-I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3357199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7127"/>
    <w:rsid w:val="000337AF"/>
    <w:rsid w:val="000F3FE2"/>
    <w:rsid w:val="00186095"/>
    <w:rsid w:val="004D0E1C"/>
    <w:rsid w:val="00625C46"/>
    <w:rsid w:val="00857751"/>
    <w:rsid w:val="00C47127"/>
    <w:rsid w:val="00C501AB"/>
    <w:rsid w:val="00C621DB"/>
    <w:rsid w:val="00CC19B1"/>
    <w:rsid w:val="00E559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7F58D2"/>
  <w15:chartTrackingRefBased/>
  <w15:docId w15:val="{AB7D64B4-54BA-4F76-B1C0-A0CE6E44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71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7127"/>
    <w:pPr>
      <w:tabs>
        <w:tab w:val="center" w:pos="4153"/>
        <w:tab w:val="right" w:pos="8306"/>
      </w:tabs>
    </w:pPr>
  </w:style>
  <w:style w:type="character" w:customStyle="1" w:styleId="a4">
    <w:name w:val="כותרת עליונה תו"/>
    <w:link w:val="a3"/>
    <w:rsid w:val="00C47127"/>
    <w:rPr>
      <w:rFonts w:ascii="Times New Roman" w:eastAsia="Times New Roman" w:hAnsi="Times New Roman" w:cs="David"/>
      <w:sz w:val="24"/>
      <w:szCs w:val="24"/>
    </w:rPr>
  </w:style>
  <w:style w:type="paragraph" w:styleId="a5">
    <w:name w:val="footer"/>
    <w:basedOn w:val="a"/>
    <w:link w:val="a6"/>
    <w:rsid w:val="00C47127"/>
    <w:pPr>
      <w:tabs>
        <w:tab w:val="center" w:pos="4153"/>
        <w:tab w:val="right" w:pos="8306"/>
      </w:tabs>
    </w:pPr>
  </w:style>
  <w:style w:type="character" w:customStyle="1" w:styleId="a6">
    <w:name w:val="כותרת תחתונה תו"/>
    <w:link w:val="a5"/>
    <w:rsid w:val="00C47127"/>
    <w:rPr>
      <w:rFonts w:ascii="Times New Roman" w:eastAsia="Times New Roman" w:hAnsi="Times New Roman" w:cs="David"/>
      <w:sz w:val="24"/>
      <w:szCs w:val="24"/>
    </w:rPr>
  </w:style>
  <w:style w:type="table" w:styleId="a7">
    <w:name w:val="Table Grid"/>
    <w:basedOn w:val="a1"/>
    <w:rsid w:val="00C471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47127"/>
  </w:style>
  <w:style w:type="character" w:styleId="Hyperlink">
    <w:name w:val="Hyperlink"/>
    <w:rsid w:val="0085775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36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2217955"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oter" Target="footer1.xml"/><Relationship Id="rId10" Type="http://schemas.openxmlformats.org/officeDocument/2006/relationships/hyperlink" Target="http://www.nevo.co.il/law/4216/36a"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36a"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2205</Words>
  <Characters>11027</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13206</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2883708</vt:i4>
      </vt:variant>
      <vt:variant>
        <vt:i4>33</vt:i4>
      </vt:variant>
      <vt:variant>
        <vt:i4>0</vt:i4>
      </vt:variant>
      <vt:variant>
        <vt:i4>5</vt:i4>
      </vt:variant>
      <vt:variant>
        <vt:lpwstr>http://www.nevo.co.il/law/4216/36a</vt:lpwstr>
      </vt:variant>
      <vt:variant>
        <vt:lpwstr/>
      </vt:variant>
      <vt:variant>
        <vt:i4>8257637</vt:i4>
      </vt:variant>
      <vt:variant>
        <vt:i4>30</vt:i4>
      </vt:variant>
      <vt:variant>
        <vt:i4>0</vt:i4>
      </vt:variant>
      <vt:variant>
        <vt:i4>5</vt:i4>
      </vt:variant>
      <vt:variant>
        <vt:lpwstr>http://www.nevo.co.il/law/4216</vt:lpwstr>
      </vt:variant>
      <vt:variant>
        <vt:lpwstr/>
      </vt:variant>
      <vt:variant>
        <vt:i4>3276926</vt:i4>
      </vt:variant>
      <vt:variant>
        <vt:i4>27</vt:i4>
      </vt:variant>
      <vt:variant>
        <vt:i4>0</vt:i4>
      </vt:variant>
      <vt:variant>
        <vt:i4>5</vt:i4>
      </vt:variant>
      <vt:variant>
        <vt:lpwstr>http://www.nevo.co.il/case/22217955</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2883708</vt:i4>
      </vt:variant>
      <vt:variant>
        <vt:i4>21</vt:i4>
      </vt:variant>
      <vt:variant>
        <vt:i4>0</vt:i4>
      </vt:variant>
      <vt:variant>
        <vt:i4>5</vt:i4>
      </vt:variant>
      <vt:variant>
        <vt:lpwstr>http://www.nevo.co.il/law/4216/36a</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2883708</vt:i4>
      </vt:variant>
      <vt:variant>
        <vt:i4>9</vt:i4>
      </vt:variant>
      <vt:variant>
        <vt:i4>0</vt:i4>
      </vt:variant>
      <vt:variant>
        <vt:i4>5</vt:i4>
      </vt:variant>
      <vt:variant>
        <vt:lpwstr>http://www.nevo.co.il/law/4216/36a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2025-04-22T23:37:00Z</dcterms:created>
  <dcterms:modified xsi:type="dcterms:W3CDTF">2025-04-22T23:37:00Z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50520</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מחמוד סעדה</vt:lpwstr>
  </property>
  <property fmtid="{D5CDD505-2E9C-101B-9397-08002B2CF9AE}" pid="10" name="LAWYER">
    <vt:lpwstr>אתי זהבי;איתן און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20200503</vt:lpwstr>
  </property>
  <property fmtid="{D5CDD505-2E9C-101B-9397-08002B2CF9AE}" pid="14" name="TYPE_N_DATE">
    <vt:lpwstr>38020200503</vt:lpwstr>
  </property>
  <property fmtid="{D5CDD505-2E9C-101B-9397-08002B2CF9AE}" pid="15" name="CASESLISTTMP1">
    <vt:lpwstr>22217955</vt:lpwstr>
  </property>
  <property fmtid="{D5CDD505-2E9C-101B-9397-08002B2CF9AE}" pid="16" name="WORDNUMPAGES">
    <vt:lpwstr>7</vt:lpwstr>
  </property>
  <property fmtid="{D5CDD505-2E9C-101B-9397-08002B2CF9AE}" pid="17" name="TYPE_ABS_DATE">
    <vt:lpwstr>380020200503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4216/007.a;007.c;036a:2</vt:lpwstr>
  </property>
</Properties>
</file>