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364CED" w:rsidRPr="0015122B" w14:paraId="585EEB7B" w14:textId="77777777" w:rsidTr="0015122B">
        <w:trPr>
          <w:gridAfter w:val="1"/>
          <w:wAfter w:w="99" w:type="dxa"/>
          <w:trHeight w:hRule="exact" w:val="418"/>
          <w:jc w:val="center"/>
        </w:trPr>
        <w:tc>
          <w:tcPr>
            <w:tcW w:w="8721" w:type="dxa"/>
            <w:gridSpan w:val="3"/>
          </w:tcPr>
          <w:p w14:paraId="452FDDDB" w14:textId="77777777" w:rsidR="00364CED" w:rsidRPr="0015122B" w:rsidRDefault="00364CED" w:rsidP="00D46886">
            <w:pPr>
              <w:pStyle w:val="a3"/>
              <w:jc w:val="center"/>
              <w:rPr>
                <w:rFonts w:ascii="Tahoma" w:hAnsi="Tahoma"/>
                <w:color w:val="000080"/>
                <w:rtl/>
              </w:rPr>
            </w:pPr>
            <w:bookmarkStart w:id="0" w:name="LastJudge"/>
            <w:r w:rsidRPr="0015122B">
              <w:rPr>
                <w:rFonts w:ascii="Tahoma" w:hAnsi="Tahoma"/>
                <w:b/>
                <w:bCs/>
                <w:color w:val="000080"/>
                <w:rtl/>
              </w:rPr>
              <w:t>בית משפט השלום ברחובות</w:t>
            </w:r>
          </w:p>
        </w:tc>
      </w:tr>
      <w:tr w:rsidR="00364CED" w:rsidRPr="0015122B" w14:paraId="29AEF150" w14:textId="77777777" w:rsidTr="0015122B">
        <w:trPr>
          <w:gridAfter w:val="1"/>
          <w:wAfter w:w="99" w:type="dxa"/>
          <w:trHeight w:val="337"/>
          <w:jc w:val="center"/>
        </w:trPr>
        <w:tc>
          <w:tcPr>
            <w:tcW w:w="5054" w:type="dxa"/>
            <w:gridSpan w:val="2"/>
          </w:tcPr>
          <w:p w14:paraId="4C7CC51E" w14:textId="77777777" w:rsidR="00364CED" w:rsidRPr="0015122B" w:rsidRDefault="00364CED" w:rsidP="00D46886">
            <w:pPr>
              <w:rPr>
                <w:sz w:val="28"/>
                <w:szCs w:val="28"/>
                <w:rtl/>
              </w:rPr>
            </w:pPr>
            <w:r w:rsidRPr="0015122B">
              <w:rPr>
                <w:sz w:val="28"/>
                <w:szCs w:val="28"/>
                <w:rtl/>
              </w:rPr>
              <w:t>ת"פ</w:t>
            </w:r>
            <w:r w:rsidRPr="0015122B">
              <w:rPr>
                <w:rFonts w:hint="cs"/>
                <w:sz w:val="28"/>
                <w:szCs w:val="28"/>
                <w:rtl/>
              </w:rPr>
              <w:t xml:space="preserve"> </w:t>
            </w:r>
            <w:r w:rsidRPr="0015122B">
              <w:rPr>
                <w:sz w:val="28"/>
                <w:szCs w:val="28"/>
                <w:rtl/>
              </w:rPr>
              <w:t>57140-12-17</w:t>
            </w:r>
            <w:r w:rsidRPr="0015122B">
              <w:rPr>
                <w:rFonts w:hint="cs"/>
                <w:sz w:val="28"/>
                <w:szCs w:val="28"/>
                <w:rtl/>
              </w:rPr>
              <w:t xml:space="preserve"> </w:t>
            </w:r>
            <w:r w:rsidRPr="0015122B">
              <w:rPr>
                <w:sz w:val="28"/>
                <w:szCs w:val="28"/>
                <w:rtl/>
              </w:rPr>
              <w:t>מדינת ישראל נ' ביטאוו</w:t>
            </w:r>
          </w:p>
          <w:p w14:paraId="69A2FE44" w14:textId="77777777" w:rsidR="00364CED" w:rsidRPr="0015122B" w:rsidRDefault="00364CED" w:rsidP="00D46886">
            <w:pPr>
              <w:pStyle w:val="a3"/>
              <w:rPr>
                <w:sz w:val="28"/>
                <w:szCs w:val="28"/>
                <w:rtl/>
              </w:rPr>
            </w:pPr>
          </w:p>
        </w:tc>
        <w:tc>
          <w:tcPr>
            <w:tcW w:w="3667" w:type="dxa"/>
          </w:tcPr>
          <w:p w14:paraId="2D0165E6" w14:textId="77777777" w:rsidR="00364CED" w:rsidRPr="0015122B" w:rsidRDefault="00364CED" w:rsidP="00D46886">
            <w:pPr>
              <w:pStyle w:val="a3"/>
              <w:jc w:val="right"/>
              <w:rPr>
                <w:sz w:val="28"/>
                <w:szCs w:val="28"/>
                <w:rtl/>
              </w:rPr>
            </w:pPr>
          </w:p>
        </w:tc>
      </w:tr>
      <w:tr w:rsidR="00364CED" w:rsidRPr="0015122B" w14:paraId="44B5C1D7"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76C4BDA" w14:textId="77777777" w:rsidR="00364CED" w:rsidRPr="0015122B" w:rsidRDefault="00364CED" w:rsidP="00364CED">
            <w:pPr>
              <w:jc w:val="both"/>
              <w:rPr>
                <w:rFonts w:ascii="David" w:hAnsi="David"/>
                <w:b/>
                <w:bCs/>
                <w:sz w:val="26"/>
                <w:szCs w:val="26"/>
              </w:rPr>
            </w:pPr>
            <w:r w:rsidRPr="0015122B">
              <w:rPr>
                <w:rFonts w:hint="cs"/>
                <w:rtl/>
              </w:rPr>
              <w:t xml:space="preserve"> </w:t>
            </w:r>
            <w:r w:rsidRPr="0015122B">
              <w:rPr>
                <w:rFonts w:ascii="David" w:hAnsi="David"/>
                <w:b/>
                <w:bCs/>
                <w:sz w:val="26"/>
                <w:szCs w:val="26"/>
                <w:rtl/>
              </w:rPr>
              <w:t xml:space="preserve">בפני </w:t>
            </w:r>
          </w:p>
        </w:tc>
        <w:tc>
          <w:tcPr>
            <w:tcW w:w="7897" w:type="dxa"/>
            <w:gridSpan w:val="3"/>
            <w:tcBorders>
              <w:top w:val="nil"/>
              <w:left w:val="nil"/>
              <w:bottom w:val="nil"/>
              <w:right w:val="nil"/>
            </w:tcBorders>
            <w:shd w:val="clear" w:color="auto" w:fill="auto"/>
          </w:tcPr>
          <w:p w14:paraId="50A6B01A" w14:textId="77777777" w:rsidR="00364CED" w:rsidRPr="0015122B" w:rsidRDefault="00364CED" w:rsidP="00D46886">
            <w:pPr>
              <w:rPr>
                <w:rFonts w:ascii="David" w:hAnsi="David"/>
                <w:b/>
                <w:bCs/>
                <w:sz w:val="26"/>
                <w:szCs w:val="26"/>
                <w:rtl/>
              </w:rPr>
            </w:pPr>
            <w:r w:rsidRPr="0015122B">
              <w:rPr>
                <w:rFonts w:ascii="David" w:hAnsi="David"/>
                <w:b/>
                <w:bCs/>
                <w:sz w:val="26"/>
                <w:szCs w:val="26"/>
                <w:rtl/>
              </w:rPr>
              <w:t>כבוד השופטת  אדנקו סבחת- חיימוביץ</w:t>
            </w:r>
          </w:p>
          <w:p w14:paraId="25BEC158" w14:textId="77777777" w:rsidR="00364CED" w:rsidRPr="0015122B" w:rsidRDefault="00364CED" w:rsidP="00D46886">
            <w:pPr>
              <w:rPr>
                <w:rFonts w:ascii="David" w:hAnsi="David"/>
                <w:b/>
                <w:bCs/>
                <w:sz w:val="26"/>
                <w:szCs w:val="26"/>
                <w:rtl/>
              </w:rPr>
            </w:pPr>
          </w:p>
          <w:p w14:paraId="220C1607" w14:textId="77777777" w:rsidR="00364CED" w:rsidRPr="0015122B" w:rsidRDefault="00364CED" w:rsidP="00364CED">
            <w:pPr>
              <w:jc w:val="both"/>
              <w:rPr>
                <w:rFonts w:ascii="David" w:hAnsi="David"/>
                <w:b/>
                <w:bCs/>
                <w:sz w:val="26"/>
                <w:szCs w:val="26"/>
              </w:rPr>
            </w:pPr>
          </w:p>
        </w:tc>
      </w:tr>
      <w:tr w:rsidR="00364CED" w:rsidRPr="0015122B" w14:paraId="65535B99"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DA30E5" w14:textId="77777777" w:rsidR="00364CED" w:rsidRPr="0015122B" w:rsidRDefault="00364CED" w:rsidP="00364CED">
            <w:pPr>
              <w:jc w:val="both"/>
              <w:rPr>
                <w:rFonts w:ascii="David" w:hAnsi="David"/>
                <w:b/>
                <w:bCs/>
                <w:sz w:val="26"/>
                <w:szCs w:val="26"/>
              </w:rPr>
            </w:pPr>
            <w:bookmarkStart w:id="1" w:name="FirstAppellant"/>
            <w:r w:rsidRPr="0015122B">
              <w:rPr>
                <w:rFonts w:ascii="David" w:hAnsi="David"/>
                <w:b/>
                <w:bCs/>
                <w:sz w:val="26"/>
                <w:szCs w:val="26"/>
                <w:rtl/>
              </w:rPr>
              <w:t>בעניין:</w:t>
            </w:r>
          </w:p>
        </w:tc>
        <w:tc>
          <w:tcPr>
            <w:tcW w:w="4126" w:type="dxa"/>
            <w:tcBorders>
              <w:top w:val="nil"/>
              <w:left w:val="nil"/>
              <w:bottom w:val="nil"/>
              <w:right w:val="nil"/>
            </w:tcBorders>
            <w:shd w:val="clear" w:color="auto" w:fill="auto"/>
          </w:tcPr>
          <w:p w14:paraId="4C928839" w14:textId="77777777" w:rsidR="00364CED" w:rsidRPr="0015122B" w:rsidRDefault="00364CED" w:rsidP="00D46886">
            <w:pPr>
              <w:rPr>
                <w:rFonts w:ascii="David" w:hAnsi="David"/>
                <w:b/>
                <w:bCs/>
                <w:sz w:val="26"/>
                <w:szCs w:val="26"/>
              </w:rPr>
            </w:pPr>
            <w:r w:rsidRPr="0015122B">
              <w:rPr>
                <w:rFonts w:ascii="David" w:hAnsi="David"/>
                <w:b/>
                <w:bCs/>
                <w:sz w:val="26"/>
                <w:szCs w:val="26"/>
                <w:rtl/>
              </w:rPr>
              <w:t>מדינת ישראל</w:t>
            </w:r>
          </w:p>
        </w:tc>
        <w:tc>
          <w:tcPr>
            <w:tcW w:w="3771" w:type="dxa"/>
            <w:gridSpan w:val="2"/>
            <w:tcBorders>
              <w:top w:val="nil"/>
              <w:left w:val="nil"/>
              <w:bottom w:val="nil"/>
              <w:right w:val="nil"/>
            </w:tcBorders>
            <w:shd w:val="clear" w:color="auto" w:fill="auto"/>
          </w:tcPr>
          <w:p w14:paraId="2C80D40A" w14:textId="77777777" w:rsidR="00364CED" w:rsidRPr="0015122B" w:rsidRDefault="00364CED" w:rsidP="00364CED">
            <w:pPr>
              <w:jc w:val="both"/>
              <w:rPr>
                <w:rFonts w:ascii="David" w:hAnsi="David"/>
                <w:b/>
                <w:bCs/>
                <w:sz w:val="26"/>
                <w:szCs w:val="26"/>
              </w:rPr>
            </w:pPr>
          </w:p>
        </w:tc>
      </w:tr>
      <w:bookmarkEnd w:id="1"/>
      <w:tr w:rsidR="00364CED" w:rsidRPr="0015122B" w14:paraId="01EA4543"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EDDFDD" w14:textId="77777777" w:rsidR="00364CED" w:rsidRPr="0015122B" w:rsidRDefault="00364CED" w:rsidP="00364CED">
            <w:pPr>
              <w:jc w:val="both"/>
              <w:rPr>
                <w:rFonts w:ascii="David" w:hAnsi="David"/>
                <w:b/>
                <w:bCs/>
                <w:sz w:val="26"/>
                <w:szCs w:val="26"/>
                <w:rtl/>
              </w:rPr>
            </w:pPr>
          </w:p>
        </w:tc>
        <w:tc>
          <w:tcPr>
            <w:tcW w:w="4126" w:type="dxa"/>
            <w:tcBorders>
              <w:top w:val="nil"/>
              <w:left w:val="nil"/>
              <w:bottom w:val="nil"/>
              <w:right w:val="nil"/>
            </w:tcBorders>
            <w:shd w:val="clear" w:color="auto" w:fill="auto"/>
          </w:tcPr>
          <w:p w14:paraId="45B1EE9C" w14:textId="77777777" w:rsidR="00364CED" w:rsidRPr="0015122B" w:rsidRDefault="00364CED" w:rsidP="00364CED">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561BC1E5" w14:textId="77777777" w:rsidR="00364CED" w:rsidRPr="0015122B" w:rsidRDefault="00364CED" w:rsidP="00364CED">
            <w:pPr>
              <w:jc w:val="right"/>
              <w:rPr>
                <w:rFonts w:ascii="David" w:hAnsi="David"/>
                <w:b/>
                <w:bCs/>
                <w:sz w:val="26"/>
                <w:szCs w:val="26"/>
                <w:rtl/>
              </w:rPr>
            </w:pPr>
            <w:r w:rsidRPr="0015122B">
              <w:rPr>
                <w:rFonts w:ascii="David" w:hAnsi="David"/>
                <w:b/>
                <w:bCs/>
                <w:sz w:val="26"/>
                <w:szCs w:val="26"/>
                <w:rtl/>
              </w:rPr>
              <w:t>המאשימה</w:t>
            </w:r>
          </w:p>
        </w:tc>
      </w:tr>
      <w:tr w:rsidR="00364CED" w:rsidRPr="0015122B" w14:paraId="753FD54E"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6FD15E" w14:textId="77777777" w:rsidR="00364CED" w:rsidRPr="0015122B" w:rsidRDefault="00364CED" w:rsidP="00364CED">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43BFB534" w14:textId="77777777" w:rsidR="00364CED" w:rsidRPr="0015122B" w:rsidRDefault="00364CED" w:rsidP="00364CED">
            <w:pPr>
              <w:jc w:val="center"/>
              <w:rPr>
                <w:rFonts w:ascii="David" w:hAnsi="David"/>
                <w:b/>
                <w:bCs/>
                <w:sz w:val="26"/>
                <w:szCs w:val="26"/>
                <w:rtl/>
              </w:rPr>
            </w:pPr>
          </w:p>
          <w:p w14:paraId="2C976342" w14:textId="77777777" w:rsidR="00364CED" w:rsidRPr="0015122B" w:rsidRDefault="00364CED" w:rsidP="00364CED">
            <w:pPr>
              <w:jc w:val="center"/>
              <w:rPr>
                <w:rFonts w:ascii="David" w:hAnsi="David"/>
                <w:b/>
                <w:bCs/>
                <w:sz w:val="26"/>
                <w:szCs w:val="26"/>
                <w:rtl/>
              </w:rPr>
            </w:pPr>
            <w:r w:rsidRPr="0015122B">
              <w:rPr>
                <w:rFonts w:ascii="David" w:hAnsi="David"/>
                <w:b/>
                <w:bCs/>
                <w:sz w:val="26"/>
                <w:szCs w:val="26"/>
                <w:rtl/>
              </w:rPr>
              <w:t>נגד</w:t>
            </w:r>
          </w:p>
          <w:p w14:paraId="46C7ACE0" w14:textId="77777777" w:rsidR="00364CED" w:rsidRPr="0015122B" w:rsidRDefault="00364CED" w:rsidP="00364CED">
            <w:pPr>
              <w:jc w:val="both"/>
              <w:rPr>
                <w:rFonts w:ascii="David" w:hAnsi="David"/>
                <w:b/>
                <w:bCs/>
                <w:sz w:val="26"/>
                <w:szCs w:val="26"/>
              </w:rPr>
            </w:pPr>
          </w:p>
        </w:tc>
      </w:tr>
      <w:tr w:rsidR="00364CED" w:rsidRPr="0015122B" w14:paraId="78048C4C"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E6F990" w14:textId="77777777" w:rsidR="00364CED" w:rsidRPr="0015122B" w:rsidRDefault="00364CED" w:rsidP="00D46886">
            <w:pPr>
              <w:rPr>
                <w:rFonts w:ascii="David" w:hAnsi="David"/>
                <w:b/>
                <w:bCs/>
                <w:sz w:val="26"/>
                <w:szCs w:val="26"/>
                <w:rtl/>
              </w:rPr>
            </w:pPr>
          </w:p>
        </w:tc>
        <w:tc>
          <w:tcPr>
            <w:tcW w:w="4126" w:type="dxa"/>
            <w:tcBorders>
              <w:top w:val="nil"/>
              <w:left w:val="nil"/>
              <w:bottom w:val="nil"/>
              <w:right w:val="nil"/>
            </w:tcBorders>
            <w:shd w:val="clear" w:color="auto" w:fill="auto"/>
          </w:tcPr>
          <w:p w14:paraId="3400D644" w14:textId="77777777" w:rsidR="00364CED" w:rsidRPr="0015122B" w:rsidRDefault="00364CED" w:rsidP="00D46886">
            <w:pPr>
              <w:rPr>
                <w:rFonts w:ascii="David" w:hAnsi="David"/>
                <w:b/>
                <w:bCs/>
                <w:sz w:val="26"/>
                <w:szCs w:val="26"/>
                <w:rtl/>
              </w:rPr>
            </w:pPr>
            <w:r w:rsidRPr="0015122B">
              <w:rPr>
                <w:rFonts w:ascii="David" w:hAnsi="David"/>
                <w:b/>
                <w:bCs/>
                <w:sz w:val="26"/>
                <w:szCs w:val="26"/>
                <w:rtl/>
              </w:rPr>
              <w:t>יעקב ביטאוו</w:t>
            </w:r>
          </w:p>
        </w:tc>
        <w:tc>
          <w:tcPr>
            <w:tcW w:w="3771" w:type="dxa"/>
            <w:gridSpan w:val="2"/>
            <w:tcBorders>
              <w:top w:val="nil"/>
              <w:left w:val="nil"/>
              <w:bottom w:val="nil"/>
              <w:right w:val="nil"/>
            </w:tcBorders>
            <w:shd w:val="clear" w:color="auto" w:fill="auto"/>
          </w:tcPr>
          <w:p w14:paraId="1F28B716" w14:textId="77777777" w:rsidR="00364CED" w:rsidRPr="0015122B" w:rsidRDefault="00364CED" w:rsidP="00364CED">
            <w:pPr>
              <w:jc w:val="right"/>
              <w:rPr>
                <w:rFonts w:ascii="David" w:hAnsi="David"/>
                <w:b/>
                <w:bCs/>
                <w:sz w:val="26"/>
                <w:szCs w:val="26"/>
              </w:rPr>
            </w:pPr>
          </w:p>
        </w:tc>
      </w:tr>
      <w:tr w:rsidR="00364CED" w:rsidRPr="0015122B" w14:paraId="5DCACC7C" w14:textId="77777777" w:rsidTr="00151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87407C" w14:textId="77777777" w:rsidR="00364CED" w:rsidRPr="0015122B" w:rsidRDefault="00364CED" w:rsidP="00364CED">
            <w:pPr>
              <w:jc w:val="both"/>
              <w:rPr>
                <w:rFonts w:ascii="David" w:hAnsi="David"/>
                <w:b/>
                <w:bCs/>
                <w:sz w:val="26"/>
                <w:szCs w:val="26"/>
                <w:rtl/>
              </w:rPr>
            </w:pPr>
          </w:p>
        </w:tc>
        <w:tc>
          <w:tcPr>
            <w:tcW w:w="4126" w:type="dxa"/>
            <w:tcBorders>
              <w:top w:val="nil"/>
              <w:left w:val="nil"/>
              <w:bottom w:val="nil"/>
              <w:right w:val="nil"/>
            </w:tcBorders>
            <w:shd w:val="clear" w:color="auto" w:fill="auto"/>
          </w:tcPr>
          <w:p w14:paraId="1CC1BF13" w14:textId="77777777" w:rsidR="00364CED" w:rsidRPr="0015122B" w:rsidRDefault="00364CED" w:rsidP="00364CED">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4FCBF034" w14:textId="77777777" w:rsidR="00364CED" w:rsidRPr="0015122B" w:rsidRDefault="00364CED" w:rsidP="00364CED">
            <w:pPr>
              <w:jc w:val="right"/>
              <w:rPr>
                <w:rFonts w:ascii="David" w:hAnsi="David"/>
                <w:b/>
                <w:bCs/>
                <w:sz w:val="26"/>
                <w:szCs w:val="26"/>
              </w:rPr>
            </w:pPr>
            <w:r w:rsidRPr="0015122B">
              <w:rPr>
                <w:rFonts w:ascii="David" w:hAnsi="David"/>
                <w:b/>
                <w:bCs/>
                <w:sz w:val="26"/>
                <w:szCs w:val="26"/>
                <w:rtl/>
              </w:rPr>
              <w:t>הנאש</w:t>
            </w:r>
            <w:r w:rsidRPr="0015122B">
              <w:rPr>
                <w:rFonts w:ascii="David" w:hAnsi="David" w:hint="cs"/>
                <w:b/>
                <w:bCs/>
                <w:sz w:val="26"/>
                <w:szCs w:val="26"/>
                <w:rtl/>
              </w:rPr>
              <w:t>ם</w:t>
            </w:r>
          </w:p>
        </w:tc>
      </w:tr>
    </w:tbl>
    <w:p w14:paraId="4813A9D5" w14:textId="77777777" w:rsidR="00364CED" w:rsidRPr="0015122B" w:rsidRDefault="00364CED" w:rsidP="00364CED">
      <w:pPr>
        <w:rPr>
          <w:sz w:val="26"/>
          <w:szCs w:val="26"/>
        </w:rPr>
      </w:pPr>
    </w:p>
    <w:p w14:paraId="356722BA" w14:textId="77777777" w:rsidR="00364CED" w:rsidRPr="0015122B" w:rsidRDefault="00364CED" w:rsidP="00364CED">
      <w:pPr>
        <w:rPr>
          <w:rtl/>
        </w:rPr>
      </w:pPr>
    </w:p>
    <w:p w14:paraId="50AC04F3" w14:textId="77777777" w:rsidR="00364CED" w:rsidRPr="0015122B" w:rsidRDefault="00364CED" w:rsidP="00364CED">
      <w:pPr>
        <w:rPr>
          <w:rtl/>
        </w:rPr>
      </w:pPr>
      <w:r w:rsidRPr="0015122B">
        <w:rPr>
          <w:rtl/>
        </w:rPr>
        <w:t>נוכחים:</w:t>
      </w:r>
    </w:p>
    <w:p w14:paraId="7246ADC6" w14:textId="77777777" w:rsidR="00364CED" w:rsidRPr="0015122B" w:rsidRDefault="00364CED" w:rsidP="00364CED">
      <w:pPr>
        <w:rPr>
          <w:rtl/>
        </w:rPr>
      </w:pPr>
      <w:bookmarkStart w:id="2" w:name="FirstLawyer"/>
      <w:r w:rsidRPr="0015122B">
        <w:rPr>
          <w:rtl/>
        </w:rPr>
        <w:t>ב"כ</w:t>
      </w:r>
      <w:bookmarkEnd w:id="2"/>
      <w:r w:rsidRPr="0015122B">
        <w:rPr>
          <w:rtl/>
        </w:rPr>
        <w:t xml:space="preserve"> המאשימה עו"ד</w:t>
      </w:r>
      <w:r w:rsidRPr="0015122B">
        <w:rPr>
          <w:rFonts w:hint="cs"/>
          <w:rtl/>
        </w:rPr>
        <w:t xml:space="preserve"> מעיין דואק</w:t>
      </w:r>
      <w:r w:rsidRPr="0015122B">
        <w:rPr>
          <w:rtl/>
        </w:rPr>
        <w:t xml:space="preserve"> </w:t>
      </w:r>
    </w:p>
    <w:p w14:paraId="1C857A6B" w14:textId="77777777" w:rsidR="00364CED" w:rsidRPr="0015122B" w:rsidRDefault="00364CED" w:rsidP="00364CED">
      <w:pPr>
        <w:rPr>
          <w:rtl/>
        </w:rPr>
      </w:pPr>
      <w:r w:rsidRPr="0015122B">
        <w:rPr>
          <w:rtl/>
        </w:rPr>
        <w:t xml:space="preserve">ב"כ הנאשם עו"ד </w:t>
      </w:r>
      <w:r w:rsidRPr="0015122B">
        <w:rPr>
          <w:rFonts w:hint="cs"/>
          <w:rtl/>
        </w:rPr>
        <w:t>איתי רוזין</w:t>
      </w:r>
    </w:p>
    <w:p w14:paraId="47B62D84" w14:textId="77777777" w:rsidR="0015122B" w:rsidRDefault="00364CED" w:rsidP="00364CED">
      <w:pPr>
        <w:rPr>
          <w:rtl/>
        </w:rPr>
      </w:pPr>
      <w:r w:rsidRPr="0015122B">
        <w:rPr>
          <w:rtl/>
        </w:rPr>
        <w:t xml:space="preserve">הנאשם </w:t>
      </w:r>
      <w:r w:rsidRPr="0015122B">
        <w:rPr>
          <w:rFonts w:hint="cs"/>
          <w:rtl/>
        </w:rPr>
        <w:t>הובא על ידי שב"ס</w:t>
      </w:r>
      <w:r w:rsidRPr="0015122B">
        <w:rPr>
          <w:rtl/>
        </w:rPr>
        <w:t xml:space="preserve"> </w:t>
      </w:r>
    </w:p>
    <w:p w14:paraId="32FD0835" w14:textId="77777777" w:rsidR="0015122B" w:rsidRPr="0015122B" w:rsidRDefault="0015122B" w:rsidP="0015122B">
      <w:pPr>
        <w:spacing w:after="120" w:line="240" w:lineRule="exact"/>
        <w:ind w:left="283" w:hanging="283"/>
        <w:jc w:val="both"/>
        <w:rPr>
          <w:rFonts w:ascii="FrankRuehl" w:hAnsi="FrankRuehl" w:cs="FrankRuehl"/>
          <w:rtl/>
        </w:rPr>
      </w:pPr>
    </w:p>
    <w:p w14:paraId="30309845" w14:textId="77777777" w:rsidR="00BC5DDC" w:rsidRPr="00BC5DDC" w:rsidRDefault="00BC5DDC" w:rsidP="00BC5DDC">
      <w:pPr>
        <w:spacing w:before="120" w:after="120" w:line="240" w:lineRule="exact"/>
        <w:ind w:left="283" w:hanging="283"/>
        <w:jc w:val="both"/>
        <w:rPr>
          <w:rFonts w:ascii="FrankRuehl" w:hAnsi="FrankRuehl" w:cs="FrankRuehl"/>
          <w:rtl/>
        </w:rPr>
      </w:pPr>
    </w:p>
    <w:p w14:paraId="534E5FB0" w14:textId="77777777" w:rsidR="005027DA" w:rsidRDefault="005027DA" w:rsidP="005027DA">
      <w:pPr>
        <w:rPr>
          <w:rFonts w:ascii="Arial" w:hAnsi="Arial"/>
          <w:rtl/>
        </w:rPr>
      </w:pPr>
      <w:bookmarkStart w:id="3" w:name="LawTable"/>
      <w:bookmarkEnd w:id="3"/>
    </w:p>
    <w:p w14:paraId="00B9CDDD" w14:textId="77777777" w:rsidR="005027DA" w:rsidRPr="005027DA" w:rsidRDefault="005027DA" w:rsidP="005027DA">
      <w:pPr>
        <w:spacing w:before="120" w:after="120" w:line="240" w:lineRule="exact"/>
        <w:ind w:left="283" w:hanging="283"/>
        <w:jc w:val="both"/>
        <w:rPr>
          <w:rFonts w:ascii="FrankRuehl" w:hAnsi="FrankRuehl" w:cs="FrankRuehl"/>
          <w:rtl/>
        </w:rPr>
      </w:pPr>
    </w:p>
    <w:p w14:paraId="731B527A" w14:textId="77777777" w:rsidR="005027DA" w:rsidRPr="005027DA" w:rsidRDefault="005027DA" w:rsidP="005027DA">
      <w:pPr>
        <w:spacing w:before="120" w:after="120" w:line="240" w:lineRule="exact"/>
        <w:ind w:left="283" w:hanging="283"/>
        <w:jc w:val="both"/>
        <w:rPr>
          <w:rFonts w:ascii="FrankRuehl" w:hAnsi="FrankRuehl" w:cs="FrankRuehl"/>
          <w:rtl/>
        </w:rPr>
      </w:pPr>
    </w:p>
    <w:p w14:paraId="7A37FF30" w14:textId="77777777" w:rsidR="005027DA" w:rsidRPr="005027DA" w:rsidRDefault="005027DA" w:rsidP="005027DA">
      <w:pPr>
        <w:spacing w:before="120" w:after="120" w:line="240" w:lineRule="exact"/>
        <w:ind w:left="283" w:hanging="283"/>
        <w:jc w:val="both"/>
        <w:rPr>
          <w:rFonts w:ascii="FrankRuehl" w:hAnsi="FrankRuehl" w:cs="FrankRuehl"/>
          <w:rtl/>
        </w:rPr>
      </w:pPr>
      <w:r w:rsidRPr="005027DA">
        <w:rPr>
          <w:rFonts w:ascii="FrankRuehl" w:hAnsi="FrankRuehl" w:cs="FrankRuehl"/>
          <w:rtl/>
        </w:rPr>
        <w:t xml:space="preserve">חקיקה שאוזכרה: </w:t>
      </w:r>
    </w:p>
    <w:p w14:paraId="5145DD55" w14:textId="77777777" w:rsidR="005027DA" w:rsidRPr="005027DA" w:rsidRDefault="005027DA" w:rsidP="005027DA">
      <w:pPr>
        <w:spacing w:before="120" w:after="120" w:line="240" w:lineRule="exact"/>
        <w:ind w:left="283" w:hanging="283"/>
        <w:jc w:val="both"/>
        <w:rPr>
          <w:rFonts w:ascii="FrankRuehl" w:hAnsi="FrankRuehl" w:cs="FrankRuehl"/>
          <w:rtl/>
        </w:rPr>
      </w:pPr>
      <w:hyperlink r:id="rId7" w:history="1">
        <w:r w:rsidRPr="005027DA">
          <w:rPr>
            <w:rFonts w:ascii="FrankRuehl" w:hAnsi="FrankRuehl" w:cs="FrankRuehl"/>
            <w:color w:val="0000FF"/>
            <w:rtl/>
          </w:rPr>
          <w:t>חוק העונשין, תשל"ז-1977</w:t>
        </w:r>
      </w:hyperlink>
      <w:r w:rsidRPr="005027DA">
        <w:rPr>
          <w:rFonts w:ascii="FrankRuehl" w:hAnsi="FrankRuehl" w:cs="FrankRuehl"/>
          <w:rtl/>
        </w:rPr>
        <w:t xml:space="preserve">: סע'  </w:t>
      </w:r>
      <w:hyperlink r:id="rId8" w:history="1">
        <w:r w:rsidRPr="005027DA">
          <w:rPr>
            <w:rFonts w:ascii="FrankRuehl" w:hAnsi="FrankRuehl" w:cs="FrankRuehl"/>
            <w:color w:val="0000FF"/>
            <w:rtl/>
          </w:rPr>
          <w:t>40ח'</w:t>
        </w:r>
      </w:hyperlink>
      <w:r w:rsidRPr="005027DA">
        <w:rPr>
          <w:rFonts w:ascii="FrankRuehl" w:hAnsi="FrankRuehl" w:cs="FrankRuehl"/>
          <w:rtl/>
        </w:rPr>
        <w:t xml:space="preserve">, </w:t>
      </w:r>
      <w:hyperlink r:id="rId9" w:history="1">
        <w:r w:rsidRPr="005027DA">
          <w:rPr>
            <w:rFonts w:ascii="FrankRuehl" w:hAnsi="FrankRuehl" w:cs="FrankRuehl"/>
            <w:color w:val="0000FF"/>
            <w:rtl/>
          </w:rPr>
          <w:t>186(א)</w:t>
        </w:r>
      </w:hyperlink>
    </w:p>
    <w:p w14:paraId="0048DA54" w14:textId="77777777" w:rsidR="005027DA" w:rsidRPr="005027DA" w:rsidRDefault="005027DA" w:rsidP="005027DA">
      <w:pPr>
        <w:spacing w:before="120" w:after="120" w:line="240" w:lineRule="exact"/>
        <w:ind w:left="283" w:hanging="283"/>
        <w:jc w:val="both"/>
        <w:rPr>
          <w:rFonts w:ascii="FrankRuehl" w:hAnsi="FrankRuehl" w:cs="FrankRuehl"/>
          <w:rtl/>
        </w:rPr>
      </w:pPr>
      <w:hyperlink r:id="rId10" w:history="1">
        <w:r w:rsidRPr="005027DA">
          <w:rPr>
            <w:rFonts w:ascii="FrankRuehl" w:hAnsi="FrankRuehl" w:cs="FrankRuehl"/>
            <w:color w:val="0000FF"/>
            <w:rtl/>
          </w:rPr>
          <w:t>פקודת הסמים המסוכנים [נוסח חדש], תשל"ג-1973</w:t>
        </w:r>
      </w:hyperlink>
    </w:p>
    <w:p w14:paraId="05EC70D5" w14:textId="77777777" w:rsidR="005027DA" w:rsidRPr="005027DA" w:rsidRDefault="005027DA" w:rsidP="005027DA">
      <w:pPr>
        <w:rPr>
          <w:rFonts w:ascii="Arial" w:hAnsi="Arial"/>
          <w:rtl/>
        </w:rPr>
      </w:pPr>
      <w:bookmarkStart w:id="4" w:name="LawTable_End"/>
      <w:bookmarkEnd w:id="4"/>
    </w:p>
    <w:p w14:paraId="5AB14437" w14:textId="77777777" w:rsidR="00364CED" w:rsidRPr="00BC5DDC" w:rsidRDefault="00364CED" w:rsidP="00BC5DD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4CED" w:rsidRPr="0015122B" w14:paraId="2F8EDA2F" w14:textId="77777777" w:rsidTr="00364CED">
        <w:trPr>
          <w:trHeight w:val="355"/>
          <w:jc w:val="center"/>
        </w:trPr>
        <w:tc>
          <w:tcPr>
            <w:tcW w:w="8820" w:type="dxa"/>
            <w:tcBorders>
              <w:top w:val="nil"/>
              <w:left w:val="nil"/>
              <w:bottom w:val="nil"/>
              <w:right w:val="nil"/>
            </w:tcBorders>
            <w:shd w:val="clear" w:color="auto" w:fill="auto"/>
          </w:tcPr>
          <w:p w14:paraId="5D92D9F7" w14:textId="77777777" w:rsidR="00DF407D" w:rsidRPr="0015122B" w:rsidRDefault="00DF407D" w:rsidP="00DF407D">
            <w:pPr>
              <w:jc w:val="center"/>
              <w:rPr>
                <w:rFonts w:ascii="Arial" w:hAnsi="Arial"/>
                <w:b/>
                <w:bCs/>
                <w:sz w:val="32"/>
                <w:szCs w:val="32"/>
                <w:u w:val="single"/>
                <w:rtl/>
              </w:rPr>
            </w:pPr>
            <w:bookmarkStart w:id="5" w:name="PsakDin" w:colFirst="0" w:colLast="0"/>
            <w:bookmarkEnd w:id="0"/>
            <w:r w:rsidRPr="0015122B">
              <w:rPr>
                <w:rFonts w:ascii="Arial" w:hAnsi="Arial"/>
                <w:b/>
                <w:bCs/>
                <w:sz w:val="32"/>
                <w:szCs w:val="32"/>
                <w:u w:val="single"/>
                <w:rtl/>
              </w:rPr>
              <w:t>גזר דין</w:t>
            </w:r>
          </w:p>
          <w:p w14:paraId="65C0C693" w14:textId="77777777" w:rsidR="00364CED" w:rsidRPr="0015122B" w:rsidRDefault="00364CED" w:rsidP="00DF407D">
            <w:pPr>
              <w:jc w:val="center"/>
              <w:rPr>
                <w:rFonts w:ascii="Arial" w:hAnsi="Arial"/>
                <w:bCs/>
                <w:sz w:val="32"/>
                <w:szCs w:val="32"/>
                <w:u w:val="single"/>
              </w:rPr>
            </w:pPr>
          </w:p>
        </w:tc>
      </w:tr>
      <w:bookmarkEnd w:id="5"/>
    </w:tbl>
    <w:p w14:paraId="1654FC51" w14:textId="77777777" w:rsidR="00364CED" w:rsidRPr="0015122B" w:rsidRDefault="00364CED" w:rsidP="00364CED">
      <w:pPr>
        <w:rPr>
          <w:rFonts w:ascii="Arial" w:hAnsi="Arial"/>
          <w:rtl/>
        </w:rPr>
      </w:pPr>
    </w:p>
    <w:p w14:paraId="55606E97" w14:textId="77777777" w:rsidR="00364CED" w:rsidRPr="0015122B" w:rsidRDefault="00364CED" w:rsidP="00364CED">
      <w:pPr>
        <w:rPr>
          <w:b/>
          <w:bCs/>
          <w:u w:val="single"/>
          <w:rtl/>
        </w:rPr>
      </w:pPr>
    </w:p>
    <w:p w14:paraId="6F7F756A" w14:textId="77777777" w:rsidR="00364CED" w:rsidRPr="0015122B" w:rsidRDefault="00364CED" w:rsidP="00364CED">
      <w:pPr>
        <w:rPr>
          <w:b/>
          <w:bCs/>
          <w:u w:val="single"/>
          <w:rtl/>
        </w:rPr>
      </w:pPr>
      <w:r w:rsidRPr="0015122B">
        <w:rPr>
          <w:b/>
          <w:bCs/>
          <w:u w:val="single"/>
          <w:rtl/>
        </w:rPr>
        <w:t>כתב האישום ורקע</w:t>
      </w:r>
    </w:p>
    <w:p w14:paraId="07C84631" w14:textId="77777777" w:rsidR="00364CED" w:rsidRPr="0015122B" w:rsidRDefault="00364CED" w:rsidP="00364CED">
      <w:pPr>
        <w:numPr>
          <w:ilvl w:val="0"/>
          <w:numId w:val="1"/>
        </w:numPr>
        <w:spacing w:line="360" w:lineRule="auto"/>
        <w:ind w:left="425" w:hanging="425"/>
        <w:contextualSpacing/>
        <w:jc w:val="both"/>
      </w:pPr>
      <w:bookmarkStart w:id="6" w:name="ABSTRACT_START"/>
      <w:bookmarkEnd w:id="6"/>
      <w:r w:rsidRPr="0015122B">
        <w:rPr>
          <w:rFonts w:hint="cs"/>
          <w:rtl/>
        </w:rPr>
        <w:t xml:space="preserve">הנאשם הורשע, לאחר שמיעת ראיות, בעבירה של החזקת סכין שלא למטרה כשרה, עבירה לפי </w:t>
      </w:r>
      <w:hyperlink r:id="rId11" w:history="1">
        <w:r w:rsidR="0015122B" w:rsidRPr="0015122B">
          <w:rPr>
            <w:rStyle w:val="Hyperlink"/>
            <w:rFonts w:hint="eastAsia"/>
            <w:rtl/>
          </w:rPr>
          <w:t>סעיף</w:t>
        </w:r>
        <w:r w:rsidR="0015122B" w:rsidRPr="0015122B">
          <w:rPr>
            <w:rStyle w:val="Hyperlink"/>
            <w:rtl/>
          </w:rPr>
          <w:t xml:space="preserve"> 186(א)</w:t>
        </w:r>
      </w:hyperlink>
      <w:r w:rsidRPr="0015122B">
        <w:rPr>
          <w:rFonts w:hint="cs"/>
          <w:rtl/>
        </w:rPr>
        <w:t xml:space="preserve"> ל</w:t>
      </w:r>
      <w:hyperlink r:id="rId12" w:history="1">
        <w:r w:rsidR="00DF407D" w:rsidRPr="0015122B">
          <w:rPr>
            <w:color w:val="0000FF"/>
            <w:u w:val="single"/>
            <w:rtl/>
          </w:rPr>
          <w:t>חוק העונשין</w:t>
        </w:r>
      </w:hyperlink>
      <w:r w:rsidRPr="0015122B">
        <w:rPr>
          <w:rFonts w:hint="cs"/>
          <w:rtl/>
        </w:rPr>
        <w:t xml:space="preserve">, תשל"ז </w:t>
      </w:r>
      <w:r w:rsidRPr="0015122B">
        <w:rPr>
          <w:rtl/>
        </w:rPr>
        <w:t>–</w:t>
      </w:r>
      <w:r w:rsidRPr="0015122B">
        <w:rPr>
          <w:rFonts w:hint="cs"/>
          <w:rtl/>
        </w:rPr>
        <w:t xml:space="preserve"> 1977 (להלן: "</w:t>
      </w:r>
      <w:r w:rsidRPr="0015122B">
        <w:rPr>
          <w:rFonts w:hint="cs"/>
          <w:b/>
          <w:bCs/>
          <w:rtl/>
        </w:rPr>
        <w:t>החוק</w:t>
      </w:r>
      <w:r w:rsidRPr="0015122B">
        <w:rPr>
          <w:rFonts w:hint="cs"/>
          <w:rtl/>
        </w:rPr>
        <w:t>").</w:t>
      </w:r>
    </w:p>
    <w:p w14:paraId="293981D2" w14:textId="77777777" w:rsidR="00364CED" w:rsidRPr="0015122B" w:rsidRDefault="00364CED" w:rsidP="00364CED">
      <w:pPr>
        <w:spacing w:line="360" w:lineRule="auto"/>
        <w:ind w:left="425"/>
        <w:contextualSpacing/>
        <w:jc w:val="both"/>
      </w:pPr>
    </w:p>
    <w:p w14:paraId="1E361BB9" w14:textId="77777777" w:rsidR="00364CED" w:rsidRPr="0015122B" w:rsidRDefault="00364CED" w:rsidP="00364CED">
      <w:pPr>
        <w:spacing w:line="360" w:lineRule="auto"/>
        <w:ind w:left="425"/>
        <w:contextualSpacing/>
        <w:jc w:val="both"/>
        <w:rPr>
          <w:rtl/>
        </w:rPr>
      </w:pPr>
      <w:bookmarkStart w:id="7" w:name="ABSTRACT_END"/>
      <w:bookmarkEnd w:id="7"/>
      <w:r w:rsidRPr="0015122B">
        <w:rPr>
          <w:rFonts w:hint="cs"/>
          <w:rtl/>
        </w:rPr>
        <w:t xml:space="preserve">בתאריך 08.09.17, בסמוך לשעה 04:30, טרם כניסתו של הנאשם למועדון, נערך עליו בידוק ביטחוני על-ידי מאבטח המועדון ונמצאה סכין בכיס מכנסיו. הנאשם סירב למסור אותה </w:t>
      </w:r>
      <w:r w:rsidRPr="0015122B">
        <w:rPr>
          <w:rFonts w:hint="cs"/>
          <w:rtl/>
        </w:rPr>
        <w:lastRenderedPageBreak/>
        <w:t>למאבטח וניגש לרכבו לשים אותה. בהמשך הגיעו שוטרים, ערכו חיפוש ברכב ומצאו סכין מתקפלת בצורת כרטיס אשראי, שלהבה מתקבע ואורכו כ- 7 ס"מ.</w:t>
      </w:r>
    </w:p>
    <w:p w14:paraId="1CD25828" w14:textId="77777777" w:rsidR="00364CED" w:rsidRPr="0015122B" w:rsidRDefault="00364CED" w:rsidP="00364CED">
      <w:pPr>
        <w:spacing w:line="360" w:lineRule="auto"/>
        <w:ind w:left="425"/>
        <w:contextualSpacing/>
        <w:jc w:val="both"/>
        <w:rPr>
          <w:rtl/>
        </w:rPr>
      </w:pPr>
    </w:p>
    <w:p w14:paraId="4C8CC91A"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 xml:space="preserve">בתאריך 25.11.19 ניתנה הכרעת דין בעניינו של הנאשם והוא הופנה לקבלת תסקיר שירות המבחן שיבחן בין היתר את שאלת ביטול ההרשעה. </w:t>
      </w:r>
    </w:p>
    <w:p w14:paraId="500BCABA" w14:textId="77777777" w:rsidR="00364CED" w:rsidRPr="0015122B" w:rsidRDefault="00364CED" w:rsidP="00364CED">
      <w:pPr>
        <w:jc w:val="both"/>
        <w:rPr>
          <w:b/>
          <w:bCs/>
          <w:u w:val="single"/>
        </w:rPr>
      </w:pPr>
    </w:p>
    <w:p w14:paraId="6F6D2B11" w14:textId="77777777" w:rsidR="00364CED" w:rsidRPr="0015122B" w:rsidRDefault="00364CED" w:rsidP="00364CED">
      <w:pPr>
        <w:spacing w:line="360" w:lineRule="auto"/>
        <w:jc w:val="both"/>
        <w:rPr>
          <w:b/>
          <w:bCs/>
          <w:u w:val="single"/>
          <w:rtl/>
        </w:rPr>
      </w:pPr>
      <w:r w:rsidRPr="0015122B">
        <w:rPr>
          <w:b/>
          <w:bCs/>
          <w:u w:val="single"/>
          <w:rtl/>
        </w:rPr>
        <w:t>תסקיר שירות המבחן</w:t>
      </w:r>
    </w:p>
    <w:p w14:paraId="4A1A21C9"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 xml:space="preserve">בעניינו של הנאשם התקבלו שלושה תסקירים, שבסופם המליץ שירות המבחן לבטל את הרשעת הנאשם ולהטיל עליו צו מבחן לשנה, זאת בשים לב לכך כי מדובר בבחור צעיר, נעדר עבר פלילי, שנרתע מההליך הפלילי המתנהל כנגדו והשפעותיו השליליות של ההליך, שיתוף הפעולה עם שירות המבחן והשתלבותו בקבוצה טיפולית. </w:t>
      </w:r>
    </w:p>
    <w:p w14:paraId="678F0A89" w14:textId="77777777" w:rsidR="00364CED" w:rsidRPr="0015122B" w:rsidRDefault="00364CED" w:rsidP="00364CED">
      <w:pPr>
        <w:spacing w:line="360" w:lineRule="auto"/>
        <w:contextualSpacing/>
        <w:jc w:val="both"/>
        <w:rPr>
          <w:b/>
          <w:bCs/>
          <w:u w:val="single"/>
          <w:rtl/>
        </w:rPr>
      </w:pPr>
      <w:r w:rsidRPr="0015122B">
        <w:rPr>
          <w:b/>
          <w:bCs/>
          <w:u w:val="single"/>
          <w:rtl/>
        </w:rPr>
        <w:t>טיעוני הצדדים לעונש</w:t>
      </w:r>
    </w:p>
    <w:p w14:paraId="759426E6"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 xml:space="preserve">ב"כ המאשימה הפנתה לחומרת העבירה, הגעה למועדון בשעת לילה מאוחרת כשסכין בכיסו, לפוטנציאל הנזק ולפגיעה בערך החברתי המוגן של הגנה על בטחון הציבור. הפגיעה בערך החברתי היא במידה בינונית- גבוהה. </w:t>
      </w:r>
    </w:p>
    <w:p w14:paraId="4FA52C6E" w14:textId="77777777" w:rsidR="00364CED" w:rsidRPr="0015122B" w:rsidRDefault="00364CED" w:rsidP="00364CED">
      <w:pPr>
        <w:spacing w:line="360" w:lineRule="auto"/>
        <w:ind w:left="425"/>
        <w:contextualSpacing/>
        <w:jc w:val="both"/>
        <w:rPr>
          <w:rtl/>
        </w:rPr>
      </w:pPr>
      <w:r w:rsidRPr="0015122B">
        <w:rPr>
          <w:rFonts w:hint="cs"/>
          <w:rtl/>
        </w:rPr>
        <w:t xml:space="preserve">ב"כ המאשימה ביקשה לקבוע, כי מתחם העונש ההולם הוא בין מאסר קצר, שיכול וירוצה בדרך של עבודות שירות, ועד שנת מאסר בפועל לצד מאסר על תנאי וקנס ובתמיכה לכך הפנתה לפסיקה. </w:t>
      </w:r>
    </w:p>
    <w:p w14:paraId="0EA660F0" w14:textId="77777777" w:rsidR="00364CED" w:rsidRPr="0015122B" w:rsidRDefault="00364CED" w:rsidP="00364CED">
      <w:pPr>
        <w:spacing w:line="360" w:lineRule="auto"/>
        <w:ind w:left="425"/>
        <w:contextualSpacing/>
        <w:jc w:val="both"/>
        <w:rPr>
          <w:rtl/>
        </w:rPr>
      </w:pPr>
      <w:r w:rsidRPr="0015122B">
        <w:rPr>
          <w:rFonts w:hint="cs"/>
          <w:rtl/>
        </w:rPr>
        <w:t xml:space="preserve">הנאשם לא לקח אחריות על מעשיו ותסקיר שירות המבחן אינו נקי מקשיים ולא מצביע על הליך טיפולי משמעותי. </w:t>
      </w:r>
    </w:p>
    <w:p w14:paraId="1FE19D06" w14:textId="77777777" w:rsidR="00364CED" w:rsidRPr="0015122B" w:rsidRDefault="00364CED" w:rsidP="00364CED">
      <w:pPr>
        <w:spacing w:line="360" w:lineRule="auto"/>
        <w:ind w:left="425"/>
        <w:contextualSpacing/>
        <w:jc w:val="both"/>
      </w:pPr>
      <w:r w:rsidRPr="0015122B">
        <w:rPr>
          <w:rFonts w:hint="cs"/>
          <w:rtl/>
        </w:rPr>
        <w:t xml:space="preserve">נוכח חומרת העבירה אין מקום להיעתר לבקשה לביטול ההרשעה, וזאת, בין היתר על רקע כתב אישום נוסף שהוגש נגד הנאשם בספטמבר 2020 בגין החזקת סמים שלא לצריכה עצמית. בנסיבות אלה עתרה ב"כ המאשימה להותיר את ההרשעה על כנה ולהשית על הנאשם עונש המצוי בחלקו התחתון של המתחם אולם לא ברף נמוך, לצד מאסר על תנאי וקנס.   </w:t>
      </w:r>
    </w:p>
    <w:p w14:paraId="2D51ADBF" w14:textId="77777777" w:rsidR="00364CED" w:rsidRPr="0015122B" w:rsidRDefault="00364CED" w:rsidP="00364CED">
      <w:pPr>
        <w:spacing w:line="360" w:lineRule="auto"/>
        <w:ind w:left="425"/>
        <w:contextualSpacing/>
        <w:jc w:val="both"/>
      </w:pPr>
    </w:p>
    <w:p w14:paraId="31834590"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 xml:space="preserve">ב"כ הנאשם התייחס לכך שהסכין שנתפסה ברשות הנאשם נמכרת באתרי טיולים למיניהם כסכין "לאוהבי טיולי שטח" והפנה לפרסום מאתר אינטרנט (טע/1). לאחר שהמאבטח הורה לנאשם למסור לו את הסכין, הוא הניח אותה ברכב ושב למועדון. הנאשם יכול היה להיכנס לרכבו ולנסוע לדרכו, אלא שבתמימותו הוא חזר למועדון. בנסיבות ביצוע העבירה אין כל פוטנציאל נזק. </w:t>
      </w:r>
    </w:p>
    <w:p w14:paraId="1410829A" w14:textId="77777777" w:rsidR="00364CED" w:rsidRPr="0015122B" w:rsidRDefault="00364CED" w:rsidP="00364CED">
      <w:pPr>
        <w:spacing w:line="360" w:lineRule="auto"/>
        <w:ind w:left="425"/>
        <w:contextualSpacing/>
        <w:jc w:val="both"/>
        <w:rPr>
          <w:rtl/>
        </w:rPr>
      </w:pPr>
      <w:r w:rsidRPr="0015122B">
        <w:rPr>
          <w:rFonts w:hint="cs"/>
          <w:rtl/>
        </w:rPr>
        <w:t xml:space="preserve">על פי התסקיר הנאשם לקח אחריות על מעשיו. הנאשם בא ממשפחה נורמטיבית, הטיפול בשירות המבחן התעכב מחמת משבר הקורונה, אך זה החל בטיפול. </w:t>
      </w:r>
    </w:p>
    <w:p w14:paraId="586F06E4" w14:textId="77777777" w:rsidR="00364CED" w:rsidRPr="0015122B" w:rsidRDefault="00364CED" w:rsidP="00364CED">
      <w:pPr>
        <w:spacing w:line="360" w:lineRule="auto"/>
        <w:ind w:left="425"/>
        <w:contextualSpacing/>
        <w:jc w:val="both"/>
        <w:rPr>
          <w:rtl/>
        </w:rPr>
      </w:pPr>
      <w:r w:rsidRPr="0015122B">
        <w:rPr>
          <w:rFonts w:hint="cs"/>
          <w:rtl/>
        </w:rPr>
        <w:t>ב"כ הנאשם עתר לאמץ את המלצת שירות המבחן ולהורות על ביטול ההרשעה, בהתחשב בכך שהנאשם בחור צעיר, מפרנס יחיד המתגורר בגפו, מגיע מרקע סוציואקונומי מכביד, תעסוקתו במפעל יציבה והוא מבקש להמשיך ולהתפתח בעבודתו ויש אופק שיקומי בעניינו.</w:t>
      </w:r>
    </w:p>
    <w:p w14:paraId="36683477" w14:textId="77777777" w:rsidR="00364CED" w:rsidRPr="0015122B" w:rsidRDefault="00364CED" w:rsidP="00364CED">
      <w:pPr>
        <w:spacing w:line="360" w:lineRule="auto"/>
        <w:ind w:left="425"/>
        <w:contextualSpacing/>
        <w:jc w:val="both"/>
        <w:rPr>
          <w:rtl/>
        </w:rPr>
      </w:pPr>
    </w:p>
    <w:p w14:paraId="56B198B0"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הנאשם מסר שאין לו מה להוסיף.</w:t>
      </w:r>
    </w:p>
    <w:p w14:paraId="763B8182" w14:textId="77777777" w:rsidR="00364CED" w:rsidRPr="0015122B" w:rsidRDefault="00364CED" w:rsidP="00364CED">
      <w:pPr>
        <w:spacing w:line="360" w:lineRule="auto"/>
        <w:jc w:val="both"/>
        <w:rPr>
          <w:rFonts w:ascii="David" w:hAnsi="David"/>
          <w:b/>
          <w:bCs/>
          <w:color w:val="000000"/>
          <w:sz w:val="26"/>
          <w:szCs w:val="26"/>
          <w:u w:val="single"/>
          <w:rtl/>
        </w:rPr>
      </w:pPr>
    </w:p>
    <w:p w14:paraId="63E455CE" w14:textId="77777777" w:rsidR="00364CED" w:rsidRPr="0015122B" w:rsidRDefault="00364CED" w:rsidP="00364CED">
      <w:pPr>
        <w:spacing w:line="360" w:lineRule="auto"/>
        <w:jc w:val="both"/>
        <w:rPr>
          <w:rFonts w:ascii="David" w:hAnsi="David"/>
          <w:sz w:val="26"/>
          <w:szCs w:val="26"/>
          <w:rtl/>
        </w:rPr>
      </w:pPr>
      <w:r w:rsidRPr="0015122B">
        <w:rPr>
          <w:rFonts w:ascii="David" w:hAnsi="David"/>
          <w:b/>
          <w:bCs/>
          <w:color w:val="000000"/>
          <w:sz w:val="26"/>
          <w:szCs w:val="26"/>
          <w:u w:val="single"/>
          <w:rtl/>
        </w:rPr>
        <w:t>דיון והכרעה</w:t>
      </w:r>
    </w:p>
    <w:p w14:paraId="49BCAA29" w14:textId="77777777" w:rsidR="00364CED" w:rsidRPr="0015122B" w:rsidRDefault="00364CED" w:rsidP="00364CED">
      <w:pPr>
        <w:jc w:val="both"/>
        <w:rPr>
          <w:b/>
          <w:bCs/>
          <w:u w:val="single"/>
          <w:rtl/>
        </w:rPr>
      </w:pPr>
      <w:r w:rsidRPr="0015122B">
        <w:rPr>
          <w:b/>
          <w:bCs/>
          <w:u w:val="single"/>
          <w:rtl/>
        </w:rPr>
        <w:t>האם יש מקום ל</w:t>
      </w:r>
      <w:r w:rsidRPr="0015122B">
        <w:rPr>
          <w:rFonts w:hint="cs"/>
          <w:b/>
          <w:bCs/>
          <w:u w:val="single"/>
          <w:rtl/>
        </w:rPr>
        <w:t>ביטול הרשעת הנאשם?</w:t>
      </w:r>
    </w:p>
    <w:p w14:paraId="65D8B711" w14:textId="77777777" w:rsidR="00364CED" w:rsidRPr="0015122B" w:rsidRDefault="00364CED" w:rsidP="00364CED">
      <w:pPr>
        <w:numPr>
          <w:ilvl w:val="0"/>
          <w:numId w:val="1"/>
        </w:numPr>
        <w:spacing w:line="360" w:lineRule="auto"/>
        <w:ind w:left="425" w:hanging="425"/>
        <w:contextualSpacing/>
        <w:jc w:val="both"/>
      </w:pPr>
      <w:r w:rsidRPr="0015122B">
        <w:rPr>
          <w:rtl/>
        </w:rPr>
        <w:t>ב"כ הנאשם ביקש ל</w:t>
      </w:r>
      <w:r w:rsidRPr="0015122B">
        <w:rPr>
          <w:rFonts w:hint="cs"/>
          <w:rtl/>
        </w:rPr>
        <w:t xml:space="preserve">אמץ את המלצת שירות המבחן לביטול הרשעת הנאשם. </w:t>
      </w:r>
    </w:p>
    <w:p w14:paraId="45F3EEA7" w14:textId="77777777" w:rsidR="00364CED" w:rsidRPr="0015122B" w:rsidRDefault="00364CED" w:rsidP="00364CED">
      <w:pPr>
        <w:spacing w:line="360" w:lineRule="auto"/>
        <w:ind w:left="425"/>
        <w:contextualSpacing/>
        <w:jc w:val="both"/>
        <w:rPr>
          <w:rtl/>
        </w:rPr>
      </w:pPr>
      <w:r w:rsidRPr="0015122B">
        <w:rPr>
          <w:rFonts w:hint="cs"/>
          <w:rtl/>
        </w:rPr>
        <w:t>בתמיכה לעתירתו הפנה ב"כ הנאשם לפסיקה כדלקמן:</w:t>
      </w:r>
    </w:p>
    <w:p w14:paraId="3A175097" w14:textId="77777777" w:rsidR="00364CED" w:rsidRPr="0015122B" w:rsidRDefault="00DF407D" w:rsidP="00364CED">
      <w:pPr>
        <w:pStyle w:val="a9"/>
        <w:numPr>
          <w:ilvl w:val="0"/>
          <w:numId w:val="4"/>
        </w:numPr>
        <w:spacing w:line="360" w:lineRule="auto"/>
        <w:ind w:left="850" w:hanging="425"/>
        <w:jc w:val="both"/>
      </w:pPr>
      <w:hyperlink r:id="rId13" w:history="1">
        <w:r w:rsidRPr="0015122B">
          <w:rPr>
            <w:color w:val="0000FF"/>
            <w:u w:val="single"/>
            <w:rtl/>
          </w:rPr>
          <w:t>ת"פ 30859-02-16</w:t>
        </w:r>
      </w:hyperlink>
      <w:r w:rsidR="00364CED" w:rsidRPr="0015122B">
        <w:rPr>
          <w:rFonts w:hint="cs"/>
          <w:rtl/>
        </w:rPr>
        <w:t xml:space="preserve"> </w:t>
      </w:r>
      <w:r w:rsidR="00364CED" w:rsidRPr="0015122B">
        <w:rPr>
          <w:rFonts w:hint="cs"/>
          <w:b/>
          <w:bCs/>
          <w:rtl/>
        </w:rPr>
        <w:t>מדינת ישראל נ' עמר</w:t>
      </w:r>
      <w:r w:rsidR="00364CED" w:rsidRPr="0015122B">
        <w:rPr>
          <w:rFonts w:hint="cs"/>
          <w:rtl/>
        </w:rPr>
        <w:t xml:space="preserve"> (03.05.17) </w:t>
      </w:r>
      <w:r w:rsidR="00364CED" w:rsidRPr="0015122B">
        <w:rPr>
          <w:rtl/>
        </w:rPr>
        <w:t>–</w:t>
      </w:r>
      <w:r w:rsidR="00364CED" w:rsidRPr="0015122B">
        <w:rPr>
          <w:rFonts w:hint="cs"/>
          <w:rtl/>
        </w:rPr>
        <w:t xml:space="preserve"> הנאשם הורשע על פי הודאתו במסגרת הסדר טיעון בכתב אישום מתוקן בו יוחסו לו עבירות של החזקת סם לצריכה עצמית, החזקת סכין והתנגדות למעצר. בנסיבותיו המיוחדות של הנאשם, לרבות גילו הצעיר, כבן 21, ולכך שכל עתידו לפניו ובשים לב להליך טיפולי שעבר ולכך שנמנע משימוש בסמים, הסתיימו ההליכים בעניינו ללא הרשעה. </w:t>
      </w:r>
    </w:p>
    <w:p w14:paraId="2B7B751E" w14:textId="77777777" w:rsidR="00364CED" w:rsidRPr="0015122B" w:rsidRDefault="00DF407D" w:rsidP="00364CED">
      <w:pPr>
        <w:pStyle w:val="a9"/>
        <w:numPr>
          <w:ilvl w:val="0"/>
          <w:numId w:val="4"/>
        </w:numPr>
        <w:spacing w:line="360" w:lineRule="auto"/>
        <w:ind w:left="850" w:hanging="425"/>
        <w:jc w:val="both"/>
      </w:pPr>
      <w:hyperlink r:id="rId14" w:history="1">
        <w:r w:rsidRPr="0015122B">
          <w:rPr>
            <w:color w:val="0000FF"/>
            <w:u w:val="single"/>
            <w:rtl/>
          </w:rPr>
          <w:t>ת"פ 47754-06-16</w:t>
        </w:r>
      </w:hyperlink>
      <w:r w:rsidR="00364CED" w:rsidRPr="0015122B">
        <w:rPr>
          <w:rFonts w:hint="cs"/>
          <w:rtl/>
        </w:rPr>
        <w:t xml:space="preserve"> </w:t>
      </w:r>
      <w:r w:rsidR="00364CED" w:rsidRPr="0015122B">
        <w:rPr>
          <w:rFonts w:hint="cs"/>
          <w:b/>
          <w:bCs/>
          <w:rtl/>
        </w:rPr>
        <w:t>מדינת ישראל נ' סואעד</w:t>
      </w:r>
      <w:r w:rsidR="00364CED" w:rsidRPr="0015122B">
        <w:rPr>
          <w:rFonts w:hint="cs"/>
          <w:rtl/>
        </w:rPr>
        <w:t xml:space="preserve"> (05.06.17) </w:t>
      </w:r>
      <w:r w:rsidR="00364CED" w:rsidRPr="0015122B">
        <w:rPr>
          <w:rtl/>
        </w:rPr>
        <w:t>–</w:t>
      </w:r>
      <w:r w:rsidR="00364CED" w:rsidRPr="0015122B">
        <w:rPr>
          <w:rFonts w:hint="cs"/>
          <w:rtl/>
        </w:rPr>
        <w:t xml:space="preserve">  הנאשם הודה והורשע בהחזקת סכין קומנדו מתחת לגלגל הרזרבי בתא המטען. הנאשם כבן 26, נעדר עבר פלילי ותיקים קודמים, מאז המעשה חלפו שנתיים ולא נפתחו בעניינו תיקים נוספים, שירות המבחן התרשם, כי הנאשם הורתע מהמעשה וההליך הפלילי המתנהל כנגדו, וכי הוא מסוגל להפיק את הלקחים בעצמו, ללא התערבות טיפולית. בנסיבות אלה הורה בית המשפט על ביטול הרשעת הנאשם והושת עליו צו של"צ. </w:t>
      </w:r>
    </w:p>
    <w:p w14:paraId="3A48C595" w14:textId="77777777" w:rsidR="00364CED" w:rsidRPr="0015122B" w:rsidRDefault="00DF407D" w:rsidP="00364CED">
      <w:pPr>
        <w:pStyle w:val="a9"/>
        <w:numPr>
          <w:ilvl w:val="0"/>
          <w:numId w:val="4"/>
        </w:numPr>
        <w:spacing w:line="360" w:lineRule="auto"/>
        <w:ind w:left="850" w:hanging="425"/>
        <w:jc w:val="both"/>
      </w:pPr>
      <w:hyperlink r:id="rId15" w:history="1">
        <w:r w:rsidRPr="0015122B">
          <w:rPr>
            <w:color w:val="0000FF"/>
            <w:u w:val="single"/>
            <w:rtl/>
          </w:rPr>
          <w:t>ת"פ 18904-02-17</w:t>
        </w:r>
      </w:hyperlink>
      <w:r w:rsidR="00364CED" w:rsidRPr="0015122B">
        <w:rPr>
          <w:rFonts w:hint="cs"/>
          <w:rtl/>
        </w:rPr>
        <w:t xml:space="preserve"> </w:t>
      </w:r>
      <w:r w:rsidR="00364CED" w:rsidRPr="0015122B">
        <w:rPr>
          <w:rFonts w:hint="cs"/>
          <w:b/>
          <w:bCs/>
          <w:rtl/>
        </w:rPr>
        <w:t>מדינת ישראל נ' צולר</w:t>
      </w:r>
      <w:r w:rsidR="00364CED" w:rsidRPr="0015122B">
        <w:rPr>
          <w:rFonts w:hint="cs"/>
          <w:rtl/>
        </w:rPr>
        <w:t xml:space="preserve"> (26.06.19) </w:t>
      </w:r>
      <w:r w:rsidR="00364CED" w:rsidRPr="0015122B">
        <w:rPr>
          <w:rtl/>
        </w:rPr>
        <w:t>–</w:t>
      </w:r>
      <w:r w:rsidR="00364CED" w:rsidRPr="0015122B">
        <w:rPr>
          <w:rFonts w:hint="cs"/>
          <w:rtl/>
        </w:rPr>
        <w:t xml:space="preserve"> הנאשם הורשע בעבירה של החזקת סכין שלא למטרה כשרה ואיומים. בית המשפט נמנע מהרשעתו נוכח הצטברויות מיוחדות של נסיבות המטות את הכף לעבר מסקנה שהאינטרס הציבורי עולה בקנה אחד עם אי הרשעתו של הנאשם.  </w:t>
      </w:r>
    </w:p>
    <w:p w14:paraId="14D0BC20" w14:textId="77777777" w:rsidR="00364CED" w:rsidRPr="0015122B" w:rsidRDefault="00364CED" w:rsidP="00364CED">
      <w:pPr>
        <w:spacing w:line="360" w:lineRule="auto"/>
        <w:ind w:left="425"/>
        <w:contextualSpacing/>
        <w:jc w:val="both"/>
      </w:pPr>
    </w:p>
    <w:p w14:paraId="26CDC6AF" w14:textId="77777777" w:rsidR="00364CED" w:rsidRPr="0015122B" w:rsidRDefault="00364CED" w:rsidP="00364CED">
      <w:pPr>
        <w:numPr>
          <w:ilvl w:val="0"/>
          <w:numId w:val="1"/>
        </w:numPr>
        <w:spacing w:line="360" w:lineRule="auto"/>
        <w:ind w:left="425" w:hanging="425"/>
        <w:contextualSpacing/>
        <w:jc w:val="both"/>
      </w:pPr>
      <w:r w:rsidRPr="0015122B">
        <w:rPr>
          <w:rtl/>
        </w:rPr>
        <w:t>ב"כ המאשימה ביקש</w:t>
      </w:r>
      <w:r w:rsidRPr="0015122B">
        <w:rPr>
          <w:rFonts w:hint="cs"/>
          <w:rtl/>
        </w:rPr>
        <w:t>ה</w:t>
      </w:r>
      <w:r w:rsidRPr="0015122B">
        <w:rPr>
          <w:rtl/>
        </w:rPr>
        <w:t xml:space="preserve"> לה</w:t>
      </w:r>
      <w:r w:rsidRPr="0015122B">
        <w:rPr>
          <w:rFonts w:hint="cs"/>
          <w:rtl/>
        </w:rPr>
        <w:t>ותיר את ההרשעה על כנה לנוכח חומרת העבירה ופוטנציאל הנזק הגלום בה ו</w:t>
      </w:r>
      <w:r w:rsidRPr="0015122B">
        <w:rPr>
          <w:rtl/>
        </w:rPr>
        <w:t>מ</w:t>
      </w:r>
      <w:r w:rsidRPr="0015122B">
        <w:rPr>
          <w:rFonts w:hint="cs"/>
          <w:rtl/>
        </w:rPr>
        <w:t>שהנאשם</w:t>
      </w:r>
      <w:r w:rsidRPr="0015122B">
        <w:rPr>
          <w:rtl/>
        </w:rPr>
        <w:t xml:space="preserve"> לא הוכיח, כי בעניינו מתקיימים המבחנים לסיום ההליך באי הרשעה.</w:t>
      </w:r>
      <w:r w:rsidRPr="0015122B">
        <w:rPr>
          <w:rFonts w:hint="cs"/>
          <w:rtl/>
        </w:rPr>
        <w:t xml:space="preserve"> </w:t>
      </w:r>
    </w:p>
    <w:p w14:paraId="3F4BDDBF" w14:textId="77777777" w:rsidR="00364CED" w:rsidRPr="0015122B" w:rsidRDefault="00364CED" w:rsidP="00364CED">
      <w:pPr>
        <w:spacing w:line="360" w:lineRule="auto"/>
        <w:ind w:left="425"/>
        <w:contextualSpacing/>
        <w:jc w:val="both"/>
      </w:pPr>
      <w:r w:rsidRPr="0015122B">
        <w:rPr>
          <w:rFonts w:hint="cs"/>
          <w:rtl/>
        </w:rPr>
        <w:t>בתמיכה לעתירה הפנתה ב"כ המאשימה לפסיקה כדלקמן:</w:t>
      </w:r>
    </w:p>
    <w:p w14:paraId="5C86CEBD" w14:textId="77777777" w:rsidR="00364CED" w:rsidRPr="0015122B" w:rsidRDefault="00DF407D" w:rsidP="00364CED">
      <w:pPr>
        <w:pStyle w:val="a9"/>
        <w:numPr>
          <w:ilvl w:val="0"/>
          <w:numId w:val="3"/>
        </w:numPr>
        <w:spacing w:line="360" w:lineRule="auto"/>
        <w:jc w:val="both"/>
      </w:pPr>
      <w:hyperlink r:id="rId16" w:history="1">
        <w:r w:rsidRPr="0015122B">
          <w:rPr>
            <w:color w:val="0000FF"/>
            <w:u w:val="single"/>
            <w:rtl/>
          </w:rPr>
          <w:t>רע"פ 632-14</w:t>
        </w:r>
      </w:hyperlink>
      <w:r w:rsidR="00364CED" w:rsidRPr="0015122B">
        <w:rPr>
          <w:rFonts w:hint="cs"/>
          <w:rtl/>
        </w:rPr>
        <w:t xml:space="preserve"> </w:t>
      </w:r>
      <w:r w:rsidR="00364CED" w:rsidRPr="0015122B">
        <w:rPr>
          <w:rFonts w:hint="cs"/>
          <w:b/>
          <w:bCs/>
          <w:rtl/>
        </w:rPr>
        <w:t>אדוניה נ' מדינת ישראל</w:t>
      </w:r>
      <w:r w:rsidR="00364CED" w:rsidRPr="0015122B">
        <w:rPr>
          <w:rFonts w:hint="cs"/>
          <w:rtl/>
        </w:rPr>
        <w:t xml:space="preserve"> (31.07.14) </w:t>
      </w:r>
      <w:r w:rsidR="00364CED" w:rsidRPr="0015122B">
        <w:rPr>
          <w:rtl/>
        </w:rPr>
        <w:t>–</w:t>
      </w:r>
      <w:r w:rsidR="00364CED" w:rsidRPr="0015122B">
        <w:rPr>
          <w:rFonts w:hint="cs"/>
          <w:rtl/>
        </w:rPr>
        <w:t xml:space="preserve"> הנאשם הורשע בעבירה של החזקת סכין שלא כדין. בתסקיר הומלץ על ביטול הרשעה לצד של"צ. בית המשפט דחה את המלצת שירות המבחן, הותיר את ההרשעה על כנה. הנאשם ערער על ההרשעה ובית המשפט המחוזי דחה בקשתו, זאת נוכח תפקידו של המבקש כלוחם במשמר הגבול בעת ביצוע העבירה כשיקול לחומרא, סוג הסכין בה אחז, והמיקום בו נתפס המבקש עם הסכין בכליו, במועדון לילה, נתון  המעיד על פוטנציאל של סכנה. הבקשה לרע"פ נדחתה. </w:t>
      </w:r>
    </w:p>
    <w:p w14:paraId="3AB60725" w14:textId="77777777" w:rsidR="00364CED" w:rsidRPr="0015122B" w:rsidRDefault="00DF407D" w:rsidP="00364CED">
      <w:pPr>
        <w:pStyle w:val="a9"/>
        <w:numPr>
          <w:ilvl w:val="0"/>
          <w:numId w:val="3"/>
        </w:numPr>
        <w:spacing w:line="360" w:lineRule="auto"/>
        <w:jc w:val="both"/>
      </w:pPr>
      <w:hyperlink r:id="rId17" w:history="1">
        <w:r w:rsidRPr="0015122B">
          <w:rPr>
            <w:color w:val="0000FF"/>
            <w:u w:val="single"/>
            <w:rtl/>
          </w:rPr>
          <w:t>עפ"ג 24261-10-13</w:t>
        </w:r>
      </w:hyperlink>
      <w:r w:rsidR="00364CED" w:rsidRPr="0015122B">
        <w:rPr>
          <w:rtl/>
        </w:rPr>
        <w:t xml:space="preserve"> </w:t>
      </w:r>
      <w:r w:rsidR="00364CED" w:rsidRPr="0015122B">
        <w:rPr>
          <w:b/>
          <w:bCs/>
          <w:rtl/>
        </w:rPr>
        <w:t>מדינת ישראל נ' אסרף</w:t>
      </w:r>
      <w:r w:rsidR="00364CED" w:rsidRPr="0015122B">
        <w:rPr>
          <w:rtl/>
        </w:rPr>
        <w:t xml:space="preserve"> (16.12.13) – הנאשם הו</w:t>
      </w:r>
      <w:r w:rsidR="00364CED" w:rsidRPr="0015122B">
        <w:rPr>
          <w:rFonts w:hint="cs"/>
          <w:rtl/>
        </w:rPr>
        <w:t>רשע</w:t>
      </w:r>
      <w:r w:rsidR="00364CED" w:rsidRPr="0015122B">
        <w:rPr>
          <w:rtl/>
        </w:rPr>
        <w:t xml:space="preserve"> בעבירה של החזקת סכין למטרה לא כשרה. כשהבחין הנאשם באלמונים שתלשו את מראת מכוניתו, ירד אליהם כשסכין מטבח בידו. התקבל תסקיר חיובי ובית המשפט נמנע מהרשעתו. ערעור שהגישה המדינה התקבל והנאשם הורשע.</w:t>
      </w:r>
      <w:r w:rsidR="00364CED" w:rsidRPr="0015122B">
        <w:rPr>
          <w:rFonts w:hint="cs"/>
          <w:rtl/>
        </w:rPr>
        <w:t xml:space="preserve"> </w:t>
      </w:r>
    </w:p>
    <w:p w14:paraId="743CF227" w14:textId="77777777" w:rsidR="00364CED" w:rsidRPr="0015122B" w:rsidRDefault="00DF407D" w:rsidP="00364CED">
      <w:pPr>
        <w:pStyle w:val="a9"/>
        <w:numPr>
          <w:ilvl w:val="0"/>
          <w:numId w:val="3"/>
        </w:numPr>
        <w:spacing w:line="360" w:lineRule="auto"/>
        <w:jc w:val="both"/>
      </w:pPr>
      <w:hyperlink r:id="rId18" w:history="1">
        <w:r w:rsidRPr="0015122B">
          <w:rPr>
            <w:color w:val="0000FF"/>
            <w:u w:val="single"/>
            <w:rtl/>
          </w:rPr>
          <w:t>עפ"ג 11918-03-19</w:t>
        </w:r>
      </w:hyperlink>
      <w:r w:rsidR="00364CED" w:rsidRPr="0015122B">
        <w:rPr>
          <w:rFonts w:hint="cs"/>
          <w:rtl/>
        </w:rPr>
        <w:t xml:space="preserve"> </w:t>
      </w:r>
      <w:r w:rsidR="00364CED" w:rsidRPr="0015122B">
        <w:rPr>
          <w:rFonts w:hint="cs"/>
          <w:b/>
          <w:bCs/>
          <w:rtl/>
        </w:rPr>
        <w:t>מדינת ישראל נ' עאמר</w:t>
      </w:r>
      <w:r w:rsidR="00364CED" w:rsidRPr="0015122B">
        <w:rPr>
          <w:rFonts w:hint="cs"/>
          <w:rtl/>
        </w:rPr>
        <w:t xml:space="preserve"> (25.06.19)- הנאשם הורשע בעבירה של החזקת אגרופן תלוי על המראה הקדמית של הרכב. ערעור המדינה על אי ההרשעה התקבל, הנאשם הורשע והושתו עליו מאסר על תנאי לצד התחייבות.</w:t>
      </w:r>
    </w:p>
    <w:p w14:paraId="6122A898" w14:textId="77777777" w:rsidR="00364CED" w:rsidRPr="0015122B" w:rsidRDefault="00DF407D" w:rsidP="00364CED">
      <w:pPr>
        <w:pStyle w:val="a9"/>
        <w:numPr>
          <w:ilvl w:val="0"/>
          <w:numId w:val="3"/>
        </w:numPr>
        <w:spacing w:line="360" w:lineRule="auto"/>
        <w:jc w:val="both"/>
      </w:pPr>
      <w:hyperlink r:id="rId19" w:history="1">
        <w:r w:rsidRPr="0015122B">
          <w:rPr>
            <w:color w:val="0000FF"/>
            <w:u w:val="single"/>
            <w:rtl/>
          </w:rPr>
          <w:t>עפ"ג 47360-12-13</w:t>
        </w:r>
      </w:hyperlink>
      <w:r w:rsidR="00364CED" w:rsidRPr="0015122B">
        <w:rPr>
          <w:rFonts w:hint="cs"/>
          <w:rtl/>
        </w:rPr>
        <w:t xml:space="preserve"> </w:t>
      </w:r>
      <w:r w:rsidR="00364CED" w:rsidRPr="0015122B">
        <w:rPr>
          <w:rFonts w:hint="cs"/>
          <w:b/>
          <w:bCs/>
          <w:rtl/>
        </w:rPr>
        <w:t>מדינת ישראל נ' דובינסקי</w:t>
      </w:r>
      <w:r w:rsidR="00364CED" w:rsidRPr="0015122B">
        <w:rPr>
          <w:rFonts w:hint="cs"/>
          <w:rtl/>
        </w:rPr>
        <w:t xml:space="preserve"> (24.04.14)- הנאשם הורשע בעבירה של החזקת סכין. בית המשפט קיבל את הערעור והרשיע את הנאשם והסתפק בשל"צ שכבר ריצה הנאשם. </w:t>
      </w:r>
    </w:p>
    <w:p w14:paraId="09AAB4C0" w14:textId="77777777" w:rsidR="00364CED" w:rsidRPr="0015122B" w:rsidRDefault="00364CED" w:rsidP="00364CED">
      <w:pPr>
        <w:pStyle w:val="a9"/>
        <w:spacing w:line="360" w:lineRule="auto"/>
        <w:ind w:left="1505"/>
        <w:jc w:val="both"/>
      </w:pPr>
    </w:p>
    <w:p w14:paraId="74E4E1F1" w14:textId="77777777" w:rsidR="00364CED" w:rsidRPr="0015122B" w:rsidRDefault="00364CED" w:rsidP="00364CED">
      <w:pPr>
        <w:numPr>
          <w:ilvl w:val="0"/>
          <w:numId w:val="1"/>
        </w:numPr>
        <w:spacing w:line="360" w:lineRule="auto"/>
        <w:ind w:left="425" w:hanging="425"/>
        <w:contextualSpacing/>
        <w:jc w:val="both"/>
      </w:pPr>
      <w:r w:rsidRPr="0015122B">
        <w:rPr>
          <w:rtl/>
        </w:rPr>
        <w:t xml:space="preserve">הרשעתו של נאשם אשר עבר עבירה פלילית מהווה מרכיב חיוני בהליך הפלילי והיא נועדה להגשים את תכליותיו השונות של ההליך, ביניהן הרתעת היחיד והרבים ואכיפה שוויונית של החוק. </w:t>
      </w:r>
    </w:p>
    <w:p w14:paraId="0BBCE399" w14:textId="77777777" w:rsidR="00364CED" w:rsidRPr="0015122B" w:rsidRDefault="00364CED" w:rsidP="00364CED">
      <w:pPr>
        <w:spacing w:line="360" w:lineRule="auto"/>
        <w:ind w:left="425"/>
        <w:contextualSpacing/>
        <w:jc w:val="both"/>
      </w:pPr>
      <w:r w:rsidRPr="0015122B">
        <w:rPr>
          <w:rtl/>
        </w:rPr>
        <w:t xml:space="preserve">מנגד, ישנם מקרים בהם עלולים להיווצר מצבים קיצוניים אשר אינם מתאימים להחלת העיקרון העונשי הרחב, מצבים בהם מתגלה פער בלתי נסבל בין תועלתה של ההרשעה לאינטרס הציבורי לפגיעתה בנאשם האינדיבידואלי. במקרים חריגים אלה בסמכותו של בית המשפט לסטות מהכלל המקובל ולהימנע מהרשעתו של נאשם בדין (ראו </w:t>
      </w:r>
      <w:hyperlink r:id="rId20" w:history="1">
        <w:r w:rsidR="00DF407D" w:rsidRPr="0015122B">
          <w:rPr>
            <w:color w:val="0000FF"/>
            <w:u w:val="single"/>
            <w:rtl/>
          </w:rPr>
          <w:t>ע"פ 9893/06</w:t>
        </w:r>
      </w:hyperlink>
      <w:r w:rsidRPr="0015122B">
        <w:rPr>
          <w:rtl/>
        </w:rPr>
        <w:t xml:space="preserve"> </w:t>
      </w:r>
      <w:r w:rsidRPr="0015122B">
        <w:rPr>
          <w:b/>
          <w:bCs/>
          <w:rtl/>
        </w:rPr>
        <w:t>אלון לאופר נ' מדינת ישראל</w:t>
      </w:r>
      <w:r w:rsidRPr="0015122B">
        <w:rPr>
          <w:rtl/>
        </w:rPr>
        <w:t xml:space="preserve"> (31.12.2007), </w:t>
      </w:r>
      <w:hyperlink r:id="rId21" w:history="1">
        <w:r w:rsidR="00DF407D" w:rsidRPr="0015122B">
          <w:rPr>
            <w:color w:val="0000FF"/>
            <w:u w:val="single"/>
            <w:rtl/>
          </w:rPr>
          <w:t>ע"פ 9150/08</w:t>
        </w:r>
      </w:hyperlink>
      <w:r w:rsidRPr="0015122B">
        <w:rPr>
          <w:rtl/>
        </w:rPr>
        <w:t xml:space="preserve"> </w:t>
      </w:r>
      <w:r w:rsidRPr="0015122B">
        <w:rPr>
          <w:b/>
          <w:bCs/>
          <w:rtl/>
        </w:rPr>
        <w:t>מדינת ישראל נגד ביטון</w:t>
      </w:r>
      <w:r w:rsidRPr="0015122B">
        <w:rPr>
          <w:rtl/>
        </w:rPr>
        <w:t xml:space="preserve"> (23.7.09), </w:t>
      </w:r>
      <w:hyperlink r:id="rId22" w:history="1">
        <w:r w:rsidR="00DF407D" w:rsidRPr="0015122B">
          <w:rPr>
            <w:color w:val="0000FF"/>
            <w:u w:val="single"/>
            <w:rtl/>
          </w:rPr>
          <w:t>רע"פ 11476/04</w:t>
        </w:r>
      </w:hyperlink>
      <w:r w:rsidRPr="0015122B">
        <w:rPr>
          <w:rtl/>
        </w:rPr>
        <w:t xml:space="preserve"> </w:t>
      </w:r>
      <w:r w:rsidRPr="0015122B">
        <w:rPr>
          <w:b/>
          <w:bCs/>
          <w:rtl/>
        </w:rPr>
        <w:t>מדינת ישראל נ' חברת השקעות דיסקונט בע"מ</w:t>
      </w:r>
      <w:r w:rsidRPr="0015122B">
        <w:rPr>
          <w:rtl/>
        </w:rPr>
        <w:t xml:space="preserve"> (14.4.10) ורע"פ </w:t>
      </w:r>
      <w:hyperlink r:id="rId23" w:history="1">
        <w:r w:rsidR="00BC5DDC" w:rsidRPr="00BC5DDC">
          <w:rPr>
            <w:color w:val="0000FF"/>
            <w:u w:val="single"/>
            <w:rtl/>
          </w:rPr>
          <w:t xml:space="preserve">40790/10 </w:t>
        </w:r>
      </w:hyperlink>
      <w:r w:rsidRPr="0015122B">
        <w:rPr>
          <w:rtl/>
        </w:rPr>
        <w:t xml:space="preserve"> </w:t>
      </w:r>
      <w:r w:rsidRPr="0015122B">
        <w:rPr>
          <w:b/>
          <w:bCs/>
          <w:rtl/>
        </w:rPr>
        <w:t>ג'בשה נגד מדינת ישראל</w:t>
      </w:r>
      <w:r w:rsidRPr="0015122B">
        <w:rPr>
          <w:rtl/>
        </w:rPr>
        <w:t xml:space="preserve"> (23.8.10)).</w:t>
      </w:r>
    </w:p>
    <w:p w14:paraId="68742099" w14:textId="77777777" w:rsidR="00364CED" w:rsidRPr="0015122B" w:rsidRDefault="00364CED" w:rsidP="00364CED">
      <w:pPr>
        <w:ind w:left="425"/>
        <w:contextualSpacing/>
        <w:jc w:val="both"/>
      </w:pPr>
    </w:p>
    <w:p w14:paraId="4A137A61" w14:textId="77777777" w:rsidR="00364CED" w:rsidRPr="0015122B" w:rsidRDefault="00364CED" w:rsidP="00364CED">
      <w:pPr>
        <w:numPr>
          <w:ilvl w:val="0"/>
          <w:numId w:val="1"/>
        </w:numPr>
        <w:spacing w:line="360" w:lineRule="auto"/>
        <w:ind w:left="425" w:hanging="425"/>
        <w:contextualSpacing/>
        <w:jc w:val="both"/>
      </w:pPr>
      <w:r w:rsidRPr="0015122B">
        <w:rPr>
          <w:rtl/>
        </w:rPr>
        <w:t>ב</w:t>
      </w:r>
      <w:hyperlink r:id="rId24" w:history="1">
        <w:r w:rsidR="00DF407D" w:rsidRPr="0015122B">
          <w:rPr>
            <w:color w:val="0000FF"/>
            <w:u w:val="single"/>
            <w:rtl/>
          </w:rPr>
          <w:t>ע"פ 2083/96</w:t>
        </w:r>
      </w:hyperlink>
      <w:r w:rsidRPr="0015122B">
        <w:rPr>
          <w:rtl/>
        </w:rPr>
        <w:t xml:space="preserve"> </w:t>
      </w:r>
      <w:r w:rsidRPr="0015122B">
        <w:rPr>
          <w:b/>
          <w:bCs/>
          <w:rtl/>
        </w:rPr>
        <w:t>כתב נגד מדינת ישראל</w:t>
      </w:r>
      <w:r w:rsidRPr="0015122B">
        <w:rPr>
          <w:rtl/>
        </w:rPr>
        <w:t xml:space="preserve"> (21.8.97), (להלן: "</w:t>
      </w:r>
      <w:r w:rsidRPr="0015122B">
        <w:rPr>
          <w:b/>
          <w:bCs/>
          <w:rtl/>
        </w:rPr>
        <w:t>הלכת כתב</w:t>
      </w:r>
      <w:r w:rsidRPr="0015122B">
        <w:rPr>
          <w:rtl/>
        </w:rPr>
        <w:t>") נקבעו שני הפרמטרים העיקריים שייבחנו לצורך קבלת ההחלטה שלא להרשיע נאשם בעבירות שנקבע, כי ביצע:</w:t>
      </w:r>
    </w:p>
    <w:p w14:paraId="684AAB2F" w14:textId="77777777" w:rsidR="00364CED" w:rsidRPr="0015122B" w:rsidRDefault="00364CED" w:rsidP="00364CED">
      <w:pPr>
        <w:spacing w:line="360" w:lineRule="auto"/>
        <w:ind w:left="425"/>
        <w:contextualSpacing/>
        <w:jc w:val="both"/>
      </w:pPr>
      <w:r w:rsidRPr="0015122B">
        <w:rPr>
          <w:rtl/>
        </w:rPr>
        <w:t>"</w:t>
      </w:r>
      <w:r w:rsidRPr="0015122B">
        <w:rPr>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sidRPr="0015122B">
        <w:rPr>
          <w:rtl/>
        </w:rPr>
        <w:t>...".</w:t>
      </w:r>
    </w:p>
    <w:p w14:paraId="13962303" w14:textId="77777777" w:rsidR="00364CED" w:rsidRPr="0015122B" w:rsidRDefault="00364CED" w:rsidP="00364CED">
      <w:pPr>
        <w:ind w:left="425"/>
        <w:contextualSpacing/>
        <w:jc w:val="both"/>
      </w:pPr>
    </w:p>
    <w:p w14:paraId="01C9E403" w14:textId="77777777" w:rsidR="00364CED" w:rsidRPr="0015122B" w:rsidRDefault="00364CED" w:rsidP="00364CED">
      <w:pPr>
        <w:numPr>
          <w:ilvl w:val="0"/>
          <w:numId w:val="1"/>
        </w:numPr>
        <w:spacing w:line="360" w:lineRule="auto"/>
        <w:ind w:left="425" w:hanging="425"/>
        <w:contextualSpacing/>
        <w:jc w:val="both"/>
      </w:pPr>
      <w:r w:rsidRPr="0015122B">
        <w:rPr>
          <w:rtl/>
        </w:rPr>
        <w:t>ב</w:t>
      </w:r>
      <w:hyperlink r:id="rId25" w:history="1">
        <w:r w:rsidR="00DF407D" w:rsidRPr="0015122B">
          <w:rPr>
            <w:color w:val="0000FF"/>
            <w:u w:val="single"/>
            <w:rtl/>
          </w:rPr>
          <w:t>ע"פ 5985/13</w:t>
        </w:r>
      </w:hyperlink>
      <w:r w:rsidRPr="0015122B">
        <w:rPr>
          <w:rtl/>
        </w:rPr>
        <w:t xml:space="preserve">  </w:t>
      </w:r>
      <w:r w:rsidRPr="0015122B">
        <w:rPr>
          <w:b/>
          <w:bCs/>
          <w:rtl/>
        </w:rPr>
        <w:t>אבן נגד מדינת ישראל</w:t>
      </w:r>
      <w:r w:rsidRPr="0015122B">
        <w:rPr>
          <w:rtl/>
        </w:rPr>
        <w:t xml:space="preserve"> (2.4.14) נקבעו מבחני משנה נוספים לבחינת שאלת סיום ההליך ללא הרשעה ואלה מתייחסים לנסיבות אינדבידואליות של הנאשם אותם יש לשקול:</w:t>
      </w:r>
    </w:p>
    <w:p w14:paraId="393D0A3A" w14:textId="77777777" w:rsidR="00364CED" w:rsidRPr="0015122B" w:rsidRDefault="00364CED" w:rsidP="00364CED">
      <w:pPr>
        <w:spacing w:line="360" w:lineRule="auto"/>
        <w:ind w:left="425"/>
        <w:contextualSpacing/>
        <w:jc w:val="both"/>
      </w:pPr>
      <w:r w:rsidRPr="0015122B">
        <w:rPr>
          <w:rtl/>
        </w:rPr>
        <w:t>"</w:t>
      </w:r>
      <w:r w:rsidRPr="0015122B">
        <w:rPr>
          <w:b/>
          <w:bCs/>
          <w:rtl/>
        </w:rPr>
        <w:t>עברו הפלילי והסבירות כי ישוב ויעבור עבירות; האם העבירה מלמדת על דפוס התנהגות כרוני של הנאשם או שמדובר בהתנהגות מקרית ויחידה; נסיבות ביצוע העבירה; מעמדו ותפקידו של הנאשם, והקשר בין העבירה לבין אלה; השפעת ההרשעה על עיסוקו המקצועי; יחסו של הנאשם כלפי העבירה, קרי, האם לקח אחריות והתחרט על ביצועה; משמעות ההרשעה על הדימוי העצמי של הנאשם; גילו, מצבו האישי והבריאותי ועוד. מאידך גיסא, ניצבים שיקולים שבאינטרס הציבור, כגון: טיב העבירה וחומרתה; מידת פגיעתה באחרים; הרציונאל שבבסיס הכלל המחייב הרשעה; המסר החברתי ועוד.... הנטל הוא על הנאשם המבקש להימנע מהרשעתו לשכנע כי מן הראוי לחרוג בעניינו מדרך הכלל, וכי שיקולי השיקום האינדיבידואליים גוברים במידה רבה על שיקולי האינטרס הציבורי</w:t>
      </w:r>
      <w:r w:rsidRPr="0015122B">
        <w:rPr>
          <w:rtl/>
        </w:rPr>
        <w:t>".</w:t>
      </w:r>
    </w:p>
    <w:p w14:paraId="75BE2351" w14:textId="77777777" w:rsidR="00364CED" w:rsidRPr="0015122B" w:rsidRDefault="00364CED" w:rsidP="00364CED">
      <w:pPr>
        <w:ind w:left="425"/>
        <w:contextualSpacing/>
        <w:jc w:val="both"/>
      </w:pPr>
    </w:p>
    <w:p w14:paraId="1A5DDFE0" w14:textId="77777777" w:rsidR="00364CED" w:rsidRPr="0015122B" w:rsidRDefault="00364CED" w:rsidP="00364CED">
      <w:pPr>
        <w:numPr>
          <w:ilvl w:val="0"/>
          <w:numId w:val="1"/>
        </w:numPr>
        <w:spacing w:line="360" w:lineRule="auto"/>
        <w:ind w:left="425" w:hanging="425"/>
        <w:contextualSpacing/>
        <w:jc w:val="both"/>
      </w:pPr>
      <w:r w:rsidRPr="0015122B">
        <w:rPr>
          <w:rtl/>
        </w:rPr>
        <w:t xml:space="preserve">בהתאם למבחן הראשון שנקבע בהלכת כתב, לא עלה בידי הנאשם לשכנע, כי הרשעתו תפגע פגיעה חמורה בשיקומו </w:t>
      </w:r>
      <w:r w:rsidRPr="0015122B">
        <w:rPr>
          <w:rFonts w:ascii="David" w:hAnsi="David"/>
          <w:rtl/>
        </w:rPr>
        <w:t>או שהיא עלולה לגרום לו נזק מוחשי וקונקרטי</w:t>
      </w:r>
      <w:r w:rsidRPr="0015122B">
        <w:rPr>
          <w:rFonts w:hint="cs"/>
          <w:rtl/>
        </w:rPr>
        <w:t xml:space="preserve"> בשים לב, כי </w:t>
      </w:r>
      <w:r w:rsidRPr="0015122B">
        <w:rPr>
          <w:rtl/>
        </w:rPr>
        <w:t>הדרישה לפגיעה חמורה בשיקומו או עתידו של הנאשם הינה לנזק מוחשי-קונקרטי ולא תיאורטי (</w:t>
      </w:r>
      <w:hyperlink r:id="rId26" w:history="1">
        <w:r w:rsidR="00DF407D" w:rsidRPr="0015122B">
          <w:rPr>
            <w:color w:val="0000FF"/>
            <w:u w:val="single"/>
            <w:rtl/>
          </w:rPr>
          <w:t>ע"פ 8528/12</w:t>
        </w:r>
      </w:hyperlink>
      <w:r w:rsidRPr="0015122B">
        <w:rPr>
          <w:rtl/>
        </w:rPr>
        <w:t xml:space="preserve"> </w:t>
      </w:r>
      <w:r w:rsidRPr="0015122B">
        <w:rPr>
          <w:b/>
          <w:bCs/>
          <w:rtl/>
        </w:rPr>
        <w:t>אלירן ציפורה נגד מדינת ישראל</w:t>
      </w:r>
      <w:r w:rsidRPr="0015122B">
        <w:rPr>
          <w:rtl/>
        </w:rPr>
        <w:t xml:space="preserve"> (3.3.13)). </w:t>
      </w:r>
    </w:p>
    <w:p w14:paraId="1E625B2F" w14:textId="77777777" w:rsidR="00364CED" w:rsidRPr="0015122B" w:rsidRDefault="00364CED" w:rsidP="00364CED">
      <w:pPr>
        <w:spacing w:line="360" w:lineRule="auto"/>
        <w:ind w:left="425"/>
        <w:contextualSpacing/>
        <w:jc w:val="both"/>
        <w:rPr>
          <w:rtl/>
        </w:rPr>
      </w:pPr>
      <w:r w:rsidRPr="0015122B">
        <w:rPr>
          <w:rFonts w:hint="cs"/>
          <w:rtl/>
        </w:rPr>
        <w:t xml:space="preserve">הנאשם כבן 27 ועובד במפעל. ב"כ הנאשם טען, כי אמנם בשלב זה דרכו של הנאשם לא ברורה אך בכוונתו לרכוש השכלה ולכן הוא מבקש להותיר את יכולות התעסוקה שלו פתוחות ללא המגבלה שיוצרת ההרשעה. להבדיל ממי שרק החל בחייו הבוגרים וטרם החליט לאן מועדות פניו, הרי שהנאשם שבפניי מצוי במעגל העבודה מאז שחרורו משירות צבאי, כך שלא הובאה כל ראיה המעידה על פגיעה ביכולתו של הנאשם לעיסוק בעתיד או פגיעה בדימוי העצמי שלו וכו'. </w:t>
      </w:r>
    </w:p>
    <w:p w14:paraId="3E50E680" w14:textId="77777777" w:rsidR="00364CED" w:rsidRPr="0015122B" w:rsidRDefault="00364CED" w:rsidP="00364CED">
      <w:pPr>
        <w:spacing w:line="276" w:lineRule="auto"/>
        <w:ind w:left="425"/>
        <w:contextualSpacing/>
        <w:jc w:val="both"/>
      </w:pPr>
    </w:p>
    <w:p w14:paraId="40A7A0D4" w14:textId="77777777" w:rsidR="00364CED" w:rsidRPr="0015122B" w:rsidRDefault="00364CED" w:rsidP="00364CED">
      <w:pPr>
        <w:numPr>
          <w:ilvl w:val="0"/>
          <w:numId w:val="1"/>
        </w:numPr>
        <w:spacing w:line="360" w:lineRule="auto"/>
        <w:ind w:left="425" w:hanging="425"/>
        <w:contextualSpacing/>
        <w:jc w:val="both"/>
      </w:pPr>
      <w:r w:rsidRPr="0015122B">
        <w:rPr>
          <w:rtl/>
        </w:rPr>
        <w:t xml:space="preserve">באשר למבחן השני שנקבע בהלכת כתב, </w:t>
      </w:r>
      <w:r w:rsidRPr="0015122B">
        <w:rPr>
          <w:rFonts w:hint="cs"/>
          <w:rtl/>
        </w:rPr>
        <w:t xml:space="preserve">הנאשם ביקש להיכנס למועדון, בשעת לילה מאוחרת,  כשסכין בכיסו. פוטנציאל הנזק הוא משמעותי. </w:t>
      </w:r>
      <w:r w:rsidRPr="0015122B">
        <w:rPr>
          <w:rtl/>
        </w:rPr>
        <w:t xml:space="preserve">אין לומר שמדובר בנסיבות המאפשרות לוותר על ההרשעה מבלי לפגוע באופן מהותי בשיקולי הענישה האחרים ובאינטרסים ציבוריים חיוניים הכוללים שיקולי גמול והרתעה. </w:t>
      </w:r>
    </w:p>
    <w:p w14:paraId="79D1C72B" w14:textId="77777777" w:rsidR="00364CED" w:rsidRPr="0015122B" w:rsidRDefault="00364CED" w:rsidP="00364CED">
      <w:pPr>
        <w:spacing w:line="360" w:lineRule="auto"/>
        <w:ind w:left="425"/>
        <w:contextualSpacing/>
        <w:jc w:val="both"/>
      </w:pPr>
      <w:r w:rsidRPr="0015122B">
        <w:rPr>
          <w:rFonts w:hint="cs"/>
          <w:rtl/>
        </w:rPr>
        <w:t xml:space="preserve">זאת ועוד, </w:t>
      </w:r>
      <w:r w:rsidRPr="0015122B">
        <w:rPr>
          <w:rtl/>
        </w:rPr>
        <w:t>לקיחת האחריות בפני שירות המבחן הייתה מסויגת</w:t>
      </w:r>
      <w:r w:rsidRPr="0015122B">
        <w:rPr>
          <w:rFonts w:hint="cs"/>
          <w:rtl/>
        </w:rPr>
        <w:t xml:space="preserve">. הנאשם מסר, כי בדיעבד היה עליו לבדוק את כיסיו טרם יציאתו מהבית וספק אם הבין את ההשלכות החמורות של נשיאת סכין במועדון לילה. הנאשם אכן שולב בטיפול ונכון למועד עריכת התסקיר השתתף במפגש אחד, וחזקה שהתמיד בכך, אך לא ניתן לקבוע, כי הנאשם עבר טיפול משמעותי שיקומי. </w:t>
      </w:r>
    </w:p>
    <w:p w14:paraId="7FD2BADF" w14:textId="77777777" w:rsidR="00364CED" w:rsidRPr="0015122B" w:rsidRDefault="00364CED" w:rsidP="00364CED">
      <w:pPr>
        <w:spacing w:line="360" w:lineRule="auto"/>
        <w:ind w:left="425"/>
        <w:contextualSpacing/>
        <w:jc w:val="both"/>
        <w:rPr>
          <w:rtl/>
        </w:rPr>
      </w:pPr>
      <w:r w:rsidRPr="0015122B">
        <w:rPr>
          <w:rFonts w:hint="cs"/>
          <w:rtl/>
        </w:rPr>
        <w:t xml:space="preserve">לכל אלה יש להוסיף את הנתון שאינו במחלוקת, כי כנגד הנאשם הוגשו כתב אישום נוסף בגין עבירות על </w:t>
      </w:r>
      <w:hyperlink r:id="rId27" w:history="1">
        <w:r w:rsidR="00DF407D" w:rsidRPr="0015122B">
          <w:rPr>
            <w:color w:val="0000FF"/>
            <w:u w:val="single"/>
            <w:rtl/>
          </w:rPr>
          <w:t>פקודת הסמים המסוכנים</w:t>
        </w:r>
      </w:hyperlink>
      <w:r w:rsidRPr="0015122B">
        <w:rPr>
          <w:rFonts w:hint="cs"/>
          <w:rtl/>
        </w:rPr>
        <w:t xml:space="preserve">, אף שמועד ביצוע העבירה קדם למועד ביצוע העבירה בתיק שבפניי. </w:t>
      </w:r>
    </w:p>
    <w:p w14:paraId="5257FFC3" w14:textId="77777777" w:rsidR="00364CED" w:rsidRPr="0015122B" w:rsidRDefault="00364CED" w:rsidP="00364CED">
      <w:pPr>
        <w:spacing w:line="360" w:lineRule="auto"/>
        <w:ind w:left="425"/>
        <w:contextualSpacing/>
        <w:jc w:val="both"/>
        <w:rPr>
          <w:rtl/>
        </w:rPr>
      </w:pPr>
    </w:p>
    <w:p w14:paraId="14FBB455" w14:textId="77777777" w:rsidR="00364CED" w:rsidRPr="0015122B" w:rsidRDefault="00364CED" w:rsidP="00364CED">
      <w:pPr>
        <w:spacing w:line="360" w:lineRule="auto"/>
        <w:ind w:left="425"/>
        <w:contextualSpacing/>
        <w:jc w:val="both"/>
        <w:rPr>
          <w:rtl/>
        </w:rPr>
      </w:pPr>
      <w:r w:rsidRPr="0015122B">
        <w:rPr>
          <w:rFonts w:hint="cs"/>
          <w:rtl/>
        </w:rPr>
        <w:t>שקלתי את גילו הצעיר של הנאשם ונסיבות חייו, עם זאת ובשים לב להלכה לפיה ביטול הרשעה תיבחן במקרים חריגים המתאימים לכך, לא מצאתי כי בנסיבותיו של הנאשם במקרה שלפניי נמצאת אותה חריגות המאפשרת להימנע מהרשעה.</w:t>
      </w:r>
    </w:p>
    <w:p w14:paraId="1741E837" w14:textId="77777777" w:rsidR="00364CED" w:rsidRPr="0015122B" w:rsidRDefault="00364CED" w:rsidP="00364CED">
      <w:pPr>
        <w:spacing w:line="360" w:lineRule="auto"/>
        <w:contextualSpacing/>
        <w:jc w:val="both"/>
      </w:pPr>
    </w:p>
    <w:p w14:paraId="56763675" w14:textId="77777777" w:rsidR="00364CED" w:rsidRPr="0015122B" w:rsidRDefault="00364CED" w:rsidP="00364CED">
      <w:pPr>
        <w:numPr>
          <w:ilvl w:val="0"/>
          <w:numId w:val="1"/>
        </w:numPr>
        <w:spacing w:line="360" w:lineRule="auto"/>
        <w:ind w:left="425" w:hanging="425"/>
        <w:contextualSpacing/>
        <w:jc w:val="both"/>
        <w:rPr>
          <w:rtl/>
        </w:rPr>
      </w:pPr>
      <w:r w:rsidRPr="0015122B">
        <w:rPr>
          <w:rFonts w:hint="cs"/>
          <w:rtl/>
        </w:rPr>
        <w:t>ב"כ הנאשם טען, כי המבחנים בדבר פגיעה קונקרטית רוככו בפסיקה ומוכנה אני לקבל הנחה זו, ואולם זאת בתנאי שהנאשם הציג צבר של נתונים שיש בהם להכריע את הכף לטובת ביטול ההרשעה, נתונים כאלה לא הוצגו בפניי ואין עניינו של הנאשם שבפניי שונה מעניינם של נאשמים אחרים בנסיבות דומות.</w:t>
      </w:r>
    </w:p>
    <w:p w14:paraId="1014145A" w14:textId="77777777" w:rsidR="00364CED" w:rsidRPr="0015122B" w:rsidRDefault="00364CED" w:rsidP="00364CED">
      <w:pPr>
        <w:spacing w:line="360" w:lineRule="auto"/>
        <w:ind w:left="425"/>
        <w:contextualSpacing/>
        <w:jc w:val="both"/>
      </w:pPr>
    </w:p>
    <w:p w14:paraId="6D5D7F1C" w14:textId="77777777" w:rsidR="00364CED" w:rsidRPr="0015122B" w:rsidRDefault="00364CED" w:rsidP="00364CED">
      <w:pPr>
        <w:numPr>
          <w:ilvl w:val="0"/>
          <w:numId w:val="1"/>
        </w:numPr>
        <w:spacing w:line="360" w:lineRule="auto"/>
        <w:ind w:left="425" w:hanging="425"/>
        <w:contextualSpacing/>
        <w:jc w:val="both"/>
      </w:pPr>
      <w:r w:rsidRPr="0015122B">
        <w:rPr>
          <w:rFonts w:hint="cs"/>
          <w:rtl/>
        </w:rPr>
        <w:t xml:space="preserve">נוכח </w:t>
      </w:r>
      <w:r w:rsidRPr="0015122B">
        <w:rPr>
          <w:rtl/>
        </w:rPr>
        <w:t xml:space="preserve">כל המפורט לעיל, לא שוכנעתי, כי בעניינו של הנאשם שבפניי מתקיימים החריגים לסיום ההליך ללא הרשעה </w:t>
      </w:r>
      <w:r w:rsidRPr="0015122B">
        <w:rPr>
          <w:rFonts w:hint="cs"/>
          <w:rtl/>
        </w:rPr>
        <w:t xml:space="preserve">ולכן ההרשעה תיוותר על כנה. </w:t>
      </w:r>
    </w:p>
    <w:p w14:paraId="36E23AC7" w14:textId="77777777" w:rsidR="00364CED" w:rsidRPr="0015122B" w:rsidRDefault="00364CED" w:rsidP="00364CED">
      <w:pPr>
        <w:jc w:val="both"/>
        <w:rPr>
          <w:rFonts w:ascii="David" w:hAnsi="David"/>
          <w:b/>
          <w:bCs/>
          <w:u w:val="single"/>
        </w:rPr>
      </w:pPr>
    </w:p>
    <w:p w14:paraId="1FF5A376" w14:textId="77777777" w:rsidR="00364CED" w:rsidRPr="0015122B" w:rsidRDefault="00364CED" w:rsidP="00364CED">
      <w:pPr>
        <w:spacing w:line="360" w:lineRule="auto"/>
        <w:jc w:val="both"/>
        <w:rPr>
          <w:rFonts w:ascii="David" w:hAnsi="David"/>
          <w:rtl/>
        </w:rPr>
      </w:pPr>
      <w:r w:rsidRPr="0015122B">
        <w:rPr>
          <w:rFonts w:ascii="David" w:hAnsi="David"/>
          <w:b/>
          <w:bCs/>
          <w:u w:val="single"/>
          <w:rtl/>
        </w:rPr>
        <w:t>קביעת מתחם העונש ההולם</w:t>
      </w:r>
    </w:p>
    <w:p w14:paraId="2D8C9E11" w14:textId="77777777" w:rsidR="00364CED" w:rsidRPr="0015122B" w:rsidRDefault="00364CED" w:rsidP="00364CED">
      <w:pPr>
        <w:numPr>
          <w:ilvl w:val="0"/>
          <w:numId w:val="1"/>
        </w:numPr>
        <w:spacing w:line="360" w:lineRule="auto"/>
        <w:ind w:left="425" w:hanging="425"/>
        <w:contextualSpacing/>
        <w:jc w:val="both"/>
      </w:pPr>
      <w:r w:rsidRPr="0015122B">
        <w:rPr>
          <w:color w:val="000000"/>
          <w:rtl/>
        </w:rPr>
        <w:t xml:space="preserve">קביעת מתחם העונש ההולם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0698AE7F" w14:textId="77777777" w:rsidR="00364CED" w:rsidRPr="0015122B" w:rsidRDefault="00364CED" w:rsidP="00364CED">
      <w:pPr>
        <w:numPr>
          <w:ilvl w:val="0"/>
          <w:numId w:val="1"/>
        </w:numPr>
        <w:spacing w:line="360" w:lineRule="auto"/>
        <w:ind w:left="425" w:hanging="425"/>
        <w:contextualSpacing/>
        <w:jc w:val="both"/>
        <w:rPr>
          <w:rtl/>
        </w:rPr>
      </w:pPr>
      <w:r w:rsidRPr="0015122B">
        <w:rPr>
          <w:rtl/>
        </w:rPr>
        <w:t>במעשיו פגע הנאשם</w:t>
      </w:r>
      <w:r w:rsidRPr="0015122B">
        <w:rPr>
          <w:b/>
          <w:bCs/>
          <w:rtl/>
        </w:rPr>
        <w:t xml:space="preserve"> בערכים החברתיים</w:t>
      </w:r>
      <w:r w:rsidRPr="0015122B">
        <w:rPr>
          <w:rtl/>
        </w:rPr>
        <w:t xml:space="preserve"> </w:t>
      </w:r>
      <w:r w:rsidRPr="0015122B">
        <w:rPr>
          <w:b/>
          <w:bCs/>
          <w:rtl/>
        </w:rPr>
        <w:t xml:space="preserve">המוגנים </w:t>
      </w:r>
      <w:r w:rsidRPr="0015122B">
        <w:rPr>
          <w:rtl/>
        </w:rPr>
        <w:t xml:space="preserve">של </w:t>
      </w:r>
      <w:r w:rsidRPr="0015122B">
        <w:rPr>
          <w:rFonts w:hint="cs"/>
          <w:rtl/>
        </w:rPr>
        <w:t xml:space="preserve">הגנה על שלום הציבור וביטחונו. </w:t>
      </w:r>
    </w:p>
    <w:p w14:paraId="2A6AFA15" w14:textId="77777777" w:rsidR="00364CED" w:rsidRPr="0015122B" w:rsidRDefault="00364CED" w:rsidP="00364CED">
      <w:pPr>
        <w:spacing w:line="360" w:lineRule="auto"/>
        <w:ind w:left="425"/>
        <w:contextualSpacing/>
        <w:jc w:val="both"/>
      </w:pPr>
      <w:r w:rsidRPr="0015122B">
        <w:rPr>
          <w:rFonts w:hint="cs"/>
          <w:rtl/>
        </w:rPr>
        <w:t xml:space="preserve">אין צורך להכביר מילים אודות הסיכון הכרוך בנשיאת סכין במועדון לילה והקלות שבה ניתן לעשות בה שימוש לפתרון חילוקי דעות, בוודאי בשעות הקטנות של הלילה. </w:t>
      </w:r>
    </w:p>
    <w:p w14:paraId="6508B717" w14:textId="77777777" w:rsidR="00364CED" w:rsidRPr="0015122B" w:rsidRDefault="00364CED" w:rsidP="00364CED">
      <w:pPr>
        <w:ind w:left="425"/>
        <w:contextualSpacing/>
        <w:jc w:val="both"/>
      </w:pPr>
    </w:p>
    <w:p w14:paraId="1A64E7CA" w14:textId="77777777" w:rsidR="00364CED" w:rsidRPr="0015122B" w:rsidRDefault="00364CED" w:rsidP="00364CED">
      <w:pPr>
        <w:numPr>
          <w:ilvl w:val="0"/>
          <w:numId w:val="1"/>
        </w:numPr>
        <w:spacing w:line="360" w:lineRule="auto"/>
        <w:ind w:left="425" w:hanging="425"/>
        <w:contextualSpacing/>
        <w:jc w:val="both"/>
      </w:pPr>
      <w:r w:rsidRPr="0015122B">
        <w:rPr>
          <w:rtl/>
        </w:rPr>
        <w:t xml:space="preserve">בחינת מידת הפגיעה בערך החברתי המוגן מובילה למסקנה, כי זו במידה </w:t>
      </w:r>
      <w:r w:rsidRPr="0015122B">
        <w:rPr>
          <w:rFonts w:hint="cs"/>
          <w:rtl/>
        </w:rPr>
        <w:t xml:space="preserve">נמוכה- </w:t>
      </w:r>
      <w:r w:rsidRPr="0015122B">
        <w:rPr>
          <w:rtl/>
        </w:rPr>
        <w:t>בינונית.</w:t>
      </w:r>
    </w:p>
    <w:p w14:paraId="2C1D0295" w14:textId="77777777" w:rsidR="00364CED" w:rsidRPr="0015122B" w:rsidRDefault="00364CED" w:rsidP="00364CED">
      <w:pPr>
        <w:ind w:left="425"/>
        <w:contextualSpacing/>
        <w:jc w:val="both"/>
      </w:pPr>
    </w:p>
    <w:p w14:paraId="6FF8CB91" w14:textId="77777777" w:rsidR="00364CED" w:rsidRPr="0015122B" w:rsidRDefault="00364CED" w:rsidP="00364CED">
      <w:pPr>
        <w:numPr>
          <w:ilvl w:val="0"/>
          <w:numId w:val="1"/>
        </w:numPr>
        <w:spacing w:line="360" w:lineRule="auto"/>
        <w:ind w:left="425" w:hanging="425"/>
        <w:contextualSpacing/>
        <w:jc w:val="both"/>
        <w:rPr>
          <w:rtl/>
        </w:rPr>
      </w:pPr>
      <w:r w:rsidRPr="0015122B">
        <w:rPr>
          <w:rtl/>
        </w:rPr>
        <w:t>אשר ל</w:t>
      </w:r>
      <w:r w:rsidRPr="0015122B">
        <w:rPr>
          <w:b/>
          <w:bCs/>
          <w:rtl/>
        </w:rPr>
        <w:t>נסיבות ביצוע העבירה</w:t>
      </w:r>
      <w:r w:rsidRPr="0015122B">
        <w:rPr>
          <w:rtl/>
        </w:rPr>
        <w:t xml:space="preserve">, </w:t>
      </w:r>
      <w:r w:rsidRPr="0015122B">
        <w:rPr>
          <w:rFonts w:hint="cs"/>
          <w:rtl/>
        </w:rPr>
        <w:t xml:space="preserve">יש לתת את הדעת לכך שהנאשם נשא סכין על גופו בשעת לילה מאוחרת, אך בשל ערנות של השומר בכניסה למועדון, הוא הניח את הסכין ברכבו ולא נכנס עמה למועדון. </w:t>
      </w:r>
    </w:p>
    <w:p w14:paraId="36A677C8" w14:textId="77777777" w:rsidR="00364CED" w:rsidRPr="0015122B" w:rsidRDefault="00364CED" w:rsidP="00364CED">
      <w:pPr>
        <w:spacing w:line="360" w:lineRule="auto"/>
        <w:ind w:left="425"/>
        <w:contextualSpacing/>
        <w:jc w:val="both"/>
        <w:rPr>
          <w:rtl/>
        </w:rPr>
      </w:pPr>
      <w:r w:rsidRPr="0015122B">
        <w:rPr>
          <w:rtl/>
        </w:rPr>
        <w:t xml:space="preserve">  </w:t>
      </w:r>
    </w:p>
    <w:p w14:paraId="2B4E021C" w14:textId="77777777" w:rsidR="00364CED" w:rsidRPr="0015122B" w:rsidRDefault="00364CED" w:rsidP="00364CED">
      <w:pPr>
        <w:numPr>
          <w:ilvl w:val="0"/>
          <w:numId w:val="1"/>
        </w:numPr>
        <w:spacing w:line="360" w:lineRule="auto"/>
        <w:ind w:left="425" w:hanging="425"/>
        <w:contextualSpacing/>
        <w:jc w:val="both"/>
        <w:rPr>
          <w:rFonts w:ascii="David" w:hAnsi="David"/>
        </w:rPr>
      </w:pPr>
      <w:r w:rsidRPr="0015122B">
        <w:rPr>
          <w:rtl/>
        </w:rPr>
        <w:t>מדיניות הענישה</w:t>
      </w:r>
      <w:r w:rsidRPr="0015122B">
        <w:rPr>
          <w:rFonts w:hint="cs"/>
          <w:rtl/>
        </w:rPr>
        <w:t xml:space="preserve"> </w:t>
      </w:r>
      <w:r w:rsidRPr="0015122B">
        <w:rPr>
          <w:rtl/>
        </w:rPr>
        <w:t>מעלה, כי בתי המשפט הטילו מנעד עונשים רחב בעבירה בה הורשע הנאשם, החל ממאסר על תנאי ועד מאסר בפועל</w:t>
      </w:r>
      <w:r w:rsidRPr="0015122B">
        <w:rPr>
          <w:rFonts w:hint="cs"/>
          <w:rtl/>
        </w:rPr>
        <w:t xml:space="preserve">, כשהדבר </w:t>
      </w:r>
      <w:r w:rsidRPr="0015122B">
        <w:rPr>
          <w:rFonts w:ascii="David" w:hAnsi="David"/>
          <w:rtl/>
        </w:rPr>
        <w:t>תלוי נסיבות ביצוע העבירה</w:t>
      </w:r>
      <w:r w:rsidRPr="0015122B">
        <w:rPr>
          <w:rtl/>
        </w:rPr>
        <w:t xml:space="preserve"> (ראו למשל </w:t>
      </w:r>
      <w:hyperlink r:id="rId28" w:history="1">
        <w:r w:rsidR="00DF407D" w:rsidRPr="0015122B">
          <w:rPr>
            <w:color w:val="0000FF"/>
            <w:u w:val="single"/>
            <w:rtl/>
          </w:rPr>
          <w:t>רע"פ 322/15</w:t>
        </w:r>
      </w:hyperlink>
      <w:r w:rsidRPr="0015122B">
        <w:rPr>
          <w:rtl/>
        </w:rPr>
        <w:t xml:space="preserve"> </w:t>
      </w:r>
      <w:r w:rsidRPr="0015122B">
        <w:rPr>
          <w:b/>
          <w:bCs/>
          <w:rtl/>
        </w:rPr>
        <w:t>גאנח נ' מדינת ישראל</w:t>
      </w:r>
      <w:r w:rsidRPr="0015122B">
        <w:rPr>
          <w:rtl/>
        </w:rPr>
        <w:t xml:space="preserve"> (22.1.15), </w:t>
      </w:r>
      <w:hyperlink r:id="rId29" w:history="1">
        <w:r w:rsidR="00DF407D" w:rsidRPr="0015122B">
          <w:rPr>
            <w:rFonts w:ascii="David" w:hAnsi="David"/>
            <w:color w:val="0000FF"/>
            <w:u w:val="single"/>
            <w:rtl/>
          </w:rPr>
          <w:t>רע"פ 3676-15</w:t>
        </w:r>
      </w:hyperlink>
      <w:r w:rsidRPr="0015122B">
        <w:rPr>
          <w:rFonts w:ascii="David" w:hAnsi="David"/>
          <w:rtl/>
        </w:rPr>
        <w:t xml:space="preserve"> </w:t>
      </w:r>
      <w:r w:rsidRPr="0015122B">
        <w:rPr>
          <w:rFonts w:ascii="David" w:hAnsi="David"/>
          <w:b/>
          <w:bCs/>
          <w:rtl/>
        </w:rPr>
        <w:t>מחאגנה נ' מדינת ישראל</w:t>
      </w:r>
      <w:r w:rsidRPr="0015122B">
        <w:rPr>
          <w:rFonts w:ascii="David" w:hAnsi="David"/>
          <w:rtl/>
        </w:rPr>
        <w:t xml:space="preserve"> (08.06.15), ב</w:t>
      </w:r>
      <w:hyperlink r:id="rId30" w:history="1">
        <w:r w:rsidR="00DF407D" w:rsidRPr="0015122B">
          <w:rPr>
            <w:rFonts w:ascii="David" w:hAnsi="David"/>
            <w:color w:val="0000FF"/>
            <w:u w:val="single"/>
            <w:rtl/>
          </w:rPr>
          <w:t>רע"פ 529/10</w:t>
        </w:r>
      </w:hyperlink>
      <w:r w:rsidRPr="0015122B">
        <w:rPr>
          <w:rFonts w:ascii="David" w:hAnsi="David"/>
          <w:rtl/>
        </w:rPr>
        <w:t xml:space="preserve"> </w:t>
      </w:r>
      <w:r w:rsidRPr="0015122B">
        <w:rPr>
          <w:rFonts w:ascii="David" w:hAnsi="David"/>
          <w:b/>
          <w:bCs/>
          <w:rtl/>
        </w:rPr>
        <w:t>שאלתיאל נ' מדינת ישראל</w:t>
      </w:r>
      <w:r w:rsidRPr="0015122B">
        <w:rPr>
          <w:rFonts w:ascii="David" w:hAnsi="David"/>
          <w:rtl/>
        </w:rPr>
        <w:t xml:space="preserve"> (1.2.10), </w:t>
      </w:r>
      <w:hyperlink r:id="rId31" w:history="1">
        <w:r w:rsidR="00DF407D" w:rsidRPr="0015122B">
          <w:rPr>
            <w:rFonts w:ascii="David" w:hAnsi="David"/>
            <w:color w:val="0000FF"/>
            <w:u w:val="single"/>
            <w:rtl/>
          </w:rPr>
          <w:t>רע"פ 2968/12</w:t>
        </w:r>
      </w:hyperlink>
      <w:r w:rsidRPr="0015122B">
        <w:rPr>
          <w:rFonts w:ascii="David" w:hAnsi="David"/>
          <w:rtl/>
        </w:rPr>
        <w:t xml:space="preserve"> </w:t>
      </w:r>
      <w:r w:rsidRPr="0015122B">
        <w:rPr>
          <w:rFonts w:ascii="David" w:hAnsi="David"/>
          <w:b/>
          <w:bCs/>
          <w:rtl/>
        </w:rPr>
        <w:t>אלזיד נ' מדינת ישראל</w:t>
      </w:r>
      <w:r w:rsidRPr="0015122B">
        <w:rPr>
          <w:rFonts w:ascii="David" w:hAnsi="David"/>
          <w:rtl/>
        </w:rPr>
        <w:t xml:space="preserve"> (6.5.12), </w:t>
      </w:r>
      <w:hyperlink r:id="rId32" w:history="1">
        <w:r w:rsidR="00DF407D" w:rsidRPr="0015122B">
          <w:rPr>
            <w:rFonts w:ascii="David" w:hAnsi="David"/>
            <w:color w:val="0000FF"/>
            <w:u w:val="single"/>
            <w:rtl/>
          </w:rPr>
          <w:t>רע"פ 1490/12</w:t>
        </w:r>
      </w:hyperlink>
      <w:r w:rsidRPr="0015122B">
        <w:rPr>
          <w:rFonts w:ascii="David" w:hAnsi="David"/>
          <w:rtl/>
        </w:rPr>
        <w:t xml:space="preserve"> </w:t>
      </w:r>
      <w:r w:rsidRPr="0015122B">
        <w:rPr>
          <w:rFonts w:ascii="David" w:hAnsi="David"/>
          <w:b/>
          <w:bCs/>
          <w:rtl/>
        </w:rPr>
        <w:t>אבו גוש נ' מדינת ישראל</w:t>
      </w:r>
      <w:r w:rsidRPr="0015122B">
        <w:rPr>
          <w:rFonts w:ascii="David" w:hAnsi="David"/>
          <w:rtl/>
        </w:rPr>
        <w:t xml:space="preserve"> (15.7.12), </w:t>
      </w:r>
      <w:hyperlink r:id="rId33" w:history="1">
        <w:r w:rsidR="00DF407D" w:rsidRPr="0015122B">
          <w:rPr>
            <w:rFonts w:ascii="David" w:hAnsi="David"/>
            <w:color w:val="0000FF"/>
            <w:u w:val="single"/>
            <w:rtl/>
          </w:rPr>
          <w:t>עפ"ג 28790-05-16</w:t>
        </w:r>
      </w:hyperlink>
      <w:r w:rsidRPr="0015122B">
        <w:rPr>
          <w:rFonts w:ascii="David" w:hAnsi="David"/>
          <w:rtl/>
        </w:rPr>
        <w:t xml:space="preserve"> </w:t>
      </w:r>
      <w:r w:rsidRPr="0015122B">
        <w:rPr>
          <w:rFonts w:ascii="David" w:hAnsi="David"/>
          <w:b/>
          <w:bCs/>
          <w:rtl/>
        </w:rPr>
        <w:t>אלוני נ' מדינת ישראל</w:t>
      </w:r>
      <w:r w:rsidRPr="0015122B">
        <w:rPr>
          <w:rFonts w:ascii="David" w:hAnsi="David"/>
          <w:rtl/>
        </w:rPr>
        <w:t xml:space="preserve"> (01.01.17), </w:t>
      </w:r>
      <w:hyperlink r:id="rId34" w:history="1">
        <w:r w:rsidR="00DF407D" w:rsidRPr="0015122B">
          <w:rPr>
            <w:rFonts w:ascii="David" w:hAnsi="David"/>
            <w:color w:val="0000FF"/>
            <w:u w:val="single"/>
            <w:rtl/>
          </w:rPr>
          <w:t>עפ"ג 42613-01-16</w:t>
        </w:r>
      </w:hyperlink>
      <w:r w:rsidRPr="0015122B">
        <w:rPr>
          <w:rFonts w:ascii="David" w:hAnsi="David"/>
          <w:rtl/>
        </w:rPr>
        <w:t xml:space="preserve"> </w:t>
      </w:r>
      <w:r w:rsidRPr="0015122B">
        <w:rPr>
          <w:rFonts w:ascii="David" w:hAnsi="David"/>
          <w:b/>
          <w:bCs/>
          <w:rtl/>
        </w:rPr>
        <w:t>אייאד איברהים נ' מדינת ישראל</w:t>
      </w:r>
      <w:r w:rsidRPr="0015122B">
        <w:rPr>
          <w:rFonts w:ascii="David" w:hAnsi="David"/>
          <w:rtl/>
        </w:rPr>
        <w:t xml:space="preserve"> (06.06.16), </w:t>
      </w:r>
      <w:hyperlink r:id="rId35" w:history="1">
        <w:r w:rsidR="00DF407D" w:rsidRPr="0015122B">
          <w:rPr>
            <w:rFonts w:ascii="David" w:hAnsi="David"/>
            <w:color w:val="0000FF"/>
            <w:u w:val="single"/>
            <w:rtl/>
          </w:rPr>
          <w:t>ע"פ 31988-06-10</w:t>
        </w:r>
      </w:hyperlink>
      <w:r w:rsidRPr="0015122B">
        <w:rPr>
          <w:rFonts w:ascii="David" w:hAnsi="David"/>
          <w:rtl/>
        </w:rPr>
        <w:t xml:space="preserve"> </w:t>
      </w:r>
      <w:r w:rsidRPr="0015122B">
        <w:rPr>
          <w:rFonts w:ascii="David" w:hAnsi="David"/>
          <w:b/>
          <w:bCs/>
          <w:rtl/>
        </w:rPr>
        <w:t>גטהון נ' מדינת ישראל</w:t>
      </w:r>
      <w:r w:rsidRPr="0015122B">
        <w:rPr>
          <w:rFonts w:ascii="David" w:hAnsi="David"/>
          <w:rtl/>
        </w:rPr>
        <w:t xml:space="preserve"> (28.10.10) </w:t>
      </w:r>
      <w:hyperlink r:id="rId36" w:history="1">
        <w:r w:rsidR="00DF407D" w:rsidRPr="0015122B">
          <w:rPr>
            <w:rFonts w:ascii="David" w:hAnsi="David"/>
            <w:color w:val="0000FF"/>
            <w:u w:val="single"/>
            <w:rtl/>
          </w:rPr>
          <w:t>ת"פ 50936-03-14</w:t>
        </w:r>
      </w:hyperlink>
      <w:r w:rsidRPr="0015122B">
        <w:rPr>
          <w:rFonts w:ascii="David" w:hAnsi="David"/>
          <w:rtl/>
        </w:rPr>
        <w:t xml:space="preserve"> </w:t>
      </w:r>
      <w:hyperlink r:id="rId37" w:history="1">
        <w:r w:rsidR="00DF407D" w:rsidRPr="0015122B">
          <w:rPr>
            <w:rFonts w:ascii="David" w:hAnsi="David"/>
            <w:color w:val="0000FF"/>
            <w:u w:val="single"/>
            <w:rtl/>
          </w:rPr>
          <w:t>ת"פ 8434-06-15</w:t>
        </w:r>
      </w:hyperlink>
      <w:r w:rsidRPr="0015122B">
        <w:rPr>
          <w:rFonts w:ascii="David" w:hAnsi="David"/>
          <w:rtl/>
        </w:rPr>
        <w:t xml:space="preserve"> </w:t>
      </w:r>
      <w:r w:rsidRPr="0015122B">
        <w:rPr>
          <w:rFonts w:ascii="David" w:hAnsi="David"/>
          <w:b/>
          <w:bCs/>
          <w:rtl/>
        </w:rPr>
        <w:t>מדינת ישראל נ' ניר לוי</w:t>
      </w:r>
      <w:r w:rsidRPr="0015122B">
        <w:rPr>
          <w:rFonts w:ascii="David" w:hAnsi="David"/>
          <w:rtl/>
        </w:rPr>
        <w:t xml:space="preserve"> (14.03.16)</w:t>
      </w:r>
      <w:r w:rsidRPr="0015122B">
        <w:rPr>
          <w:rFonts w:ascii="David" w:hAnsi="David" w:hint="cs"/>
          <w:rtl/>
        </w:rPr>
        <w:t xml:space="preserve"> ו</w:t>
      </w:r>
      <w:hyperlink r:id="rId38" w:history="1">
        <w:r w:rsidR="00DF407D" w:rsidRPr="0015122B">
          <w:rPr>
            <w:rFonts w:ascii="David" w:hAnsi="David"/>
            <w:color w:val="0000FF"/>
            <w:u w:val="single"/>
            <w:rtl/>
          </w:rPr>
          <w:t>ת"פ 2634-01-13</w:t>
        </w:r>
      </w:hyperlink>
      <w:r w:rsidRPr="0015122B">
        <w:rPr>
          <w:rFonts w:ascii="David" w:hAnsi="David"/>
          <w:rtl/>
        </w:rPr>
        <w:t xml:space="preserve"> </w:t>
      </w:r>
      <w:r w:rsidRPr="0015122B">
        <w:rPr>
          <w:rFonts w:ascii="David" w:hAnsi="David"/>
          <w:b/>
          <w:bCs/>
          <w:rtl/>
        </w:rPr>
        <w:t>מדינת ישראל נ' טסטא</w:t>
      </w:r>
      <w:r w:rsidRPr="0015122B">
        <w:rPr>
          <w:rFonts w:ascii="David" w:hAnsi="David"/>
          <w:rtl/>
        </w:rPr>
        <w:t xml:space="preserve"> (31.12.2013).</w:t>
      </w:r>
      <w:r w:rsidRPr="0015122B">
        <w:rPr>
          <w:rFonts w:ascii="David" w:hAnsi="David" w:hint="cs"/>
          <w:rtl/>
        </w:rPr>
        <w:t xml:space="preserve"> </w:t>
      </w:r>
      <w:r w:rsidRPr="0015122B">
        <w:rPr>
          <w:rFonts w:ascii="David" w:hAnsi="David"/>
          <w:rtl/>
        </w:rPr>
        <w:t xml:space="preserve">כן ראו הפסיקה של הצדדים שהוזכרה לעיל). </w:t>
      </w:r>
    </w:p>
    <w:p w14:paraId="6AB3A677" w14:textId="77777777" w:rsidR="00364CED" w:rsidRPr="0015122B" w:rsidRDefault="00364CED" w:rsidP="00364CED">
      <w:pPr>
        <w:rPr>
          <w:rtl/>
        </w:rPr>
      </w:pPr>
    </w:p>
    <w:p w14:paraId="09060936" w14:textId="77777777" w:rsidR="00364CED" w:rsidRPr="0015122B" w:rsidRDefault="00364CED" w:rsidP="00364CED">
      <w:pPr>
        <w:numPr>
          <w:ilvl w:val="0"/>
          <w:numId w:val="1"/>
        </w:numPr>
        <w:spacing w:line="360" w:lineRule="auto"/>
        <w:ind w:left="425" w:hanging="425"/>
        <w:contextualSpacing/>
        <w:jc w:val="both"/>
      </w:pPr>
      <w:r w:rsidRPr="0015122B">
        <w:rPr>
          <w:rtl/>
        </w:rPr>
        <w:t>נוכח מדיניות הענישה הנוהגת ונסיבות ביצוע העבירה אני קובעת, כי מתחם העונש ההולם לעבירה בה הורשע הנאשם הוא ממאסר על תנאי ועד 6 חודשי מאסר בפועל לצד רכיבים נלווים.</w:t>
      </w:r>
    </w:p>
    <w:p w14:paraId="479C1843" w14:textId="77777777" w:rsidR="00364CED" w:rsidRPr="0015122B" w:rsidRDefault="00364CED" w:rsidP="00364CED">
      <w:pPr>
        <w:spacing w:line="360" w:lineRule="auto"/>
        <w:contextualSpacing/>
        <w:jc w:val="both"/>
      </w:pPr>
    </w:p>
    <w:p w14:paraId="4A5B8C4B" w14:textId="77777777" w:rsidR="00364CED" w:rsidRPr="0015122B" w:rsidRDefault="00364CED" w:rsidP="00364CED">
      <w:pPr>
        <w:numPr>
          <w:ilvl w:val="0"/>
          <w:numId w:val="1"/>
        </w:numPr>
        <w:spacing w:line="360" w:lineRule="auto"/>
        <w:ind w:left="425" w:hanging="425"/>
        <w:contextualSpacing/>
        <w:jc w:val="both"/>
      </w:pPr>
      <w:r w:rsidRPr="0015122B">
        <w:rPr>
          <w:rtl/>
        </w:rPr>
        <w:t xml:space="preserve">בנסיבותיו של תיק זה לא מתקיימים שיקולים לחרוג לחומרה או לקולא ממתחם העונש. </w:t>
      </w:r>
    </w:p>
    <w:p w14:paraId="3521FDCD" w14:textId="77777777" w:rsidR="00364CED" w:rsidRPr="0015122B" w:rsidRDefault="00364CED" w:rsidP="00364CED">
      <w:pPr>
        <w:pStyle w:val="a9"/>
        <w:rPr>
          <w:rtl/>
        </w:rPr>
      </w:pPr>
    </w:p>
    <w:p w14:paraId="7412722B" w14:textId="77777777" w:rsidR="00364CED" w:rsidRPr="0015122B" w:rsidRDefault="00364CED" w:rsidP="00364CED">
      <w:pPr>
        <w:spacing w:line="360" w:lineRule="auto"/>
        <w:jc w:val="both"/>
      </w:pPr>
      <w:r w:rsidRPr="0015122B">
        <w:rPr>
          <w:b/>
          <w:bCs/>
          <w:u w:val="single"/>
          <w:rtl/>
        </w:rPr>
        <w:t xml:space="preserve">מתחם הקנס </w:t>
      </w:r>
    </w:p>
    <w:p w14:paraId="02B2CD84" w14:textId="77777777" w:rsidR="00364CED" w:rsidRPr="0015122B" w:rsidRDefault="00364CED" w:rsidP="00364CED">
      <w:pPr>
        <w:numPr>
          <w:ilvl w:val="0"/>
          <w:numId w:val="1"/>
        </w:numPr>
        <w:spacing w:line="360" w:lineRule="auto"/>
        <w:ind w:left="425" w:hanging="425"/>
        <w:contextualSpacing/>
        <w:jc w:val="both"/>
      </w:pPr>
      <w:r w:rsidRPr="0015122B">
        <w:rPr>
          <w:rFonts w:ascii="David" w:hAnsi="David"/>
          <w:color w:val="000000"/>
          <w:rtl/>
        </w:rPr>
        <w:t xml:space="preserve">בהתאם </w:t>
      </w:r>
      <w:hyperlink r:id="rId39" w:history="1">
        <w:r w:rsidR="0015122B" w:rsidRPr="0015122B">
          <w:rPr>
            <w:rStyle w:val="Hyperlink"/>
            <w:rFonts w:ascii="David" w:hAnsi="David"/>
            <w:rtl/>
          </w:rPr>
          <w:t>לסעיף 40ח'</w:t>
        </w:r>
      </w:hyperlink>
      <w:r w:rsidRPr="0015122B">
        <w:rPr>
          <w:rFonts w:ascii="David" w:hAnsi="David"/>
          <w:color w:val="000000"/>
          <w:rtl/>
        </w:rPr>
        <w:t xml:space="preserve"> ל</w:t>
      </w:r>
      <w:hyperlink r:id="rId40" w:history="1">
        <w:r w:rsidR="00DF407D" w:rsidRPr="0015122B">
          <w:rPr>
            <w:rFonts w:ascii="David" w:hAnsi="David"/>
            <w:color w:val="0000FF"/>
            <w:u w:val="single"/>
            <w:rtl/>
          </w:rPr>
          <w:t>חוק העונשין</w:t>
        </w:r>
      </w:hyperlink>
      <w:r w:rsidRPr="0015122B">
        <w:rPr>
          <w:rFonts w:ascii="David" w:hAnsi="David"/>
          <w:color w:val="000000"/>
          <w:rtl/>
        </w:rPr>
        <w:t xml:space="preserve"> "</w:t>
      </w:r>
      <w:r w:rsidRPr="0015122B">
        <w:rPr>
          <w:rFonts w:ascii="David" w:hAnsi="David"/>
          <w:b/>
          <w:bCs/>
          <w:color w:val="000000"/>
          <w:rtl/>
        </w:rPr>
        <w:t>קבע בית משפט כי מתחם העונש ההולם כולל עונש קנס, יתחשב, נוסף על האמור בסעיף 40ג(א) במצבו הכלכלי של הנאשם, לצורך קביעת מתחם הקנס ההולם</w:t>
      </w:r>
      <w:r w:rsidRPr="0015122B">
        <w:rPr>
          <w:rFonts w:ascii="David" w:hAnsi="David"/>
          <w:color w:val="000000"/>
          <w:rtl/>
        </w:rPr>
        <w:t>".</w:t>
      </w:r>
    </w:p>
    <w:p w14:paraId="2082F807" w14:textId="77777777" w:rsidR="00364CED" w:rsidRPr="0015122B" w:rsidRDefault="00364CED" w:rsidP="00364CED">
      <w:pPr>
        <w:spacing w:line="360" w:lineRule="auto"/>
        <w:ind w:left="425"/>
        <w:contextualSpacing/>
        <w:jc w:val="both"/>
      </w:pPr>
      <w:r w:rsidRPr="0015122B">
        <w:rPr>
          <w:rFonts w:ascii="David" w:hAnsi="David"/>
          <w:color w:val="000000"/>
          <w:rtl/>
        </w:rPr>
        <w:t>משכך, בקביעת מתחם הקנס על בית המשפט להתחשב בחומרת העבירות ובמצבו הכלכלי האישי של הנאשם. בתוך כך, על בית המשפט לתת דעתו לכך שלנאשם זכות לקיום אנושי בסיסי שיבטיח תנאי מחיה מ</w:t>
      </w:r>
      <w:r w:rsidRPr="0015122B">
        <w:rPr>
          <w:rFonts w:ascii="David" w:hAnsi="David" w:hint="cs"/>
          <w:color w:val="000000"/>
          <w:rtl/>
        </w:rPr>
        <w:t>י</w:t>
      </w:r>
      <w:r w:rsidRPr="0015122B">
        <w:rPr>
          <w:rFonts w:ascii="David" w:hAnsi="David"/>
          <w:color w:val="000000"/>
          <w:rtl/>
        </w:rPr>
        <w:t>נימאליים בכבוד לו ולמשפחתו (</w:t>
      </w:r>
      <w:hyperlink r:id="rId41" w:history="1">
        <w:r w:rsidR="00DF407D" w:rsidRPr="0015122B">
          <w:rPr>
            <w:rFonts w:ascii="David" w:hAnsi="David"/>
            <w:color w:val="0000FF"/>
            <w:u w:val="single"/>
            <w:rtl/>
          </w:rPr>
          <w:t>בג"צ 10662/04</w:t>
        </w:r>
      </w:hyperlink>
      <w:r w:rsidRPr="0015122B">
        <w:rPr>
          <w:rFonts w:ascii="David" w:hAnsi="David"/>
          <w:b/>
          <w:bCs/>
          <w:color w:val="000000"/>
          <w:rtl/>
        </w:rPr>
        <w:t xml:space="preserve"> חסן נ' המוסד לביטוח לאומי</w:t>
      </w:r>
      <w:r w:rsidRPr="0015122B">
        <w:rPr>
          <w:rFonts w:ascii="David" w:hAnsi="David"/>
          <w:color w:val="000000"/>
          <w:rtl/>
        </w:rPr>
        <w:t xml:space="preserve"> (28.2.12)). </w:t>
      </w:r>
    </w:p>
    <w:p w14:paraId="5B71EB6D" w14:textId="77777777" w:rsidR="00364CED" w:rsidRPr="0015122B" w:rsidRDefault="00364CED" w:rsidP="00364CED">
      <w:pPr>
        <w:ind w:left="425"/>
        <w:contextualSpacing/>
        <w:jc w:val="both"/>
      </w:pPr>
    </w:p>
    <w:p w14:paraId="3C619EFF" w14:textId="77777777" w:rsidR="00364CED" w:rsidRPr="0015122B" w:rsidRDefault="00364CED" w:rsidP="00364CED">
      <w:pPr>
        <w:numPr>
          <w:ilvl w:val="0"/>
          <w:numId w:val="1"/>
        </w:numPr>
        <w:spacing w:line="360" w:lineRule="auto"/>
        <w:ind w:left="425" w:hanging="425"/>
        <w:contextualSpacing/>
        <w:jc w:val="both"/>
      </w:pPr>
      <w:r w:rsidRPr="0015122B">
        <w:rPr>
          <w:rtl/>
        </w:rPr>
        <w:t>הצדדים לא טענו לעניין מתחם הקנס. לא הוצגו בפניי ראיות אודות מצבו הכלכלי של הנאשם</w:t>
      </w:r>
      <w:r w:rsidRPr="0015122B">
        <w:rPr>
          <w:rFonts w:hint="cs"/>
          <w:rtl/>
        </w:rPr>
        <w:t>. מדובר בנאשם המתגורר בגפו ועובד למחייתו.</w:t>
      </w:r>
    </w:p>
    <w:p w14:paraId="081D73C8" w14:textId="77777777" w:rsidR="00364CED" w:rsidRPr="0015122B" w:rsidRDefault="00364CED" w:rsidP="00364CED">
      <w:pPr>
        <w:spacing w:line="360" w:lineRule="auto"/>
        <w:ind w:left="425"/>
        <w:contextualSpacing/>
        <w:jc w:val="both"/>
      </w:pPr>
    </w:p>
    <w:p w14:paraId="6CEF7CA5" w14:textId="77777777" w:rsidR="00364CED" w:rsidRPr="0015122B" w:rsidRDefault="00364CED" w:rsidP="00364CED">
      <w:pPr>
        <w:numPr>
          <w:ilvl w:val="0"/>
          <w:numId w:val="1"/>
        </w:numPr>
        <w:spacing w:line="360" w:lineRule="auto"/>
        <w:ind w:left="425" w:hanging="425"/>
        <w:contextualSpacing/>
        <w:jc w:val="both"/>
      </w:pPr>
      <w:r w:rsidRPr="0015122B">
        <w:rPr>
          <w:rtl/>
        </w:rPr>
        <w:t>בהתחשב בטיב העביר</w:t>
      </w:r>
      <w:r w:rsidRPr="0015122B">
        <w:rPr>
          <w:rFonts w:hint="cs"/>
          <w:rtl/>
        </w:rPr>
        <w:t>ה</w:t>
      </w:r>
      <w:r w:rsidRPr="0015122B">
        <w:rPr>
          <w:rtl/>
        </w:rPr>
        <w:t xml:space="preserve">, ובהעדר נתונים אודות מצבו הכלכלי של הנאשם, אני קובעת כי מתחם הקנס הוא </w:t>
      </w:r>
      <w:r w:rsidRPr="0015122B">
        <w:rPr>
          <w:rFonts w:hint="cs"/>
          <w:rtl/>
        </w:rPr>
        <w:t xml:space="preserve">מ- 1,000 ₪ ועד </w:t>
      </w:r>
      <w:r w:rsidRPr="0015122B">
        <w:rPr>
          <w:rtl/>
        </w:rPr>
        <w:t>אלפי שקלים.</w:t>
      </w:r>
    </w:p>
    <w:p w14:paraId="3A8DC09A" w14:textId="77777777" w:rsidR="00364CED" w:rsidRPr="0015122B" w:rsidRDefault="00364CED" w:rsidP="00364CED">
      <w:pPr>
        <w:ind w:left="425"/>
        <w:contextualSpacing/>
        <w:jc w:val="both"/>
      </w:pPr>
    </w:p>
    <w:p w14:paraId="6B2294C2" w14:textId="77777777" w:rsidR="00364CED" w:rsidRPr="0015122B" w:rsidRDefault="00364CED" w:rsidP="00364CED">
      <w:pPr>
        <w:spacing w:line="360" w:lineRule="auto"/>
        <w:jc w:val="both"/>
        <w:rPr>
          <w:rtl/>
        </w:rPr>
      </w:pPr>
      <w:r w:rsidRPr="0015122B">
        <w:rPr>
          <w:rFonts w:ascii="David" w:hAnsi="David"/>
          <w:b/>
          <w:bCs/>
          <w:u w:val="single"/>
          <w:rtl/>
        </w:rPr>
        <w:t>גזירת העונש המתאים לנאשם</w:t>
      </w:r>
    </w:p>
    <w:p w14:paraId="28B1B4E3" w14:textId="77777777" w:rsidR="00364CED" w:rsidRPr="0015122B" w:rsidRDefault="00364CED" w:rsidP="00364CED">
      <w:pPr>
        <w:numPr>
          <w:ilvl w:val="0"/>
          <w:numId w:val="1"/>
        </w:numPr>
        <w:spacing w:line="360" w:lineRule="auto"/>
        <w:ind w:left="425" w:hanging="425"/>
        <w:contextualSpacing/>
        <w:jc w:val="both"/>
      </w:pPr>
      <w:r w:rsidRPr="0015122B">
        <w:rPr>
          <w:rFonts w:ascii="David" w:hAnsi="David"/>
          <w:color w:val="000000"/>
          <w:rtl/>
        </w:rPr>
        <w:t xml:space="preserve">בגזירת העונש המתאים לנאשם, בגדרי מתחם העונש ההולם, יש להתחשב </w:t>
      </w:r>
      <w:r w:rsidRPr="0015122B">
        <w:rPr>
          <w:rFonts w:ascii="David" w:hAnsi="David"/>
          <w:b/>
          <w:bCs/>
          <w:color w:val="000000"/>
          <w:rtl/>
        </w:rPr>
        <w:t>בנסיבות שאינן קשורות בביצוע העבירה</w:t>
      </w:r>
      <w:r w:rsidRPr="0015122B">
        <w:rPr>
          <w:rFonts w:ascii="David" w:hAnsi="David"/>
          <w:color w:val="000000"/>
          <w:rtl/>
        </w:rPr>
        <w:t>. במסגרת זו מן הראוי ליתן את הדעת לנסיבות הבאות</w:t>
      </w:r>
      <w:r w:rsidRPr="0015122B">
        <w:rPr>
          <w:rtl/>
        </w:rPr>
        <w:t>.</w:t>
      </w:r>
    </w:p>
    <w:p w14:paraId="44753D35" w14:textId="77777777" w:rsidR="00364CED" w:rsidRPr="0015122B" w:rsidRDefault="00364CED" w:rsidP="00364CED">
      <w:pPr>
        <w:ind w:left="425"/>
        <w:contextualSpacing/>
        <w:jc w:val="both"/>
      </w:pPr>
    </w:p>
    <w:p w14:paraId="60BA04CD" w14:textId="77777777" w:rsidR="00364CED" w:rsidRPr="0015122B" w:rsidRDefault="00364CED" w:rsidP="00364CED">
      <w:pPr>
        <w:spacing w:line="360" w:lineRule="auto"/>
        <w:ind w:left="425"/>
        <w:contextualSpacing/>
        <w:jc w:val="both"/>
        <w:rPr>
          <w:rtl/>
        </w:rPr>
      </w:pPr>
      <w:r w:rsidRPr="0015122B">
        <w:rPr>
          <w:rtl/>
        </w:rPr>
        <w:t xml:space="preserve">הנאשם </w:t>
      </w:r>
      <w:r w:rsidRPr="0015122B">
        <w:rPr>
          <w:rFonts w:hint="cs"/>
          <w:rtl/>
        </w:rPr>
        <w:t>כבן 27, נעדר עבר פלילי ועובד מפעל בשדרות. הוא השלים 11 שנות לימוד, התגייס לצה"ל אך שוחרר בשל בעיות משמעת. הנאשם מגיע ממשפחה קשת יום. על מנת להרחיק עצמו משכונת מגוריו וההשפעה השלילית שבה הוא עבר מיבנה להתגורר בגפו בשדרות.</w:t>
      </w:r>
    </w:p>
    <w:p w14:paraId="5B57118D" w14:textId="77777777" w:rsidR="00364CED" w:rsidRPr="0015122B" w:rsidRDefault="00364CED" w:rsidP="00364CED">
      <w:pPr>
        <w:spacing w:line="360" w:lineRule="auto"/>
        <w:ind w:left="425"/>
        <w:contextualSpacing/>
        <w:jc w:val="both"/>
        <w:rPr>
          <w:rtl/>
        </w:rPr>
      </w:pPr>
      <w:r w:rsidRPr="0015122B">
        <w:rPr>
          <w:rFonts w:hint="cs"/>
          <w:rtl/>
        </w:rPr>
        <w:t>שירות המבחן בא כאמור בהמלצה שיקומית בשים לב לגילו של הנאשם ושיתוף הפעולה עם השירות בהליך הטיפולי בו החל ויש לקוות, כי אכן ימצה את הטיפול בו החל ויפיק ממנו תועלת.</w:t>
      </w:r>
    </w:p>
    <w:p w14:paraId="36492956" w14:textId="77777777" w:rsidR="00364CED" w:rsidRPr="0015122B" w:rsidRDefault="00364CED" w:rsidP="00364CED">
      <w:pPr>
        <w:contextualSpacing/>
        <w:jc w:val="both"/>
        <w:rPr>
          <w:rtl/>
        </w:rPr>
      </w:pPr>
    </w:p>
    <w:p w14:paraId="2FC39D4A" w14:textId="77777777" w:rsidR="00364CED" w:rsidRPr="0015122B" w:rsidRDefault="00364CED" w:rsidP="00364CED">
      <w:pPr>
        <w:numPr>
          <w:ilvl w:val="0"/>
          <w:numId w:val="1"/>
        </w:numPr>
        <w:spacing w:line="360" w:lineRule="auto"/>
        <w:ind w:left="425" w:hanging="425"/>
        <w:contextualSpacing/>
        <w:jc w:val="both"/>
      </w:pPr>
      <w:r w:rsidRPr="0015122B">
        <w:rPr>
          <w:rtl/>
        </w:rPr>
        <w:t>באיזון בין השיקולים השונים, ובשים לב לחלוף הזמן, לנטילת האחריות</w:t>
      </w:r>
      <w:r w:rsidRPr="0015122B">
        <w:rPr>
          <w:rFonts w:hint="cs"/>
          <w:rtl/>
        </w:rPr>
        <w:t xml:space="preserve"> (המסויגת בפני שירות המבחן)</w:t>
      </w:r>
      <w:r w:rsidRPr="0015122B">
        <w:rPr>
          <w:rtl/>
        </w:rPr>
        <w:t xml:space="preserve">, גם אם לאחר שמיעת  הראיות, אני סבורה שיש למקם את עונשו של הנאשם </w:t>
      </w:r>
      <w:r w:rsidRPr="0015122B">
        <w:rPr>
          <w:rFonts w:hint="cs"/>
          <w:rtl/>
        </w:rPr>
        <w:t>ברף התחתון</w:t>
      </w:r>
      <w:r w:rsidRPr="0015122B">
        <w:rPr>
          <w:rtl/>
        </w:rPr>
        <w:t xml:space="preserve"> של </w:t>
      </w:r>
      <w:r w:rsidRPr="0015122B">
        <w:rPr>
          <w:rFonts w:hint="cs"/>
          <w:rtl/>
        </w:rPr>
        <w:t xml:space="preserve">מתחם העונש ההולם. </w:t>
      </w:r>
    </w:p>
    <w:p w14:paraId="7E75D993" w14:textId="77777777" w:rsidR="00364CED" w:rsidRPr="0015122B" w:rsidRDefault="00364CED" w:rsidP="00364CED">
      <w:pPr>
        <w:contextualSpacing/>
        <w:jc w:val="both"/>
      </w:pPr>
    </w:p>
    <w:p w14:paraId="0A28D75D" w14:textId="77777777" w:rsidR="00364CED" w:rsidRPr="0015122B" w:rsidRDefault="00364CED" w:rsidP="00364CED">
      <w:pPr>
        <w:spacing w:line="360" w:lineRule="auto"/>
        <w:jc w:val="both"/>
      </w:pPr>
      <w:r w:rsidRPr="0015122B">
        <w:rPr>
          <w:rFonts w:ascii="David" w:hAnsi="David"/>
          <w:b/>
          <w:bCs/>
          <w:u w:val="single"/>
          <w:rtl/>
        </w:rPr>
        <w:t>סוף דבר</w:t>
      </w:r>
    </w:p>
    <w:p w14:paraId="5BDAC11B" w14:textId="77777777" w:rsidR="00364CED" w:rsidRPr="0015122B" w:rsidRDefault="00364CED" w:rsidP="00364CED">
      <w:pPr>
        <w:numPr>
          <w:ilvl w:val="0"/>
          <w:numId w:val="1"/>
        </w:numPr>
        <w:spacing w:line="360" w:lineRule="auto"/>
        <w:ind w:left="425" w:hanging="425"/>
        <w:contextualSpacing/>
        <w:jc w:val="both"/>
      </w:pPr>
      <w:r w:rsidRPr="0015122B">
        <w:rPr>
          <w:rFonts w:ascii="David" w:hAnsi="David"/>
          <w:rtl/>
        </w:rPr>
        <w:t>נוכח כל האמור לעיל אני גוזרת על הנאשם את העונשים הבאים</w:t>
      </w:r>
      <w:r w:rsidRPr="0015122B">
        <w:rPr>
          <w:rFonts w:ascii="David" w:hAnsi="David"/>
        </w:rPr>
        <w:t>:</w:t>
      </w:r>
    </w:p>
    <w:p w14:paraId="722F1D18" w14:textId="77777777" w:rsidR="00364CED" w:rsidRPr="0015122B" w:rsidRDefault="00364CED" w:rsidP="00364CED">
      <w:pPr>
        <w:ind w:left="425"/>
        <w:contextualSpacing/>
        <w:jc w:val="both"/>
      </w:pPr>
    </w:p>
    <w:p w14:paraId="147C1E54" w14:textId="77777777" w:rsidR="00364CED" w:rsidRPr="0015122B" w:rsidRDefault="00364CED" w:rsidP="00364CED">
      <w:pPr>
        <w:numPr>
          <w:ilvl w:val="1"/>
          <w:numId w:val="2"/>
        </w:numPr>
        <w:spacing w:after="120" w:line="360" w:lineRule="auto"/>
        <w:ind w:left="662" w:hanging="567"/>
        <w:jc w:val="both"/>
        <w:rPr>
          <w:rFonts w:ascii="David" w:hAnsi="David"/>
        </w:rPr>
      </w:pPr>
      <w:r w:rsidRPr="0015122B">
        <w:rPr>
          <w:rFonts w:ascii="David" w:hAnsi="David"/>
          <w:rtl/>
        </w:rPr>
        <w:t>4 חודשי מאסר על תנאי, והתנאי הוא שהנאשם לא יעבור תוך שלוש שנים מהיום כל עבירת אלימות.</w:t>
      </w:r>
    </w:p>
    <w:p w14:paraId="78A432B0" w14:textId="77777777" w:rsidR="00364CED" w:rsidRPr="0015122B" w:rsidRDefault="00364CED" w:rsidP="00364CED">
      <w:pPr>
        <w:spacing w:after="120"/>
        <w:ind w:left="662"/>
        <w:jc w:val="both"/>
        <w:rPr>
          <w:rFonts w:ascii="David" w:hAnsi="David"/>
        </w:rPr>
      </w:pPr>
    </w:p>
    <w:p w14:paraId="4E39704A" w14:textId="77777777" w:rsidR="00364CED" w:rsidRPr="0015122B" w:rsidRDefault="00364CED" w:rsidP="00364CED">
      <w:pPr>
        <w:numPr>
          <w:ilvl w:val="1"/>
          <w:numId w:val="2"/>
        </w:numPr>
        <w:spacing w:after="120" w:line="360" w:lineRule="auto"/>
        <w:ind w:left="662" w:hanging="567"/>
        <w:jc w:val="both"/>
        <w:rPr>
          <w:rFonts w:ascii="David" w:hAnsi="David"/>
        </w:rPr>
      </w:pPr>
      <w:r w:rsidRPr="0015122B">
        <w:rPr>
          <w:rFonts w:ascii="David" w:hAnsi="David"/>
          <w:rtl/>
        </w:rPr>
        <w:t xml:space="preserve">קנס בסך </w:t>
      </w:r>
      <w:r w:rsidRPr="0015122B">
        <w:rPr>
          <w:rFonts w:ascii="David" w:hAnsi="David" w:hint="cs"/>
          <w:rtl/>
        </w:rPr>
        <w:t>1,000</w:t>
      </w:r>
      <w:r w:rsidRPr="0015122B">
        <w:rPr>
          <w:rFonts w:ascii="David" w:hAnsi="David"/>
          <w:rtl/>
        </w:rPr>
        <w:t xml:space="preserve"> ₪ או </w:t>
      </w:r>
      <w:r w:rsidRPr="0015122B">
        <w:rPr>
          <w:rFonts w:ascii="David" w:hAnsi="David" w:hint="cs"/>
          <w:rtl/>
        </w:rPr>
        <w:t xml:space="preserve">10 </w:t>
      </w:r>
      <w:r w:rsidRPr="0015122B">
        <w:rPr>
          <w:rFonts w:ascii="David" w:hAnsi="David"/>
          <w:rtl/>
        </w:rPr>
        <w:t>ימי מאסר תמורתו. הקנס ישולם ב-</w:t>
      </w:r>
      <w:r w:rsidRPr="0015122B">
        <w:rPr>
          <w:rFonts w:ascii="David" w:hAnsi="David" w:hint="cs"/>
          <w:rtl/>
        </w:rPr>
        <w:t xml:space="preserve"> 5 </w:t>
      </w:r>
      <w:r w:rsidRPr="0015122B">
        <w:rPr>
          <w:rFonts w:ascii="David" w:hAnsi="David"/>
          <w:rtl/>
        </w:rPr>
        <w:t xml:space="preserve">תשלומים חודשיים שווים ורצופים. התשלום הראשון ביום </w:t>
      </w:r>
      <w:r w:rsidRPr="0015122B">
        <w:rPr>
          <w:rFonts w:ascii="David" w:hAnsi="David" w:hint="cs"/>
          <w:rtl/>
        </w:rPr>
        <w:t>1.1.22 והיתרה בכל 1 לחודש שלאחריו. לא ישולם תשלום במועדו תעמוד יתרת הקנס לפירעון מידי.</w:t>
      </w:r>
    </w:p>
    <w:p w14:paraId="0C95A585" w14:textId="77777777" w:rsidR="00364CED" w:rsidRPr="0015122B" w:rsidRDefault="00364CED" w:rsidP="00364CED">
      <w:pPr>
        <w:spacing w:after="120"/>
        <w:ind w:left="662"/>
        <w:jc w:val="both"/>
        <w:rPr>
          <w:rFonts w:ascii="David" w:hAnsi="David"/>
        </w:rPr>
      </w:pPr>
    </w:p>
    <w:p w14:paraId="63FBA29A" w14:textId="77777777" w:rsidR="00364CED" w:rsidRPr="0015122B" w:rsidRDefault="00364CED" w:rsidP="00364CED">
      <w:pPr>
        <w:numPr>
          <w:ilvl w:val="1"/>
          <w:numId w:val="2"/>
        </w:numPr>
        <w:spacing w:after="120" w:line="360" w:lineRule="auto"/>
        <w:ind w:left="662" w:hanging="567"/>
        <w:jc w:val="both"/>
        <w:rPr>
          <w:rFonts w:ascii="David" w:hAnsi="David"/>
        </w:rPr>
      </w:pPr>
      <w:r w:rsidRPr="0015122B">
        <w:rPr>
          <w:rtl/>
        </w:rPr>
        <w:t xml:space="preserve">ניתן בזאת צו מבחן למשך שנה. </w:t>
      </w:r>
      <w:r w:rsidRPr="0015122B">
        <w:rPr>
          <w:rFonts w:ascii="David" w:hAnsi="David" w:hint="cs"/>
          <w:rtl/>
        </w:rPr>
        <w:t xml:space="preserve">אני מבהירה לנאשם, כי עליו לשתף פעולה עם שירות המבחן בתקופה זו, וכי אם לא יעשה כן, ניתן יהיה לשוב ולגזור את דינו מחדש. במועד בו נקבע לשמוע גזר הדין נעצר הנאשם בתיק אחר. צו המבחן לא יבוצע בתקופת מעצרו ולא יהיה בכך משום הפרת הצו, כל זמן שמדובר בתיק בו הוא עצור כעת ולא בתיק בו ייעצר בעתיד.  </w:t>
      </w:r>
    </w:p>
    <w:p w14:paraId="4799CC21" w14:textId="77777777" w:rsidR="00364CED" w:rsidRPr="0015122B" w:rsidRDefault="00364CED" w:rsidP="00364CED">
      <w:pPr>
        <w:spacing w:after="120" w:line="360" w:lineRule="auto"/>
        <w:ind w:left="662"/>
        <w:jc w:val="both"/>
        <w:rPr>
          <w:rFonts w:ascii="David" w:hAnsi="David"/>
          <w:rtl/>
        </w:rPr>
      </w:pPr>
    </w:p>
    <w:p w14:paraId="7238F430" w14:textId="77777777" w:rsidR="00364CED" w:rsidRPr="0015122B" w:rsidRDefault="00364CED" w:rsidP="00364CED">
      <w:pPr>
        <w:spacing w:after="120" w:line="360" w:lineRule="auto"/>
        <w:ind w:left="662"/>
        <w:jc w:val="both"/>
        <w:rPr>
          <w:rFonts w:ascii="David" w:hAnsi="David"/>
          <w:rtl/>
        </w:rPr>
      </w:pPr>
      <w:r w:rsidRPr="0015122B">
        <w:rPr>
          <w:rFonts w:ascii="David" w:hAnsi="David"/>
          <w:rtl/>
        </w:rPr>
        <w:t>ניתן צו להשמדת הסכין.</w:t>
      </w:r>
    </w:p>
    <w:p w14:paraId="0DFCCC5A" w14:textId="77777777" w:rsidR="00364CED" w:rsidRPr="0015122B" w:rsidRDefault="00364CED" w:rsidP="00364CED">
      <w:pPr>
        <w:spacing w:line="360" w:lineRule="auto"/>
        <w:jc w:val="both"/>
        <w:rPr>
          <w:rFonts w:ascii="Arial" w:hAnsi="Arial"/>
          <w:rtl/>
        </w:rPr>
      </w:pPr>
    </w:p>
    <w:p w14:paraId="3638565D" w14:textId="77777777" w:rsidR="00364CED" w:rsidRPr="0015122B" w:rsidRDefault="00364CED" w:rsidP="00364CED">
      <w:pPr>
        <w:spacing w:line="360" w:lineRule="auto"/>
        <w:ind w:firstLine="662"/>
        <w:jc w:val="both"/>
        <w:rPr>
          <w:rFonts w:ascii="Arial" w:hAnsi="Arial"/>
          <w:rtl/>
        </w:rPr>
      </w:pPr>
      <w:r w:rsidRPr="0015122B">
        <w:rPr>
          <w:rFonts w:ascii="Arial" w:hAnsi="Arial"/>
          <w:rtl/>
        </w:rPr>
        <w:t xml:space="preserve">זכות ערעור תוך 45 ימים לבית המשפט המחוזי מרכז – לוד. </w:t>
      </w:r>
    </w:p>
    <w:p w14:paraId="2A55F412" w14:textId="77777777" w:rsidR="00364CED" w:rsidRPr="0015122B" w:rsidRDefault="00364CED" w:rsidP="00364CED">
      <w:pPr>
        <w:spacing w:line="360" w:lineRule="auto"/>
        <w:jc w:val="both"/>
        <w:rPr>
          <w:rFonts w:ascii="Arial" w:hAnsi="Arial"/>
          <w:rtl/>
        </w:rPr>
      </w:pPr>
    </w:p>
    <w:p w14:paraId="3E81188D" w14:textId="77777777" w:rsidR="00364CED" w:rsidRPr="0015122B" w:rsidRDefault="00DF407D" w:rsidP="00364CED">
      <w:pPr>
        <w:spacing w:line="360" w:lineRule="auto"/>
        <w:jc w:val="both"/>
        <w:rPr>
          <w:rFonts w:ascii="Arial" w:hAnsi="Arial"/>
          <w:color w:val="FFFFFF"/>
          <w:sz w:val="2"/>
          <w:szCs w:val="2"/>
          <w:rtl/>
        </w:rPr>
      </w:pPr>
      <w:r w:rsidRPr="0015122B">
        <w:rPr>
          <w:rFonts w:ascii="Arial" w:hAnsi="Arial"/>
          <w:color w:val="FFFFFF"/>
          <w:sz w:val="2"/>
          <w:szCs w:val="2"/>
          <w:rtl/>
        </w:rPr>
        <w:t>5129371</w:t>
      </w:r>
    </w:p>
    <w:p w14:paraId="7997B408" w14:textId="77777777" w:rsidR="00364CED" w:rsidRPr="0015122B" w:rsidRDefault="00DF407D" w:rsidP="00364CED">
      <w:pPr>
        <w:spacing w:line="360" w:lineRule="auto"/>
        <w:jc w:val="both"/>
        <w:rPr>
          <w:rFonts w:ascii="Arial" w:hAnsi="Arial"/>
          <w:color w:val="FFFFFF"/>
          <w:sz w:val="2"/>
          <w:szCs w:val="2"/>
          <w:rtl/>
        </w:rPr>
      </w:pPr>
      <w:r w:rsidRPr="0015122B">
        <w:rPr>
          <w:rFonts w:ascii="Arial" w:hAnsi="Arial"/>
          <w:color w:val="FFFFFF"/>
          <w:sz w:val="2"/>
          <w:szCs w:val="2"/>
          <w:rtl/>
        </w:rPr>
        <w:t>54678313</w:t>
      </w:r>
    </w:p>
    <w:p w14:paraId="4BE29CCD" w14:textId="77777777" w:rsidR="00364CED" w:rsidRPr="0015122B" w:rsidRDefault="00364CED" w:rsidP="00364CED">
      <w:pPr>
        <w:rPr>
          <w:rFonts w:ascii="David" w:hAnsi="David"/>
          <w:sz w:val="26"/>
          <w:szCs w:val="26"/>
          <w:rtl/>
        </w:rPr>
      </w:pPr>
    </w:p>
    <w:p w14:paraId="4FA65517" w14:textId="77777777" w:rsidR="00364CED" w:rsidRPr="0015122B" w:rsidRDefault="00DF407D" w:rsidP="00364CED">
      <w:pPr>
        <w:rPr>
          <w:rFonts w:ascii="David" w:hAnsi="David"/>
          <w:sz w:val="26"/>
          <w:szCs w:val="26"/>
          <w:rtl/>
        </w:rPr>
      </w:pPr>
      <w:bookmarkStart w:id="8" w:name="Nitan"/>
      <w:r w:rsidRPr="0015122B">
        <w:rPr>
          <w:rFonts w:ascii="David" w:hAnsi="David"/>
          <w:sz w:val="26"/>
          <w:szCs w:val="26"/>
          <w:rtl/>
        </w:rPr>
        <w:t xml:space="preserve">ניתן היום,  ד' כסלו תשפ"ב, 08 נובמבר 2021, במעמד הצדדים. </w:t>
      </w:r>
      <w:bookmarkEnd w:id="8"/>
    </w:p>
    <w:p w14:paraId="3B1B2D6B" w14:textId="77777777" w:rsidR="00364CED" w:rsidRPr="0015122B" w:rsidRDefault="00364CED" w:rsidP="00DF407D">
      <w:pPr>
        <w:jc w:val="center"/>
      </w:pPr>
      <w:r w:rsidRPr="0015122B">
        <w:rPr>
          <w:rFonts w:ascii="David" w:hAnsi="David"/>
          <w:sz w:val="26"/>
          <w:szCs w:val="26"/>
          <w:rtl/>
        </w:rPr>
        <w:t xml:space="preserve">   </w:t>
      </w:r>
      <w:r w:rsidRPr="0015122B">
        <w:rPr>
          <w:rFonts w:ascii="David" w:hAnsi="David"/>
          <w:sz w:val="26"/>
          <w:szCs w:val="26"/>
          <w:rtl/>
        </w:rPr>
        <w:tab/>
      </w:r>
      <w:r w:rsidRPr="0015122B">
        <w:rPr>
          <w:rFonts w:ascii="David" w:hAnsi="David"/>
          <w:sz w:val="26"/>
          <w:szCs w:val="26"/>
          <w:rtl/>
        </w:rPr>
        <w:tab/>
      </w:r>
      <w:r w:rsidRPr="0015122B">
        <w:rPr>
          <w:rFonts w:ascii="David" w:hAnsi="David"/>
          <w:sz w:val="26"/>
          <w:szCs w:val="26"/>
          <w:rtl/>
        </w:rPr>
        <w:tab/>
      </w:r>
      <w:r w:rsidRPr="0015122B">
        <w:rPr>
          <w:rFonts w:ascii="David" w:hAnsi="David"/>
          <w:sz w:val="26"/>
          <w:szCs w:val="26"/>
          <w:rtl/>
        </w:rPr>
        <w:tab/>
      </w:r>
      <w:r w:rsidRPr="0015122B">
        <w:rPr>
          <w:rFonts w:ascii="David" w:hAnsi="David"/>
          <w:sz w:val="26"/>
          <w:szCs w:val="26"/>
          <w:rtl/>
        </w:rPr>
        <w:tab/>
      </w:r>
    </w:p>
    <w:p w14:paraId="1CAA4873" w14:textId="77777777" w:rsidR="00DF407D" w:rsidRPr="0015122B" w:rsidRDefault="0015122B" w:rsidP="00DF407D">
      <w:r w:rsidRPr="0015122B">
        <w:rPr>
          <w:rFonts w:ascii="David" w:hAnsi="David"/>
          <w:color w:val="FFFFFF"/>
          <w:sz w:val="2"/>
          <w:szCs w:val="2"/>
          <w:rtl/>
        </w:rPr>
        <w:t>5129371</w:t>
      </w:r>
    </w:p>
    <w:p w14:paraId="4BAA30CE" w14:textId="77777777" w:rsidR="00DF407D" w:rsidRPr="0015122B" w:rsidRDefault="00DF407D" w:rsidP="00DF407D">
      <w:pPr>
        <w:rPr>
          <w:rtl/>
        </w:rPr>
      </w:pPr>
    </w:p>
    <w:p w14:paraId="5B1F1E2F" w14:textId="77777777" w:rsidR="00DF407D" w:rsidRPr="0015122B" w:rsidRDefault="00DF407D" w:rsidP="00DF407D">
      <w:pPr>
        <w:jc w:val="center"/>
        <w:rPr>
          <w:color w:val="0000FF"/>
          <w:u w:val="single"/>
        </w:rPr>
      </w:pPr>
      <w:hyperlink r:id="rId42" w:history="1">
        <w:r w:rsidRPr="0015122B">
          <w:rPr>
            <w:color w:val="0000FF"/>
            <w:u w:val="single"/>
            <w:rtl/>
          </w:rPr>
          <w:t>בעניין עריכה ושינויים במסמכי פסיקה, חקיקה ועוד באתר נבו – הקש כאן</w:t>
        </w:r>
      </w:hyperlink>
    </w:p>
    <w:p w14:paraId="53D5D8A0" w14:textId="77777777" w:rsidR="0015122B" w:rsidRPr="0015122B" w:rsidRDefault="0015122B" w:rsidP="0015122B">
      <w:pPr>
        <w:keepNext/>
        <w:rPr>
          <w:rFonts w:ascii="David" w:hAnsi="David"/>
          <w:color w:val="000000"/>
          <w:sz w:val="22"/>
          <w:szCs w:val="22"/>
          <w:rtl/>
        </w:rPr>
      </w:pPr>
    </w:p>
    <w:p w14:paraId="4DE44D03" w14:textId="77777777" w:rsidR="0015122B" w:rsidRPr="0015122B" w:rsidRDefault="0015122B" w:rsidP="0015122B">
      <w:pPr>
        <w:keepNext/>
        <w:rPr>
          <w:rFonts w:ascii="David" w:hAnsi="David"/>
          <w:color w:val="000000"/>
          <w:sz w:val="22"/>
          <w:szCs w:val="22"/>
          <w:rtl/>
        </w:rPr>
      </w:pPr>
      <w:r w:rsidRPr="0015122B">
        <w:rPr>
          <w:rFonts w:ascii="David" w:hAnsi="David"/>
          <w:color w:val="000000"/>
          <w:sz w:val="22"/>
          <w:szCs w:val="22"/>
          <w:rtl/>
        </w:rPr>
        <w:t>אדנקו סבחת חיימוביץ 54678313-/</w:t>
      </w:r>
    </w:p>
    <w:p w14:paraId="4A6B5297" w14:textId="77777777" w:rsidR="00DF407D" w:rsidRPr="0015122B" w:rsidRDefault="0015122B" w:rsidP="0015122B">
      <w:pPr>
        <w:rPr>
          <w:color w:val="0000FF"/>
          <w:u w:val="single"/>
        </w:rPr>
      </w:pPr>
      <w:r w:rsidRPr="0015122B">
        <w:rPr>
          <w:color w:val="000000"/>
          <w:u w:val="single"/>
          <w:rtl/>
        </w:rPr>
        <w:t>נוסח מסמך זה כפוף לשינויי ניסוח ועריכה</w:t>
      </w:r>
    </w:p>
    <w:sectPr w:rsidR="00DF407D" w:rsidRPr="0015122B" w:rsidSect="0015122B">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716AA" w14:textId="77777777" w:rsidR="00E52524" w:rsidRDefault="00E52524" w:rsidP="00315179">
      <w:r>
        <w:separator/>
      </w:r>
    </w:p>
  </w:endnote>
  <w:endnote w:type="continuationSeparator" w:id="0">
    <w:p w14:paraId="63DAACD3" w14:textId="77777777" w:rsidR="00E52524" w:rsidRDefault="00E52524" w:rsidP="0031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73A45" w14:textId="77777777" w:rsidR="0015122B" w:rsidRDefault="0015122B" w:rsidP="001512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434E97" w14:textId="77777777" w:rsidR="00D46886" w:rsidRPr="0015122B" w:rsidRDefault="0015122B" w:rsidP="0015122B">
    <w:pPr>
      <w:pStyle w:val="a5"/>
      <w:pBdr>
        <w:top w:val="single" w:sz="4" w:space="1" w:color="auto"/>
        <w:between w:val="single" w:sz="4" w:space="0" w:color="auto"/>
      </w:pBdr>
      <w:spacing w:after="60"/>
      <w:jc w:val="center"/>
      <w:rPr>
        <w:rFonts w:ascii="FrankRuehl" w:hAnsi="FrankRuehl" w:cs="FrankRuehl"/>
        <w:color w:val="000000"/>
      </w:rPr>
    </w:pPr>
    <w:r w:rsidRPr="001512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CC3EC" w14:textId="77777777" w:rsidR="0015122B" w:rsidRDefault="0015122B" w:rsidP="001512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533F">
      <w:rPr>
        <w:rFonts w:ascii="FrankRuehl" w:hAnsi="FrankRuehl" w:cs="FrankRuehl"/>
        <w:noProof/>
        <w:rtl/>
      </w:rPr>
      <w:t>1</w:t>
    </w:r>
    <w:r>
      <w:rPr>
        <w:rFonts w:ascii="FrankRuehl" w:hAnsi="FrankRuehl" w:cs="FrankRuehl"/>
        <w:rtl/>
      </w:rPr>
      <w:fldChar w:fldCharType="end"/>
    </w:r>
  </w:p>
  <w:p w14:paraId="7FC4F385" w14:textId="77777777" w:rsidR="00D46886" w:rsidRPr="0015122B" w:rsidRDefault="0015122B" w:rsidP="0015122B">
    <w:pPr>
      <w:pStyle w:val="a5"/>
      <w:pBdr>
        <w:top w:val="single" w:sz="4" w:space="1" w:color="auto"/>
        <w:between w:val="single" w:sz="4" w:space="0" w:color="auto"/>
      </w:pBdr>
      <w:spacing w:after="60"/>
      <w:jc w:val="center"/>
      <w:rPr>
        <w:rFonts w:ascii="FrankRuehl" w:hAnsi="FrankRuehl" w:cs="FrankRuehl"/>
        <w:color w:val="000000"/>
      </w:rPr>
    </w:pPr>
    <w:r w:rsidRPr="0015122B">
      <w:rPr>
        <w:rFonts w:ascii="FrankRuehl" w:hAnsi="FrankRuehl" w:cs="FrankRuehl"/>
        <w:color w:val="000000"/>
      </w:rPr>
      <w:pict w14:anchorId="08F82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D1244" w14:textId="77777777" w:rsidR="00E52524" w:rsidRDefault="00E52524" w:rsidP="00315179">
      <w:r>
        <w:separator/>
      </w:r>
    </w:p>
  </w:footnote>
  <w:footnote w:type="continuationSeparator" w:id="0">
    <w:p w14:paraId="6FF9555C" w14:textId="77777777" w:rsidR="00E52524" w:rsidRDefault="00E52524" w:rsidP="00315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A7CDC" w14:textId="77777777" w:rsidR="00DF407D" w:rsidRPr="0015122B" w:rsidRDefault="0015122B" w:rsidP="001512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57140-12-17</w:t>
    </w:r>
    <w:r>
      <w:rPr>
        <w:rFonts w:ascii="David" w:hAnsi="David"/>
        <w:color w:val="000000"/>
        <w:sz w:val="22"/>
        <w:szCs w:val="22"/>
        <w:rtl/>
      </w:rPr>
      <w:tab/>
      <w:t xml:space="preserve"> מדינת ישראל נ' יעקב ביטאוו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5DEA" w14:textId="77777777" w:rsidR="00DF407D" w:rsidRPr="0015122B" w:rsidRDefault="0015122B" w:rsidP="001512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57140-12-17</w:t>
    </w:r>
    <w:r>
      <w:rPr>
        <w:rFonts w:ascii="David" w:hAnsi="David"/>
        <w:color w:val="000000"/>
        <w:sz w:val="22"/>
        <w:szCs w:val="22"/>
        <w:rtl/>
      </w:rPr>
      <w:tab/>
      <w:t xml:space="preserve"> מדינת ישראל נ' יעקב ביטאוו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E71C1"/>
    <w:multiLevelType w:val="hybridMultilevel"/>
    <w:tmpl w:val="5504FCD2"/>
    <w:lvl w:ilvl="0" w:tplc="6B4808A8">
      <w:start w:val="1"/>
      <w:numFmt w:val="decimal"/>
      <w:lvlText w:val="%1."/>
      <w:lvlJc w:val="left"/>
      <w:pPr>
        <w:ind w:left="720" w:hanging="360"/>
      </w:pPr>
      <w:rPr>
        <w:rFonts w:cs="Times New Roman"/>
      </w:rPr>
    </w:lvl>
    <w:lvl w:ilvl="1" w:tplc="CDCA61DA">
      <w:start w:val="1"/>
      <w:numFmt w:val="hebrew1"/>
      <w:lvlText w:val="%2."/>
      <w:lvlJc w:val="left"/>
      <w:pPr>
        <w:ind w:left="1440" w:hanging="360"/>
      </w:pPr>
      <w:rPr>
        <w:rFonts w:cs="David"/>
        <w:lang w:val="en-US"/>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D462C66"/>
    <w:multiLevelType w:val="hybridMultilevel"/>
    <w:tmpl w:val="05501EB6"/>
    <w:lvl w:ilvl="0" w:tplc="7436DD30">
      <w:start w:val="1"/>
      <w:numFmt w:val="hebrew1"/>
      <w:lvlText w:val="%1."/>
      <w:lvlJc w:val="left"/>
      <w:pPr>
        <w:ind w:left="1505" w:hanging="360"/>
      </w:pPr>
      <w:rPr>
        <w:rFonts w:ascii="Times New Roman" w:eastAsia="Times New Roman" w:hAnsi="Times New Roman" w:cs="David"/>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15:restartNumberingAfterBreak="0">
    <w:nsid w:val="4D47687B"/>
    <w:multiLevelType w:val="hybridMultilevel"/>
    <w:tmpl w:val="28F6F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CA2504E"/>
    <w:multiLevelType w:val="hybridMultilevel"/>
    <w:tmpl w:val="62CEF616"/>
    <w:lvl w:ilvl="0" w:tplc="3072F830">
      <w:start w:val="1"/>
      <w:numFmt w:val="hebrew1"/>
      <w:lvlText w:val="%1."/>
      <w:lvlJc w:val="left"/>
      <w:pPr>
        <w:ind w:left="643" w:hanging="360"/>
      </w:pPr>
      <w:rPr>
        <w:rFonts w:hint="default"/>
        <w:lang w:val="en-U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595135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430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721133">
    <w:abstractNumId w:val="3"/>
  </w:num>
  <w:num w:numId="4" w16cid:durableId="1308316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4CED"/>
    <w:rsid w:val="0004154E"/>
    <w:rsid w:val="0015122B"/>
    <w:rsid w:val="001739C5"/>
    <w:rsid w:val="00181D4C"/>
    <w:rsid w:val="001B5A3B"/>
    <w:rsid w:val="00214178"/>
    <w:rsid w:val="002919F4"/>
    <w:rsid w:val="00315179"/>
    <w:rsid w:val="00364CED"/>
    <w:rsid w:val="004D3058"/>
    <w:rsid w:val="005027DA"/>
    <w:rsid w:val="007611DC"/>
    <w:rsid w:val="0091533F"/>
    <w:rsid w:val="00BC5DDC"/>
    <w:rsid w:val="00CA2271"/>
    <w:rsid w:val="00D46886"/>
    <w:rsid w:val="00DF407D"/>
    <w:rsid w:val="00E525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805E13"/>
  <w15:chartTrackingRefBased/>
  <w15:docId w15:val="{1C4DF950-1B47-4D6B-8296-7CDA37AA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4C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4CED"/>
    <w:pPr>
      <w:tabs>
        <w:tab w:val="center" w:pos="4153"/>
        <w:tab w:val="right" w:pos="8306"/>
      </w:tabs>
    </w:pPr>
  </w:style>
  <w:style w:type="character" w:customStyle="1" w:styleId="a4">
    <w:name w:val="כותרת עליונה תו"/>
    <w:link w:val="a3"/>
    <w:rsid w:val="00364CED"/>
    <w:rPr>
      <w:rFonts w:ascii="Times New Roman" w:eastAsia="Times New Roman" w:hAnsi="Times New Roman" w:cs="David"/>
      <w:sz w:val="24"/>
      <w:szCs w:val="24"/>
    </w:rPr>
  </w:style>
  <w:style w:type="paragraph" w:styleId="a5">
    <w:name w:val="footer"/>
    <w:basedOn w:val="a"/>
    <w:link w:val="a6"/>
    <w:rsid w:val="00364CED"/>
    <w:pPr>
      <w:tabs>
        <w:tab w:val="center" w:pos="4153"/>
        <w:tab w:val="right" w:pos="8306"/>
      </w:tabs>
    </w:pPr>
  </w:style>
  <w:style w:type="character" w:customStyle="1" w:styleId="a6">
    <w:name w:val="כותרת תחתונה תו"/>
    <w:link w:val="a5"/>
    <w:rsid w:val="00364CED"/>
    <w:rPr>
      <w:rFonts w:ascii="Times New Roman" w:eastAsia="Times New Roman" w:hAnsi="Times New Roman" w:cs="David"/>
      <w:sz w:val="24"/>
      <w:szCs w:val="24"/>
    </w:rPr>
  </w:style>
  <w:style w:type="table" w:styleId="a7">
    <w:name w:val="Table Grid"/>
    <w:basedOn w:val="a1"/>
    <w:rsid w:val="00364C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64CED"/>
  </w:style>
  <w:style w:type="table" w:customStyle="1" w:styleId="1">
    <w:name w:val="רשת טבלה1"/>
    <w:basedOn w:val="a1"/>
    <w:next w:val="a7"/>
    <w:rsid w:val="00364CED"/>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364CED"/>
    <w:pPr>
      <w:ind w:left="720"/>
      <w:contextualSpacing/>
    </w:pPr>
  </w:style>
  <w:style w:type="character" w:styleId="Hyperlink">
    <w:name w:val="Hyperlink"/>
    <w:rsid w:val="00DF4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961016" TargetMode="External"/><Relationship Id="rId18" Type="http://schemas.openxmlformats.org/officeDocument/2006/relationships/hyperlink" Target="http://www.nevo.co.il/case/25513250" TargetMode="External"/><Relationship Id="rId26" Type="http://schemas.openxmlformats.org/officeDocument/2006/relationships/hyperlink" Target="http://www.nevo.co.il/case/5608134" TargetMode="External"/><Relationship Id="rId39" Type="http://schemas.openxmlformats.org/officeDocument/2006/relationships/hyperlink" Target="http://www.nevo.co.il/law/70301/40h" TargetMode="External"/><Relationship Id="rId21" Type="http://schemas.openxmlformats.org/officeDocument/2006/relationships/hyperlink" Target="http://www.nevo.co.il/case/6146169" TargetMode="External"/><Relationship Id="rId34" Type="http://schemas.openxmlformats.org/officeDocument/2006/relationships/hyperlink" Target="http://www.nevo.co.il/case/2090014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1270441" TargetMode="External"/><Relationship Id="rId29" Type="http://schemas.openxmlformats.org/officeDocument/2006/relationships/hyperlink" Target="http://www.nevo.co.il/case/203172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case/5810781" TargetMode="External"/><Relationship Id="rId32" Type="http://schemas.openxmlformats.org/officeDocument/2006/relationships/hyperlink" Target="http://www.nevo.co.il/case/5576278" TargetMode="External"/><Relationship Id="rId37" Type="http://schemas.openxmlformats.org/officeDocument/2006/relationships/hyperlink" Target="http://www.nevo.co.il/case/20332944"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2232203" TargetMode="External"/><Relationship Id="rId23" Type="http://schemas.openxmlformats.org/officeDocument/2006/relationships/hyperlink" Target="http://www.nevo.co.il/case/5936409" TargetMode="External"/><Relationship Id="rId28" Type="http://schemas.openxmlformats.org/officeDocument/2006/relationships/hyperlink" Target="http://www.nevo.co.il/case/19999565" TargetMode="External"/><Relationship Id="rId36" Type="http://schemas.openxmlformats.org/officeDocument/2006/relationships/hyperlink" Target="http://www.nevo.co.il/case/13080634" TargetMode="External"/><Relationship Id="rId10" Type="http://schemas.openxmlformats.org/officeDocument/2006/relationships/hyperlink" Target="http://www.nevo.co.il/law/4216" TargetMode="External"/><Relationship Id="rId19" Type="http://schemas.openxmlformats.org/officeDocument/2006/relationships/hyperlink" Target="http://www.nevo.co.il/case/10545429" TargetMode="External"/><Relationship Id="rId31" Type="http://schemas.openxmlformats.org/officeDocument/2006/relationships/hyperlink" Target="http://www.nevo.co.il/case/558157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86.a" TargetMode="External"/><Relationship Id="rId14" Type="http://schemas.openxmlformats.org/officeDocument/2006/relationships/hyperlink" Target="http://www.nevo.co.il/case/21642264" TargetMode="External"/><Relationship Id="rId22" Type="http://schemas.openxmlformats.org/officeDocument/2006/relationships/hyperlink" Target="http://www.nevo.co.il/case/6180864"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708763" TargetMode="External"/><Relationship Id="rId35" Type="http://schemas.openxmlformats.org/officeDocument/2006/relationships/hyperlink" Target="http://www.nevo.co.il/case/468928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h"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8433717" TargetMode="External"/><Relationship Id="rId25" Type="http://schemas.openxmlformats.org/officeDocument/2006/relationships/hyperlink" Target="http://www.nevo.co.il/case/7980179" TargetMode="External"/><Relationship Id="rId33" Type="http://schemas.openxmlformats.org/officeDocument/2006/relationships/hyperlink" Target="http://www.nevo.co.il/case/21624482" TargetMode="External"/><Relationship Id="rId38" Type="http://schemas.openxmlformats.org/officeDocument/2006/relationships/hyperlink" Target="http://www.nevo.co.il/case/4142277" TargetMode="External"/><Relationship Id="rId46" Type="http://schemas.openxmlformats.org/officeDocument/2006/relationships/footer" Target="footer2.xml"/><Relationship Id="rId20" Type="http://schemas.openxmlformats.org/officeDocument/2006/relationships/hyperlink" Target="http://www.nevo.co.il/case/6161385" TargetMode="External"/><Relationship Id="rId41" Type="http://schemas.openxmlformats.org/officeDocument/2006/relationships/hyperlink" Target="http://www.nevo.co.il/case/577914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2491</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14919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3407998</vt:i4>
      </vt:variant>
      <vt:variant>
        <vt:i4>102</vt:i4>
      </vt:variant>
      <vt:variant>
        <vt:i4>0</vt:i4>
      </vt:variant>
      <vt:variant>
        <vt:i4>5</vt:i4>
      </vt:variant>
      <vt:variant>
        <vt:lpwstr>http://www.nevo.co.il/case/5779147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http://www.nevo.co.il/law/70301/40h</vt:lpwstr>
      </vt:variant>
      <vt:variant>
        <vt:lpwstr/>
      </vt:variant>
      <vt:variant>
        <vt:i4>3473520</vt:i4>
      </vt:variant>
      <vt:variant>
        <vt:i4>93</vt:i4>
      </vt:variant>
      <vt:variant>
        <vt:i4>0</vt:i4>
      </vt:variant>
      <vt:variant>
        <vt:i4>5</vt:i4>
      </vt:variant>
      <vt:variant>
        <vt:lpwstr>http://www.nevo.co.il/case/4142277</vt:lpwstr>
      </vt:variant>
      <vt:variant>
        <vt:lpwstr/>
      </vt:variant>
      <vt:variant>
        <vt:i4>3604606</vt:i4>
      </vt:variant>
      <vt:variant>
        <vt:i4>90</vt:i4>
      </vt:variant>
      <vt:variant>
        <vt:i4>0</vt:i4>
      </vt:variant>
      <vt:variant>
        <vt:i4>5</vt:i4>
      </vt:variant>
      <vt:variant>
        <vt:lpwstr>http://www.nevo.co.il/case/20332944</vt:lpwstr>
      </vt:variant>
      <vt:variant>
        <vt:lpwstr/>
      </vt:variant>
      <vt:variant>
        <vt:i4>3276921</vt:i4>
      </vt:variant>
      <vt:variant>
        <vt:i4>87</vt:i4>
      </vt:variant>
      <vt:variant>
        <vt:i4>0</vt:i4>
      </vt:variant>
      <vt:variant>
        <vt:i4>5</vt:i4>
      </vt:variant>
      <vt:variant>
        <vt:lpwstr>http://www.nevo.co.il/case/13080634</vt:lpwstr>
      </vt:variant>
      <vt:variant>
        <vt:lpwstr/>
      </vt:variant>
      <vt:variant>
        <vt:i4>3604595</vt:i4>
      </vt:variant>
      <vt:variant>
        <vt:i4>84</vt:i4>
      </vt:variant>
      <vt:variant>
        <vt:i4>0</vt:i4>
      </vt:variant>
      <vt:variant>
        <vt:i4>5</vt:i4>
      </vt:variant>
      <vt:variant>
        <vt:lpwstr>http://www.nevo.co.il/case/4689289</vt:lpwstr>
      </vt:variant>
      <vt:variant>
        <vt:lpwstr/>
      </vt:variant>
      <vt:variant>
        <vt:i4>4128885</vt:i4>
      </vt:variant>
      <vt:variant>
        <vt:i4>81</vt:i4>
      </vt:variant>
      <vt:variant>
        <vt:i4>0</vt:i4>
      </vt:variant>
      <vt:variant>
        <vt:i4>5</vt:i4>
      </vt:variant>
      <vt:variant>
        <vt:lpwstr>http://www.nevo.co.il/case/20900140</vt:lpwstr>
      </vt:variant>
      <vt:variant>
        <vt:lpwstr/>
      </vt:variant>
      <vt:variant>
        <vt:i4>3670131</vt:i4>
      </vt:variant>
      <vt:variant>
        <vt:i4>78</vt:i4>
      </vt:variant>
      <vt:variant>
        <vt:i4>0</vt:i4>
      </vt:variant>
      <vt:variant>
        <vt:i4>5</vt:i4>
      </vt:variant>
      <vt:variant>
        <vt:lpwstr>http://www.nevo.co.il/case/21624482</vt:lpwstr>
      </vt:variant>
      <vt:variant>
        <vt:lpwstr/>
      </vt:variant>
      <vt:variant>
        <vt:i4>3670128</vt:i4>
      </vt:variant>
      <vt:variant>
        <vt:i4>75</vt:i4>
      </vt:variant>
      <vt:variant>
        <vt:i4>0</vt:i4>
      </vt:variant>
      <vt:variant>
        <vt:i4>5</vt:i4>
      </vt:variant>
      <vt:variant>
        <vt:lpwstr>http://www.nevo.co.il/case/5576278</vt:lpwstr>
      </vt:variant>
      <vt:variant>
        <vt:lpwstr/>
      </vt:variant>
      <vt:variant>
        <vt:i4>3670135</vt:i4>
      </vt:variant>
      <vt:variant>
        <vt:i4>72</vt:i4>
      </vt:variant>
      <vt:variant>
        <vt:i4>0</vt:i4>
      </vt:variant>
      <vt:variant>
        <vt:i4>5</vt:i4>
      </vt:variant>
      <vt:variant>
        <vt:lpwstr>http://www.nevo.co.il/case/5581570</vt:lpwstr>
      </vt:variant>
      <vt:variant>
        <vt:lpwstr/>
      </vt:variant>
      <vt:variant>
        <vt:i4>3211389</vt:i4>
      </vt:variant>
      <vt:variant>
        <vt:i4>69</vt:i4>
      </vt:variant>
      <vt:variant>
        <vt:i4>0</vt:i4>
      </vt:variant>
      <vt:variant>
        <vt:i4>5</vt:i4>
      </vt:variant>
      <vt:variant>
        <vt:lpwstr>http://www.nevo.co.il/case/5708763</vt:lpwstr>
      </vt:variant>
      <vt:variant>
        <vt:lpwstr/>
      </vt:variant>
      <vt:variant>
        <vt:i4>3276919</vt:i4>
      </vt:variant>
      <vt:variant>
        <vt:i4>66</vt:i4>
      </vt:variant>
      <vt:variant>
        <vt:i4>0</vt:i4>
      </vt:variant>
      <vt:variant>
        <vt:i4>5</vt:i4>
      </vt:variant>
      <vt:variant>
        <vt:lpwstr>http://www.nevo.co.il/case/20317246</vt:lpwstr>
      </vt:variant>
      <vt:variant>
        <vt:lpwstr/>
      </vt:variant>
      <vt:variant>
        <vt:i4>3604593</vt:i4>
      </vt:variant>
      <vt:variant>
        <vt:i4>63</vt:i4>
      </vt:variant>
      <vt:variant>
        <vt:i4>0</vt:i4>
      </vt:variant>
      <vt:variant>
        <vt:i4>5</vt:i4>
      </vt:variant>
      <vt:variant>
        <vt:lpwstr>http://www.nevo.co.il/case/19999565</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3145849</vt:i4>
      </vt:variant>
      <vt:variant>
        <vt:i4>57</vt:i4>
      </vt:variant>
      <vt:variant>
        <vt:i4>0</vt:i4>
      </vt:variant>
      <vt:variant>
        <vt:i4>5</vt:i4>
      </vt:variant>
      <vt:variant>
        <vt:lpwstr>http://www.nevo.co.il/case/5608134</vt:lpwstr>
      </vt:variant>
      <vt:variant>
        <vt:lpwstr/>
      </vt:variant>
      <vt:variant>
        <vt:i4>3604602</vt:i4>
      </vt:variant>
      <vt:variant>
        <vt:i4>54</vt:i4>
      </vt:variant>
      <vt:variant>
        <vt:i4>0</vt:i4>
      </vt:variant>
      <vt:variant>
        <vt:i4>5</vt:i4>
      </vt:variant>
      <vt:variant>
        <vt:lpwstr>http://www.nevo.co.il/case/7980179</vt:lpwstr>
      </vt:variant>
      <vt:variant>
        <vt:lpwstr/>
      </vt:variant>
      <vt:variant>
        <vt:i4>3276916</vt:i4>
      </vt:variant>
      <vt:variant>
        <vt:i4>51</vt:i4>
      </vt:variant>
      <vt:variant>
        <vt:i4>0</vt:i4>
      </vt:variant>
      <vt:variant>
        <vt:i4>5</vt:i4>
      </vt:variant>
      <vt:variant>
        <vt:lpwstr>http://www.nevo.co.il/case/5810781</vt:lpwstr>
      </vt:variant>
      <vt:variant>
        <vt:lpwstr/>
      </vt:variant>
      <vt:variant>
        <vt:i4>3866747</vt:i4>
      </vt:variant>
      <vt:variant>
        <vt:i4>48</vt:i4>
      </vt:variant>
      <vt:variant>
        <vt:i4>0</vt:i4>
      </vt:variant>
      <vt:variant>
        <vt:i4>5</vt:i4>
      </vt:variant>
      <vt:variant>
        <vt:lpwstr>http://www.nevo.co.il/case/5936409</vt:lpwstr>
      </vt:variant>
      <vt:variant>
        <vt:lpwstr/>
      </vt:variant>
      <vt:variant>
        <vt:i4>3276915</vt:i4>
      </vt:variant>
      <vt:variant>
        <vt:i4>45</vt:i4>
      </vt:variant>
      <vt:variant>
        <vt:i4>0</vt:i4>
      </vt:variant>
      <vt:variant>
        <vt:i4>5</vt:i4>
      </vt:variant>
      <vt:variant>
        <vt:lpwstr>http://www.nevo.co.il/case/6180864</vt:lpwstr>
      </vt:variant>
      <vt:variant>
        <vt:lpwstr/>
      </vt:variant>
      <vt:variant>
        <vt:i4>3801205</vt:i4>
      </vt:variant>
      <vt:variant>
        <vt:i4>42</vt:i4>
      </vt:variant>
      <vt:variant>
        <vt:i4>0</vt:i4>
      </vt:variant>
      <vt:variant>
        <vt:i4>5</vt:i4>
      </vt:variant>
      <vt:variant>
        <vt:lpwstr>http://www.nevo.co.il/case/6146169</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3342452</vt:i4>
      </vt:variant>
      <vt:variant>
        <vt:i4>36</vt:i4>
      </vt:variant>
      <vt:variant>
        <vt:i4>0</vt:i4>
      </vt:variant>
      <vt:variant>
        <vt:i4>5</vt:i4>
      </vt:variant>
      <vt:variant>
        <vt:lpwstr>http://www.nevo.co.il/case/10545429</vt:lpwstr>
      </vt:variant>
      <vt:variant>
        <vt:lpwstr/>
      </vt:variant>
      <vt:variant>
        <vt:i4>3211378</vt:i4>
      </vt:variant>
      <vt:variant>
        <vt:i4>33</vt:i4>
      </vt:variant>
      <vt:variant>
        <vt:i4>0</vt:i4>
      </vt:variant>
      <vt:variant>
        <vt:i4>5</vt:i4>
      </vt:variant>
      <vt:variant>
        <vt:lpwstr>http://www.nevo.co.il/case/25513250</vt:lpwstr>
      </vt:variant>
      <vt:variant>
        <vt:lpwstr/>
      </vt:variant>
      <vt:variant>
        <vt:i4>3866738</vt:i4>
      </vt:variant>
      <vt:variant>
        <vt:i4>30</vt:i4>
      </vt:variant>
      <vt:variant>
        <vt:i4>0</vt:i4>
      </vt:variant>
      <vt:variant>
        <vt:i4>5</vt:i4>
      </vt:variant>
      <vt:variant>
        <vt:lpwstr>http://www.nevo.co.il/case/8433717</vt:lpwstr>
      </vt:variant>
      <vt:variant>
        <vt:lpwstr/>
      </vt:variant>
      <vt:variant>
        <vt:i4>3604598</vt:i4>
      </vt:variant>
      <vt:variant>
        <vt:i4>27</vt:i4>
      </vt:variant>
      <vt:variant>
        <vt:i4>0</vt:i4>
      </vt:variant>
      <vt:variant>
        <vt:i4>5</vt:i4>
      </vt:variant>
      <vt:variant>
        <vt:lpwstr>http://www.nevo.co.il/case/11270441</vt:lpwstr>
      </vt:variant>
      <vt:variant>
        <vt:lpwstr/>
      </vt:variant>
      <vt:variant>
        <vt:i4>3276919</vt:i4>
      </vt:variant>
      <vt:variant>
        <vt:i4>24</vt:i4>
      </vt:variant>
      <vt:variant>
        <vt:i4>0</vt:i4>
      </vt:variant>
      <vt:variant>
        <vt:i4>5</vt:i4>
      </vt:variant>
      <vt:variant>
        <vt:lpwstr>http://www.nevo.co.il/case/22232203</vt:lpwstr>
      </vt:variant>
      <vt:variant>
        <vt:lpwstr/>
      </vt:variant>
      <vt:variant>
        <vt:i4>3145843</vt:i4>
      </vt:variant>
      <vt:variant>
        <vt:i4>21</vt:i4>
      </vt:variant>
      <vt:variant>
        <vt:i4>0</vt:i4>
      </vt:variant>
      <vt:variant>
        <vt:i4>5</vt:i4>
      </vt:variant>
      <vt:variant>
        <vt:lpwstr>http://www.nevo.co.il/case/21642264</vt:lpwstr>
      </vt:variant>
      <vt:variant>
        <vt:lpwstr/>
      </vt:variant>
      <vt:variant>
        <vt:i4>3866738</vt:i4>
      </vt:variant>
      <vt:variant>
        <vt:i4>18</vt:i4>
      </vt:variant>
      <vt:variant>
        <vt:i4>0</vt:i4>
      </vt:variant>
      <vt:variant>
        <vt:i4>5</vt:i4>
      </vt:variant>
      <vt:variant>
        <vt:lpwstr>http://www.nevo.co.il/case/20961016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8257637</vt:i4>
      </vt:variant>
      <vt:variant>
        <vt:i4>9</vt:i4>
      </vt:variant>
      <vt:variant>
        <vt:i4>0</vt:i4>
      </vt:variant>
      <vt:variant>
        <vt:i4>5</vt:i4>
      </vt:variant>
      <vt:variant>
        <vt:lpwstr>http://www.nevo.co.il/law/4216</vt:lpwstr>
      </vt:variant>
      <vt:variant>
        <vt:lpwstr/>
      </vt:variant>
      <vt:variant>
        <vt:i4>4390994</vt:i4>
      </vt:variant>
      <vt:variant>
        <vt:i4>6</vt:i4>
      </vt:variant>
      <vt:variant>
        <vt:i4>0</vt:i4>
      </vt:variant>
      <vt:variant>
        <vt:i4>5</vt:i4>
      </vt:variant>
      <vt:variant>
        <vt:lpwstr>http://www.nevo.co.il/law/70301/186.a</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57140</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יעקב ביטאוו</vt:lpwstr>
  </property>
  <property fmtid="{D5CDD505-2E9C-101B-9397-08002B2CF9AE}" pid="10" name="LAWYER">
    <vt:lpwstr>מעיין דואק;איתי רוזין</vt:lpwstr>
  </property>
  <property fmtid="{D5CDD505-2E9C-101B-9397-08002B2CF9AE}" pid="11" name="JUDGE">
    <vt:lpwstr>אדנקו סבחת חיימוביץ</vt:lpwstr>
  </property>
  <property fmtid="{D5CDD505-2E9C-101B-9397-08002B2CF9AE}" pid="12" name="CITY">
    <vt:lpwstr>רח'</vt:lpwstr>
  </property>
  <property fmtid="{D5CDD505-2E9C-101B-9397-08002B2CF9AE}" pid="13" name="DATE">
    <vt:lpwstr>20211108</vt:lpwstr>
  </property>
  <property fmtid="{D5CDD505-2E9C-101B-9397-08002B2CF9AE}" pid="14" name="TYPE_N_DATE">
    <vt:lpwstr>38020211108</vt:lpwstr>
  </property>
  <property fmtid="{D5CDD505-2E9C-101B-9397-08002B2CF9AE}" pid="15" name="WORDNUMPAGES">
    <vt:lpwstr>8</vt:lpwstr>
  </property>
  <property fmtid="{D5CDD505-2E9C-101B-9397-08002B2CF9AE}" pid="16" name="TYPE_ABS_DATE">
    <vt:lpwstr>380020211108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20961016;21642264;22232203;11270441;8433717;25513250;10545429;6161385;6146169;6180864;5936409;5810781;7980179;5608134;19999565;20317246;5708763;5581570;5576278;21624482;20900140;4689289;13080634;20332944;4142277;5779147</vt:lpwstr>
  </property>
  <property fmtid="{D5CDD505-2E9C-101B-9397-08002B2CF9AE}" pid="36" name="LAWLISTTMP1">
    <vt:lpwstr>70301/186.a;040h</vt:lpwstr>
  </property>
  <property fmtid="{D5CDD505-2E9C-101B-9397-08002B2CF9AE}" pid="37" name="LAWLISTTMP2">
    <vt:lpwstr>4216</vt:lpwstr>
  </property>
</Properties>
</file>