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F7E28" w14:textId="77777777" w:rsidR="000B6404" w:rsidRPr="00B5058C" w:rsidRDefault="000B6404" w:rsidP="001C6D08">
      <w:pPr>
        <w:pStyle w:val="a3"/>
        <w:jc w:val="center"/>
        <w:rPr>
          <w:rFonts w:ascii="Tahoma" w:hAnsi="Tahoma" w:cs="FrankRuehl"/>
          <w:color w:val="000080"/>
          <w:sz w:val="28"/>
          <w:szCs w:val="28"/>
          <w:rtl/>
        </w:rPr>
      </w:pPr>
      <w:bookmarkStart w:id="0" w:name="LastJudge"/>
      <w:bookmarkStart w:id="1" w:name="LawTable_End"/>
      <w:bookmarkEnd w:id="1"/>
      <w:r w:rsidRPr="00B5058C">
        <w:rPr>
          <w:rFonts w:ascii="Tahoma" w:hAnsi="Tahoma" w:cs="FrankRuehl"/>
          <w:b/>
          <w:bCs/>
          <w:color w:val="000080"/>
          <w:sz w:val="28"/>
          <w:szCs w:val="28"/>
          <w:rtl/>
        </w:rPr>
        <w:t>בית משפט השלום בירושלים</w:t>
      </w:r>
    </w:p>
    <w:p w14:paraId="0BA7A3B2" w14:textId="77777777" w:rsidR="000B6404" w:rsidRPr="00B5058C" w:rsidRDefault="000B6404" w:rsidP="001C6D08">
      <w:pPr>
        <w:rPr>
          <w:rFonts w:cs="FrankRuehl"/>
          <w:sz w:val="28"/>
          <w:szCs w:val="28"/>
          <w:rtl/>
        </w:rPr>
      </w:pPr>
      <w:r w:rsidRPr="00B5058C">
        <w:rPr>
          <w:rFonts w:cs="FrankRuehl"/>
          <w:sz w:val="28"/>
          <w:szCs w:val="28"/>
          <w:rtl/>
        </w:rPr>
        <w:t>ת"פ</w:t>
      </w:r>
      <w:r w:rsidRPr="00B5058C">
        <w:rPr>
          <w:rFonts w:cs="FrankRuehl" w:hint="cs"/>
          <w:sz w:val="28"/>
          <w:szCs w:val="28"/>
          <w:rtl/>
        </w:rPr>
        <w:t xml:space="preserve"> </w:t>
      </w:r>
      <w:r w:rsidRPr="00B5058C">
        <w:rPr>
          <w:rFonts w:cs="FrankRuehl"/>
          <w:sz w:val="28"/>
          <w:szCs w:val="28"/>
          <w:rtl/>
        </w:rPr>
        <w:t>11267-01-18</w:t>
      </w:r>
      <w:r w:rsidRPr="00B5058C">
        <w:rPr>
          <w:rFonts w:cs="FrankRuehl" w:hint="cs"/>
          <w:sz w:val="28"/>
          <w:szCs w:val="28"/>
          <w:rtl/>
        </w:rPr>
        <w:t xml:space="preserve"> </w:t>
      </w:r>
      <w:r w:rsidRPr="00B5058C">
        <w:rPr>
          <w:rFonts w:cs="FrankRuehl"/>
          <w:sz w:val="28"/>
          <w:szCs w:val="28"/>
          <w:rtl/>
        </w:rPr>
        <w:t>מדינת ישראל נ' ונדה(אחר/נוסף)</w:t>
      </w:r>
    </w:p>
    <w:p w14:paraId="393F8B01" w14:textId="77777777" w:rsidR="000B6404" w:rsidRPr="00B5058C" w:rsidRDefault="000B6404" w:rsidP="001C6D08">
      <w:pPr>
        <w:pStyle w:val="a3"/>
        <w:rPr>
          <w:rFonts w:cs="FrankRuehl"/>
          <w:sz w:val="28"/>
          <w:szCs w:val="28"/>
          <w:rtl/>
        </w:rPr>
      </w:pPr>
    </w:p>
    <w:p w14:paraId="55C466B3" w14:textId="77777777" w:rsidR="00577BFE" w:rsidRPr="00B5058C" w:rsidRDefault="00577BFE" w:rsidP="00577BFE">
      <w:pPr>
        <w:rPr>
          <w:rFonts w:cs="FrankRuehl"/>
          <w:rtl/>
        </w:rPr>
      </w:pPr>
    </w:p>
    <w:p w14:paraId="6AA4C9DA" w14:textId="77777777" w:rsidR="00577BFE" w:rsidRPr="00B5058C" w:rsidRDefault="00577BFE" w:rsidP="00577BFE">
      <w:pPr>
        <w:rPr>
          <w:rFonts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77BFE" w:rsidRPr="00B5058C" w14:paraId="01E041D2" w14:textId="77777777" w:rsidTr="00577BFE">
        <w:trPr>
          <w:trHeight w:val="295"/>
          <w:jc w:val="center"/>
        </w:trPr>
        <w:tc>
          <w:tcPr>
            <w:tcW w:w="923" w:type="dxa"/>
            <w:tcBorders>
              <w:top w:val="nil"/>
              <w:left w:val="nil"/>
              <w:bottom w:val="nil"/>
              <w:right w:val="nil"/>
            </w:tcBorders>
            <w:shd w:val="clear" w:color="auto" w:fill="auto"/>
          </w:tcPr>
          <w:p w14:paraId="4EE08E74" w14:textId="77777777" w:rsidR="00577BFE" w:rsidRPr="00B5058C" w:rsidRDefault="00577BFE" w:rsidP="00577BFE">
            <w:pPr>
              <w:jc w:val="both"/>
              <w:rPr>
                <w:rFonts w:ascii="Arial" w:hAnsi="Arial" w:cs="FrankRuehl"/>
                <w:sz w:val="28"/>
                <w:szCs w:val="28"/>
              </w:rPr>
            </w:pPr>
            <w:r w:rsidRPr="00B5058C">
              <w:rPr>
                <w:rFonts w:ascii="Arial" w:hAnsi="Arial" w:cs="FrankRuehl" w:hint="cs"/>
                <w:sz w:val="28"/>
                <w:szCs w:val="28"/>
                <w:rtl/>
              </w:rPr>
              <w:t>ב</w:t>
            </w:r>
            <w:r w:rsidRPr="00B5058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7C5E550" w14:textId="77777777" w:rsidR="00577BFE" w:rsidRPr="00B5058C" w:rsidRDefault="00577BFE" w:rsidP="001C6D08">
            <w:pPr>
              <w:rPr>
                <w:rFonts w:ascii="Arial" w:hAnsi="Arial" w:cs="FrankRuehl"/>
                <w:b/>
                <w:bCs/>
                <w:rtl/>
              </w:rPr>
            </w:pPr>
            <w:r w:rsidRPr="00B5058C">
              <w:rPr>
                <w:rFonts w:ascii="Arial" w:hAnsi="Arial" w:cs="FrankRuehl" w:hint="cs"/>
                <w:b/>
                <w:bCs/>
                <w:rtl/>
              </w:rPr>
              <w:t>כבוד ה</w:t>
            </w:r>
            <w:r w:rsidRPr="00B5058C">
              <w:rPr>
                <w:rFonts w:ascii="Arial" w:hAnsi="Arial" w:cs="FrankRuehl"/>
                <w:b/>
                <w:bCs/>
                <w:rtl/>
              </w:rPr>
              <w:t>שופט</w:t>
            </w:r>
            <w:r w:rsidRPr="00B5058C">
              <w:rPr>
                <w:rFonts w:ascii="Arial" w:hAnsi="Arial" w:cs="FrankRuehl" w:hint="cs"/>
                <w:b/>
                <w:bCs/>
                <w:rtl/>
              </w:rPr>
              <w:t xml:space="preserve">  </w:t>
            </w:r>
            <w:r w:rsidRPr="00B5058C">
              <w:rPr>
                <w:rFonts w:ascii="Arial" w:hAnsi="Arial" w:cs="FrankRuehl"/>
                <w:b/>
                <w:bCs/>
                <w:rtl/>
              </w:rPr>
              <w:t>דוד שאול גבאי ריכטר</w:t>
            </w:r>
          </w:p>
          <w:p w14:paraId="1DFAFA7E" w14:textId="77777777" w:rsidR="00577BFE" w:rsidRPr="00B5058C" w:rsidRDefault="00577BFE" w:rsidP="001C6D08">
            <w:pPr>
              <w:rPr>
                <w:rFonts w:cs="FrankRuehl"/>
                <w:rtl/>
              </w:rPr>
            </w:pPr>
          </w:p>
          <w:p w14:paraId="406871BD" w14:textId="77777777" w:rsidR="00577BFE" w:rsidRPr="00B5058C" w:rsidRDefault="00577BFE" w:rsidP="00577BFE">
            <w:pPr>
              <w:jc w:val="both"/>
              <w:rPr>
                <w:rFonts w:ascii="Arial" w:hAnsi="Arial" w:cs="FrankRuehl"/>
                <w:sz w:val="28"/>
                <w:szCs w:val="28"/>
              </w:rPr>
            </w:pPr>
          </w:p>
        </w:tc>
      </w:tr>
      <w:tr w:rsidR="00577BFE" w:rsidRPr="00B5058C" w14:paraId="32B59A74" w14:textId="77777777" w:rsidTr="00577BFE">
        <w:trPr>
          <w:trHeight w:val="355"/>
          <w:jc w:val="center"/>
        </w:trPr>
        <w:tc>
          <w:tcPr>
            <w:tcW w:w="923" w:type="dxa"/>
            <w:tcBorders>
              <w:top w:val="nil"/>
              <w:left w:val="nil"/>
              <w:bottom w:val="nil"/>
              <w:right w:val="nil"/>
            </w:tcBorders>
            <w:shd w:val="clear" w:color="auto" w:fill="auto"/>
          </w:tcPr>
          <w:p w14:paraId="1349C6D2" w14:textId="77777777" w:rsidR="00577BFE" w:rsidRPr="00B5058C" w:rsidRDefault="00577BFE" w:rsidP="00577BFE">
            <w:pPr>
              <w:jc w:val="both"/>
              <w:rPr>
                <w:rFonts w:ascii="Arial" w:hAnsi="Arial" w:cs="FrankRuehl"/>
                <w:sz w:val="28"/>
                <w:szCs w:val="28"/>
              </w:rPr>
            </w:pPr>
            <w:bookmarkStart w:id="2" w:name="FirstAppellant"/>
            <w:r w:rsidRPr="00B5058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05D1C3E" w14:textId="77777777" w:rsidR="00577BFE" w:rsidRPr="00B5058C" w:rsidRDefault="00577BFE" w:rsidP="001C6D08">
            <w:pPr>
              <w:rPr>
                <w:rFonts w:cs="FrankRuehl"/>
                <w:b/>
                <w:bCs/>
              </w:rPr>
            </w:pPr>
            <w:r w:rsidRPr="00B5058C">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5F11389C" w14:textId="77777777" w:rsidR="00577BFE" w:rsidRPr="00B5058C" w:rsidRDefault="00577BFE" w:rsidP="00577BFE">
            <w:pPr>
              <w:jc w:val="both"/>
              <w:rPr>
                <w:rFonts w:ascii="Arial" w:hAnsi="Arial" w:cs="FrankRuehl"/>
                <w:sz w:val="28"/>
                <w:szCs w:val="28"/>
              </w:rPr>
            </w:pPr>
          </w:p>
        </w:tc>
      </w:tr>
      <w:bookmarkEnd w:id="2"/>
      <w:tr w:rsidR="00577BFE" w:rsidRPr="00B5058C" w14:paraId="2CFFADA2" w14:textId="77777777" w:rsidTr="00577BFE">
        <w:trPr>
          <w:trHeight w:val="355"/>
          <w:jc w:val="center"/>
        </w:trPr>
        <w:tc>
          <w:tcPr>
            <w:tcW w:w="923" w:type="dxa"/>
            <w:tcBorders>
              <w:top w:val="nil"/>
              <w:left w:val="nil"/>
              <w:bottom w:val="nil"/>
              <w:right w:val="nil"/>
            </w:tcBorders>
            <w:shd w:val="clear" w:color="auto" w:fill="auto"/>
          </w:tcPr>
          <w:p w14:paraId="7BF32F8D" w14:textId="77777777" w:rsidR="00577BFE" w:rsidRPr="00B5058C" w:rsidRDefault="00577BFE" w:rsidP="00577BF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B742524" w14:textId="77777777" w:rsidR="00577BFE" w:rsidRPr="00B5058C" w:rsidRDefault="00577BFE" w:rsidP="00577BFE">
            <w:pPr>
              <w:jc w:val="both"/>
              <w:rPr>
                <w:rFonts w:cs="FrankRuehl"/>
                <w:rtl/>
              </w:rPr>
            </w:pPr>
            <w:r w:rsidRPr="00B5058C">
              <w:rPr>
                <w:rFonts w:cs="FrankRuehl" w:hint="cs"/>
                <w:rtl/>
              </w:rPr>
              <w:t>ע"י  תביעות ירושלים</w:t>
            </w:r>
          </w:p>
        </w:tc>
        <w:tc>
          <w:tcPr>
            <w:tcW w:w="3771" w:type="dxa"/>
            <w:tcBorders>
              <w:top w:val="nil"/>
              <w:left w:val="nil"/>
              <w:bottom w:val="nil"/>
              <w:right w:val="nil"/>
            </w:tcBorders>
            <w:shd w:val="clear" w:color="auto" w:fill="auto"/>
          </w:tcPr>
          <w:p w14:paraId="71C1A5B9" w14:textId="77777777" w:rsidR="00577BFE" w:rsidRPr="00B5058C" w:rsidRDefault="00577BFE" w:rsidP="00577BFE">
            <w:pPr>
              <w:jc w:val="right"/>
              <w:rPr>
                <w:rFonts w:ascii="Arial" w:hAnsi="Arial" w:cs="FrankRuehl"/>
                <w:sz w:val="28"/>
                <w:szCs w:val="28"/>
                <w:rtl/>
              </w:rPr>
            </w:pPr>
            <w:r w:rsidRPr="00B5058C">
              <w:rPr>
                <w:rFonts w:ascii="Arial" w:hAnsi="Arial" w:cs="FrankRuehl" w:hint="cs"/>
                <w:sz w:val="28"/>
                <w:szCs w:val="28"/>
                <w:rtl/>
              </w:rPr>
              <w:t>ה</w:t>
            </w:r>
            <w:r w:rsidRPr="00B5058C">
              <w:rPr>
                <w:rFonts w:ascii="Arial" w:hAnsi="Arial" w:cs="FrankRuehl"/>
                <w:sz w:val="28"/>
                <w:szCs w:val="28"/>
                <w:rtl/>
              </w:rPr>
              <w:t>מאשימה</w:t>
            </w:r>
          </w:p>
        </w:tc>
      </w:tr>
      <w:tr w:rsidR="00577BFE" w:rsidRPr="00B5058C" w14:paraId="79FEBFEC" w14:textId="77777777" w:rsidTr="00577BFE">
        <w:trPr>
          <w:trHeight w:val="355"/>
          <w:jc w:val="center"/>
        </w:trPr>
        <w:tc>
          <w:tcPr>
            <w:tcW w:w="923" w:type="dxa"/>
            <w:tcBorders>
              <w:top w:val="nil"/>
              <w:left w:val="nil"/>
              <w:bottom w:val="nil"/>
              <w:right w:val="nil"/>
            </w:tcBorders>
            <w:shd w:val="clear" w:color="auto" w:fill="auto"/>
          </w:tcPr>
          <w:p w14:paraId="67B4EA67" w14:textId="77777777" w:rsidR="00577BFE" w:rsidRPr="00B5058C" w:rsidRDefault="00577BFE" w:rsidP="00577BFE">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291675B" w14:textId="77777777" w:rsidR="00577BFE" w:rsidRPr="00B5058C" w:rsidRDefault="00577BFE" w:rsidP="00577BFE">
            <w:pPr>
              <w:jc w:val="center"/>
              <w:rPr>
                <w:rFonts w:ascii="Arial" w:hAnsi="Arial" w:cs="FrankRuehl"/>
                <w:b/>
                <w:bCs/>
                <w:sz w:val="28"/>
                <w:szCs w:val="28"/>
                <w:rtl/>
              </w:rPr>
            </w:pPr>
          </w:p>
          <w:p w14:paraId="3F36E427" w14:textId="77777777" w:rsidR="00577BFE" w:rsidRPr="00B5058C" w:rsidRDefault="00577BFE" w:rsidP="00577BFE">
            <w:pPr>
              <w:jc w:val="center"/>
              <w:rPr>
                <w:rFonts w:ascii="Arial" w:hAnsi="Arial" w:cs="FrankRuehl"/>
                <w:b/>
                <w:bCs/>
                <w:sz w:val="28"/>
                <w:szCs w:val="28"/>
                <w:rtl/>
              </w:rPr>
            </w:pPr>
            <w:r w:rsidRPr="00B5058C">
              <w:rPr>
                <w:rFonts w:ascii="Arial" w:hAnsi="Arial" w:cs="FrankRuehl"/>
                <w:b/>
                <w:bCs/>
                <w:sz w:val="28"/>
                <w:szCs w:val="28"/>
                <w:rtl/>
              </w:rPr>
              <w:t>נגד</w:t>
            </w:r>
          </w:p>
          <w:p w14:paraId="37DB7AB2" w14:textId="77777777" w:rsidR="00577BFE" w:rsidRPr="00B5058C" w:rsidRDefault="00577BFE" w:rsidP="00577BFE">
            <w:pPr>
              <w:jc w:val="both"/>
              <w:rPr>
                <w:rFonts w:ascii="Arial" w:hAnsi="Arial" w:cs="FrankRuehl"/>
                <w:sz w:val="28"/>
                <w:szCs w:val="28"/>
              </w:rPr>
            </w:pPr>
          </w:p>
        </w:tc>
      </w:tr>
      <w:tr w:rsidR="00577BFE" w:rsidRPr="00B5058C" w14:paraId="218A0787" w14:textId="77777777" w:rsidTr="00577BFE">
        <w:trPr>
          <w:trHeight w:val="355"/>
          <w:jc w:val="center"/>
        </w:trPr>
        <w:tc>
          <w:tcPr>
            <w:tcW w:w="923" w:type="dxa"/>
            <w:tcBorders>
              <w:top w:val="nil"/>
              <w:left w:val="nil"/>
              <w:bottom w:val="nil"/>
              <w:right w:val="nil"/>
            </w:tcBorders>
            <w:shd w:val="clear" w:color="auto" w:fill="auto"/>
          </w:tcPr>
          <w:p w14:paraId="3D15C8F4" w14:textId="77777777" w:rsidR="00577BFE" w:rsidRPr="00B5058C" w:rsidRDefault="00577BFE" w:rsidP="001C6D08">
            <w:pPr>
              <w:rPr>
                <w:rFonts w:ascii="Arial" w:hAnsi="Arial" w:cs="FrankRuehl"/>
                <w:sz w:val="28"/>
                <w:szCs w:val="28"/>
                <w:rtl/>
              </w:rPr>
            </w:pPr>
            <w:bookmarkStart w:id="3" w:name="FirstLawyer"/>
          </w:p>
        </w:tc>
        <w:tc>
          <w:tcPr>
            <w:tcW w:w="4126" w:type="dxa"/>
            <w:tcBorders>
              <w:top w:val="nil"/>
              <w:left w:val="nil"/>
              <w:bottom w:val="nil"/>
              <w:right w:val="nil"/>
            </w:tcBorders>
            <w:shd w:val="clear" w:color="auto" w:fill="auto"/>
          </w:tcPr>
          <w:p w14:paraId="07CB1B2D" w14:textId="77777777" w:rsidR="00577BFE" w:rsidRPr="00B5058C" w:rsidRDefault="00577BFE" w:rsidP="001C6D08">
            <w:pPr>
              <w:rPr>
                <w:rFonts w:cs="FrankRuehl"/>
                <w:b/>
                <w:bCs/>
                <w:rtl/>
              </w:rPr>
            </w:pPr>
            <w:r w:rsidRPr="00B5058C">
              <w:rPr>
                <w:rFonts w:ascii="Arial" w:hAnsi="Arial" w:cs="FrankRuehl"/>
                <w:b/>
                <w:bCs/>
                <w:sz w:val="28"/>
                <w:szCs w:val="28"/>
                <w:rtl/>
              </w:rPr>
              <w:t>עידן ונדה</w:t>
            </w:r>
            <w:r w:rsidRPr="00B5058C">
              <w:rPr>
                <w:rFonts w:ascii="Arial" w:hAnsi="Arial" w:cs="FrankRuehl" w:hint="cs"/>
                <w:b/>
                <w:bCs/>
                <w:sz w:val="28"/>
                <w:szCs w:val="28"/>
                <w:rtl/>
              </w:rPr>
              <w:t xml:space="preserve">, ת"ז </w:t>
            </w:r>
            <w:r w:rsidR="00B5058C">
              <w:rPr>
                <w:rFonts w:ascii="Arial" w:hAnsi="Arial" w:cs="FrankRuehl"/>
                <w:b/>
                <w:bCs/>
                <w:sz w:val="28"/>
                <w:szCs w:val="28"/>
              </w:rPr>
              <w:t>xxxxxxxxx</w:t>
            </w:r>
          </w:p>
          <w:p w14:paraId="15DE3B5B" w14:textId="77777777" w:rsidR="00577BFE" w:rsidRPr="00B5058C" w:rsidRDefault="00577BFE" w:rsidP="001C6D08">
            <w:pPr>
              <w:rPr>
                <w:rFonts w:cs="FrankRuehl"/>
                <w:rtl/>
              </w:rPr>
            </w:pPr>
            <w:r w:rsidRPr="00B5058C">
              <w:rPr>
                <w:rFonts w:cs="FrankRuehl" w:hint="cs"/>
                <w:rtl/>
              </w:rPr>
              <w:t>ע"י ב"כ עו"ד רמי זוכוביצקי</w:t>
            </w:r>
          </w:p>
        </w:tc>
        <w:tc>
          <w:tcPr>
            <w:tcW w:w="3771" w:type="dxa"/>
            <w:tcBorders>
              <w:top w:val="nil"/>
              <w:left w:val="nil"/>
              <w:bottom w:val="nil"/>
              <w:right w:val="nil"/>
            </w:tcBorders>
            <w:shd w:val="clear" w:color="auto" w:fill="auto"/>
          </w:tcPr>
          <w:p w14:paraId="0997D9C5" w14:textId="77777777" w:rsidR="00577BFE" w:rsidRPr="00B5058C" w:rsidRDefault="00577BFE" w:rsidP="00577BFE">
            <w:pPr>
              <w:jc w:val="right"/>
              <w:rPr>
                <w:rFonts w:ascii="Arial" w:hAnsi="Arial" w:cs="FrankRuehl"/>
                <w:sz w:val="28"/>
                <w:szCs w:val="28"/>
              </w:rPr>
            </w:pPr>
          </w:p>
        </w:tc>
      </w:tr>
      <w:bookmarkEnd w:id="3"/>
      <w:tr w:rsidR="00577BFE" w:rsidRPr="00B5058C" w14:paraId="1BE70194" w14:textId="77777777" w:rsidTr="00577BFE">
        <w:trPr>
          <w:trHeight w:val="355"/>
          <w:jc w:val="center"/>
        </w:trPr>
        <w:tc>
          <w:tcPr>
            <w:tcW w:w="923" w:type="dxa"/>
            <w:tcBorders>
              <w:top w:val="nil"/>
              <w:left w:val="nil"/>
              <w:bottom w:val="nil"/>
              <w:right w:val="nil"/>
            </w:tcBorders>
            <w:shd w:val="clear" w:color="auto" w:fill="auto"/>
          </w:tcPr>
          <w:p w14:paraId="474F78EB" w14:textId="77777777" w:rsidR="00577BFE" w:rsidRPr="00B5058C" w:rsidRDefault="00577BFE" w:rsidP="00577BF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EDEB606" w14:textId="77777777" w:rsidR="00577BFE" w:rsidRPr="00B5058C" w:rsidRDefault="00577BFE" w:rsidP="00577BFE">
            <w:pPr>
              <w:jc w:val="both"/>
              <w:rPr>
                <w:rFonts w:cs="FrankRuehl"/>
                <w:rtl/>
              </w:rPr>
            </w:pPr>
          </w:p>
        </w:tc>
        <w:tc>
          <w:tcPr>
            <w:tcW w:w="3771" w:type="dxa"/>
            <w:tcBorders>
              <w:top w:val="nil"/>
              <w:left w:val="nil"/>
              <w:bottom w:val="nil"/>
              <w:right w:val="nil"/>
            </w:tcBorders>
            <w:shd w:val="clear" w:color="auto" w:fill="auto"/>
          </w:tcPr>
          <w:p w14:paraId="50F9D82C" w14:textId="77777777" w:rsidR="00577BFE" w:rsidRPr="00B5058C" w:rsidRDefault="00577BFE" w:rsidP="00577BFE">
            <w:pPr>
              <w:jc w:val="right"/>
              <w:rPr>
                <w:rFonts w:ascii="Arial" w:hAnsi="Arial" w:cs="FrankRuehl"/>
                <w:sz w:val="28"/>
                <w:szCs w:val="28"/>
              </w:rPr>
            </w:pPr>
            <w:r w:rsidRPr="00B5058C">
              <w:rPr>
                <w:rFonts w:ascii="Arial" w:hAnsi="Arial" w:cs="FrankRuehl" w:hint="cs"/>
                <w:sz w:val="28"/>
                <w:szCs w:val="28"/>
                <w:rtl/>
              </w:rPr>
              <w:t>ה</w:t>
            </w:r>
            <w:r w:rsidRPr="00B5058C">
              <w:rPr>
                <w:rFonts w:ascii="Arial" w:hAnsi="Arial" w:cs="FrankRuehl"/>
                <w:sz w:val="28"/>
                <w:szCs w:val="28"/>
                <w:rtl/>
              </w:rPr>
              <w:t>נאשם</w:t>
            </w:r>
          </w:p>
        </w:tc>
      </w:tr>
    </w:tbl>
    <w:p w14:paraId="08344C55" w14:textId="77777777" w:rsidR="00577BFE" w:rsidRDefault="00577BFE" w:rsidP="00577BFE">
      <w:pPr>
        <w:rPr>
          <w:rFonts w:cs="FrankRuehl" w:hint="cs"/>
          <w:rtl/>
        </w:rPr>
      </w:pPr>
    </w:p>
    <w:p w14:paraId="596109E1" w14:textId="77777777" w:rsidR="000B6404" w:rsidRPr="000B6404" w:rsidRDefault="000B6404" w:rsidP="000B6404">
      <w:pPr>
        <w:pStyle w:val="a3"/>
        <w:spacing w:after="120" w:line="240" w:lineRule="exact"/>
        <w:ind w:left="283" w:hanging="283"/>
        <w:jc w:val="both"/>
        <w:rPr>
          <w:rFonts w:ascii="FrankRuehl" w:hAnsi="FrankRuehl" w:cs="FrankRuehl"/>
          <w:color w:val="000080"/>
          <w:rtl/>
        </w:rPr>
      </w:pPr>
      <w:r w:rsidRPr="000B6404">
        <w:rPr>
          <w:rFonts w:ascii="FrankRuehl" w:hAnsi="FrankRuehl" w:cs="FrankRuehl"/>
          <w:color w:val="000080"/>
          <w:rtl/>
        </w:rPr>
        <w:t xml:space="preserve">חקיקה שאוזכרה: </w:t>
      </w:r>
    </w:p>
    <w:p w14:paraId="7AC4F4FF" w14:textId="77777777" w:rsidR="000B6404" w:rsidRPr="000B6404" w:rsidRDefault="000B6404" w:rsidP="000B6404">
      <w:pPr>
        <w:pStyle w:val="a3"/>
        <w:spacing w:after="120" w:line="240" w:lineRule="exact"/>
        <w:ind w:left="283" w:hanging="283"/>
        <w:jc w:val="both"/>
        <w:rPr>
          <w:rFonts w:ascii="FrankRuehl" w:hAnsi="FrankRuehl" w:cs="FrankRuehl"/>
          <w:rtl/>
        </w:rPr>
      </w:pPr>
      <w:hyperlink r:id="rId7" w:history="1">
        <w:r w:rsidRPr="000B6404">
          <w:rPr>
            <w:rFonts w:ascii="FrankRuehl" w:hAnsi="FrankRuehl" w:cs="FrankRuehl"/>
            <w:color w:val="0000FF"/>
            <w:u w:val="single"/>
            <w:rtl/>
          </w:rPr>
          <w:t>פקודת הסמים המסוכנים [נוסח חדש], תשל"ג-1973</w:t>
        </w:r>
      </w:hyperlink>
      <w:r w:rsidRPr="000B6404">
        <w:rPr>
          <w:rFonts w:ascii="FrankRuehl" w:hAnsi="FrankRuehl" w:cs="FrankRuehl"/>
          <w:rtl/>
        </w:rPr>
        <w:t xml:space="preserve">: סע'  </w:t>
      </w:r>
      <w:hyperlink r:id="rId8" w:history="1">
        <w:r w:rsidRPr="000B6404">
          <w:rPr>
            <w:rFonts w:ascii="FrankRuehl" w:hAnsi="FrankRuehl" w:cs="FrankRuehl"/>
            <w:color w:val="0000FF"/>
            <w:u w:val="single"/>
            <w:rtl/>
          </w:rPr>
          <w:t>7(א)</w:t>
        </w:r>
      </w:hyperlink>
      <w:r w:rsidRPr="000B6404">
        <w:rPr>
          <w:rFonts w:ascii="FrankRuehl" w:hAnsi="FrankRuehl" w:cs="FrankRuehl"/>
          <w:rtl/>
        </w:rPr>
        <w:t xml:space="preserve">, </w:t>
      </w:r>
      <w:hyperlink r:id="rId9" w:history="1">
        <w:r w:rsidRPr="000B6404">
          <w:rPr>
            <w:rFonts w:ascii="FrankRuehl" w:hAnsi="FrankRuehl" w:cs="FrankRuehl"/>
            <w:color w:val="0000FF"/>
            <w:u w:val="single"/>
            <w:rtl/>
          </w:rPr>
          <w:t>(ג)</w:t>
        </w:r>
      </w:hyperlink>
      <w:r w:rsidRPr="000B6404">
        <w:rPr>
          <w:rFonts w:ascii="FrankRuehl" w:hAnsi="FrankRuehl" w:cs="FrankRuehl"/>
          <w:rtl/>
        </w:rPr>
        <w:t xml:space="preserve">, </w:t>
      </w:r>
      <w:hyperlink r:id="rId10" w:history="1">
        <w:r w:rsidRPr="000B6404">
          <w:rPr>
            <w:rFonts w:ascii="FrankRuehl" w:hAnsi="FrankRuehl" w:cs="FrankRuehl"/>
            <w:color w:val="0000FF"/>
            <w:u w:val="single"/>
            <w:rtl/>
          </w:rPr>
          <w:t>13</w:t>
        </w:r>
      </w:hyperlink>
      <w:r w:rsidRPr="000B6404">
        <w:rPr>
          <w:rFonts w:ascii="FrankRuehl" w:hAnsi="FrankRuehl" w:cs="FrankRuehl"/>
          <w:rtl/>
        </w:rPr>
        <w:t xml:space="preserve">, </w:t>
      </w:r>
      <w:hyperlink r:id="rId11" w:history="1">
        <w:r w:rsidRPr="000B6404">
          <w:rPr>
            <w:rFonts w:ascii="FrankRuehl" w:hAnsi="FrankRuehl" w:cs="FrankRuehl"/>
            <w:color w:val="0000FF"/>
            <w:u w:val="single"/>
            <w:rtl/>
          </w:rPr>
          <w:t>19</w:t>
        </w:r>
      </w:hyperlink>
    </w:p>
    <w:p w14:paraId="70F7C8EE" w14:textId="77777777" w:rsidR="000B6404" w:rsidRPr="000B6404" w:rsidRDefault="000B6404" w:rsidP="000B6404">
      <w:pPr>
        <w:pStyle w:val="a3"/>
        <w:spacing w:after="120" w:line="240" w:lineRule="exact"/>
        <w:ind w:left="283" w:hanging="283"/>
        <w:jc w:val="both"/>
        <w:rPr>
          <w:rFonts w:ascii="FrankRuehl" w:hAnsi="FrankRuehl" w:cs="FrankRuehl"/>
          <w:rtl/>
        </w:rPr>
      </w:pPr>
      <w:hyperlink r:id="rId12" w:history="1">
        <w:r w:rsidRPr="000B6404">
          <w:rPr>
            <w:rFonts w:ascii="FrankRuehl" w:hAnsi="FrankRuehl" w:cs="FrankRuehl"/>
            <w:color w:val="0000FF"/>
            <w:u w:val="single"/>
            <w:rtl/>
          </w:rPr>
          <w:t>חוק העונשין, תשל"ז-1977</w:t>
        </w:r>
      </w:hyperlink>
      <w:r w:rsidRPr="000B6404">
        <w:rPr>
          <w:rFonts w:ascii="FrankRuehl" w:hAnsi="FrankRuehl" w:cs="FrankRuehl"/>
          <w:rtl/>
        </w:rPr>
        <w:t xml:space="preserve">: סע'  </w:t>
      </w:r>
      <w:hyperlink r:id="rId13" w:history="1">
        <w:r w:rsidRPr="000B6404">
          <w:rPr>
            <w:rFonts w:ascii="FrankRuehl" w:hAnsi="FrankRuehl" w:cs="FrankRuehl"/>
            <w:color w:val="0000FF"/>
            <w:u w:val="single"/>
            <w:rtl/>
          </w:rPr>
          <w:t>40ט'</w:t>
        </w:r>
      </w:hyperlink>
      <w:r w:rsidRPr="000B6404">
        <w:rPr>
          <w:rFonts w:ascii="FrankRuehl" w:hAnsi="FrankRuehl" w:cs="FrankRuehl"/>
          <w:rtl/>
        </w:rPr>
        <w:t xml:space="preserve">, </w:t>
      </w:r>
      <w:hyperlink r:id="rId14" w:history="1">
        <w:r w:rsidRPr="000B6404">
          <w:rPr>
            <w:rFonts w:ascii="FrankRuehl" w:hAnsi="FrankRuehl" w:cs="FrankRuehl"/>
            <w:color w:val="0000FF"/>
            <w:u w:val="single"/>
            <w:rtl/>
          </w:rPr>
          <w:t>275</w:t>
        </w:r>
      </w:hyperlink>
      <w:r w:rsidRPr="000B6404">
        <w:rPr>
          <w:rFonts w:ascii="FrankRuehl" w:hAnsi="FrankRuehl" w:cs="FrankRuehl"/>
          <w:rtl/>
        </w:rPr>
        <w:t xml:space="preserve">, </w:t>
      </w:r>
      <w:hyperlink r:id="rId15" w:history="1">
        <w:r w:rsidRPr="000B6404">
          <w:rPr>
            <w:rFonts w:ascii="FrankRuehl" w:hAnsi="FrankRuehl" w:cs="FrankRuehl"/>
            <w:color w:val="0000FF"/>
            <w:u w:val="single"/>
            <w:rtl/>
          </w:rPr>
          <w:t>338(א)(1)</w:t>
        </w:r>
      </w:hyperlink>
      <w:r w:rsidRPr="000B6404">
        <w:rPr>
          <w:rFonts w:ascii="FrankRuehl" w:hAnsi="FrankRuehl" w:cs="FrankRuehl"/>
          <w:rtl/>
        </w:rPr>
        <w:t xml:space="preserve">, </w:t>
      </w:r>
      <w:hyperlink r:id="rId16" w:history="1">
        <w:r w:rsidRPr="000B6404">
          <w:rPr>
            <w:rFonts w:ascii="FrankRuehl" w:hAnsi="FrankRuehl" w:cs="FrankRuehl"/>
            <w:color w:val="0000FF"/>
            <w:u w:val="single"/>
            <w:rtl/>
          </w:rPr>
          <w:t>40יא</w:t>
        </w:r>
      </w:hyperlink>
    </w:p>
    <w:p w14:paraId="6CE43AAF" w14:textId="77777777" w:rsidR="000B6404" w:rsidRPr="000B6404" w:rsidRDefault="000B6404" w:rsidP="000B6404">
      <w:pPr>
        <w:pStyle w:val="a3"/>
        <w:spacing w:after="120" w:line="240" w:lineRule="exact"/>
        <w:ind w:left="283" w:hanging="283"/>
        <w:jc w:val="both"/>
        <w:rPr>
          <w:rFonts w:ascii="FrankRuehl" w:hAnsi="FrankRuehl" w:cs="FrankRuehl"/>
          <w:rtl/>
        </w:rPr>
      </w:pPr>
    </w:p>
    <w:p w14:paraId="0AAC3EE4" w14:textId="77777777" w:rsidR="000B6404" w:rsidRDefault="000B6404" w:rsidP="00577BFE">
      <w:pPr>
        <w:rPr>
          <w:rFonts w:cs="FrankRueh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77BFE" w:rsidRPr="00B5058C" w14:paraId="403AB1CC" w14:textId="77777777" w:rsidTr="00577BFE">
        <w:trPr>
          <w:trHeight w:val="355"/>
          <w:jc w:val="center"/>
        </w:trPr>
        <w:tc>
          <w:tcPr>
            <w:tcW w:w="8820" w:type="dxa"/>
            <w:tcBorders>
              <w:top w:val="nil"/>
              <w:left w:val="nil"/>
              <w:bottom w:val="nil"/>
              <w:right w:val="nil"/>
            </w:tcBorders>
            <w:shd w:val="clear" w:color="auto" w:fill="auto"/>
          </w:tcPr>
          <w:p w14:paraId="0CF5794A" w14:textId="77777777" w:rsidR="00577BFE" w:rsidRPr="00B5058C" w:rsidRDefault="00577BFE" w:rsidP="00577BFE">
            <w:pPr>
              <w:jc w:val="center"/>
              <w:rPr>
                <w:rFonts w:ascii="Arial" w:hAnsi="Arial" w:cs="FrankRuehl"/>
                <w:sz w:val="32"/>
                <w:szCs w:val="32"/>
                <w:rtl/>
              </w:rPr>
            </w:pPr>
            <w:bookmarkStart w:id="4" w:name="PsakDin"/>
            <w:r w:rsidRPr="00B5058C">
              <w:rPr>
                <w:rFonts w:ascii="Arial" w:hAnsi="Arial" w:cs="FrankRuehl" w:hint="cs"/>
                <w:b/>
                <w:bCs/>
                <w:sz w:val="32"/>
                <w:szCs w:val="32"/>
                <w:rtl/>
              </w:rPr>
              <w:t>גזר דין</w:t>
            </w:r>
            <w:r w:rsidRPr="00B5058C">
              <w:rPr>
                <w:rFonts w:ascii="Arial" w:hAnsi="Arial" w:cs="FrankRuehl" w:hint="cs"/>
                <w:sz w:val="32"/>
                <w:szCs w:val="32"/>
                <w:rtl/>
              </w:rPr>
              <w:t xml:space="preserve"> </w:t>
            </w:r>
            <w:bookmarkEnd w:id="4"/>
            <w:r w:rsidRPr="00B5058C">
              <w:rPr>
                <w:rFonts w:ascii="Arial" w:hAnsi="Arial" w:cs="FrankRuehl" w:hint="cs"/>
                <w:sz w:val="32"/>
                <w:szCs w:val="32"/>
                <w:rtl/>
              </w:rPr>
              <w:t>(תוך ביטול הרשעה)</w:t>
            </w:r>
          </w:p>
        </w:tc>
      </w:tr>
    </w:tbl>
    <w:p w14:paraId="26C3B581" w14:textId="77777777" w:rsidR="00577BFE" w:rsidRPr="00B5058C" w:rsidRDefault="00577BFE" w:rsidP="00577BFE">
      <w:pPr>
        <w:rPr>
          <w:rFonts w:ascii="Arial" w:hAnsi="Arial" w:cs="FrankRuehl"/>
          <w:rtl/>
        </w:rPr>
      </w:pPr>
    </w:p>
    <w:p w14:paraId="3D16D9E6" w14:textId="77777777" w:rsidR="00577BFE" w:rsidRPr="00B5058C" w:rsidRDefault="00577BFE" w:rsidP="00577BFE">
      <w:pPr>
        <w:rPr>
          <w:rFonts w:ascii="Arial" w:hAnsi="Arial" w:cs="FrankRuehl"/>
          <w:rtl/>
        </w:rPr>
      </w:pPr>
    </w:p>
    <w:p w14:paraId="30B223B3" w14:textId="77777777" w:rsidR="00577BFE" w:rsidRPr="00B5058C" w:rsidRDefault="00577BFE" w:rsidP="00577BFE">
      <w:pPr>
        <w:rPr>
          <w:rFonts w:cs="FrankRuehl"/>
          <w:rtl/>
        </w:rPr>
      </w:pPr>
    </w:p>
    <w:p w14:paraId="3D104705" w14:textId="77777777" w:rsidR="00577BFE" w:rsidRPr="00B5058C" w:rsidRDefault="00577BFE" w:rsidP="00577BFE">
      <w:pPr>
        <w:rPr>
          <w:rFonts w:cs="FrankRuehl"/>
          <w:rtl/>
        </w:rPr>
      </w:pPr>
    </w:p>
    <w:p w14:paraId="34815F1D" w14:textId="77777777" w:rsidR="00577BFE" w:rsidRPr="00B5058C" w:rsidRDefault="00577BFE" w:rsidP="00577BFE">
      <w:pPr>
        <w:spacing w:line="360" w:lineRule="auto"/>
        <w:rPr>
          <w:rFonts w:cs="FrankRuehl"/>
          <w:b/>
          <w:bCs/>
        </w:rPr>
      </w:pPr>
      <w:r w:rsidRPr="00B5058C">
        <w:rPr>
          <w:rFonts w:cs="FrankRuehl" w:hint="cs"/>
          <w:b/>
          <w:bCs/>
          <w:rtl/>
        </w:rPr>
        <w:t>כתב האישום</w:t>
      </w:r>
    </w:p>
    <w:p w14:paraId="622A9C45" w14:textId="77777777" w:rsidR="00577BFE" w:rsidRPr="00B5058C" w:rsidRDefault="00577BFE" w:rsidP="00577BFE">
      <w:pPr>
        <w:spacing w:after="160" w:line="360" w:lineRule="auto"/>
        <w:jc w:val="both"/>
        <w:rPr>
          <w:rFonts w:ascii="Calibri" w:hAnsi="Calibri" w:cs="FrankRuehl"/>
          <w:rtl/>
        </w:rPr>
      </w:pPr>
      <w:bookmarkStart w:id="5" w:name="ABSTRACT_START"/>
      <w:bookmarkEnd w:id="5"/>
      <w:r w:rsidRPr="00B5058C">
        <w:rPr>
          <w:rFonts w:ascii="Calibri" w:hAnsi="Calibri" w:cs="FrankRuehl" w:hint="cs"/>
          <w:rtl/>
        </w:rPr>
        <w:t>הנאשם הורשע על-פי הודאתו בכתב האישום בביצוע העבירות הבאות:</w:t>
      </w:r>
    </w:p>
    <w:p w14:paraId="17BA00E0" w14:textId="77777777" w:rsidR="00577BFE" w:rsidRPr="00B5058C" w:rsidRDefault="00577BFE" w:rsidP="00577BFE">
      <w:pPr>
        <w:spacing w:after="160" w:line="360" w:lineRule="auto"/>
        <w:jc w:val="both"/>
        <w:rPr>
          <w:rFonts w:ascii="Calibri" w:hAnsi="Calibri" w:cs="FrankRuehl"/>
          <w:rtl/>
        </w:rPr>
      </w:pPr>
      <w:r w:rsidRPr="00B5058C">
        <w:rPr>
          <w:rFonts w:ascii="Calibri" w:hAnsi="Calibri" w:cs="FrankRuehl" w:hint="cs"/>
          <w:b/>
          <w:bCs/>
          <w:rtl/>
        </w:rPr>
        <w:t>10 מקרים של סחר בסמים בצוותא</w:t>
      </w:r>
      <w:r w:rsidRPr="00B5058C">
        <w:rPr>
          <w:rFonts w:ascii="Calibri" w:hAnsi="Calibri" w:cs="FrankRuehl" w:hint="cs"/>
          <w:rtl/>
        </w:rPr>
        <w:t xml:space="preserve">, לפי </w:t>
      </w:r>
      <w:hyperlink r:id="rId17" w:history="1">
        <w:r w:rsidR="000B6404" w:rsidRPr="000B6404">
          <w:rPr>
            <w:rFonts w:ascii="Calibri" w:hAnsi="Calibri" w:cs="FrankRuehl" w:hint="eastAsia"/>
            <w:color w:val="0000FF"/>
            <w:u w:val="single"/>
            <w:rtl/>
          </w:rPr>
          <w:t>סעיפים</w:t>
        </w:r>
        <w:r w:rsidR="000B6404" w:rsidRPr="000B6404">
          <w:rPr>
            <w:rFonts w:ascii="Calibri" w:hAnsi="Calibri" w:cs="FrankRuehl"/>
            <w:color w:val="0000FF"/>
            <w:u w:val="single"/>
            <w:rtl/>
          </w:rPr>
          <w:t xml:space="preserve"> 13</w:t>
        </w:r>
      </w:hyperlink>
      <w:r w:rsidRPr="00B5058C">
        <w:rPr>
          <w:rFonts w:ascii="Calibri" w:hAnsi="Calibri" w:cs="FrankRuehl" w:hint="cs"/>
          <w:rtl/>
        </w:rPr>
        <w:t xml:space="preserve"> +</w:t>
      </w:r>
      <w:hyperlink r:id="rId18" w:history="1">
        <w:r w:rsidR="000B6404" w:rsidRPr="000B6404">
          <w:rPr>
            <w:rFonts w:ascii="Calibri" w:hAnsi="Calibri" w:cs="FrankRuehl"/>
            <w:color w:val="0000FF"/>
            <w:u w:val="single"/>
            <w:rtl/>
          </w:rPr>
          <w:t>19</w:t>
        </w:r>
      </w:hyperlink>
      <w:r w:rsidRPr="00B5058C">
        <w:rPr>
          <w:rFonts w:ascii="Calibri" w:hAnsi="Calibri" w:cs="FrankRuehl" w:hint="cs"/>
          <w:rtl/>
        </w:rPr>
        <w:t xml:space="preserve"> ל</w:t>
      </w:r>
      <w:hyperlink r:id="rId19" w:history="1">
        <w:r w:rsidR="00B5058C" w:rsidRPr="00B5058C">
          <w:rPr>
            <w:rFonts w:ascii="Calibri" w:hAnsi="Calibri" w:cs="FrankRuehl" w:hint="eastAsia"/>
            <w:color w:val="0000FF"/>
            <w:u w:val="single"/>
            <w:rtl/>
          </w:rPr>
          <w:t>פקודת</w:t>
        </w:r>
        <w:r w:rsidR="00B5058C" w:rsidRPr="00B5058C">
          <w:rPr>
            <w:rFonts w:ascii="Calibri" w:hAnsi="Calibri" w:cs="FrankRuehl"/>
            <w:color w:val="0000FF"/>
            <w:u w:val="single"/>
            <w:rtl/>
          </w:rPr>
          <w:t xml:space="preserve"> </w:t>
        </w:r>
        <w:r w:rsidR="00B5058C" w:rsidRPr="00B5058C">
          <w:rPr>
            <w:rFonts w:ascii="Calibri" w:hAnsi="Calibri" w:cs="FrankRuehl" w:hint="eastAsia"/>
            <w:color w:val="0000FF"/>
            <w:u w:val="single"/>
            <w:rtl/>
          </w:rPr>
          <w:t>הסמים</w:t>
        </w:r>
        <w:r w:rsidR="00B5058C" w:rsidRPr="00B5058C">
          <w:rPr>
            <w:rFonts w:ascii="Calibri" w:hAnsi="Calibri" w:cs="FrankRuehl"/>
            <w:color w:val="0000FF"/>
            <w:u w:val="single"/>
            <w:rtl/>
          </w:rPr>
          <w:t xml:space="preserve"> </w:t>
        </w:r>
        <w:r w:rsidR="00B5058C" w:rsidRPr="00B5058C">
          <w:rPr>
            <w:rFonts w:ascii="Calibri" w:hAnsi="Calibri" w:cs="FrankRuehl" w:hint="eastAsia"/>
            <w:color w:val="0000FF"/>
            <w:u w:val="single"/>
            <w:rtl/>
          </w:rPr>
          <w:t>המסוכנים</w:t>
        </w:r>
      </w:hyperlink>
      <w:r w:rsidRPr="00B5058C">
        <w:rPr>
          <w:rFonts w:ascii="Calibri" w:hAnsi="Calibri" w:cs="FrankRuehl" w:hint="cs"/>
          <w:rtl/>
        </w:rPr>
        <w:t xml:space="preserve"> (להלן </w:t>
      </w:r>
      <w:r w:rsidRPr="00B5058C">
        <w:rPr>
          <w:rFonts w:ascii="Calibri" w:hAnsi="Calibri" w:cs="FrankRuehl"/>
          <w:rtl/>
        </w:rPr>
        <w:t>–</w:t>
      </w:r>
      <w:r w:rsidRPr="00B5058C">
        <w:rPr>
          <w:rFonts w:ascii="Calibri" w:hAnsi="Calibri" w:cs="FrankRuehl" w:hint="cs"/>
          <w:rtl/>
        </w:rPr>
        <w:t xml:space="preserve"> </w:t>
      </w:r>
      <w:r w:rsidRPr="00B5058C">
        <w:rPr>
          <w:rFonts w:ascii="Calibri" w:hAnsi="Calibri" w:cs="FrankRuehl" w:hint="cs"/>
          <w:b/>
          <w:bCs/>
          <w:rtl/>
        </w:rPr>
        <w:t>הפקודה</w:t>
      </w:r>
      <w:r w:rsidRPr="00B5058C">
        <w:rPr>
          <w:rFonts w:ascii="Calibri" w:hAnsi="Calibri" w:cs="FrankRuehl" w:hint="cs"/>
          <w:rtl/>
        </w:rPr>
        <w:t>);</w:t>
      </w:r>
    </w:p>
    <w:p w14:paraId="55C043E0" w14:textId="77777777" w:rsidR="00577BFE" w:rsidRPr="00B5058C" w:rsidRDefault="00577BFE" w:rsidP="00577BFE">
      <w:pPr>
        <w:spacing w:after="160" w:line="360" w:lineRule="auto"/>
        <w:jc w:val="both"/>
        <w:rPr>
          <w:rFonts w:ascii="Calibri" w:hAnsi="Calibri" w:cs="FrankRuehl"/>
          <w:rtl/>
        </w:rPr>
      </w:pPr>
      <w:r w:rsidRPr="00B5058C">
        <w:rPr>
          <w:rFonts w:ascii="Calibri" w:hAnsi="Calibri" w:cs="FrankRuehl" w:hint="cs"/>
          <w:b/>
          <w:bCs/>
          <w:rtl/>
        </w:rPr>
        <w:t>החזקת סם שלא לצריכה עצמית</w:t>
      </w:r>
      <w:r w:rsidRPr="00B5058C">
        <w:rPr>
          <w:rFonts w:ascii="Calibri" w:hAnsi="Calibri" w:cs="FrankRuehl" w:hint="cs"/>
          <w:rtl/>
        </w:rPr>
        <w:t xml:space="preserve">, לפי </w:t>
      </w:r>
      <w:hyperlink r:id="rId20" w:history="1">
        <w:r w:rsidR="000B6404" w:rsidRPr="000B6404">
          <w:rPr>
            <w:rFonts w:ascii="Calibri" w:hAnsi="Calibri" w:cs="FrankRuehl" w:hint="eastAsia"/>
            <w:color w:val="0000FF"/>
            <w:u w:val="single"/>
            <w:rtl/>
          </w:rPr>
          <w:t>סעיף</w:t>
        </w:r>
        <w:r w:rsidR="000B6404" w:rsidRPr="000B6404">
          <w:rPr>
            <w:rFonts w:ascii="Calibri" w:hAnsi="Calibri" w:cs="FrankRuehl"/>
            <w:color w:val="0000FF"/>
            <w:u w:val="single"/>
            <w:rtl/>
          </w:rPr>
          <w:t xml:space="preserve"> 7(</w:t>
        </w:r>
        <w:r w:rsidR="000B6404" w:rsidRPr="000B6404">
          <w:rPr>
            <w:rFonts w:ascii="Calibri" w:hAnsi="Calibri" w:cs="FrankRuehl" w:hint="eastAsia"/>
            <w:color w:val="0000FF"/>
            <w:u w:val="single"/>
            <w:rtl/>
          </w:rPr>
          <w:t>א</w:t>
        </w:r>
        <w:r w:rsidR="000B6404" w:rsidRPr="000B6404">
          <w:rPr>
            <w:rFonts w:ascii="Calibri" w:hAnsi="Calibri" w:cs="FrankRuehl"/>
            <w:color w:val="0000FF"/>
            <w:u w:val="single"/>
            <w:rtl/>
          </w:rPr>
          <w:t>)</w:t>
        </w:r>
      </w:hyperlink>
      <w:r w:rsidRPr="00B5058C">
        <w:rPr>
          <w:rFonts w:ascii="Calibri" w:hAnsi="Calibri" w:cs="FrankRuehl" w:hint="cs"/>
          <w:rtl/>
        </w:rPr>
        <w:t xml:space="preserve"> + </w:t>
      </w:r>
      <w:hyperlink r:id="rId21" w:history="1">
        <w:r w:rsidR="000B6404" w:rsidRPr="000B6404">
          <w:rPr>
            <w:rFonts w:ascii="Calibri" w:hAnsi="Calibri" w:cs="FrankRuehl"/>
            <w:color w:val="0000FF"/>
            <w:u w:val="single"/>
            <w:rtl/>
          </w:rPr>
          <w:t>(</w:t>
        </w:r>
        <w:r w:rsidR="000B6404" w:rsidRPr="000B6404">
          <w:rPr>
            <w:rFonts w:ascii="Calibri" w:hAnsi="Calibri" w:cs="FrankRuehl" w:hint="eastAsia"/>
            <w:color w:val="0000FF"/>
            <w:u w:val="single"/>
            <w:rtl/>
          </w:rPr>
          <w:t>ג</w:t>
        </w:r>
        <w:r w:rsidR="000B6404" w:rsidRPr="000B6404">
          <w:rPr>
            <w:rFonts w:ascii="Calibri" w:hAnsi="Calibri" w:cs="FrankRuehl"/>
            <w:color w:val="0000FF"/>
            <w:u w:val="single"/>
            <w:rtl/>
          </w:rPr>
          <w:t>)</w:t>
        </w:r>
      </w:hyperlink>
      <w:r w:rsidRPr="00B5058C">
        <w:rPr>
          <w:rFonts w:ascii="Calibri" w:hAnsi="Calibri" w:cs="FrankRuehl" w:hint="cs"/>
          <w:rtl/>
        </w:rPr>
        <w:t>רישא לפקודה;</w:t>
      </w:r>
    </w:p>
    <w:p w14:paraId="4BF8D28C" w14:textId="77777777" w:rsidR="00577BFE" w:rsidRPr="00B5058C" w:rsidRDefault="00577BFE" w:rsidP="00577BFE">
      <w:pPr>
        <w:spacing w:after="160" w:line="360" w:lineRule="auto"/>
        <w:jc w:val="both"/>
        <w:rPr>
          <w:rFonts w:ascii="Calibri" w:hAnsi="Calibri" w:cs="FrankRuehl"/>
          <w:rtl/>
        </w:rPr>
      </w:pPr>
      <w:r w:rsidRPr="00B5058C">
        <w:rPr>
          <w:rFonts w:ascii="Calibri" w:hAnsi="Calibri" w:cs="FrankRuehl" w:hint="cs"/>
          <w:b/>
          <w:bCs/>
          <w:rtl/>
        </w:rPr>
        <w:t>נהיגה פזיזה או רשלנית</w:t>
      </w:r>
      <w:r w:rsidRPr="00B5058C">
        <w:rPr>
          <w:rFonts w:ascii="Calibri" w:hAnsi="Calibri" w:cs="FrankRuehl" w:hint="cs"/>
          <w:rtl/>
        </w:rPr>
        <w:t xml:space="preserve">, לפי </w:t>
      </w:r>
      <w:hyperlink r:id="rId22" w:history="1">
        <w:r w:rsidR="000B6404" w:rsidRPr="000B6404">
          <w:rPr>
            <w:rFonts w:ascii="Calibri" w:hAnsi="Calibri" w:cs="FrankRuehl" w:hint="eastAsia"/>
            <w:color w:val="0000FF"/>
            <w:u w:val="single"/>
            <w:rtl/>
          </w:rPr>
          <w:t>סעיף</w:t>
        </w:r>
        <w:r w:rsidR="000B6404" w:rsidRPr="000B6404">
          <w:rPr>
            <w:rFonts w:ascii="Calibri" w:hAnsi="Calibri" w:cs="FrankRuehl"/>
            <w:color w:val="0000FF"/>
            <w:u w:val="single"/>
            <w:rtl/>
          </w:rPr>
          <w:t xml:space="preserve"> 338(</w:t>
        </w:r>
        <w:r w:rsidR="000B6404" w:rsidRPr="000B6404">
          <w:rPr>
            <w:rFonts w:ascii="Calibri" w:hAnsi="Calibri" w:cs="FrankRuehl" w:hint="eastAsia"/>
            <w:color w:val="0000FF"/>
            <w:u w:val="single"/>
            <w:rtl/>
          </w:rPr>
          <w:t>א</w:t>
        </w:r>
        <w:r w:rsidR="000B6404" w:rsidRPr="000B6404">
          <w:rPr>
            <w:rFonts w:ascii="Calibri" w:hAnsi="Calibri" w:cs="FrankRuehl"/>
            <w:color w:val="0000FF"/>
            <w:u w:val="single"/>
            <w:rtl/>
          </w:rPr>
          <w:t>)(1)</w:t>
        </w:r>
      </w:hyperlink>
      <w:r w:rsidRPr="00B5058C">
        <w:rPr>
          <w:rFonts w:ascii="Calibri" w:hAnsi="Calibri" w:cs="FrankRuehl" w:hint="cs"/>
          <w:rtl/>
        </w:rPr>
        <w:t xml:space="preserve"> ל</w:t>
      </w:r>
      <w:hyperlink r:id="rId23" w:history="1">
        <w:r w:rsidR="00B5058C" w:rsidRPr="00B5058C">
          <w:rPr>
            <w:rFonts w:ascii="Calibri" w:hAnsi="Calibri" w:cs="FrankRuehl" w:hint="eastAsia"/>
            <w:color w:val="0000FF"/>
            <w:u w:val="single"/>
            <w:rtl/>
          </w:rPr>
          <w:t>חוק</w:t>
        </w:r>
        <w:r w:rsidR="00B5058C" w:rsidRPr="00B5058C">
          <w:rPr>
            <w:rFonts w:ascii="Calibri" w:hAnsi="Calibri" w:cs="FrankRuehl"/>
            <w:color w:val="0000FF"/>
            <w:u w:val="single"/>
            <w:rtl/>
          </w:rPr>
          <w:t xml:space="preserve"> </w:t>
        </w:r>
        <w:r w:rsidR="00B5058C" w:rsidRPr="00B5058C">
          <w:rPr>
            <w:rFonts w:ascii="Calibri" w:hAnsi="Calibri" w:cs="FrankRuehl" w:hint="eastAsia"/>
            <w:color w:val="0000FF"/>
            <w:u w:val="single"/>
            <w:rtl/>
          </w:rPr>
          <w:t>העונשין</w:t>
        </w:r>
      </w:hyperlink>
      <w:r w:rsidRPr="00B5058C">
        <w:rPr>
          <w:rFonts w:ascii="Calibri" w:hAnsi="Calibri" w:cs="FrankRuehl" w:hint="cs"/>
          <w:rtl/>
        </w:rPr>
        <w:t xml:space="preserve">, התשל"ז-1977 (להלן </w:t>
      </w:r>
      <w:r w:rsidRPr="00B5058C">
        <w:rPr>
          <w:rFonts w:ascii="Calibri" w:hAnsi="Calibri" w:cs="FrankRuehl"/>
          <w:rtl/>
        </w:rPr>
        <w:t>–</w:t>
      </w:r>
      <w:r w:rsidRPr="00B5058C">
        <w:rPr>
          <w:rFonts w:ascii="Calibri" w:hAnsi="Calibri" w:cs="FrankRuehl" w:hint="cs"/>
          <w:rtl/>
        </w:rPr>
        <w:t xml:space="preserve"> </w:t>
      </w:r>
      <w:r w:rsidRPr="00B5058C">
        <w:rPr>
          <w:rFonts w:ascii="Calibri" w:hAnsi="Calibri" w:cs="FrankRuehl" w:hint="cs"/>
          <w:b/>
          <w:bCs/>
          <w:rtl/>
        </w:rPr>
        <w:t>החוק</w:t>
      </w:r>
      <w:r w:rsidRPr="00B5058C">
        <w:rPr>
          <w:rFonts w:ascii="Calibri" w:hAnsi="Calibri" w:cs="FrankRuehl" w:hint="cs"/>
          <w:rtl/>
        </w:rPr>
        <w:t>);</w:t>
      </w:r>
    </w:p>
    <w:bookmarkEnd w:id="0"/>
    <w:p w14:paraId="23B22D76" w14:textId="77777777" w:rsidR="00577BFE" w:rsidRPr="00577BFE" w:rsidRDefault="00577BFE" w:rsidP="00577BFE">
      <w:pPr>
        <w:spacing w:after="160" w:line="360" w:lineRule="auto"/>
        <w:jc w:val="both"/>
        <w:rPr>
          <w:rFonts w:ascii="Calibri" w:hAnsi="Calibri" w:cs="FrankRuehl"/>
        </w:rPr>
      </w:pPr>
      <w:r w:rsidRPr="00577BFE">
        <w:rPr>
          <w:rFonts w:ascii="Calibri" w:hAnsi="Calibri" w:cs="FrankRuehl" w:hint="cs"/>
          <w:b/>
          <w:bCs/>
          <w:rtl/>
        </w:rPr>
        <w:t>הפרעה לשוטר</w:t>
      </w:r>
      <w:r w:rsidRPr="00577BFE">
        <w:rPr>
          <w:rFonts w:ascii="Calibri" w:hAnsi="Calibri" w:cs="FrankRuehl" w:hint="cs"/>
          <w:rtl/>
        </w:rPr>
        <w:t xml:space="preserve"> </w:t>
      </w:r>
      <w:r w:rsidRPr="00577BFE">
        <w:rPr>
          <w:rFonts w:ascii="Calibri" w:hAnsi="Calibri" w:cs="FrankRuehl"/>
          <w:rtl/>
        </w:rPr>
        <w:t>–</w:t>
      </w:r>
      <w:r w:rsidRPr="00577BFE">
        <w:rPr>
          <w:rFonts w:ascii="Calibri" w:hAnsi="Calibri" w:cs="FrankRuehl" w:hint="cs"/>
          <w:rtl/>
        </w:rPr>
        <w:t xml:space="preserve"> לפי </w:t>
      </w:r>
      <w:hyperlink r:id="rId24" w:history="1">
        <w:r w:rsidR="000B6404" w:rsidRPr="000B6404">
          <w:rPr>
            <w:rFonts w:ascii="Calibri" w:hAnsi="Calibri" w:cs="FrankRuehl" w:hint="eastAsia"/>
            <w:color w:val="0000FF"/>
            <w:u w:val="single"/>
            <w:rtl/>
          </w:rPr>
          <w:t>סעיף</w:t>
        </w:r>
        <w:r w:rsidR="000B6404" w:rsidRPr="000B6404">
          <w:rPr>
            <w:rFonts w:ascii="Calibri" w:hAnsi="Calibri" w:cs="FrankRuehl"/>
            <w:color w:val="0000FF"/>
            <w:u w:val="single"/>
            <w:rtl/>
          </w:rPr>
          <w:t xml:space="preserve"> 275</w:t>
        </w:r>
      </w:hyperlink>
      <w:r w:rsidRPr="00577BFE">
        <w:rPr>
          <w:rFonts w:ascii="Calibri" w:hAnsi="Calibri" w:cs="FrankRuehl" w:hint="cs"/>
          <w:rtl/>
        </w:rPr>
        <w:t xml:space="preserve"> לחוק.</w:t>
      </w:r>
    </w:p>
    <w:p w14:paraId="0586D13A" w14:textId="77777777" w:rsidR="00577BFE" w:rsidRPr="00577BFE" w:rsidRDefault="00577BFE" w:rsidP="00577BFE">
      <w:pPr>
        <w:spacing w:after="160" w:line="360" w:lineRule="auto"/>
        <w:jc w:val="both"/>
        <w:rPr>
          <w:rFonts w:ascii="Calibri" w:hAnsi="Calibri" w:cs="FrankRuehl"/>
          <w:rtl/>
        </w:rPr>
      </w:pPr>
      <w:bookmarkStart w:id="6" w:name="ABSTRACT_END"/>
      <w:bookmarkEnd w:id="6"/>
      <w:r w:rsidRPr="00577BFE">
        <w:rPr>
          <w:rFonts w:ascii="Calibri" w:hAnsi="Calibri" w:cs="FrankRuehl" w:hint="cs"/>
          <w:rtl/>
        </w:rPr>
        <w:t>מעובדות החלק הכללי עולה, כי הנאשם ביחד עם שניים נוספים היו מבצעים משלוחי סמים על-פי תיאום מראש באמצעות אפלקציית הווטסאפ, וקיבלו הוראותיהם מאדם נוסף שהיה שולח אותם לאתרים ספציפיים על מנת למסור סמים ולקבל את תמורתם בכסף ברחבי הארץ.</w:t>
      </w:r>
    </w:p>
    <w:p w14:paraId="20154AE1" w14:textId="77777777" w:rsidR="00577BFE" w:rsidRPr="00577BFE" w:rsidRDefault="00577BFE" w:rsidP="00577BFE">
      <w:pPr>
        <w:spacing w:after="160" w:line="360" w:lineRule="auto"/>
        <w:jc w:val="both"/>
        <w:rPr>
          <w:rFonts w:ascii="Calibri" w:hAnsi="Calibri" w:cs="FrankRuehl"/>
          <w:rtl/>
        </w:rPr>
      </w:pPr>
      <w:r w:rsidRPr="00577BFE">
        <w:rPr>
          <w:rFonts w:ascii="Calibri" w:hAnsi="Calibri" w:cs="FrankRuehl" w:hint="cs"/>
          <w:rtl/>
        </w:rPr>
        <w:lastRenderedPageBreak/>
        <w:t xml:space="preserve">על-פי גוף כתב האישום, בין התאריכים  23.12.2017 </w:t>
      </w:r>
      <w:r w:rsidRPr="00577BFE">
        <w:rPr>
          <w:rFonts w:ascii="Calibri" w:hAnsi="Calibri" w:cs="FrankRuehl"/>
          <w:rtl/>
        </w:rPr>
        <w:t>–</w:t>
      </w:r>
      <w:r w:rsidRPr="00577BFE">
        <w:rPr>
          <w:rFonts w:ascii="Calibri" w:hAnsi="Calibri" w:cs="FrankRuehl" w:hint="cs"/>
          <w:rtl/>
        </w:rPr>
        <w:t xml:space="preserve"> 24.12.2017 סחר הנאשם ביחד עם נוספים בסמים מסוכנים מסוג קנביס, וזאת כ-10 פעמים. תיאום העסקאות היה כמתואר לעיל, וביצוען היה מתוך חלון הרכב בו נסעו הנאשם והאחרים </w:t>
      </w:r>
      <w:r w:rsidRPr="00577BFE">
        <w:rPr>
          <w:rFonts w:ascii="Calibri" w:hAnsi="Calibri" w:cs="FrankRuehl"/>
          <w:rtl/>
        </w:rPr>
        <w:t>–</w:t>
      </w:r>
      <w:r w:rsidRPr="00577BFE">
        <w:rPr>
          <w:rFonts w:ascii="Calibri" w:hAnsi="Calibri" w:cs="FrankRuehl" w:hint="cs"/>
          <w:rtl/>
        </w:rPr>
        <w:t xml:space="preserve"> הסמים היו נמסרים דרך חלון הרכב וכך התמורה גם הייתה מתקבלת.</w:t>
      </w:r>
    </w:p>
    <w:p w14:paraId="6BE6650A" w14:textId="77777777" w:rsidR="00577BFE" w:rsidRPr="00577BFE" w:rsidRDefault="00577BFE" w:rsidP="00577BFE">
      <w:pPr>
        <w:spacing w:after="160" w:line="360" w:lineRule="auto"/>
        <w:jc w:val="both"/>
        <w:rPr>
          <w:rFonts w:ascii="Calibri" w:hAnsi="Calibri" w:cs="FrankRuehl"/>
          <w:rtl/>
        </w:rPr>
      </w:pPr>
      <w:r w:rsidRPr="00577BFE">
        <w:rPr>
          <w:rFonts w:ascii="Calibri" w:hAnsi="Calibri" w:cs="FrankRuehl" w:hint="cs"/>
          <w:rtl/>
        </w:rPr>
        <w:t xml:space="preserve">ב-24.12.207 אחרי חצות הלילה, נהג הנאשם ברכב ונתבקש לעצור ע"י שוטר. עם עצירת הרכב פנה השוטר לנאשם ושאל מהיכן הוא. הנאשם השיב שהוא מאשקלון ומיד החל בנסיעה פזיזה, מהירה ופרועה לכיוון קריית היובל, תוך סיכון יושבי הרכב והמשתמשים בכביש, כאשר במהלך אותה עת השוטר נוסע אחריו תוך שימוש בכריזה הקורא לנאשם לעצור. הנאשם נעצר לאחר נסיעה פרועה, מן הרכב ירדו הנאשם שני שותפיו ונמלטו רגלית ולבסוף נתפסו ע"י שוטרים, כאשר אחד מהמעורבים מחק הודעות מהאפליקציה. בתוך הרכב נתפס סם מסוג קנביס במשקל 7.99 גרם וכן מזומן סך 4,800 </w:t>
      </w:r>
      <w:r w:rsidRPr="00577BFE">
        <w:rPr>
          <w:rFonts w:ascii="Calibri" w:hAnsi="Calibri" w:cs="FrankRuehl" w:hint="eastAsia"/>
          <w:rtl/>
        </w:rPr>
        <w:t>₪</w:t>
      </w:r>
      <w:r w:rsidRPr="00577BFE">
        <w:rPr>
          <w:rFonts w:ascii="Calibri" w:hAnsi="Calibri" w:cs="FrankRuehl" w:hint="cs"/>
          <w:rtl/>
        </w:rPr>
        <w:t xml:space="preserve">. </w:t>
      </w:r>
    </w:p>
    <w:p w14:paraId="00BF1F88" w14:textId="77777777" w:rsidR="00577BFE" w:rsidRPr="00577BFE" w:rsidRDefault="00577BFE" w:rsidP="00577BFE">
      <w:pPr>
        <w:spacing w:after="160" w:line="360" w:lineRule="auto"/>
        <w:jc w:val="both"/>
        <w:rPr>
          <w:rFonts w:ascii="Calibri" w:hAnsi="Calibri" w:cs="FrankRuehl"/>
          <w:b/>
          <w:bCs/>
          <w:u w:val="single"/>
          <w:rtl/>
        </w:rPr>
      </w:pPr>
    </w:p>
    <w:p w14:paraId="3F29514A" w14:textId="77777777" w:rsidR="00577BFE" w:rsidRPr="00577BFE" w:rsidRDefault="00577BFE" w:rsidP="00577BFE">
      <w:pPr>
        <w:spacing w:after="160" w:line="360" w:lineRule="auto"/>
        <w:jc w:val="both"/>
        <w:rPr>
          <w:rFonts w:ascii="Calibri" w:hAnsi="Calibri" w:cs="FrankRuehl"/>
          <w:b/>
          <w:bCs/>
          <w:u w:val="single"/>
          <w:rtl/>
        </w:rPr>
      </w:pPr>
      <w:r w:rsidRPr="00577BFE">
        <w:rPr>
          <w:rFonts w:ascii="Calibri" w:hAnsi="Calibri" w:cs="FrankRuehl" w:hint="cs"/>
          <w:b/>
          <w:bCs/>
          <w:u w:val="single"/>
          <w:rtl/>
        </w:rPr>
        <w:t>מהלך הדיון</w:t>
      </w:r>
    </w:p>
    <w:p w14:paraId="2F205628" w14:textId="77777777" w:rsidR="00577BFE" w:rsidRPr="00577BFE" w:rsidRDefault="00577BFE" w:rsidP="00577BFE">
      <w:pPr>
        <w:spacing w:after="160" w:line="360" w:lineRule="auto"/>
        <w:jc w:val="both"/>
        <w:rPr>
          <w:rFonts w:ascii="Calibri" w:hAnsi="Calibri" w:cs="FrankRuehl"/>
          <w:rtl/>
        </w:rPr>
      </w:pPr>
      <w:r w:rsidRPr="00577BFE">
        <w:rPr>
          <w:rFonts w:ascii="Calibri" w:hAnsi="Calibri" w:cs="FrankRuehl" w:hint="cs"/>
          <w:rtl/>
        </w:rPr>
        <w:t xml:space="preserve">כתב האישום הוגש נגד הנאשם יחד עם בקשה למעצר עד לתום ההליכים. ברבות הזמן שוחרר הנאשם ותנאיו הוקלו מעת לעת תוך שהוא נתון בפיקוח של שירות המבחן. </w:t>
      </w:r>
    </w:p>
    <w:p w14:paraId="06960C69" w14:textId="77777777" w:rsidR="00577BFE" w:rsidRPr="00577BFE" w:rsidRDefault="00577BFE" w:rsidP="00577BFE">
      <w:pPr>
        <w:spacing w:after="160" w:line="360" w:lineRule="auto"/>
        <w:jc w:val="both"/>
        <w:rPr>
          <w:rFonts w:ascii="Calibri" w:hAnsi="Calibri" w:cs="FrankRuehl"/>
          <w:b/>
          <w:bCs/>
          <w:u w:val="single"/>
          <w:rtl/>
        </w:rPr>
      </w:pPr>
    </w:p>
    <w:p w14:paraId="4566BD62" w14:textId="77777777" w:rsidR="00577BFE" w:rsidRPr="00577BFE" w:rsidRDefault="00577BFE" w:rsidP="00577BFE">
      <w:pPr>
        <w:spacing w:after="160" w:line="360" w:lineRule="auto"/>
        <w:jc w:val="both"/>
        <w:rPr>
          <w:rFonts w:ascii="Calibri" w:hAnsi="Calibri" w:cs="FrankRuehl"/>
          <w:b/>
          <w:bCs/>
          <w:u w:val="single"/>
          <w:rtl/>
        </w:rPr>
      </w:pPr>
      <w:r w:rsidRPr="00577BFE">
        <w:rPr>
          <w:rFonts w:ascii="Calibri" w:hAnsi="Calibri" w:cs="FrankRuehl" w:hint="cs"/>
          <w:b/>
          <w:bCs/>
          <w:u w:val="single"/>
          <w:rtl/>
        </w:rPr>
        <w:t>תסקירי שירות המבחן</w:t>
      </w:r>
    </w:p>
    <w:p w14:paraId="117C3D02" w14:textId="77777777" w:rsidR="00577BFE" w:rsidRPr="00577BFE" w:rsidRDefault="00577BFE" w:rsidP="00577BFE">
      <w:pPr>
        <w:spacing w:after="160" w:line="360" w:lineRule="auto"/>
        <w:jc w:val="both"/>
        <w:rPr>
          <w:rFonts w:ascii="Calibri" w:hAnsi="Calibri" w:cs="FrankRuehl"/>
          <w:rtl/>
        </w:rPr>
      </w:pPr>
      <w:r w:rsidRPr="00577BFE">
        <w:rPr>
          <w:rFonts w:ascii="Calibri" w:hAnsi="Calibri" w:cs="FrankRuehl" w:hint="cs"/>
          <w:rtl/>
        </w:rPr>
        <w:t>בעניינו של הנאשם הוגשו מספר  תסקירים. מהתסקיר הראשון (נובמבר 2018) עולה, כי מדובר בנאשם כבן 19, רווק שמתגורר בבית הוריו. הוא סיים 12 שנות לימוד וכיום נמצא בכתה י"ד במסגרת צבאית למחצה במגמת חשמל. בנוסף הוא עובד בלילות במפעל על-מנת לממן את הוצאותיו. הוא השביעי מבין 12 אחים ואחיות. הוריו של המשיב וארבעה מאחיו עלו לישראל מאתיופיה. כיום האב עובד ואף מתנדב במסגרת המשמר האזרחי. אחד מאחיו של הנאשם עובד בשירות בתי הסוהר  ואחת מאחיותיו היא קצינה בצה"ל, ומתוארים חיי משפחה תקינים וטובים. המשפחה כולה נרתמה לסייע לנאשם כאשר רבים מבניה שימשו כמפקחים במסגרת חלופת מעצר. מאז 18.2.2018 מצוי הנאשם תחת צו פיקוח מעצרים, ובמהלך תקופת המבחן מסר הנאשם בדיקות שתן שנמצאו נקיות משרידי סמים, וכן קיים שיחות פרטניות עם השירות. השירות מתאר את מידת שיתוף הפעולה של הנאשם עמו כטובה. ביחס לעבירות בהן הורשע הנאשם הודה בבריחה מהשוטרים אך ציין כי לא ביצע את המיוחס, והודה במשטרה ובבית המשפט על-מנת לקדם את סיום ההליכים בעניינו. שירות המבחן סבר כי לנוכח היעדר לקיחת אחריות וטשטוש מעורבותו במעשים מחד, לצד גילו הצעיר, היעדר עבר פלילי, שיתוף פעולה עם שירות המבחן, קורות חיים נורמטיביים כמו גם שאיפות לקיים אורח חיים תקין בעתיד, יש מקום להטיל על הנאשם של"ץ בהיקף נרחב (380 שעות) וצו מבחן, ולחלופין להסתפק במאסר לריצוי בעבודות שירות.</w:t>
      </w:r>
    </w:p>
    <w:p w14:paraId="663D387C" w14:textId="77777777" w:rsidR="00577BFE" w:rsidRPr="00577BFE" w:rsidRDefault="00577BFE" w:rsidP="00577BFE">
      <w:pPr>
        <w:spacing w:after="160" w:line="360" w:lineRule="auto"/>
        <w:jc w:val="both"/>
        <w:rPr>
          <w:rFonts w:ascii="Calibri" w:hAnsi="Calibri" w:cs="FrankRuehl"/>
          <w:rtl/>
        </w:rPr>
      </w:pPr>
      <w:r w:rsidRPr="00577BFE">
        <w:rPr>
          <w:rFonts w:ascii="Calibri" w:hAnsi="Calibri" w:cs="FrankRuehl" w:hint="cs"/>
          <w:rtl/>
        </w:rPr>
        <w:t>בתסקיר  השני (דצמבר 2018) ציין שירות המבחן כי הנאשם הביע נכונות להשתלב בטיפול קבוצתי, הביע את חששו את הנאשם מפני הרשעתו שעלולה לסכל את מימוש תוכניותיו להתגייס לצבא לאחר שיסיים את לימודיו הגבוהים וסבר, כי טרם הגיע השעה ליתן המלצה הנוגעת לאי-הרשעה.</w:t>
      </w:r>
    </w:p>
    <w:p w14:paraId="55ACE72E" w14:textId="77777777" w:rsidR="00577BFE" w:rsidRPr="00577BFE" w:rsidRDefault="00577BFE" w:rsidP="00577BFE">
      <w:pPr>
        <w:spacing w:after="160" w:line="360" w:lineRule="auto"/>
        <w:jc w:val="both"/>
        <w:rPr>
          <w:rFonts w:ascii="Calibri" w:hAnsi="Calibri" w:cs="FrankRuehl"/>
          <w:rtl/>
        </w:rPr>
      </w:pPr>
      <w:r w:rsidRPr="00577BFE">
        <w:rPr>
          <w:rFonts w:ascii="Calibri" w:hAnsi="Calibri" w:cs="FrankRuehl" w:hint="cs"/>
          <w:rtl/>
        </w:rPr>
        <w:lastRenderedPageBreak/>
        <w:t xml:space="preserve">בתסקיר השלישי שהוגש (מרץ 2019) שירות המבחן תיאר את תוכניתו של הנאשם להשתלב במכינה קדם צבאית במהלך הקיץ של 2019 לאחר שיסיים את כתה י"ד, וזאת כחלק מתהליך גיוסו לצבא. בתסקיר זה ציין שירות המבחן כי הנאשם טרם שולב בפגישות קבוצתיות בשל אילוצים של השירות, המשיך למסור בדיקות שתן נקיות והגדיל לקחת אחריות על מעשיו, הגם שמדובר, לדעת שירות המבחן, בשלבים ראשוניים  של הכרה במשמעות המעשים. שירות המבחן סבר, כי יש לדחות את הדיון פעם נוספת, על </w:t>
      </w:r>
      <w:r w:rsidRPr="00577BFE">
        <w:rPr>
          <w:rFonts w:ascii="Calibri" w:hAnsi="Calibri" w:cs="FrankRuehl"/>
          <w:rtl/>
        </w:rPr>
        <w:t>–</w:t>
      </w:r>
      <w:r w:rsidRPr="00577BFE">
        <w:rPr>
          <w:rFonts w:ascii="Calibri" w:hAnsi="Calibri" w:cs="FrankRuehl" w:hint="cs"/>
          <w:rtl/>
        </w:rPr>
        <w:t xml:space="preserve">מנת שניתן יהיה לשקול המלצה הנוגעת לאי-הרשעה ואפשרויות עונשיות נוספות. </w:t>
      </w:r>
    </w:p>
    <w:p w14:paraId="652DAC65" w14:textId="77777777" w:rsidR="00577BFE" w:rsidRPr="00577BFE" w:rsidRDefault="00577BFE" w:rsidP="00577BFE">
      <w:pPr>
        <w:spacing w:after="160" w:line="360" w:lineRule="auto"/>
        <w:jc w:val="both"/>
        <w:rPr>
          <w:rFonts w:ascii="Calibri" w:hAnsi="Calibri" w:cs="FrankRuehl"/>
          <w:rtl/>
        </w:rPr>
      </w:pPr>
      <w:r w:rsidRPr="00577BFE">
        <w:rPr>
          <w:rFonts w:ascii="Calibri" w:hAnsi="Calibri" w:cs="FrankRuehl" w:hint="cs"/>
          <w:rtl/>
        </w:rPr>
        <w:t>בתסקיר הרביעי שהוגש (יוני 2019) צוין, כי הנאשם כבר סיים את כתה י"ד במסגרת לימודי עתודה צבאי של חיל האויר במגמת הנדסת חשמל וממשיך לגור בבית הוריו באשקלון.  שירות המבחן ציין לחיוב את העובדה שהנאשם הצליח להשלים את כל חובותיו הלימודיים למרות תקופת התנאים המגבילים שהוטלה עליו בגין הליך זה, וכי הוא מעוניין להתגייס לצבא ולשרת בתפקיד משמעותי ותורם לחברה. החל ממרץ, לאחר הדיון האחרון, השתלב הנאשם בקבוצה טיפולית שבה השתתף באופן פעיל וסדיר והוא אף מהווה גורם משמעותי בקבוצה, ממנו נוטלים האחרים דוגמה חיובית. זאת הפעם נטל הנאשם אחריות מלאה למעשיו, הביע עליהם חרטה והבין את הטעות בשיקול הדעת שלו, כאשר ביצוע העבירות היה על רקע הרצון להתחבר לחבורה קודמת מתקופה צעירה יותר בחייו, ולהרשים אותה חבורה. הנאשם עתיד להשתלב במכינת "אשר רוח בו" במצפה רמון, כשכבר היה בפעילות גיבוש בעבר, וסיום הפעילות בה צפוי להסתיים במרץ 2020. קצין המבחן נכח עם הנאשם בפגישה בלשכת הגיוס. מפגישה זו עולה, כי בשל רף החומרה הגבוה של העבירות אותן ביצע הנאשם, ולמרות ההתיישבות החיובית ממנו, רשויות הצבא מתלבטות, כאשר נאמר על-ידן מפורשות, שאם יורשע בדין, יקום קושי משמעותי לגייסו לצבא, בעוד ביטול הרשעתו, תסלול לפניו את הדרך לגיוס. שירות המבחן הדגיש כי לא נפתחו לנאשם תיקים חדשים, וכל תוצאות בדיקות השתן שמסר הנאשם היו נקיות משרידי סמים.  לנוכח כל האמור, ובמיוחד, נטילת האחריות וחרטתו של הנאשם; השתלבותו הטובה מאוד בטיפול; מאמציו לסיים את לימודיו; המוטיבציה שלו לשרת שירות צבאי משמעותי; והחוויה המרתיעה שחווה מן ההליך הפלילי, סבר שירות המבחן, כי הדרך הנכונה לסיים את ההליך היא בביטול הרשעתו של הנאשם והטלת של"ץ בהיקף 150 שעות לריצוי ב"בית אבות הלפרין" באשקלון.</w:t>
      </w:r>
    </w:p>
    <w:p w14:paraId="243B92FB" w14:textId="77777777" w:rsidR="00577BFE" w:rsidRPr="00577BFE" w:rsidRDefault="00577BFE" w:rsidP="00577BFE">
      <w:pPr>
        <w:spacing w:after="160" w:line="360" w:lineRule="auto"/>
        <w:jc w:val="both"/>
        <w:rPr>
          <w:rFonts w:ascii="Calibri" w:hAnsi="Calibri" w:cs="FrankRuehl"/>
          <w:rtl/>
        </w:rPr>
      </w:pPr>
      <w:r w:rsidRPr="00577BFE">
        <w:rPr>
          <w:rFonts w:ascii="Calibri" w:hAnsi="Calibri" w:cs="FrankRuehl" w:hint="cs"/>
          <w:rtl/>
        </w:rPr>
        <w:t xml:space="preserve">בתסקיר החמישי שהוגש (ספטמבר 2019) צוין, כי הנאשם סיים בהצלחה את לימודי העתודה בכתה י"ד, הוא השתתף באופן פעיל בתהליכי הגיבוש למכינת "אשר רוח בו" והתקבלה אליה כשהחל את לימודיו בה בתחילת חודש זה. תפקודו הוערך כחיובי ביותר, תוך ששירות המבחן ציין את השתלבותו של הנאשם בפעילויות התנדבותיות שונות, ואת חלקו המוביל של הנאשם, הן בקבוצות הטיפוליות בהן השתתף והן במסגרת כל יתר פעילויותיו. שירות המבחן עמד על השינוי המהותי שחל בנאשם ובעמדותיו </w:t>
      </w:r>
      <w:r w:rsidRPr="00577BFE">
        <w:rPr>
          <w:rFonts w:ascii="Calibri" w:hAnsi="Calibri" w:cs="FrankRuehl"/>
          <w:rtl/>
        </w:rPr>
        <w:t>–</w:t>
      </w:r>
      <w:r w:rsidRPr="00577BFE">
        <w:rPr>
          <w:rFonts w:ascii="Calibri" w:hAnsi="Calibri" w:cs="FrankRuehl" w:hint="cs"/>
          <w:rtl/>
        </w:rPr>
        <w:t xml:space="preserve"> הן נטילת האחריות המלאה כעת על ביצוע העבירה, הן בהיבט של הבנת הפסול שבמעשים ומוקדי הסיכון מהם הוא צריך להימנע, הן בהיבט של שיתוף פעולה מלא עם שירות המבחן לכל אורך הדרך, שהניב, כאמור, שינוי יסודי בדפוסי חשיבתו של הנאשם. כמו כן עמד שירות המבחן על כך שהנאשם המשיך לעבוד במקביל, כדי שלא ליפול כנטל על משפחתו, וכן את רצונו והמוטיבציה הגבוהה שהביע הנאשם, לשרת שירות צבאי קרבי ומשמעותי. השירות עמד על עמדת הגורמים הצבאיים ביחס להשלכה שלילית שתהיה להרשעתו על סיכויי גיוסו לצבא, ובסיכומו של דבר, מצא כי חל שינוי מהותי בנאשם, רמת הסיכון ממנו פחתה, וכשלונו בתיק זה, אינו מצביע על איכויותיו האישיות כפי שפורטו. לכן חזר שירות המבחן על המלצתו, לבטל את ההרשעה, ולהטיל על הנאשם של"ץ וצו מבחן. </w:t>
      </w:r>
    </w:p>
    <w:p w14:paraId="1C827D6E" w14:textId="77777777" w:rsidR="00577BFE" w:rsidRPr="00577BFE" w:rsidRDefault="00577BFE" w:rsidP="00577BFE">
      <w:pPr>
        <w:spacing w:after="160" w:line="360" w:lineRule="auto"/>
        <w:jc w:val="both"/>
        <w:rPr>
          <w:rFonts w:ascii="Calibri" w:hAnsi="Calibri" w:cs="FrankRuehl"/>
          <w:rtl/>
        </w:rPr>
      </w:pPr>
      <w:r w:rsidRPr="00577BFE">
        <w:rPr>
          <w:rFonts w:ascii="Calibri" w:hAnsi="Calibri" w:cs="FrankRuehl" w:hint="cs"/>
          <w:rtl/>
        </w:rPr>
        <w:t>בתסקיר השישי שהוגש (אוקטובר 2019) צוין, כי הנאשם ממשיך במגמה החיובית של שיתוף פעולה, נטילת אחריות וגילוי מעורבות והנהגה במסגרת המכינה. המכינה דיווחה לשירות המבחן על תפקוד יוצא מן הכלל של הנאשם במסגרתה, המגיע ממקום של בגרות רצינות, ושאיפות גבוהות ונורמטיביות לעתיד. שירות המבחן התרשם כי מדובר באדם צעיר הדבק במטרותיו החיוביות ולכן חזר על המלצתו, להטיל על הנאשם  150 שעות של"ץ, צו מבחן והתחייבות, תוך ביטול הרשעתו, מחמת המהפך שעבר והנזק הצפוי להיגרם לעתידו בשל הותרת ההרשעה על כנה.</w:t>
      </w:r>
    </w:p>
    <w:p w14:paraId="55129B0F" w14:textId="77777777" w:rsidR="00577BFE" w:rsidRPr="00577BFE" w:rsidRDefault="00577BFE" w:rsidP="00577BFE">
      <w:pPr>
        <w:spacing w:after="160" w:line="360" w:lineRule="auto"/>
        <w:jc w:val="both"/>
        <w:rPr>
          <w:rFonts w:ascii="Calibri" w:hAnsi="Calibri" w:cs="FrankRuehl"/>
          <w:b/>
          <w:bCs/>
          <w:u w:val="single"/>
          <w:rtl/>
        </w:rPr>
      </w:pPr>
    </w:p>
    <w:p w14:paraId="45D36DD5" w14:textId="77777777" w:rsidR="00577BFE" w:rsidRPr="00577BFE" w:rsidRDefault="00577BFE" w:rsidP="00577BFE">
      <w:pPr>
        <w:spacing w:after="160" w:line="360" w:lineRule="auto"/>
        <w:jc w:val="both"/>
        <w:rPr>
          <w:rFonts w:ascii="Calibri" w:hAnsi="Calibri" w:cs="FrankRuehl"/>
          <w:b/>
          <w:bCs/>
          <w:u w:val="single"/>
          <w:rtl/>
        </w:rPr>
      </w:pPr>
      <w:r w:rsidRPr="00577BFE">
        <w:rPr>
          <w:rFonts w:ascii="Calibri" w:hAnsi="Calibri" w:cs="FrankRuehl" w:hint="cs"/>
          <w:b/>
          <w:bCs/>
          <w:u w:val="single"/>
          <w:rtl/>
        </w:rPr>
        <w:t>חוות דעת של הממונה על עבודות השירות</w:t>
      </w:r>
    </w:p>
    <w:p w14:paraId="5B2966FC" w14:textId="77777777" w:rsidR="00577BFE" w:rsidRPr="00577BFE" w:rsidRDefault="00577BFE" w:rsidP="00577BFE">
      <w:pPr>
        <w:spacing w:after="160" w:line="360" w:lineRule="auto"/>
        <w:jc w:val="both"/>
        <w:rPr>
          <w:rFonts w:ascii="Calibri" w:hAnsi="Calibri" w:cs="FrankRuehl"/>
          <w:rtl/>
        </w:rPr>
      </w:pPr>
      <w:r w:rsidRPr="00577BFE">
        <w:rPr>
          <w:rFonts w:ascii="Calibri" w:hAnsi="Calibri" w:cs="FrankRuehl" w:hint="cs"/>
          <w:rtl/>
        </w:rPr>
        <w:t>הממונה הגיש חוות דעת על אודות כשירות הנאשם לבצע מאסר בעבודות שירות. מחוות הדעת עולה, כי הנאשם כשיר לבצע עבודות שירות במועצה הדתית קרית מלאכי.</w:t>
      </w:r>
    </w:p>
    <w:p w14:paraId="5E60ACE2" w14:textId="77777777" w:rsidR="00577BFE" w:rsidRPr="00577BFE" w:rsidRDefault="00577BFE" w:rsidP="00577BFE">
      <w:pPr>
        <w:spacing w:after="160" w:line="360" w:lineRule="auto"/>
        <w:jc w:val="both"/>
        <w:rPr>
          <w:rFonts w:ascii="Calibri" w:hAnsi="Calibri" w:cs="FrankRuehl"/>
          <w:rtl/>
        </w:rPr>
      </w:pPr>
    </w:p>
    <w:p w14:paraId="3DD5440D" w14:textId="77777777" w:rsidR="00577BFE" w:rsidRPr="00577BFE" w:rsidRDefault="00577BFE" w:rsidP="00577BFE">
      <w:pPr>
        <w:spacing w:after="160" w:line="360" w:lineRule="auto"/>
        <w:jc w:val="both"/>
        <w:rPr>
          <w:rFonts w:ascii="Calibri" w:hAnsi="Calibri" w:cs="FrankRuehl"/>
          <w:b/>
          <w:bCs/>
          <w:u w:val="single"/>
          <w:rtl/>
        </w:rPr>
      </w:pPr>
      <w:r w:rsidRPr="00577BFE">
        <w:rPr>
          <w:rFonts w:ascii="Calibri" w:hAnsi="Calibri" w:cs="FrankRuehl" w:hint="cs"/>
          <w:b/>
          <w:bCs/>
          <w:u w:val="single"/>
          <w:rtl/>
        </w:rPr>
        <w:t>ראיות וטיעונים לעונש</w:t>
      </w:r>
    </w:p>
    <w:p w14:paraId="39A07A6B" w14:textId="77777777" w:rsidR="00577BFE" w:rsidRPr="00577BFE" w:rsidRDefault="00577BFE" w:rsidP="00577BFE">
      <w:pPr>
        <w:spacing w:after="160" w:line="360" w:lineRule="auto"/>
        <w:jc w:val="both"/>
        <w:rPr>
          <w:rFonts w:ascii="Calibri" w:hAnsi="Calibri" w:cs="FrankRuehl"/>
          <w:rtl/>
        </w:rPr>
      </w:pPr>
      <w:r w:rsidRPr="00577BFE">
        <w:rPr>
          <w:rFonts w:ascii="Calibri" w:hAnsi="Calibri" w:cs="FrankRuehl" w:hint="cs"/>
          <w:rtl/>
        </w:rPr>
        <w:t xml:space="preserve">במסגרת ראיות לעונש, שמעתי את מר תומר דוידור, מדריך ממכינת "אשר רוח בו", שסיפר על המכינה ובעיקר על תפקודו המצוין של הנאשם בה. </w:t>
      </w:r>
    </w:p>
    <w:p w14:paraId="5C853096" w14:textId="77777777" w:rsidR="00577BFE" w:rsidRPr="00577BFE" w:rsidRDefault="00577BFE" w:rsidP="00577BFE">
      <w:pPr>
        <w:spacing w:after="160" w:line="360" w:lineRule="auto"/>
        <w:jc w:val="both"/>
        <w:rPr>
          <w:rFonts w:ascii="Calibri" w:hAnsi="Calibri" w:cs="FrankRuehl"/>
          <w:rtl/>
        </w:rPr>
      </w:pPr>
      <w:r w:rsidRPr="00577BFE">
        <w:rPr>
          <w:rFonts w:ascii="Calibri" w:hAnsi="Calibri" w:cs="FrankRuehl" w:hint="cs"/>
          <w:rtl/>
        </w:rPr>
        <w:t xml:space="preserve">הצדדים לא הגיעו להסכמה עונשית. </w:t>
      </w:r>
    </w:p>
    <w:p w14:paraId="7CA5E2E6" w14:textId="77777777" w:rsidR="00577BFE" w:rsidRPr="00577BFE" w:rsidRDefault="00577BFE" w:rsidP="00577BFE">
      <w:pPr>
        <w:spacing w:after="160" w:line="360" w:lineRule="auto"/>
        <w:jc w:val="both"/>
        <w:rPr>
          <w:rFonts w:ascii="Calibri" w:hAnsi="Calibri" w:cs="FrankRuehl"/>
          <w:rtl/>
        </w:rPr>
      </w:pPr>
      <w:r w:rsidRPr="00577BFE">
        <w:rPr>
          <w:rFonts w:ascii="Calibri" w:hAnsi="Calibri" w:cs="FrankRuehl" w:hint="cs"/>
          <w:rtl/>
        </w:rPr>
        <w:t xml:space="preserve">מחד, המאשימה טוענת, כי יש להטיל על הנאשם עונש שלא יפחת מ-9 חודשי מאסר שיכול וירוצו בעבודות שירות, על בסיס מתחם שבין 12 ל-24 חודשי מאסר, וזאת כאשר המאשימה טוענת לחריגה מן המתחם משיקולי שיקום, ולנוכח התסקירים החיוביים מאוד שהוגשו בעניינו של הנאשם. </w:t>
      </w:r>
    </w:p>
    <w:p w14:paraId="02FE8DCA" w14:textId="77777777" w:rsidR="00577BFE" w:rsidRPr="00577BFE" w:rsidRDefault="00577BFE" w:rsidP="00577BFE">
      <w:pPr>
        <w:spacing w:after="160" w:line="360" w:lineRule="auto"/>
        <w:jc w:val="both"/>
        <w:rPr>
          <w:rFonts w:ascii="Calibri" w:hAnsi="Calibri" w:cs="FrankRuehl"/>
          <w:b/>
          <w:bCs/>
          <w:u w:val="single"/>
          <w:rtl/>
        </w:rPr>
      </w:pPr>
      <w:r w:rsidRPr="00577BFE">
        <w:rPr>
          <w:rFonts w:ascii="Calibri" w:hAnsi="Calibri" w:cs="FrankRuehl" w:hint="cs"/>
          <w:rtl/>
        </w:rPr>
        <w:t xml:space="preserve">מאידך, הסניגור עמד על חלקו של הנאשם במעשים, על הודאתו, על התהליך השיקומי המרשים שעשה ועל שאיפותיו לעתיד. </w:t>
      </w:r>
    </w:p>
    <w:p w14:paraId="7A923826" w14:textId="77777777" w:rsidR="00577BFE" w:rsidRPr="00577BFE" w:rsidRDefault="00577BFE" w:rsidP="00577BFE">
      <w:pPr>
        <w:spacing w:after="160" w:line="360" w:lineRule="auto"/>
        <w:jc w:val="both"/>
        <w:rPr>
          <w:rFonts w:ascii="Calibri" w:hAnsi="Calibri" w:cs="FrankRuehl"/>
          <w:b/>
          <w:bCs/>
          <w:u w:val="single"/>
          <w:rtl/>
        </w:rPr>
      </w:pPr>
    </w:p>
    <w:p w14:paraId="56810BBB" w14:textId="77777777" w:rsidR="00577BFE" w:rsidRPr="00577BFE" w:rsidRDefault="00577BFE" w:rsidP="00577BFE">
      <w:pPr>
        <w:spacing w:after="160" w:line="360" w:lineRule="auto"/>
        <w:jc w:val="both"/>
        <w:rPr>
          <w:rFonts w:ascii="Calibri" w:hAnsi="Calibri" w:cs="FrankRuehl"/>
          <w:b/>
          <w:bCs/>
          <w:u w:val="single"/>
          <w:rtl/>
        </w:rPr>
      </w:pPr>
      <w:r w:rsidRPr="00577BFE">
        <w:rPr>
          <w:rFonts w:ascii="Calibri" w:hAnsi="Calibri" w:cs="FrankRuehl" w:hint="cs"/>
          <w:b/>
          <w:bCs/>
          <w:u w:val="single"/>
          <w:rtl/>
        </w:rPr>
        <w:t xml:space="preserve">קביעת מתחם הענישה </w:t>
      </w:r>
      <w:r w:rsidRPr="00577BFE">
        <w:rPr>
          <w:rFonts w:ascii="Calibri" w:hAnsi="Calibri" w:cs="FrankRuehl" w:hint="cs"/>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2FABF481" w14:textId="77777777" w:rsidR="00577BFE" w:rsidRPr="00577BFE" w:rsidRDefault="00577BFE" w:rsidP="00577BFE">
      <w:pPr>
        <w:spacing w:after="160" w:line="360" w:lineRule="auto"/>
        <w:jc w:val="both"/>
        <w:rPr>
          <w:rFonts w:ascii="Calibri" w:hAnsi="Calibri" w:cs="FrankRuehl"/>
          <w:b/>
          <w:bCs/>
          <w:u w:val="single"/>
          <w:rtl/>
        </w:rPr>
      </w:pPr>
    </w:p>
    <w:p w14:paraId="72CFBE18" w14:textId="77777777" w:rsidR="00577BFE" w:rsidRPr="00577BFE" w:rsidRDefault="00577BFE" w:rsidP="00577BFE">
      <w:pPr>
        <w:spacing w:after="160" w:line="360" w:lineRule="auto"/>
        <w:jc w:val="both"/>
        <w:rPr>
          <w:rFonts w:ascii="Calibri" w:hAnsi="Calibri" w:cs="FrankRuehl"/>
          <w:rtl/>
        </w:rPr>
      </w:pPr>
      <w:r w:rsidRPr="00577BFE">
        <w:rPr>
          <w:rFonts w:ascii="Calibri" w:hAnsi="Calibri" w:cs="FrankRuehl" w:hint="cs"/>
          <w:b/>
          <w:bCs/>
          <w:u w:val="single"/>
          <w:rtl/>
        </w:rPr>
        <w:t xml:space="preserve">הערך המוגן </w:t>
      </w:r>
      <w:r w:rsidRPr="00577BFE">
        <w:rPr>
          <w:rFonts w:ascii="Calibri" w:hAnsi="Calibri" w:cs="FrankRuehl" w:hint="cs"/>
          <w:b/>
          <w:bCs/>
          <w:rtl/>
        </w:rPr>
        <w:t xml:space="preserve"> - </w:t>
      </w:r>
      <w:r w:rsidRPr="00577BFE">
        <w:rPr>
          <w:rFonts w:ascii="Calibri" w:hAnsi="Calibri" w:cs="FrankRuehl" w:hint="cs"/>
          <w:rtl/>
        </w:rPr>
        <w:t>נגע הסמים נרחב ונפוץ והוא רעה חולה המכה בחברה ללא הבדל דת, מין, מוצא או מעמד סוציו-אקונומי. סחר בסמים חמור מעבירות של צריכה וגידול במובן זה, שהוא מגדיל את מעגל המשתמשים בסמים.</w:t>
      </w:r>
      <w:r w:rsidRPr="00577BFE">
        <w:rPr>
          <w:rFonts w:ascii="Calibri" w:hAnsi="Calibri" w:cs="FrankRuehl" w:hint="cs"/>
          <w:b/>
          <w:bCs/>
          <w:rtl/>
        </w:rPr>
        <w:t xml:space="preserve"> </w:t>
      </w:r>
      <w:r w:rsidRPr="00577BFE">
        <w:rPr>
          <w:rFonts w:ascii="Calibri" w:hAnsi="Calibri" w:cs="FrankRuehl" w:hint="cs"/>
          <w:rtl/>
        </w:rPr>
        <w:t xml:space="preserve">ברע"פ 3343/07 </w:t>
      </w:r>
      <w:r w:rsidRPr="00577BFE">
        <w:rPr>
          <w:rFonts w:ascii="Calibri" w:hAnsi="Calibri" w:cs="FrankRuehl" w:hint="cs"/>
          <w:b/>
          <w:bCs/>
          <w:u w:val="single"/>
          <w:rtl/>
        </w:rPr>
        <w:t>מכאוי</w:t>
      </w:r>
      <w:r w:rsidRPr="00577BFE">
        <w:rPr>
          <w:rFonts w:ascii="Calibri" w:hAnsi="Calibri" w:cs="FrankRuehl" w:hint="cs"/>
          <w:rtl/>
        </w:rPr>
        <w:t xml:space="preserve"> נ' </w:t>
      </w:r>
      <w:r w:rsidRPr="00577BFE">
        <w:rPr>
          <w:rFonts w:ascii="Calibri" w:hAnsi="Calibri" w:cs="FrankRuehl" w:hint="cs"/>
          <w:b/>
          <w:bCs/>
          <w:u w:val="single"/>
          <w:rtl/>
        </w:rPr>
        <w:t>מ"</w:t>
      </w:r>
      <w:r w:rsidRPr="00577BFE">
        <w:rPr>
          <w:rFonts w:ascii="Calibri" w:hAnsi="Calibri" w:cs="FrankRuehl" w:hint="cs"/>
          <w:rtl/>
        </w:rPr>
        <w:t>י (מיום 26.7.2017) נאמר: " כאשר מדובר בסחר בסמים השיקול העיקרי אינו שיקומו של העבריין, אלא הצורך המובהק במתן עונש מרתיע בדמותם של מאסרים ממושכים בפועל. סוחרי הסמים גורמים להרס חייהם של רבים ובעיקר צעירים הנופלים למעגל של מסכנות וצער הגורמים אומללו למשפחותיהם".</w:t>
      </w:r>
    </w:p>
    <w:p w14:paraId="26BC98A1" w14:textId="77777777" w:rsidR="00577BFE" w:rsidRPr="00577BFE" w:rsidRDefault="00577BFE" w:rsidP="00577BFE">
      <w:pPr>
        <w:spacing w:after="160" w:line="360" w:lineRule="auto"/>
        <w:jc w:val="both"/>
        <w:rPr>
          <w:rFonts w:ascii="Calibri" w:hAnsi="Calibri" w:cs="FrankRuehl"/>
          <w:rtl/>
        </w:rPr>
      </w:pPr>
      <w:r w:rsidRPr="00577BFE">
        <w:rPr>
          <w:rFonts w:ascii="Calibri" w:hAnsi="Calibri" w:cs="FrankRuehl" w:hint="cs"/>
          <w:rtl/>
        </w:rPr>
        <w:t>אשר לעבירת הנהיגה, מדובר בעבירה מסכנת חיים, של הנוסעים ברכב ושל כלל ציבור המשתמשים בדרך, ויש לראותה בחומרה.</w:t>
      </w:r>
    </w:p>
    <w:p w14:paraId="2C382059" w14:textId="77777777" w:rsidR="00577BFE" w:rsidRPr="00577BFE" w:rsidRDefault="00577BFE" w:rsidP="00577BFE">
      <w:pPr>
        <w:spacing w:after="160" w:line="360" w:lineRule="auto"/>
        <w:jc w:val="both"/>
        <w:rPr>
          <w:rFonts w:ascii="Calibri" w:hAnsi="Calibri" w:cs="FrankRuehl"/>
          <w:b/>
          <w:bCs/>
          <w:u w:val="single"/>
          <w:rtl/>
        </w:rPr>
      </w:pPr>
    </w:p>
    <w:p w14:paraId="003DB13B" w14:textId="77777777" w:rsidR="00577BFE" w:rsidRPr="00577BFE" w:rsidRDefault="00577BFE" w:rsidP="00577BFE">
      <w:pPr>
        <w:spacing w:after="160" w:line="360" w:lineRule="auto"/>
        <w:jc w:val="both"/>
        <w:rPr>
          <w:rFonts w:ascii="Calibri" w:hAnsi="Calibri" w:cs="FrankRuehl"/>
          <w:rtl/>
        </w:rPr>
      </w:pPr>
      <w:r w:rsidRPr="00577BFE">
        <w:rPr>
          <w:rFonts w:ascii="Calibri" w:hAnsi="Calibri" w:cs="FrankRuehl" w:hint="cs"/>
          <w:b/>
          <w:bCs/>
          <w:u w:val="single"/>
          <w:rtl/>
        </w:rPr>
        <w:t xml:space="preserve">נסיבות הקשורות בביצוע העבירה, לפי </w:t>
      </w:r>
      <w:hyperlink r:id="rId25" w:history="1">
        <w:r w:rsidR="000B6404" w:rsidRPr="000B6404">
          <w:rPr>
            <w:rFonts w:ascii="Calibri" w:hAnsi="Calibri" w:cs="FrankRuehl" w:hint="eastAsia"/>
            <w:b/>
            <w:bCs/>
            <w:color w:val="0000FF"/>
            <w:u w:val="single"/>
            <w:rtl/>
          </w:rPr>
          <w:t>סעיף</w:t>
        </w:r>
        <w:r w:rsidR="000B6404" w:rsidRPr="000B6404">
          <w:rPr>
            <w:rFonts w:ascii="Calibri" w:hAnsi="Calibri" w:cs="FrankRuehl"/>
            <w:b/>
            <w:bCs/>
            <w:color w:val="0000FF"/>
            <w:u w:val="single"/>
            <w:rtl/>
          </w:rPr>
          <w:t xml:space="preserve"> 40</w:t>
        </w:r>
        <w:r w:rsidR="000B6404" w:rsidRPr="000B6404">
          <w:rPr>
            <w:rFonts w:ascii="Calibri" w:hAnsi="Calibri" w:cs="FrankRuehl" w:hint="eastAsia"/>
            <w:b/>
            <w:bCs/>
            <w:color w:val="0000FF"/>
            <w:u w:val="single"/>
            <w:rtl/>
          </w:rPr>
          <w:t>ט</w:t>
        </w:r>
        <w:r w:rsidR="000B6404" w:rsidRPr="000B6404">
          <w:rPr>
            <w:rFonts w:ascii="Calibri" w:hAnsi="Calibri" w:cs="FrankRuehl"/>
            <w:b/>
            <w:bCs/>
            <w:color w:val="0000FF"/>
            <w:u w:val="single"/>
            <w:rtl/>
          </w:rPr>
          <w:t>'</w:t>
        </w:r>
      </w:hyperlink>
      <w:r w:rsidRPr="00577BFE">
        <w:rPr>
          <w:rFonts w:ascii="Calibri" w:hAnsi="Calibri" w:cs="FrankRuehl" w:hint="cs"/>
          <w:b/>
          <w:bCs/>
          <w:u w:val="single"/>
          <w:rtl/>
        </w:rPr>
        <w:t xml:space="preserve"> ל</w:t>
      </w:r>
      <w:hyperlink r:id="rId26" w:history="1">
        <w:r w:rsidR="00B5058C" w:rsidRPr="00B5058C">
          <w:rPr>
            <w:rFonts w:ascii="Calibri" w:hAnsi="Calibri" w:cs="FrankRuehl" w:hint="eastAsia"/>
            <w:b/>
            <w:bCs/>
            <w:color w:val="0000FF"/>
            <w:u w:val="single"/>
            <w:rtl/>
          </w:rPr>
          <w:t>חוק</w:t>
        </w:r>
        <w:r w:rsidR="00B5058C" w:rsidRPr="00B5058C">
          <w:rPr>
            <w:rFonts w:ascii="Calibri" w:hAnsi="Calibri" w:cs="FrankRuehl"/>
            <w:b/>
            <w:bCs/>
            <w:color w:val="0000FF"/>
            <w:u w:val="single"/>
            <w:rtl/>
          </w:rPr>
          <w:t xml:space="preserve"> </w:t>
        </w:r>
        <w:r w:rsidR="00B5058C" w:rsidRPr="00B5058C">
          <w:rPr>
            <w:rFonts w:ascii="Calibri" w:hAnsi="Calibri" w:cs="FrankRuehl" w:hint="eastAsia"/>
            <w:b/>
            <w:bCs/>
            <w:color w:val="0000FF"/>
            <w:u w:val="single"/>
            <w:rtl/>
          </w:rPr>
          <w:t>העונשין</w:t>
        </w:r>
      </w:hyperlink>
      <w:r w:rsidRPr="00577BFE">
        <w:rPr>
          <w:rFonts w:ascii="Calibri" w:hAnsi="Calibri" w:cs="FrankRuehl" w:hint="cs"/>
          <w:b/>
          <w:bCs/>
          <w:rtl/>
        </w:rPr>
        <w:t xml:space="preserve"> – </w:t>
      </w:r>
      <w:r w:rsidRPr="00577BFE">
        <w:rPr>
          <w:rFonts w:ascii="Calibri" w:hAnsi="Calibri" w:cs="FrankRuehl" w:hint="cs"/>
          <w:rtl/>
        </w:rPr>
        <w:t xml:space="preserve">בין הנסיבות הקשורות בביצוע העבירה יש לשקול את אלה, לעניין קביעת המתחם: לגבי עבירות הסמים מדובר בעבירות שבוצעו בצוותא, בתחכום ומתוך חלוקת תפקידים ובתכנון מראש </w:t>
      </w:r>
      <w:r w:rsidRPr="00577BFE">
        <w:rPr>
          <w:rFonts w:ascii="Calibri" w:hAnsi="Calibri" w:cs="FrankRuehl"/>
          <w:rtl/>
        </w:rPr>
        <w:t>–</w:t>
      </w:r>
      <w:r w:rsidRPr="00577BFE">
        <w:rPr>
          <w:rFonts w:ascii="Calibri" w:hAnsi="Calibri" w:cs="FrankRuehl" w:hint="cs"/>
          <w:rtl/>
        </w:rPr>
        <w:t xml:space="preserve"> אלו הן נסיבות לחומרא; הנאשם היה חוליה הכרחית בשרשרת ביצוע העבירה כמתואר בכתב האישום, והוא אף נמלט משוטרים וניסה להתחמק ממעצר; סחר בסמים גורם לנזק בהרחיבו את מעגל המשתמשים, ולנוכח היקף העסקאות ושיטתיותן, סביר להניח שאכן נגרם נזק לחברה. עם זאת, יש לזכור שמדובר בסם מסוג "קנביס", שנחשב לסם "קל" יותר בהשוואה לסמים אחרים ובעניינו קיימת מחלוקת ציבורית ואף קיימת רפורמה המתירה שימוש עצמי בנסיבות מסוימות; בסופו של תהליך ארוך שעבר הנאשם מול בית המשפט ומול שירות המבחן, הוא נטל אחריות למעשיו, הביע עליהם חרטה והבין שטעה. המניע למעשים הוא רצון להשתייך לחבורת השווים, שבמקרה זה, היה ניסיון שלילי; הנאשם בחור צעיר ומוכשר המקדיש חייו ללימודי מקצוע מתוך רצון להשתלב בצבא, ולכן היה מצופה שיימנע מהמעשים.</w:t>
      </w:r>
    </w:p>
    <w:p w14:paraId="59C4CF11" w14:textId="77777777" w:rsidR="00577BFE" w:rsidRPr="00577BFE" w:rsidRDefault="00577BFE" w:rsidP="00577BFE">
      <w:pPr>
        <w:spacing w:after="160" w:line="360" w:lineRule="auto"/>
        <w:jc w:val="both"/>
        <w:rPr>
          <w:rFonts w:ascii="Calibri" w:hAnsi="Calibri" w:cs="FrankRuehl"/>
          <w:b/>
          <w:bCs/>
          <w:u w:val="single"/>
          <w:rtl/>
        </w:rPr>
      </w:pPr>
    </w:p>
    <w:p w14:paraId="6E48A693" w14:textId="77777777" w:rsidR="00577BFE" w:rsidRPr="00577BFE" w:rsidRDefault="00577BFE" w:rsidP="00577BFE">
      <w:pPr>
        <w:spacing w:after="160" w:line="360" w:lineRule="auto"/>
        <w:jc w:val="both"/>
        <w:rPr>
          <w:rFonts w:ascii="Calibri" w:hAnsi="Calibri" w:cs="FrankRuehl"/>
          <w:rtl/>
        </w:rPr>
      </w:pPr>
      <w:r w:rsidRPr="00577BFE">
        <w:rPr>
          <w:rFonts w:ascii="Calibri" w:hAnsi="Calibri" w:cs="FrankRuehl" w:hint="cs"/>
          <w:b/>
          <w:bCs/>
          <w:u w:val="single"/>
          <w:rtl/>
        </w:rPr>
        <w:t>מדיניות הענישה הנוהגת</w:t>
      </w:r>
      <w:r w:rsidRPr="00577BFE">
        <w:rPr>
          <w:rFonts w:ascii="Calibri" w:hAnsi="Calibri" w:cs="FrankRuehl" w:hint="cs"/>
          <w:b/>
          <w:bCs/>
          <w:rtl/>
        </w:rPr>
        <w:t xml:space="preserve"> – כאמור, הכלל בעבירות של סחר בסמים הוא מאסר ממש. יחד עם זאת </w:t>
      </w:r>
      <w:r w:rsidRPr="00577BFE">
        <w:rPr>
          <w:rFonts w:ascii="Calibri" w:hAnsi="Calibri" w:cs="FrankRuehl" w:hint="cs"/>
          <w:rtl/>
        </w:rPr>
        <w:t>הפסיקה מגוונת כתוצאה משוני בנסיבות המעשה ובנסיבותיו של העושה, שכן כידוע, הפסיקה לעולם אינדיבידואלית. ב</w:t>
      </w:r>
      <w:hyperlink r:id="rId27" w:history="1">
        <w:r w:rsidR="00B5058C" w:rsidRPr="00B5058C">
          <w:rPr>
            <w:rFonts w:ascii="Calibri" w:hAnsi="Calibri" w:cs="FrankRuehl" w:hint="eastAsia"/>
            <w:color w:val="0000FF"/>
            <w:u w:val="single"/>
            <w:rtl/>
          </w:rPr>
          <w:t>רע</w:t>
        </w:r>
        <w:r w:rsidR="00B5058C" w:rsidRPr="00B5058C">
          <w:rPr>
            <w:rFonts w:ascii="Calibri" w:hAnsi="Calibri" w:cs="FrankRuehl"/>
            <w:color w:val="0000FF"/>
            <w:u w:val="single"/>
            <w:rtl/>
          </w:rPr>
          <w:t>"</w:t>
        </w:r>
        <w:r w:rsidR="00B5058C" w:rsidRPr="00B5058C">
          <w:rPr>
            <w:rFonts w:ascii="Calibri" w:hAnsi="Calibri" w:cs="FrankRuehl" w:hint="eastAsia"/>
            <w:color w:val="0000FF"/>
            <w:u w:val="single"/>
            <w:rtl/>
          </w:rPr>
          <w:t>פ</w:t>
        </w:r>
        <w:r w:rsidR="00B5058C" w:rsidRPr="00B5058C">
          <w:rPr>
            <w:rFonts w:ascii="Calibri" w:hAnsi="Calibri" w:cs="FrankRuehl"/>
            <w:color w:val="0000FF"/>
            <w:u w:val="single"/>
            <w:rtl/>
          </w:rPr>
          <w:t xml:space="preserve"> 1370/17</w:t>
        </w:r>
      </w:hyperlink>
      <w:r w:rsidRPr="00577BFE">
        <w:rPr>
          <w:rFonts w:ascii="Calibri" w:hAnsi="Calibri" w:cs="FrankRuehl" w:hint="cs"/>
          <w:rtl/>
        </w:rPr>
        <w:t xml:space="preserve"> </w:t>
      </w:r>
      <w:r w:rsidRPr="00577BFE">
        <w:rPr>
          <w:rFonts w:ascii="Calibri" w:hAnsi="Calibri" w:cs="FrankRuehl" w:hint="cs"/>
          <w:b/>
          <w:bCs/>
          <w:u w:val="single"/>
          <w:rtl/>
        </w:rPr>
        <w:t>בן נעים</w:t>
      </w:r>
      <w:r w:rsidRPr="00577BFE">
        <w:rPr>
          <w:rFonts w:ascii="Calibri" w:hAnsi="Calibri" w:cs="FrankRuehl" w:hint="cs"/>
          <w:rtl/>
        </w:rPr>
        <w:t xml:space="preserve"> נ' </w:t>
      </w:r>
      <w:r w:rsidRPr="00577BFE">
        <w:rPr>
          <w:rFonts w:ascii="Calibri" w:hAnsi="Calibri" w:cs="FrankRuehl" w:hint="cs"/>
          <w:b/>
          <w:bCs/>
          <w:u w:val="single"/>
          <w:rtl/>
        </w:rPr>
        <w:t>מ"י</w:t>
      </w:r>
      <w:r w:rsidRPr="00577BFE">
        <w:rPr>
          <w:rFonts w:ascii="Calibri" w:hAnsi="Calibri" w:cs="FrankRuehl" w:hint="cs"/>
          <w:rtl/>
        </w:rPr>
        <w:t xml:space="preserve"> (מיום 20.4.2017) אושר מתחם שבין 12 ל-24 חודשי מאסר בנסיבות של ריבוי מקרי סחר בחשיש, אם כי בכמויות גדולות לרבות פלטה ושם נגזרו על נאשם שהואשם בעבירות נוספות 12 16 חודשי מאסר; ב</w:t>
      </w:r>
      <w:hyperlink r:id="rId28" w:history="1">
        <w:r w:rsidR="00B5058C" w:rsidRPr="00B5058C">
          <w:rPr>
            <w:rFonts w:ascii="Calibri" w:hAnsi="Calibri" w:cs="FrankRuehl" w:hint="eastAsia"/>
            <w:color w:val="0000FF"/>
            <w:u w:val="single"/>
            <w:rtl/>
          </w:rPr>
          <w:t>עפ</w:t>
        </w:r>
        <w:r w:rsidR="00B5058C" w:rsidRPr="00B5058C">
          <w:rPr>
            <w:rFonts w:ascii="Calibri" w:hAnsi="Calibri" w:cs="FrankRuehl"/>
            <w:color w:val="0000FF"/>
            <w:u w:val="single"/>
            <w:rtl/>
          </w:rPr>
          <w:t>"</w:t>
        </w:r>
        <w:r w:rsidR="00B5058C" w:rsidRPr="00B5058C">
          <w:rPr>
            <w:rFonts w:ascii="Calibri" w:hAnsi="Calibri" w:cs="FrankRuehl" w:hint="eastAsia"/>
            <w:color w:val="0000FF"/>
            <w:u w:val="single"/>
            <w:rtl/>
          </w:rPr>
          <w:t>ג</w:t>
        </w:r>
        <w:r w:rsidR="00B5058C" w:rsidRPr="00B5058C">
          <w:rPr>
            <w:rFonts w:ascii="Calibri" w:hAnsi="Calibri" w:cs="FrankRuehl"/>
            <w:color w:val="0000FF"/>
            <w:u w:val="single"/>
            <w:rtl/>
          </w:rPr>
          <w:t xml:space="preserve"> (</w:t>
        </w:r>
        <w:r w:rsidR="00B5058C" w:rsidRPr="00B5058C">
          <w:rPr>
            <w:rFonts w:ascii="Calibri" w:hAnsi="Calibri" w:cs="FrankRuehl" w:hint="eastAsia"/>
            <w:color w:val="0000FF"/>
            <w:u w:val="single"/>
            <w:rtl/>
          </w:rPr>
          <w:t>חיפה</w:t>
        </w:r>
        <w:r w:rsidR="00B5058C" w:rsidRPr="00B5058C">
          <w:rPr>
            <w:rFonts w:ascii="Calibri" w:hAnsi="Calibri" w:cs="FrankRuehl"/>
            <w:color w:val="0000FF"/>
            <w:u w:val="single"/>
            <w:rtl/>
          </w:rPr>
          <w:t>) 53901-05-15</w:t>
        </w:r>
      </w:hyperlink>
      <w:r w:rsidRPr="00577BFE">
        <w:rPr>
          <w:rFonts w:ascii="Calibri" w:hAnsi="Calibri" w:cs="FrankRuehl" w:hint="cs"/>
          <w:rtl/>
        </w:rPr>
        <w:t xml:space="preserve"> </w:t>
      </w:r>
      <w:r w:rsidRPr="00577BFE">
        <w:rPr>
          <w:rFonts w:ascii="Calibri" w:hAnsi="Calibri" w:cs="FrankRuehl" w:hint="cs"/>
          <w:b/>
          <w:bCs/>
          <w:u w:val="single"/>
          <w:rtl/>
        </w:rPr>
        <w:t>איטח</w:t>
      </w:r>
      <w:r w:rsidRPr="00577BFE">
        <w:rPr>
          <w:rFonts w:ascii="Calibri" w:hAnsi="Calibri" w:cs="FrankRuehl" w:hint="cs"/>
          <w:rtl/>
        </w:rPr>
        <w:t xml:space="preserve"> נ' </w:t>
      </w:r>
      <w:r w:rsidRPr="00577BFE">
        <w:rPr>
          <w:rFonts w:ascii="Calibri" w:hAnsi="Calibri" w:cs="FrankRuehl" w:hint="cs"/>
          <w:b/>
          <w:bCs/>
          <w:u w:val="single"/>
          <w:rtl/>
        </w:rPr>
        <w:t>מ"</w:t>
      </w:r>
      <w:r w:rsidRPr="00577BFE">
        <w:rPr>
          <w:rFonts w:ascii="Calibri" w:hAnsi="Calibri" w:cs="FrankRuehl" w:hint="cs"/>
          <w:u w:val="single"/>
          <w:rtl/>
        </w:rPr>
        <w:t>י</w:t>
      </w:r>
      <w:r w:rsidRPr="00577BFE">
        <w:rPr>
          <w:rFonts w:ascii="Calibri" w:hAnsi="Calibri" w:cs="FrankRuehl" w:hint="cs"/>
          <w:rtl/>
        </w:rPr>
        <w:t xml:space="preserve"> (מיום 20.7.2015) נגזרו על נאשמת 200 שעות של"ץ מאסר על תנאי ומבחן בנסיבות של סיוע ל-3 עבירות סחר במריחואנה, שם נקבע מתחם שבין 6 ל-18 חודשי מאסר; ב</w:t>
      </w:r>
      <w:hyperlink r:id="rId29" w:history="1">
        <w:r w:rsidR="00B5058C" w:rsidRPr="00B5058C">
          <w:rPr>
            <w:rFonts w:ascii="Calibri" w:hAnsi="Calibri" w:cs="FrankRuehl" w:hint="eastAsia"/>
            <w:color w:val="0000FF"/>
            <w:u w:val="single"/>
            <w:rtl/>
          </w:rPr>
          <w:t>עפ</w:t>
        </w:r>
        <w:r w:rsidR="00B5058C" w:rsidRPr="00B5058C">
          <w:rPr>
            <w:rFonts w:ascii="Calibri" w:hAnsi="Calibri" w:cs="FrankRuehl"/>
            <w:color w:val="0000FF"/>
            <w:u w:val="single"/>
            <w:rtl/>
          </w:rPr>
          <w:t>"</w:t>
        </w:r>
        <w:r w:rsidR="00B5058C" w:rsidRPr="00B5058C">
          <w:rPr>
            <w:rFonts w:ascii="Calibri" w:hAnsi="Calibri" w:cs="FrankRuehl" w:hint="eastAsia"/>
            <w:color w:val="0000FF"/>
            <w:u w:val="single"/>
            <w:rtl/>
          </w:rPr>
          <w:t>ג</w:t>
        </w:r>
        <w:r w:rsidR="00B5058C" w:rsidRPr="00B5058C">
          <w:rPr>
            <w:rFonts w:ascii="Calibri" w:hAnsi="Calibri" w:cs="FrankRuehl"/>
            <w:color w:val="0000FF"/>
            <w:u w:val="single"/>
            <w:rtl/>
          </w:rPr>
          <w:t xml:space="preserve"> (</w:t>
        </w:r>
        <w:r w:rsidR="00B5058C" w:rsidRPr="00B5058C">
          <w:rPr>
            <w:rFonts w:ascii="Calibri" w:hAnsi="Calibri" w:cs="FrankRuehl" w:hint="eastAsia"/>
            <w:color w:val="0000FF"/>
            <w:u w:val="single"/>
            <w:rtl/>
          </w:rPr>
          <w:t>י</w:t>
        </w:r>
        <w:r w:rsidR="00B5058C" w:rsidRPr="00B5058C">
          <w:rPr>
            <w:rFonts w:ascii="Calibri" w:hAnsi="Calibri" w:cs="FrankRuehl"/>
            <w:color w:val="0000FF"/>
            <w:u w:val="single"/>
            <w:rtl/>
          </w:rPr>
          <w:t>-</w:t>
        </w:r>
        <w:r w:rsidR="00B5058C" w:rsidRPr="00B5058C">
          <w:rPr>
            <w:rFonts w:ascii="Calibri" w:hAnsi="Calibri" w:cs="FrankRuehl" w:hint="eastAsia"/>
            <w:color w:val="0000FF"/>
            <w:u w:val="single"/>
            <w:rtl/>
          </w:rPr>
          <w:t>ם</w:t>
        </w:r>
        <w:r w:rsidR="00B5058C" w:rsidRPr="00B5058C">
          <w:rPr>
            <w:rFonts w:ascii="Calibri" w:hAnsi="Calibri" w:cs="FrankRuehl"/>
            <w:color w:val="0000FF"/>
            <w:u w:val="single"/>
            <w:rtl/>
          </w:rPr>
          <w:t>) 10175-02-16</w:t>
        </w:r>
      </w:hyperlink>
      <w:r w:rsidRPr="00577BFE">
        <w:rPr>
          <w:rFonts w:ascii="Calibri" w:hAnsi="Calibri" w:cs="FrankRuehl" w:hint="cs"/>
          <w:rtl/>
        </w:rPr>
        <w:t xml:space="preserve"> </w:t>
      </w:r>
      <w:r w:rsidRPr="00577BFE">
        <w:rPr>
          <w:rFonts w:ascii="Calibri" w:hAnsi="Calibri" w:cs="FrankRuehl" w:hint="cs"/>
          <w:b/>
          <w:bCs/>
          <w:u w:val="single"/>
          <w:rtl/>
        </w:rPr>
        <w:t xml:space="preserve">מ"י </w:t>
      </w:r>
      <w:r w:rsidRPr="00577BFE">
        <w:rPr>
          <w:rFonts w:ascii="Calibri" w:hAnsi="Calibri" w:cs="FrankRuehl" w:hint="cs"/>
          <w:rtl/>
        </w:rPr>
        <w:t xml:space="preserve">נ' </w:t>
      </w:r>
      <w:r w:rsidRPr="00577BFE">
        <w:rPr>
          <w:rFonts w:ascii="Calibri" w:hAnsi="Calibri" w:cs="FrankRuehl" w:hint="cs"/>
          <w:b/>
          <w:bCs/>
          <w:u w:val="single"/>
          <w:rtl/>
        </w:rPr>
        <w:t>דייני</w:t>
      </w:r>
      <w:r w:rsidRPr="00577BFE">
        <w:rPr>
          <w:rFonts w:ascii="Calibri" w:hAnsi="Calibri" w:cs="FrankRuehl" w:hint="cs"/>
          <w:rtl/>
        </w:rPr>
        <w:t xml:space="preserve">  (מיום 14.6.2016) הואשם אדם בהדחת קטין לשימוש בסם, גידול והחזקה וסחר, כאשר דובר במספר מכירות של קנביס בכמויות קטנות, לרבות לקטינים. בעניין הסחר נקבע מתחם שבין 5 ל-15 ח' מאסר והתיק הסתיים במאסר לריצוי בעבודות שירות משיקולי שיקום.  </w:t>
      </w:r>
    </w:p>
    <w:p w14:paraId="742B571A" w14:textId="77777777" w:rsidR="00577BFE" w:rsidRPr="00577BFE" w:rsidRDefault="00577BFE" w:rsidP="00577BFE">
      <w:pPr>
        <w:spacing w:after="160" w:line="360" w:lineRule="auto"/>
        <w:jc w:val="both"/>
        <w:rPr>
          <w:rFonts w:ascii="Calibri" w:hAnsi="Calibri" w:cs="FrankRuehl"/>
          <w:b/>
          <w:bCs/>
          <w:u w:val="single"/>
          <w:rtl/>
        </w:rPr>
      </w:pPr>
    </w:p>
    <w:p w14:paraId="3DB96A78" w14:textId="77777777" w:rsidR="00577BFE" w:rsidRPr="00577BFE" w:rsidRDefault="00577BFE" w:rsidP="00577BFE">
      <w:pPr>
        <w:spacing w:after="160" w:line="360" w:lineRule="auto"/>
        <w:jc w:val="both"/>
        <w:rPr>
          <w:rFonts w:ascii="Calibri" w:hAnsi="Calibri" w:cs="FrankRuehl"/>
          <w:rtl/>
        </w:rPr>
      </w:pPr>
      <w:r w:rsidRPr="00577BFE">
        <w:rPr>
          <w:rFonts w:ascii="Calibri" w:hAnsi="Calibri" w:cs="FrankRuehl" w:hint="cs"/>
          <w:b/>
          <w:bCs/>
          <w:u w:val="single"/>
          <w:rtl/>
        </w:rPr>
        <w:t>מתחם הענישה</w:t>
      </w:r>
      <w:r w:rsidRPr="00577BFE">
        <w:rPr>
          <w:rFonts w:ascii="Calibri" w:hAnsi="Calibri" w:cs="FrankRuehl" w:hint="cs"/>
          <w:rtl/>
        </w:rPr>
        <w:t xml:space="preserve"> – לפיכך, בנסיבות המקרה שלפניי, מתחם הענישה צריך לעמוד על בין 6 ל-18 חודשי מאסר לרבות אפשרות ריצוי המאסר בדרך של עבודות שירות. </w:t>
      </w:r>
    </w:p>
    <w:p w14:paraId="0D365856" w14:textId="77777777" w:rsidR="00577BFE" w:rsidRPr="00577BFE" w:rsidRDefault="00577BFE" w:rsidP="00577BFE">
      <w:pPr>
        <w:spacing w:after="160" w:line="360" w:lineRule="auto"/>
        <w:jc w:val="both"/>
        <w:rPr>
          <w:rFonts w:ascii="Calibri" w:hAnsi="Calibri" w:cs="FrankRuehl"/>
          <w:b/>
          <w:bCs/>
          <w:rtl/>
        </w:rPr>
      </w:pPr>
    </w:p>
    <w:p w14:paraId="78E78D71" w14:textId="77777777" w:rsidR="00577BFE" w:rsidRPr="00577BFE" w:rsidRDefault="00577BFE" w:rsidP="00577BFE">
      <w:pPr>
        <w:spacing w:after="160" w:line="360" w:lineRule="auto"/>
        <w:jc w:val="both"/>
        <w:rPr>
          <w:rFonts w:ascii="Calibri" w:hAnsi="Calibri" w:cs="FrankRuehl"/>
          <w:rtl/>
        </w:rPr>
      </w:pPr>
      <w:r w:rsidRPr="00577BFE">
        <w:rPr>
          <w:rFonts w:ascii="Calibri" w:hAnsi="Calibri" w:cs="FrankRuehl" w:hint="cs"/>
          <w:b/>
          <w:bCs/>
          <w:u w:val="single"/>
          <w:rtl/>
        </w:rPr>
        <w:t xml:space="preserve">נסיבות שאינן קשורות בביצוע העבירה לפי </w:t>
      </w:r>
      <w:hyperlink r:id="rId30" w:history="1">
        <w:r w:rsidR="000B6404" w:rsidRPr="000B6404">
          <w:rPr>
            <w:rFonts w:ascii="Calibri" w:hAnsi="Calibri" w:cs="FrankRuehl" w:hint="eastAsia"/>
            <w:b/>
            <w:bCs/>
            <w:color w:val="0000FF"/>
            <w:u w:val="single"/>
            <w:rtl/>
          </w:rPr>
          <w:t>סעיף</w:t>
        </w:r>
        <w:r w:rsidR="000B6404" w:rsidRPr="000B6404">
          <w:rPr>
            <w:rFonts w:ascii="Calibri" w:hAnsi="Calibri" w:cs="FrankRuehl"/>
            <w:b/>
            <w:bCs/>
            <w:color w:val="0000FF"/>
            <w:u w:val="single"/>
            <w:rtl/>
          </w:rPr>
          <w:t xml:space="preserve"> 40</w:t>
        </w:r>
        <w:r w:rsidR="000B6404" w:rsidRPr="000B6404">
          <w:rPr>
            <w:rFonts w:ascii="Calibri" w:hAnsi="Calibri" w:cs="FrankRuehl" w:hint="eastAsia"/>
            <w:b/>
            <w:bCs/>
            <w:color w:val="0000FF"/>
            <w:u w:val="single"/>
            <w:rtl/>
          </w:rPr>
          <w:t>י</w:t>
        </w:r>
        <w:r w:rsidR="000B6404" w:rsidRPr="000B6404">
          <w:rPr>
            <w:rFonts w:ascii="Calibri" w:hAnsi="Calibri" w:cs="FrankRuehl"/>
            <w:b/>
            <w:bCs/>
            <w:color w:val="0000FF"/>
            <w:u w:val="single"/>
            <w:rtl/>
          </w:rPr>
          <w:t>"</w:t>
        </w:r>
        <w:r w:rsidR="000B6404" w:rsidRPr="000B6404">
          <w:rPr>
            <w:rFonts w:ascii="Calibri" w:hAnsi="Calibri" w:cs="FrankRuehl" w:hint="eastAsia"/>
            <w:b/>
            <w:bCs/>
            <w:color w:val="0000FF"/>
            <w:u w:val="single"/>
            <w:rtl/>
          </w:rPr>
          <w:t>א</w:t>
        </w:r>
      </w:hyperlink>
      <w:r w:rsidRPr="00577BFE">
        <w:rPr>
          <w:rFonts w:ascii="Calibri" w:hAnsi="Calibri" w:cs="FrankRuehl" w:hint="cs"/>
          <w:b/>
          <w:bCs/>
          <w:u w:val="single"/>
          <w:rtl/>
        </w:rPr>
        <w:t xml:space="preserve"> ל</w:t>
      </w:r>
      <w:hyperlink r:id="rId31" w:history="1">
        <w:r w:rsidR="00B5058C" w:rsidRPr="00B5058C">
          <w:rPr>
            <w:rFonts w:ascii="Calibri" w:hAnsi="Calibri" w:cs="FrankRuehl" w:hint="eastAsia"/>
            <w:b/>
            <w:bCs/>
            <w:color w:val="0000FF"/>
            <w:u w:val="single"/>
            <w:rtl/>
          </w:rPr>
          <w:t>חוק</w:t>
        </w:r>
        <w:r w:rsidR="00B5058C" w:rsidRPr="00B5058C">
          <w:rPr>
            <w:rFonts w:ascii="Calibri" w:hAnsi="Calibri" w:cs="FrankRuehl"/>
            <w:b/>
            <w:bCs/>
            <w:color w:val="0000FF"/>
            <w:u w:val="single"/>
            <w:rtl/>
          </w:rPr>
          <w:t xml:space="preserve"> </w:t>
        </w:r>
        <w:r w:rsidR="00B5058C" w:rsidRPr="00B5058C">
          <w:rPr>
            <w:rFonts w:ascii="Calibri" w:hAnsi="Calibri" w:cs="FrankRuehl" w:hint="eastAsia"/>
            <w:b/>
            <w:bCs/>
            <w:color w:val="0000FF"/>
            <w:u w:val="single"/>
            <w:rtl/>
          </w:rPr>
          <w:t>העונשין</w:t>
        </w:r>
      </w:hyperlink>
      <w:r w:rsidRPr="00577BFE">
        <w:rPr>
          <w:rFonts w:ascii="Calibri" w:hAnsi="Calibri" w:cs="FrankRuehl" w:hint="cs"/>
          <w:b/>
          <w:bCs/>
          <w:rtl/>
        </w:rPr>
        <w:t xml:space="preserve"> – </w:t>
      </w:r>
      <w:r w:rsidRPr="00577BFE">
        <w:rPr>
          <w:rFonts w:ascii="Calibri" w:hAnsi="Calibri" w:cs="FrankRuehl" w:hint="cs"/>
          <w:rtl/>
        </w:rPr>
        <w:t xml:space="preserve">ניתן  לתת משקל לנסיבות הבאות שאינן קשורות בביצוע העבירה, במסגרת גזירת העונש בתוך המתחם: הנאשם צעיר ללא עבר פלילי, שעד להסתבכותו בתיק הנוכחי ניהל אורח חיים נורמטיבי, התמיד במסגרת חינוך אף לחינוך גבוה על-תיכוני, מתוך שאיפה להשתלב בתפקיד המקצועי אותו רכוש בצבא במסגרת שירות משמעותי למדינה; משפחתו נורמטיבית ותומכת; הנאשם מעולם לא ריצה עונש מאסר ואך ברור שעונש שכזה יפגע בו בטווח הקצר והארוך כאחד; הנאשם שהה במעצר ושוחרר לתנאים מגבילים אותם לא הפר, ולכן הוקלו לאורך זמן, כאשר הוא משתף פעולה עם שירות המבחן באופן מלא וראוי לציון, ומוסר בדיקות שתן נקיות לאורך תקופה ארוכה; נטילת האחריות של הנאשם מלאה, כפי שכבר עמדתי עליה. </w:t>
      </w:r>
    </w:p>
    <w:p w14:paraId="662A1CB6" w14:textId="77777777" w:rsidR="00577BFE" w:rsidRPr="00577BFE" w:rsidRDefault="00577BFE" w:rsidP="00577BFE">
      <w:pPr>
        <w:spacing w:after="160" w:line="360" w:lineRule="auto"/>
        <w:jc w:val="both"/>
        <w:rPr>
          <w:rFonts w:ascii="Calibri" w:hAnsi="Calibri" w:cs="FrankRuehl"/>
          <w:rtl/>
        </w:rPr>
      </w:pPr>
    </w:p>
    <w:p w14:paraId="789C6B46" w14:textId="77777777" w:rsidR="00577BFE" w:rsidRPr="00577BFE" w:rsidRDefault="00577BFE" w:rsidP="00577BFE">
      <w:pPr>
        <w:spacing w:after="160" w:line="360" w:lineRule="auto"/>
        <w:jc w:val="both"/>
        <w:rPr>
          <w:rFonts w:ascii="Calibri" w:hAnsi="Calibri" w:cs="FrankRuehl"/>
          <w:rtl/>
        </w:rPr>
      </w:pPr>
      <w:r w:rsidRPr="00577BFE">
        <w:rPr>
          <w:rFonts w:ascii="Calibri" w:hAnsi="Calibri" w:cs="FrankRuehl" w:hint="cs"/>
          <w:b/>
          <w:bCs/>
          <w:u w:val="single"/>
          <w:rtl/>
        </w:rPr>
        <w:t>ביטול ההרשעה</w:t>
      </w:r>
      <w:r w:rsidRPr="00577BFE">
        <w:rPr>
          <w:rFonts w:ascii="Calibri" w:hAnsi="Calibri" w:cs="FrankRuehl" w:hint="cs"/>
          <w:rtl/>
        </w:rPr>
        <w:t xml:space="preserve"> – בידוע, שעה שנמצא כי נאשם ביצע את העבירות המיוחסות לו, יש להרשיעו. זהו הכלל. אי-הרשעה הוא היוצא מן הכלל. ב</w:t>
      </w:r>
      <w:hyperlink r:id="rId32" w:history="1">
        <w:r w:rsidR="00B5058C" w:rsidRPr="00B5058C">
          <w:rPr>
            <w:rFonts w:ascii="Calibri" w:hAnsi="Calibri" w:cs="FrankRuehl" w:hint="eastAsia"/>
            <w:color w:val="0000FF"/>
            <w:u w:val="single"/>
            <w:rtl/>
          </w:rPr>
          <w:t>ע</w:t>
        </w:r>
        <w:r w:rsidR="00B5058C" w:rsidRPr="00B5058C">
          <w:rPr>
            <w:rFonts w:ascii="Calibri" w:hAnsi="Calibri" w:cs="FrankRuehl"/>
            <w:color w:val="0000FF"/>
            <w:u w:val="single"/>
            <w:rtl/>
          </w:rPr>
          <w:t>"</w:t>
        </w:r>
        <w:r w:rsidR="00B5058C" w:rsidRPr="00B5058C">
          <w:rPr>
            <w:rFonts w:ascii="Calibri" w:hAnsi="Calibri" w:cs="FrankRuehl" w:hint="eastAsia"/>
            <w:color w:val="0000FF"/>
            <w:u w:val="single"/>
            <w:rtl/>
          </w:rPr>
          <w:t>פ</w:t>
        </w:r>
        <w:r w:rsidR="00B5058C" w:rsidRPr="00B5058C">
          <w:rPr>
            <w:rFonts w:ascii="Calibri" w:hAnsi="Calibri" w:cs="FrankRuehl"/>
            <w:color w:val="0000FF"/>
            <w:u w:val="single"/>
            <w:rtl/>
          </w:rPr>
          <w:t xml:space="preserve"> 2083/96</w:t>
        </w:r>
      </w:hyperlink>
      <w:r w:rsidRPr="00577BFE">
        <w:rPr>
          <w:rFonts w:ascii="Calibri" w:hAnsi="Calibri" w:cs="FrankRuehl" w:hint="cs"/>
          <w:rtl/>
        </w:rPr>
        <w:t xml:space="preserve"> </w:t>
      </w:r>
      <w:r w:rsidRPr="00577BFE">
        <w:rPr>
          <w:rFonts w:ascii="Calibri" w:hAnsi="Calibri" w:cs="FrankRuehl" w:hint="cs"/>
          <w:b/>
          <w:bCs/>
          <w:u w:val="single"/>
          <w:rtl/>
        </w:rPr>
        <w:t>כתב</w:t>
      </w:r>
      <w:r w:rsidRPr="00577BFE">
        <w:rPr>
          <w:rFonts w:ascii="Calibri" w:hAnsi="Calibri" w:cs="FrankRuehl" w:hint="cs"/>
          <w:rtl/>
        </w:rPr>
        <w:t xml:space="preserve"> נ' </w:t>
      </w:r>
      <w:r w:rsidRPr="00577BFE">
        <w:rPr>
          <w:rFonts w:ascii="Calibri" w:hAnsi="Calibri" w:cs="FrankRuehl" w:hint="cs"/>
          <w:b/>
          <w:bCs/>
          <w:u w:val="single"/>
          <w:rtl/>
        </w:rPr>
        <w:t>מ"י</w:t>
      </w:r>
      <w:r w:rsidRPr="00577BFE">
        <w:rPr>
          <w:rFonts w:ascii="Calibri" w:hAnsi="Calibri" w:cs="FrankRuehl" w:hint="cs"/>
          <w:rtl/>
        </w:rPr>
        <w:t xml:space="preserve"> (מיום 21.8.1997) קבע בית המשפט העליון כי אי-הרשעה תיתכן בהינתן שני תנאים מצטברים: הראשון, כאשר טיב העבירה מאפשר אי-הרשעה מבחינת שיקולי הענישה ליחיד ולרבים; השני, כאשר הנזק העלול להיגרם לנאשם מעצם הרשעתו הוא קונקרטי ובלתי מידתי בנסיבות העניין. ראו בהקשר זה גם את </w:t>
      </w:r>
      <w:hyperlink r:id="rId33" w:history="1">
        <w:r w:rsidR="00B5058C" w:rsidRPr="00B5058C">
          <w:rPr>
            <w:rFonts w:ascii="Calibri" w:hAnsi="Calibri" w:cs="FrankRuehl" w:hint="eastAsia"/>
            <w:color w:val="0000FF"/>
            <w:u w:val="single"/>
            <w:rtl/>
          </w:rPr>
          <w:t>ע</w:t>
        </w:r>
        <w:r w:rsidR="00B5058C" w:rsidRPr="00B5058C">
          <w:rPr>
            <w:rFonts w:ascii="Calibri" w:hAnsi="Calibri" w:cs="FrankRuehl"/>
            <w:color w:val="0000FF"/>
            <w:u w:val="single"/>
            <w:rtl/>
          </w:rPr>
          <w:t>"</w:t>
        </w:r>
        <w:r w:rsidR="00B5058C" w:rsidRPr="00B5058C">
          <w:rPr>
            <w:rFonts w:ascii="Calibri" w:hAnsi="Calibri" w:cs="FrankRuehl" w:hint="eastAsia"/>
            <w:color w:val="0000FF"/>
            <w:u w:val="single"/>
            <w:rtl/>
          </w:rPr>
          <w:t>פ</w:t>
        </w:r>
        <w:r w:rsidR="00B5058C" w:rsidRPr="00B5058C">
          <w:rPr>
            <w:rFonts w:ascii="Calibri" w:hAnsi="Calibri" w:cs="FrankRuehl"/>
            <w:color w:val="0000FF"/>
            <w:u w:val="single"/>
            <w:rtl/>
          </w:rPr>
          <w:t xml:space="preserve"> 5985/13</w:t>
        </w:r>
      </w:hyperlink>
      <w:r w:rsidRPr="00577BFE">
        <w:rPr>
          <w:rFonts w:ascii="Calibri" w:hAnsi="Calibri" w:cs="FrankRuehl" w:hint="cs"/>
          <w:rtl/>
        </w:rPr>
        <w:t xml:space="preserve"> </w:t>
      </w:r>
      <w:r w:rsidRPr="00577BFE">
        <w:rPr>
          <w:rFonts w:ascii="Calibri" w:hAnsi="Calibri" w:cs="FrankRuehl" w:hint="cs"/>
          <w:b/>
          <w:bCs/>
          <w:u w:val="single"/>
          <w:rtl/>
        </w:rPr>
        <w:t>אבן</w:t>
      </w:r>
      <w:r w:rsidRPr="00577BFE">
        <w:rPr>
          <w:rFonts w:ascii="Calibri" w:hAnsi="Calibri" w:cs="FrankRuehl" w:hint="cs"/>
          <w:rtl/>
        </w:rPr>
        <w:t xml:space="preserve"> נ' </w:t>
      </w:r>
      <w:r w:rsidRPr="00577BFE">
        <w:rPr>
          <w:rFonts w:ascii="Calibri" w:hAnsi="Calibri" w:cs="FrankRuehl" w:hint="cs"/>
          <w:b/>
          <w:bCs/>
          <w:u w:val="single"/>
          <w:rtl/>
        </w:rPr>
        <w:t>מ"י</w:t>
      </w:r>
      <w:r w:rsidRPr="00577BFE">
        <w:rPr>
          <w:rFonts w:ascii="Calibri" w:hAnsi="Calibri" w:cs="FrankRuehl" w:hint="cs"/>
          <w:rtl/>
        </w:rPr>
        <w:t xml:space="preserve"> (מיום 2.4.2014) בפסקאות 6 ו-7. </w:t>
      </w:r>
    </w:p>
    <w:p w14:paraId="23CC519F" w14:textId="77777777" w:rsidR="00577BFE" w:rsidRPr="00577BFE" w:rsidRDefault="00577BFE" w:rsidP="00577BFE">
      <w:pPr>
        <w:spacing w:after="160" w:line="360" w:lineRule="auto"/>
        <w:jc w:val="both"/>
        <w:rPr>
          <w:rFonts w:ascii="Calibri" w:hAnsi="Calibri" w:cs="FrankRuehl"/>
          <w:rtl/>
        </w:rPr>
      </w:pPr>
      <w:r w:rsidRPr="00577BFE">
        <w:rPr>
          <w:rFonts w:ascii="Calibri" w:hAnsi="Calibri" w:cs="FrankRuehl" w:hint="cs"/>
          <w:b/>
          <w:bCs/>
          <w:rtl/>
        </w:rPr>
        <w:t>אשר לתנאי הראשון</w:t>
      </w:r>
      <w:r w:rsidRPr="00577BFE">
        <w:rPr>
          <w:rFonts w:ascii="Calibri" w:hAnsi="Calibri" w:cs="FrankRuehl" w:hint="cs"/>
          <w:rtl/>
        </w:rPr>
        <w:t xml:space="preserve"> </w:t>
      </w:r>
      <w:r w:rsidRPr="00577BFE">
        <w:rPr>
          <w:rFonts w:ascii="Calibri" w:hAnsi="Calibri" w:cs="FrankRuehl"/>
          <w:rtl/>
        </w:rPr>
        <w:t>–</w:t>
      </w:r>
      <w:r w:rsidRPr="00577BFE">
        <w:rPr>
          <w:rFonts w:ascii="Calibri" w:hAnsi="Calibri" w:cs="FrankRuehl" w:hint="cs"/>
          <w:rtl/>
        </w:rPr>
        <w:t xml:space="preserve"> שילוב הנסיבות העולה מכתב האישום, הן לעניין עבירות הסמים, הן לעניין עבירת הנהיגה,  מלמד, כי נסיבות ביצוע העבירות אינן קלות. אלא שטיב הסם "משחק תפקיד" משמעותי, והוא אינו מהחמורים, ולכן, לטעמי, ניתן לצלוח תנאי זה, גם אם בקושי. אזכיר, כי כל ספק, פועל לטובת נאשם בהליך הפלילי.</w:t>
      </w:r>
    </w:p>
    <w:p w14:paraId="7063F788" w14:textId="77777777" w:rsidR="00577BFE" w:rsidRPr="00577BFE" w:rsidRDefault="00577BFE" w:rsidP="00577BFE">
      <w:pPr>
        <w:spacing w:after="160" w:line="360" w:lineRule="auto"/>
        <w:jc w:val="both"/>
        <w:rPr>
          <w:rFonts w:ascii="Calibri" w:hAnsi="Calibri" w:cs="FrankRuehl"/>
          <w:rtl/>
        </w:rPr>
      </w:pPr>
      <w:r w:rsidRPr="00577BFE">
        <w:rPr>
          <w:rFonts w:ascii="Calibri" w:hAnsi="Calibri" w:cs="FrankRuehl" w:hint="cs"/>
          <w:b/>
          <w:bCs/>
          <w:rtl/>
        </w:rPr>
        <w:t>אשר לתנאי השני</w:t>
      </w:r>
      <w:r w:rsidRPr="00577BFE">
        <w:rPr>
          <w:rFonts w:ascii="Calibri" w:hAnsi="Calibri" w:cs="FrankRuehl" w:hint="cs"/>
          <w:rtl/>
        </w:rPr>
        <w:t xml:space="preserve"> </w:t>
      </w:r>
      <w:r w:rsidRPr="00577BFE">
        <w:rPr>
          <w:rFonts w:ascii="Calibri" w:hAnsi="Calibri" w:cs="FrankRuehl"/>
          <w:rtl/>
        </w:rPr>
        <w:t>–</w:t>
      </w:r>
      <w:r w:rsidRPr="00577BFE">
        <w:rPr>
          <w:rFonts w:ascii="Calibri" w:hAnsi="Calibri" w:cs="FrankRuehl" w:hint="cs"/>
          <w:rtl/>
        </w:rPr>
        <w:t xml:space="preserve"> שירות המבחן, בתסקירים האחרונים, עמד על הנזק הקונקרטי שייגרם מהותרת הרשעת הנאשם על כנה </w:t>
      </w:r>
      <w:r w:rsidRPr="00577BFE">
        <w:rPr>
          <w:rFonts w:ascii="Calibri" w:hAnsi="Calibri" w:cs="FrankRuehl"/>
          <w:rtl/>
        </w:rPr>
        <w:t>–</w:t>
      </w:r>
      <w:r w:rsidRPr="00577BFE">
        <w:rPr>
          <w:rFonts w:ascii="Calibri" w:hAnsi="Calibri" w:cs="FrankRuehl" w:hint="cs"/>
          <w:rtl/>
        </w:rPr>
        <w:t xml:space="preserve"> אי גיוסו לצה"ל, זאת על סמך פגישה בה השתתף קצין המבחן, עם רשויות הגיוס של הצבא. נזק שכזה הוא קונקרטי, ובלתי מידתי בהתחשב במכלול נסיבותיו של הנאשם </w:t>
      </w:r>
      <w:r w:rsidRPr="00577BFE">
        <w:rPr>
          <w:rFonts w:ascii="Calibri" w:hAnsi="Calibri" w:cs="FrankRuehl"/>
          <w:rtl/>
        </w:rPr>
        <w:t>–</w:t>
      </w:r>
      <w:r w:rsidRPr="00577BFE">
        <w:rPr>
          <w:rFonts w:ascii="Calibri" w:hAnsi="Calibri" w:cs="FrankRuehl" w:hint="cs"/>
          <w:rtl/>
        </w:rPr>
        <w:t xml:space="preserve"> צעיר, בן העדה האתיופית, שאת כל נעוריו הקדיש ללימודים, לרבות לימודים על-תיכוניים, מתוך כוונה להתגייס לצבא. הוא נעדר עבר פלילי, והכשל המשמעותי הנוכחי, אינו מעיד על אופיו, התנהלותו ותרומתו לחברה, ברוח הערכים להם מחנכת אותו משפחתו המרשימה. על-כן, הרשעה שתביא לאי-גיוסו לצה"ל, לאחר כל המאמץ שהשקיע לפני האירוע, ולאחריו, תחת צו פיקוח המעצרים, ובהתחשב בגילו הצעיר מאוד, תהא בלתי מידתית ותחרוג ממידת הדין. לכך יש להוסיף את המוטיבציה הגבוהה במיוחד שמביע הנאשם להתגייס לתפקיד קרבי משמעותי בצבא. הותרת ההרשעה על כנה לא תאפשר זאת, ולטעמי, נזקה יהיה רב על תועלתה, הן בהיבט הפרטני של הנאשם, והן בהיבט הציבורי </w:t>
      </w:r>
      <w:r w:rsidRPr="00577BFE">
        <w:rPr>
          <w:rFonts w:ascii="Calibri" w:hAnsi="Calibri" w:cs="FrankRuehl"/>
          <w:rtl/>
        </w:rPr>
        <w:t>–</w:t>
      </w:r>
      <w:r w:rsidRPr="00577BFE">
        <w:rPr>
          <w:rFonts w:ascii="Calibri" w:hAnsi="Calibri" w:cs="FrankRuehl" w:hint="cs"/>
          <w:rtl/>
        </w:rPr>
        <w:t xml:space="preserve"> כאשר הציבור עלול להינזק מהפסד פרט כה ערכי, שעשוי לתרום רבות לחברה בכללותה.</w:t>
      </w:r>
    </w:p>
    <w:p w14:paraId="461C1424" w14:textId="77777777" w:rsidR="00577BFE" w:rsidRPr="00577BFE" w:rsidRDefault="00577BFE" w:rsidP="00577BFE">
      <w:pPr>
        <w:spacing w:after="160" w:line="360" w:lineRule="auto"/>
        <w:jc w:val="both"/>
        <w:rPr>
          <w:rFonts w:ascii="Calibri" w:hAnsi="Calibri" w:cs="FrankRuehl"/>
          <w:b/>
          <w:bCs/>
          <w:rtl/>
        </w:rPr>
      </w:pPr>
      <w:r w:rsidRPr="00577BFE">
        <w:rPr>
          <w:rFonts w:ascii="Calibri" w:hAnsi="Calibri" w:cs="FrankRuehl" w:hint="cs"/>
          <w:b/>
          <w:bCs/>
          <w:rtl/>
        </w:rPr>
        <w:t>לפיכך, מורה על ביטול הרשעתו של הנאשם.</w:t>
      </w:r>
    </w:p>
    <w:p w14:paraId="3E3D8D1C" w14:textId="77777777" w:rsidR="00577BFE" w:rsidRPr="00577BFE" w:rsidRDefault="00577BFE" w:rsidP="00577BFE">
      <w:pPr>
        <w:spacing w:after="160" w:line="360" w:lineRule="auto"/>
        <w:jc w:val="both"/>
        <w:rPr>
          <w:rFonts w:ascii="Calibri" w:hAnsi="Calibri" w:cs="FrankRuehl"/>
          <w:rtl/>
        </w:rPr>
      </w:pPr>
    </w:p>
    <w:p w14:paraId="5A5B3174" w14:textId="77777777" w:rsidR="00577BFE" w:rsidRPr="00577BFE" w:rsidRDefault="00577BFE" w:rsidP="00577BFE">
      <w:pPr>
        <w:spacing w:after="160" w:line="360" w:lineRule="auto"/>
        <w:jc w:val="both"/>
        <w:rPr>
          <w:rFonts w:ascii="Calibri" w:hAnsi="Calibri" w:cs="FrankRuehl"/>
        </w:rPr>
      </w:pPr>
      <w:r w:rsidRPr="00577BFE">
        <w:rPr>
          <w:rFonts w:ascii="Calibri" w:hAnsi="Calibri" w:cs="FrankRuehl" w:hint="cs"/>
          <w:b/>
          <w:bCs/>
          <w:u w:val="single"/>
          <w:rtl/>
        </w:rPr>
        <w:t>המיקום במתחם</w:t>
      </w:r>
      <w:r w:rsidRPr="00577BFE">
        <w:rPr>
          <w:rFonts w:ascii="Calibri" w:hAnsi="Calibri" w:cs="FrankRuehl" w:hint="cs"/>
          <w:rtl/>
        </w:rPr>
        <w:t xml:space="preserve"> -  אלמלא התהליך הטיפולי שעבר הנאשם, וכוחותיו המרשימים להמשיך הלאה בדרך חיובית, היה מקום להעמיד את עונשו על התקופה המקסימלית של מאסר לריצוי בעבודות שרות, קרי, 9 חודשים. </w:t>
      </w:r>
    </w:p>
    <w:p w14:paraId="77851783" w14:textId="77777777" w:rsidR="00577BFE" w:rsidRPr="00577BFE" w:rsidRDefault="00577BFE" w:rsidP="00577BFE">
      <w:pPr>
        <w:spacing w:after="160" w:line="360" w:lineRule="auto"/>
        <w:jc w:val="both"/>
        <w:rPr>
          <w:rFonts w:ascii="Calibri" w:hAnsi="Calibri" w:cs="FrankRuehl"/>
          <w:b/>
          <w:bCs/>
          <w:u w:val="single"/>
          <w:rtl/>
        </w:rPr>
      </w:pPr>
    </w:p>
    <w:p w14:paraId="47E3FDC4" w14:textId="77777777" w:rsidR="00577BFE" w:rsidRPr="00577BFE" w:rsidRDefault="00577BFE" w:rsidP="00577BFE">
      <w:pPr>
        <w:spacing w:after="160" w:line="360" w:lineRule="auto"/>
        <w:jc w:val="both"/>
        <w:rPr>
          <w:rFonts w:ascii="Calibri" w:hAnsi="Calibri" w:cs="FrankRuehl"/>
          <w:b/>
          <w:bCs/>
          <w:u w:val="single"/>
          <w:rtl/>
        </w:rPr>
      </w:pPr>
      <w:r w:rsidRPr="00577BFE">
        <w:rPr>
          <w:rFonts w:ascii="Calibri" w:hAnsi="Calibri" w:cs="FrankRuehl" w:hint="cs"/>
          <w:b/>
          <w:bCs/>
          <w:u w:val="single"/>
          <w:rtl/>
        </w:rPr>
        <w:t xml:space="preserve">שיקולים לחריגה מן המתחם במקרים מתאימים </w:t>
      </w:r>
      <w:r w:rsidRPr="00577BFE">
        <w:rPr>
          <w:rFonts w:ascii="Calibri" w:hAnsi="Calibri" w:cs="FrankRuehl"/>
          <w:rtl/>
        </w:rPr>
        <w:t>–</w:t>
      </w:r>
      <w:r w:rsidRPr="00577BFE">
        <w:rPr>
          <w:rFonts w:ascii="Calibri" w:hAnsi="Calibri" w:cs="FrankRuehl" w:hint="cs"/>
          <w:rtl/>
        </w:rPr>
        <w:t xml:space="preserve"> המאשימה הסכימה כי יש לחרוג לקולא מטעמי שיקום ולכן לא אפרט מעבר לדרוש. עם זאת אציין, כי התוצאה העונשית אליה הגעתי, שונה מזו לא עתרה המאשימה.</w:t>
      </w:r>
    </w:p>
    <w:p w14:paraId="108B27BD" w14:textId="77777777" w:rsidR="00577BFE" w:rsidRPr="00577BFE" w:rsidRDefault="00577BFE" w:rsidP="00577BFE">
      <w:pPr>
        <w:spacing w:after="160" w:line="360" w:lineRule="auto"/>
        <w:jc w:val="both"/>
        <w:rPr>
          <w:rFonts w:ascii="Calibri" w:hAnsi="Calibri" w:cs="FrankRuehl"/>
          <w:rtl/>
        </w:rPr>
      </w:pPr>
    </w:p>
    <w:p w14:paraId="458047D7" w14:textId="77777777" w:rsidR="00577BFE" w:rsidRPr="00577BFE" w:rsidRDefault="00577BFE" w:rsidP="00577BFE">
      <w:pPr>
        <w:spacing w:after="160" w:line="360" w:lineRule="auto"/>
        <w:jc w:val="both"/>
        <w:rPr>
          <w:rFonts w:ascii="Calibri" w:hAnsi="Calibri" w:cs="FrankRuehl"/>
          <w:b/>
          <w:bCs/>
          <w:u w:val="single"/>
          <w:rtl/>
        </w:rPr>
      </w:pPr>
      <w:r w:rsidRPr="00577BFE">
        <w:rPr>
          <w:rFonts w:ascii="Calibri" w:hAnsi="Calibri" w:cs="FrankRuehl" w:hint="cs"/>
          <w:b/>
          <w:bCs/>
          <w:u w:val="single"/>
          <w:rtl/>
        </w:rPr>
        <w:t>גזירת הדין</w:t>
      </w:r>
    </w:p>
    <w:p w14:paraId="6550D633" w14:textId="77777777" w:rsidR="00577BFE" w:rsidRPr="00577BFE" w:rsidRDefault="00577BFE" w:rsidP="00577BFE">
      <w:pPr>
        <w:spacing w:after="160" w:line="360" w:lineRule="auto"/>
        <w:jc w:val="both"/>
        <w:rPr>
          <w:rFonts w:ascii="Calibri" w:hAnsi="Calibri" w:cs="FrankRuehl"/>
          <w:rtl/>
        </w:rPr>
      </w:pPr>
      <w:r w:rsidRPr="00577BFE">
        <w:rPr>
          <w:rFonts w:ascii="Calibri" w:hAnsi="Calibri" w:cs="FrankRuehl" w:hint="cs"/>
          <w:rtl/>
        </w:rPr>
        <w:t>לפיכך, אני מחליט לגזור על הנאשם את העונשים הבאים:</w:t>
      </w:r>
    </w:p>
    <w:p w14:paraId="69364D39" w14:textId="77777777" w:rsidR="00577BFE" w:rsidRPr="00577BFE" w:rsidRDefault="00577BFE" w:rsidP="00577BFE">
      <w:pPr>
        <w:numPr>
          <w:ilvl w:val="0"/>
          <w:numId w:val="1"/>
        </w:numPr>
        <w:spacing w:after="160" w:line="360" w:lineRule="auto"/>
        <w:contextualSpacing/>
        <w:jc w:val="both"/>
        <w:rPr>
          <w:rFonts w:ascii="Calibri" w:hAnsi="Calibri" w:cs="FrankRuehl"/>
          <w:rtl/>
        </w:rPr>
      </w:pPr>
      <w:r w:rsidRPr="00577BFE">
        <w:rPr>
          <w:rFonts w:ascii="Calibri" w:hAnsi="Calibri" w:cs="FrankRuehl" w:hint="cs"/>
          <w:rtl/>
        </w:rPr>
        <w:t>300 שעות שירות לתועלת הציבור (של"ץ), אשר ירוצו החל מיום 1.1.20 ע"פ תוכנית שיכין שירות המבחן. השל"ץ יכול להיות  מבוצע במכינה, בהתאם להנחיית שירות המבחן והודעה שימסור לבית המשפט בתוך 30 יום. הנאשם הוזהר כי אי-קיום צו השל"ץ באופן משביע רצון עלול להביא להפקעת הצו ולדיון מחודש בשאלת גזר הדין הראוי לרבות הרשעה והטלת מאסר בפועל;</w:t>
      </w:r>
    </w:p>
    <w:p w14:paraId="633D76B8" w14:textId="77777777" w:rsidR="00577BFE" w:rsidRPr="00577BFE" w:rsidRDefault="00577BFE" w:rsidP="00577BFE">
      <w:pPr>
        <w:numPr>
          <w:ilvl w:val="0"/>
          <w:numId w:val="1"/>
        </w:numPr>
        <w:spacing w:after="160" w:line="360" w:lineRule="auto"/>
        <w:contextualSpacing/>
        <w:jc w:val="both"/>
        <w:rPr>
          <w:rFonts w:ascii="Calibri" w:hAnsi="Calibri" w:cs="FrankRuehl"/>
          <w:rtl/>
        </w:rPr>
      </w:pPr>
      <w:r w:rsidRPr="00577BFE">
        <w:rPr>
          <w:rFonts w:ascii="Calibri" w:hAnsi="Calibri" w:cs="FrankRuehl" w:hint="cs"/>
          <w:rtl/>
        </w:rPr>
        <w:t>צו מבחן לתקופה של 12 חודשים.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48006A14" w14:textId="77777777" w:rsidR="00577BFE" w:rsidRPr="00577BFE" w:rsidRDefault="00577BFE" w:rsidP="00577BFE">
      <w:pPr>
        <w:numPr>
          <w:ilvl w:val="0"/>
          <w:numId w:val="1"/>
        </w:numPr>
        <w:spacing w:after="160" w:line="360" w:lineRule="auto"/>
        <w:contextualSpacing/>
        <w:jc w:val="both"/>
        <w:rPr>
          <w:rFonts w:ascii="Calibri" w:hAnsi="Calibri" w:cs="FrankRuehl"/>
        </w:rPr>
      </w:pPr>
      <w:r w:rsidRPr="00577BFE">
        <w:rPr>
          <w:rFonts w:ascii="Calibri" w:hAnsi="Calibri" w:cs="FrankRuehl" w:hint="cs"/>
          <w:rtl/>
        </w:rPr>
        <w:t>מכיוון שלא ניתן להטיל קנס לאחר שבוטלה הרשעת הנאשם, מחייב את הנאשם בפיצוי לטובת "עמותת אל-סם" בסך 2,000 ₪ . הפיצוי ישולם ב-5  תשלומים שווים ורצופים החל מיום 1.1.2020 , וב-1 לכל חודש רציף ועוקב. אי עמידה בתשלום מי מהתשלומים תביא לפירעון מיידי של הפיצוי ולתוספת הפרשי הצמדה וריבית פיגורים כחוק;</w:t>
      </w:r>
    </w:p>
    <w:p w14:paraId="52F2570F" w14:textId="77777777" w:rsidR="00577BFE" w:rsidRPr="00577BFE" w:rsidRDefault="00577BFE" w:rsidP="00577BFE">
      <w:pPr>
        <w:numPr>
          <w:ilvl w:val="0"/>
          <w:numId w:val="1"/>
        </w:numPr>
        <w:spacing w:after="160" w:line="360" w:lineRule="auto"/>
        <w:contextualSpacing/>
        <w:jc w:val="both"/>
        <w:rPr>
          <w:rFonts w:ascii="Calibri" w:hAnsi="Calibri" w:cs="FrankRuehl"/>
        </w:rPr>
      </w:pPr>
      <w:r w:rsidRPr="00577BFE">
        <w:rPr>
          <w:rFonts w:ascii="Calibri" w:hAnsi="Calibri" w:cs="FrankRuehl" w:hint="cs"/>
          <w:rtl/>
        </w:rPr>
        <w:t>התחייבות בסך 10,000  ₪ שלא לעבור כל עבירה לפי פקודת הסמים (לרבות שימוש עצמי) במשך שנתיים מהיום או 10 ימי מאסר תמורתה אם לא תיחתם. הובהר לנאשם שמשמעות ההתחייבות היא, כי אם יעבור את העבירה בתוך התקופה שצוינה, בית המשפט שיגזור את הדין יהא חייב לחלט את ההתחייבות כקנס.</w:t>
      </w:r>
    </w:p>
    <w:p w14:paraId="3602B377" w14:textId="77777777" w:rsidR="00577BFE" w:rsidRDefault="00577BFE" w:rsidP="00577BFE">
      <w:pPr>
        <w:rPr>
          <w:rFonts w:cs="FrankRuehl"/>
          <w:rtl/>
        </w:rPr>
      </w:pPr>
    </w:p>
    <w:p w14:paraId="20ABADFB" w14:textId="77777777" w:rsidR="00577BFE" w:rsidRDefault="00577BFE" w:rsidP="00577BFE">
      <w:pPr>
        <w:rPr>
          <w:rFonts w:cs="FrankRuehl"/>
          <w:rtl/>
        </w:rPr>
      </w:pPr>
    </w:p>
    <w:p w14:paraId="753E302D" w14:textId="77777777" w:rsidR="00577BFE" w:rsidRDefault="00577BFE" w:rsidP="00577BFE">
      <w:pPr>
        <w:rPr>
          <w:rFonts w:cs="FrankRuehl"/>
          <w:rtl/>
        </w:rPr>
      </w:pPr>
      <w:r>
        <w:rPr>
          <w:rFonts w:cs="FrankRuehl" w:hint="cs"/>
          <w:rtl/>
        </w:rPr>
        <w:t xml:space="preserve">פועל יוצא מכל האמור, שאינני מקבל את העתירה להכריז על הנאשם סוחר סמים. </w:t>
      </w:r>
    </w:p>
    <w:p w14:paraId="6DCB1ED0" w14:textId="77777777" w:rsidR="00577BFE" w:rsidRDefault="00577BFE" w:rsidP="00577BFE">
      <w:pPr>
        <w:rPr>
          <w:rFonts w:cs="FrankRuehl"/>
          <w:rtl/>
        </w:rPr>
      </w:pPr>
    </w:p>
    <w:p w14:paraId="246A0421" w14:textId="77777777" w:rsidR="00577BFE" w:rsidRDefault="00577BFE" w:rsidP="00577BFE">
      <w:pPr>
        <w:rPr>
          <w:rFonts w:cs="FrankRuehl"/>
          <w:rtl/>
        </w:rPr>
      </w:pPr>
      <w:r>
        <w:rPr>
          <w:rFonts w:cs="FrankRuehl" w:hint="cs"/>
          <w:rtl/>
        </w:rPr>
        <w:t xml:space="preserve">יש להשמיד את הסמים ולהשיב את הרכב לבעליו </w:t>
      </w:r>
      <w:r>
        <w:rPr>
          <w:rFonts w:cs="FrankRuehl"/>
          <w:rtl/>
        </w:rPr>
        <w:t>–</w:t>
      </w:r>
      <w:r>
        <w:rPr>
          <w:rFonts w:cs="FrankRuehl" w:hint="cs"/>
          <w:rtl/>
        </w:rPr>
        <w:t xml:space="preserve"> סעיף זה לא ייכנס לתוקף אלא בעבור 45 יום מהיום.</w:t>
      </w:r>
    </w:p>
    <w:p w14:paraId="122D357E" w14:textId="77777777" w:rsidR="00577BFE" w:rsidRDefault="00577BFE" w:rsidP="00577BFE">
      <w:pPr>
        <w:rPr>
          <w:rFonts w:cs="FrankRuehl"/>
          <w:rtl/>
        </w:rPr>
      </w:pPr>
    </w:p>
    <w:p w14:paraId="6B69CB88" w14:textId="77777777" w:rsidR="00577BFE" w:rsidRDefault="00577BFE" w:rsidP="00577BFE">
      <w:pPr>
        <w:rPr>
          <w:rFonts w:cs="FrankRuehl"/>
          <w:rtl/>
        </w:rPr>
      </w:pPr>
    </w:p>
    <w:p w14:paraId="54B2196A" w14:textId="77777777" w:rsidR="00577BFE" w:rsidRDefault="00577BFE" w:rsidP="00577BFE">
      <w:pPr>
        <w:rPr>
          <w:rFonts w:cs="FrankRuehl"/>
          <w:rtl/>
        </w:rPr>
      </w:pPr>
      <w:r>
        <w:rPr>
          <w:rFonts w:cs="FrankRuehl" w:hint="cs"/>
          <w:rtl/>
        </w:rPr>
        <w:t>יש לשלוח לשירות המבחן ולממונה על עבודות שירות.</w:t>
      </w:r>
    </w:p>
    <w:p w14:paraId="4F85DED5" w14:textId="77777777" w:rsidR="00577BFE" w:rsidRDefault="00577BFE" w:rsidP="00577BFE">
      <w:pPr>
        <w:rPr>
          <w:rFonts w:cs="FrankRuehl"/>
        </w:rPr>
      </w:pPr>
    </w:p>
    <w:p w14:paraId="5DC27DB9" w14:textId="77777777" w:rsidR="00577BFE" w:rsidRDefault="00577BFE" w:rsidP="00577BFE">
      <w:pPr>
        <w:rPr>
          <w:rFonts w:cs="FrankRuehl"/>
          <w:rtl/>
        </w:rPr>
      </w:pPr>
    </w:p>
    <w:p w14:paraId="095E1513" w14:textId="77777777" w:rsidR="00577BFE" w:rsidRDefault="00B5058C" w:rsidP="00577BFE">
      <w:pPr>
        <w:rPr>
          <w:rFonts w:cs="FrankRuehl"/>
        </w:rPr>
      </w:pPr>
      <w:r w:rsidRPr="00B5058C">
        <w:rPr>
          <w:rFonts w:cs="FrankRuehl"/>
          <w:color w:val="FFFFFF"/>
          <w:sz w:val="2"/>
          <w:szCs w:val="2"/>
          <w:rtl/>
        </w:rPr>
        <w:t>5129371</w:t>
      </w:r>
      <w:r w:rsidR="00577BFE">
        <w:rPr>
          <w:rFonts w:cs="FrankRuehl" w:hint="cs"/>
          <w:rtl/>
        </w:rPr>
        <w:t>זכות ערעור כחוק לבית המשפט המחוזי בירושלים בתוך 45 יום מהיום.</w:t>
      </w:r>
    </w:p>
    <w:p w14:paraId="795B3ED5" w14:textId="77777777" w:rsidR="00577BFE" w:rsidRPr="00B5058C" w:rsidRDefault="00B5058C" w:rsidP="00577BFE">
      <w:pPr>
        <w:rPr>
          <w:color w:val="FFFFFF"/>
          <w:sz w:val="2"/>
          <w:szCs w:val="2"/>
        </w:rPr>
      </w:pPr>
      <w:r w:rsidRPr="00B5058C">
        <w:rPr>
          <w:color w:val="FFFFFF"/>
          <w:sz w:val="2"/>
          <w:szCs w:val="2"/>
          <w:rtl/>
        </w:rPr>
        <w:t>54678313</w:t>
      </w:r>
    </w:p>
    <w:p w14:paraId="3C8675C7" w14:textId="77777777" w:rsidR="00577BFE" w:rsidRPr="00CD0BC3" w:rsidRDefault="00577BFE" w:rsidP="00577BFE">
      <w:pPr>
        <w:rPr>
          <w:rFonts w:cs="FrankRuehl"/>
          <w:rtl/>
        </w:rPr>
      </w:pPr>
    </w:p>
    <w:p w14:paraId="0D612BA3" w14:textId="77777777" w:rsidR="00577BFE" w:rsidRPr="00CD0BC3" w:rsidRDefault="00B5058C" w:rsidP="00577BFE">
      <w:pPr>
        <w:rPr>
          <w:rFonts w:cs="FrankRuehl"/>
          <w:sz w:val="28"/>
          <w:szCs w:val="28"/>
          <w:rtl/>
        </w:rPr>
      </w:pPr>
      <w:bookmarkStart w:id="7" w:name="Nitan"/>
      <w:r>
        <w:rPr>
          <w:rFonts w:ascii="Arial" w:hAnsi="Arial" w:cs="FrankRuehl"/>
          <w:rtl/>
        </w:rPr>
        <w:t xml:space="preserve">ניתן היום,  ה' חשוון תש"פ, 03 נובמבר 2019, בנוכחות הצדדים. </w:t>
      </w:r>
      <w:bookmarkEnd w:id="7"/>
    </w:p>
    <w:p w14:paraId="63D3C59C" w14:textId="77777777" w:rsidR="00577BFE" w:rsidRPr="00CD0BC3" w:rsidRDefault="00577BFE" w:rsidP="00B5058C">
      <w:pPr>
        <w:jc w:val="center"/>
      </w:pPr>
      <w:r w:rsidRPr="00CD0BC3">
        <w:rPr>
          <w:rFonts w:cs="FrankRuehl" w:hint="cs"/>
          <w:rtl/>
        </w:rPr>
        <w:t xml:space="preserve">   </w:t>
      </w:r>
      <w:r w:rsidRPr="00CD0BC3">
        <w:rPr>
          <w:rFonts w:cs="FrankRuehl" w:hint="cs"/>
          <w:rtl/>
        </w:rPr>
        <w:tab/>
      </w:r>
      <w:r w:rsidRPr="00CD0BC3">
        <w:rPr>
          <w:rFonts w:cs="FrankRuehl" w:hint="cs"/>
          <w:rtl/>
        </w:rPr>
        <w:tab/>
      </w:r>
      <w:r w:rsidRPr="00CD0BC3">
        <w:rPr>
          <w:rFonts w:cs="FrankRuehl" w:hint="cs"/>
          <w:rtl/>
        </w:rPr>
        <w:tab/>
      </w:r>
      <w:r w:rsidRPr="00CD0BC3">
        <w:rPr>
          <w:rFonts w:cs="FrankRuehl" w:hint="cs"/>
          <w:rtl/>
        </w:rPr>
        <w:tab/>
      </w:r>
      <w:r w:rsidRPr="00CD0BC3">
        <w:rPr>
          <w:rFonts w:cs="FrankRuehl" w:hint="cs"/>
          <w:rtl/>
        </w:rPr>
        <w:tab/>
      </w:r>
    </w:p>
    <w:p w14:paraId="4E50D0C1" w14:textId="77777777" w:rsidR="00577BFE" w:rsidRPr="000B6404" w:rsidRDefault="000B6404" w:rsidP="00577BFE">
      <w:pPr>
        <w:jc w:val="center"/>
        <w:rPr>
          <w:rFonts w:ascii="Arial" w:hAnsi="Arial" w:cs="FrankRuehl"/>
          <w:color w:val="FFFFFF"/>
          <w:sz w:val="2"/>
          <w:szCs w:val="2"/>
          <w:rtl/>
        </w:rPr>
      </w:pPr>
      <w:r w:rsidRPr="000B6404">
        <w:rPr>
          <w:rFonts w:ascii="Arial" w:hAnsi="Arial" w:cs="FrankRuehl"/>
          <w:color w:val="FFFFFF"/>
          <w:sz w:val="2"/>
          <w:szCs w:val="2"/>
          <w:rtl/>
        </w:rPr>
        <w:t>5129371</w:t>
      </w:r>
    </w:p>
    <w:p w14:paraId="0D656936" w14:textId="77777777" w:rsidR="000C54D5" w:rsidRPr="000B6404" w:rsidRDefault="000B6404" w:rsidP="00B5058C">
      <w:pPr>
        <w:keepNext/>
        <w:rPr>
          <w:rFonts w:ascii="David" w:hAnsi="David"/>
          <w:color w:val="FFFFFF"/>
          <w:sz w:val="2"/>
          <w:szCs w:val="2"/>
          <w:rtl/>
        </w:rPr>
      </w:pPr>
      <w:r w:rsidRPr="000B6404">
        <w:rPr>
          <w:rFonts w:ascii="David" w:hAnsi="David"/>
          <w:color w:val="FFFFFF"/>
          <w:sz w:val="2"/>
          <w:szCs w:val="2"/>
          <w:rtl/>
        </w:rPr>
        <w:t>54678313</w:t>
      </w:r>
    </w:p>
    <w:p w14:paraId="06820214" w14:textId="77777777" w:rsidR="00B5058C" w:rsidRDefault="00B5058C" w:rsidP="00B5058C">
      <w:pPr>
        <w:rPr>
          <w:rtl/>
        </w:rPr>
      </w:pPr>
    </w:p>
    <w:p w14:paraId="44967B5A" w14:textId="77777777" w:rsidR="00B5058C" w:rsidRDefault="00B5058C" w:rsidP="00B5058C">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5C070D7A" w14:textId="77777777" w:rsidR="000B6404" w:rsidRPr="000B6404" w:rsidRDefault="000B6404" w:rsidP="000B6404">
      <w:pPr>
        <w:keepNext/>
        <w:rPr>
          <w:rFonts w:ascii="David" w:hAnsi="David"/>
          <w:color w:val="000000"/>
          <w:sz w:val="22"/>
          <w:szCs w:val="22"/>
          <w:rtl/>
        </w:rPr>
      </w:pPr>
    </w:p>
    <w:p w14:paraId="159CDCBC" w14:textId="77777777" w:rsidR="000B6404" w:rsidRPr="000B6404" w:rsidRDefault="000B6404" w:rsidP="000B6404">
      <w:pPr>
        <w:keepNext/>
        <w:rPr>
          <w:rFonts w:ascii="David" w:hAnsi="David"/>
          <w:color w:val="000000"/>
          <w:sz w:val="22"/>
          <w:szCs w:val="22"/>
          <w:rtl/>
        </w:rPr>
      </w:pPr>
      <w:r w:rsidRPr="000B6404">
        <w:rPr>
          <w:rFonts w:ascii="David" w:hAnsi="David"/>
          <w:color w:val="000000"/>
          <w:sz w:val="22"/>
          <w:szCs w:val="22"/>
          <w:rtl/>
        </w:rPr>
        <w:t>דוד שאול גבאי ריכטר 54678313-/</w:t>
      </w:r>
    </w:p>
    <w:p w14:paraId="3DCCE2DA" w14:textId="77777777" w:rsidR="00B5058C" w:rsidRPr="00B5058C" w:rsidRDefault="000B6404" w:rsidP="000B6404">
      <w:pPr>
        <w:rPr>
          <w:color w:val="0000FF"/>
          <w:u w:val="single"/>
        </w:rPr>
      </w:pPr>
      <w:r w:rsidRPr="000B6404">
        <w:rPr>
          <w:color w:val="000000"/>
          <w:u w:val="single"/>
          <w:rtl/>
        </w:rPr>
        <w:t>נוסח מסמך זה כפוף לשינויי ניסוח ועריכה</w:t>
      </w:r>
    </w:p>
    <w:sectPr w:rsidR="00B5058C" w:rsidRPr="00B5058C" w:rsidSect="000B6404">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54E5B" w14:textId="77777777" w:rsidR="005F695C" w:rsidRDefault="005F695C" w:rsidP="00B40B95">
      <w:r>
        <w:separator/>
      </w:r>
    </w:p>
  </w:endnote>
  <w:endnote w:type="continuationSeparator" w:id="0">
    <w:p w14:paraId="01C6B897" w14:textId="77777777" w:rsidR="005F695C" w:rsidRDefault="005F695C" w:rsidP="00B40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EC8D5" w14:textId="77777777" w:rsidR="000B6404" w:rsidRDefault="000B6404" w:rsidP="000B640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01B6772" w14:textId="77777777" w:rsidR="001C6D08" w:rsidRPr="000B6404" w:rsidRDefault="000B6404" w:rsidP="000B6404">
    <w:pPr>
      <w:pStyle w:val="a5"/>
      <w:pBdr>
        <w:top w:val="single" w:sz="4" w:space="1" w:color="auto"/>
        <w:between w:val="single" w:sz="4" w:space="0" w:color="auto"/>
      </w:pBdr>
      <w:spacing w:after="60"/>
      <w:jc w:val="center"/>
      <w:rPr>
        <w:rFonts w:ascii="FrankRuehl" w:hAnsi="FrankRuehl" w:cs="FrankRuehl"/>
        <w:color w:val="000000"/>
      </w:rPr>
    </w:pPr>
    <w:r w:rsidRPr="000B640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9CC42" w14:textId="77777777" w:rsidR="000B6404" w:rsidRDefault="000B6404" w:rsidP="000B640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54591">
      <w:rPr>
        <w:rFonts w:ascii="FrankRuehl" w:hAnsi="FrankRuehl" w:cs="FrankRuehl"/>
        <w:noProof/>
        <w:rtl/>
      </w:rPr>
      <w:t>1</w:t>
    </w:r>
    <w:r>
      <w:rPr>
        <w:rFonts w:ascii="FrankRuehl" w:hAnsi="FrankRuehl" w:cs="FrankRuehl"/>
        <w:rtl/>
      </w:rPr>
      <w:fldChar w:fldCharType="end"/>
    </w:r>
  </w:p>
  <w:p w14:paraId="4B3DFE15" w14:textId="77777777" w:rsidR="001C6D08" w:rsidRPr="000B6404" w:rsidRDefault="000B6404" w:rsidP="000B6404">
    <w:pPr>
      <w:pStyle w:val="a5"/>
      <w:pBdr>
        <w:top w:val="single" w:sz="4" w:space="1" w:color="auto"/>
        <w:between w:val="single" w:sz="4" w:space="0" w:color="auto"/>
      </w:pBdr>
      <w:spacing w:after="60"/>
      <w:jc w:val="center"/>
      <w:rPr>
        <w:rFonts w:ascii="FrankRuehl" w:hAnsi="FrankRuehl" w:cs="FrankRuehl"/>
        <w:color w:val="000000"/>
      </w:rPr>
    </w:pPr>
    <w:r w:rsidRPr="000B6404">
      <w:rPr>
        <w:rFonts w:ascii="FrankRuehl" w:hAnsi="FrankRuehl" w:cs="FrankRuehl"/>
        <w:color w:val="000000"/>
      </w:rPr>
      <w:pict w14:anchorId="1E5ED0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31FA9" w14:textId="77777777" w:rsidR="005F695C" w:rsidRDefault="005F695C" w:rsidP="00B40B95">
      <w:r>
        <w:separator/>
      </w:r>
    </w:p>
  </w:footnote>
  <w:footnote w:type="continuationSeparator" w:id="0">
    <w:p w14:paraId="5FC952DE" w14:textId="77777777" w:rsidR="005F695C" w:rsidRDefault="005F695C" w:rsidP="00B40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693DE" w14:textId="77777777" w:rsidR="00B5058C" w:rsidRPr="000B6404" w:rsidRDefault="000B6404" w:rsidP="000B640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11267-01-18</w:t>
    </w:r>
    <w:r>
      <w:rPr>
        <w:rFonts w:ascii="David" w:hAnsi="David"/>
        <w:color w:val="000000"/>
        <w:sz w:val="22"/>
        <w:szCs w:val="22"/>
        <w:rtl/>
      </w:rPr>
      <w:tab/>
      <w:t xml:space="preserve"> מדינת ישראל נ' עידן ונדה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F6AF5" w14:textId="77777777" w:rsidR="00B5058C" w:rsidRPr="000B6404" w:rsidRDefault="000B6404" w:rsidP="000B640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11267-01-18</w:t>
    </w:r>
    <w:r>
      <w:rPr>
        <w:rFonts w:ascii="David" w:hAnsi="David"/>
        <w:color w:val="000000"/>
        <w:sz w:val="22"/>
        <w:szCs w:val="22"/>
        <w:rtl/>
      </w:rPr>
      <w:tab/>
      <w:t xml:space="preserve"> מדינת ישראל נ' עידן ונדה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7380983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77BFE"/>
    <w:rsid w:val="000B6404"/>
    <w:rsid w:val="000C54D5"/>
    <w:rsid w:val="001C6D08"/>
    <w:rsid w:val="002A4ACA"/>
    <w:rsid w:val="00381020"/>
    <w:rsid w:val="00577BFE"/>
    <w:rsid w:val="005C06BD"/>
    <w:rsid w:val="005F695C"/>
    <w:rsid w:val="00B40B95"/>
    <w:rsid w:val="00B5058C"/>
    <w:rsid w:val="00F545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996D94"/>
  <w15:chartTrackingRefBased/>
  <w15:docId w15:val="{14C51C1C-61B3-40C3-B03B-B6DA965D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7BF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77BFE"/>
    <w:pPr>
      <w:tabs>
        <w:tab w:val="center" w:pos="4153"/>
        <w:tab w:val="right" w:pos="8306"/>
      </w:tabs>
    </w:pPr>
  </w:style>
  <w:style w:type="character" w:customStyle="1" w:styleId="a4">
    <w:name w:val="כותרת עליונה תו"/>
    <w:link w:val="a3"/>
    <w:rsid w:val="00577BFE"/>
    <w:rPr>
      <w:rFonts w:ascii="Times New Roman" w:eastAsia="Times New Roman" w:hAnsi="Times New Roman" w:cs="David"/>
      <w:sz w:val="24"/>
      <w:szCs w:val="24"/>
    </w:rPr>
  </w:style>
  <w:style w:type="paragraph" w:styleId="a5">
    <w:name w:val="footer"/>
    <w:basedOn w:val="a"/>
    <w:link w:val="a6"/>
    <w:rsid w:val="00577BFE"/>
    <w:pPr>
      <w:tabs>
        <w:tab w:val="center" w:pos="4153"/>
        <w:tab w:val="right" w:pos="8306"/>
      </w:tabs>
    </w:pPr>
  </w:style>
  <w:style w:type="character" w:customStyle="1" w:styleId="a6">
    <w:name w:val="כותרת תחתונה תו"/>
    <w:link w:val="a5"/>
    <w:rsid w:val="00577BFE"/>
    <w:rPr>
      <w:rFonts w:ascii="Times New Roman" w:eastAsia="Times New Roman" w:hAnsi="Times New Roman" w:cs="David"/>
      <w:sz w:val="24"/>
      <w:szCs w:val="24"/>
    </w:rPr>
  </w:style>
  <w:style w:type="table" w:styleId="a7">
    <w:name w:val="Table Grid"/>
    <w:basedOn w:val="a1"/>
    <w:rsid w:val="00577BF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77BFE"/>
  </w:style>
  <w:style w:type="character" w:styleId="Hyperlink">
    <w:name w:val="Hyperlink"/>
    <w:rsid w:val="00B5058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19" TargetMode="External"/><Relationship Id="rId26" Type="http://schemas.openxmlformats.org/officeDocument/2006/relationships/hyperlink" Target="http://www.nevo.co.il/law/70301" TargetMode="External"/><Relationship Id="rId39" Type="http://schemas.openxmlformats.org/officeDocument/2006/relationships/fontTable" Target="fontTable.xml"/><Relationship Id="rId21" Type="http://schemas.openxmlformats.org/officeDocument/2006/relationships/hyperlink" Target="http://www.nevo.co.il/law/4216/7.c"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70301/40i" TargetMode="External"/><Relationship Id="rId33" Type="http://schemas.openxmlformats.org/officeDocument/2006/relationships/hyperlink" Target="http://www.nevo.co.il/case/7980179"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40ja" TargetMode="External"/><Relationship Id="rId20" Type="http://schemas.openxmlformats.org/officeDocument/2006/relationships/hyperlink" Target="http://www.nevo.co.il/law/4216/7.a" TargetMode="External"/><Relationship Id="rId29" Type="http://schemas.openxmlformats.org/officeDocument/2006/relationships/hyperlink" Target="http://www.nevo.co.il/case/209361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 TargetMode="External"/><Relationship Id="rId24" Type="http://schemas.openxmlformats.org/officeDocument/2006/relationships/hyperlink" Target="http://www.nevo.co.il/law/70301/275" TargetMode="External"/><Relationship Id="rId32" Type="http://schemas.openxmlformats.org/officeDocument/2006/relationships/hyperlink" Target="http://www.nevo.co.il/case/581078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338.a.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0321459" TargetMode="External"/><Relationship Id="rId36"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75" TargetMode="External"/><Relationship Id="rId22" Type="http://schemas.openxmlformats.org/officeDocument/2006/relationships/hyperlink" Target="http://www.nevo.co.il/law/70301/338.a.1" TargetMode="External"/><Relationship Id="rId27" Type="http://schemas.openxmlformats.org/officeDocument/2006/relationships/hyperlink" Target="http://www.nevo.co.il/case/22240058" TargetMode="External"/><Relationship Id="rId30" Type="http://schemas.openxmlformats.org/officeDocument/2006/relationships/hyperlink" Target="http://www.nevo.co.il/law/70301/40ja" TargetMode="External"/><Relationship Id="rId35" Type="http://schemas.openxmlformats.org/officeDocument/2006/relationships/header" Target="head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2699</Words>
  <Characters>13500</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16167</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3604602</vt:i4>
      </vt:variant>
      <vt:variant>
        <vt:i4>78</vt:i4>
      </vt:variant>
      <vt:variant>
        <vt:i4>0</vt:i4>
      </vt:variant>
      <vt:variant>
        <vt:i4>5</vt:i4>
      </vt:variant>
      <vt:variant>
        <vt:lpwstr>http://www.nevo.co.il/case/7980179</vt:lpwstr>
      </vt:variant>
      <vt:variant>
        <vt:lpwstr/>
      </vt:variant>
      <vt:variant>
        <vt:i4>3276916</vt:i4>
      </vt:variant>
      <vt:variant>
        <vt:i4>75</vt:i4>
      </vt:variant>
      <vt:variant>
        <vt:i4>0</vt:i4>
      </vt:variant>
      <vt:variant>
        <vt:i4>5</vt:i4>
      </vt:variant>
      <vt:variant>
        <vt:lpwstr>http://www.nevo.co.il/case/5810781</vt:lpwstr>
      </vt:variant>
      <vt:variant>
        <vt:lpwstr/>
      </vt:variant>
      <vt:variant>
        <vt:i4>7995492</vt:i4>
      </vt:variant>
      <vt:variant>
        <vt:i4>72</vt:i4>
      </vt:variant>
      <vt:variant>
        <vt:i4>0</vt:i4>
      </vt:variant>
      <vt:variant>
        <vt:i4>5</vt:i4>
      </vt:variant>
      <vt:variant>
        <vt:lpwstr>http://www.nevo.co.il/law/70301</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3473526</vt:i4>
      </vt:variant>
      <vt:variant>
        <vt:i4>66</vt:i4>
      </vt:variant>
      <vt:variant>
        <vt:i4>0</vt:i4>
      </vt:variant>
      <vt:variant>
        <vt:i4>5</vt:i4>
      </vt:variant>
      <vt:variant>
        <vt:lpwstr>http://www.nevo.co.il/case/20936185</vt:lpwstr>
      </vt:variant>
      <vt:variant>
        <vt:lpwstr/>
      </vt:variant>
      <vt:variant>
        <vt:i4>3473522</vt:i4>
      </vt:variant>
      <vt:variant>
        <vt:i4>63</vt:i4>
      </vt:variant>
      <vt:variant>
        <vt:i4>0</vt:i4>
      </vt:variant>
      <vt:variant>
        <vt:i4>5</vt:i4>
      </vt:variant>
      <vt:variant>
        <vt:lpwstr>http://www.nevo.co.il/case/20321459</vt:lpwstr>
      </vt:variant>
      <vt:variant>
        <vt:lpwstr/>
      </vt:variant>
      <vt:variant>
        <vt:i4>3473522</vt:i4>
      </vt:variant>
      <vt:variant>
        <vt:i4>60</vt:i4>
      </vt:variant>
      <vt:variant>
        <vt:i4>0</vt:i4>
      </vt:variant>
      <vt:variant>
        <vt:i4>5</vt:i4>
      </vt:variant>
      <vt:variant>
        <vt:lpwstr>http://www.nevo.co.il/case/22240058</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6422631</vt:i4>
      </vt:variant>
      <vt:variant>
        <vt:i4>51</vt:i4>
      </vt:variant>
      <vt:variant>
        <vt:i4>0</vt:i4>
      </vt:variant>
      <vt:variant>
        <vt:i4>5</vt:i4>
      </vt:variant>
      <vt:variant>
        <vt:lpwstr>http://www.nevo.co.il/law/70301/275</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6684735</vt:i4>
      </vt:variant>
      <vt:variant>
        <vt:i4>45</vt:i4>
      </vt:variant>
      <vt:variant>
        <vt:i4>0</vt:i4>
      </vt:variant>
      <vt:variant>
        <vt:i4>5</vt:i4>
      </vt:variant>
      <vt:variant>
        <vt:lpwstr>http://www.nevo.co.il/law/70301/338.a.1</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5177418</vt:i4>
      </vt:variant>
      <vt:variant>
        <vt:i4>33</vt:i4>
      </vt:variant>
      <vt:variant>
        <vt:i4>0</vt:i4>
      </vt:variant>
      <vt:variant>
        <vt:i4>5</vt:i4>
      </vt:variant>
      <vt:variant>
        <vt:lpwstr>http://www.nevo.co.il/law/4216/19</vt:lpwstr>
      </vt:variant>
      <vt:variant>
        <vt:lpwstr/>
      </vt:variant>
      <vt:variant>
        <vt:i4>5177418</vt:i4>
      </vt:variant>
      <vt:variant>
        <vt:i4>30</vt:i4>
      </vt:variant>
      <vt:variant>
        <vt:i4>0</vt:i4>
      </vt:variant>
      <vt:variant>
        <vt:i4>5</vt:i4>
      </vt:variant>
      <vt:variant>
        <vt:lpwstr>http://www.nevo.co.il/law/4216/13</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6684735</vt:i4>
      </vt:variant>
      <vt:variant>
        <vt:i4>24</vt:i4>
      </vt:variant>
      <vt:variant>
        <vt:i4>0</vt:i4>
      </vt:variant>
      <vt:variant>
        <vt:i4>5</vt:i4>
      </vt:variant>
      <vt:variant>
        <vt:lpwstr>http://www.nevo.co.il/law/70301/338.a.1</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2025-04-22T23:37:00Z</dcterms:created>
  <dcterms:modified xsi:type="dcterms:W3CDTF">2025-04-22T23:37:00Z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11267</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עידן ונדה</vt:lpwstr>
  </property>
  <property fmtid="{D5CDD505-2E9C-101B-9397-08002B2CF9AE}" pid="10" name="LAWYER">
    <vt:lpwstr>רמי זוכוביצקי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20191103</vt:lpwstr>
  </property>
  <property fmtid="{D5CDD505-2E9C-101B-9397-08002B2CF9AE}" pid="14" name="TYPE_N_DATE">
    <vt:lpwstr>38020191103</vt:lpwstr>
  </property>
  <property fmtid="{D5CDD505-2E9C-101B-9397-08002B2CF9AE}" pid="15" name="CASESLISTTMP1">
    <vt:lpwstr>22240058;20321459;20936185;5810781;7980179</vt:lpwstr>
  </property>
  <property fmtid="{D5CDD505-2E9C-101B-9397-08002B2CF9AE}" pid="16" name="CASENOTES1">
    <vt:lpwstr>ProcID=174;133;209&amp;PartA=3343&amp;PartC=07</vt:lpwstr>
  </property>
  <property fmtid="{D5CDD505-2E9C-101B-9397-08002B2CF9AE}" pid="17" name="WORDNUMPAGES">
    <vt:lpwstr>8</vt:lpwstr>
  </property>
  <property fmtid="{D5CDD505-2E9C-101B-9397-08002B2CF9AE}" pid="18" name="TYPE_ABS_DATE">
    <vt:lpwstr>380020191103</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4216/013;019;007.a;007.c</vt:lpwstr>
  </property>
  <property fmtid="{D5CDD505-2E9C-101B-9397-08002B2CF9AE}" pid="38" name="LAWLISTTMP2">
    <vt:lpwstr>70301/338.a.1;275;040i;40ja</vt:lpwstr>
  </property>
</Properties>
</file>