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A0419" w:rsidRPr="00D41D4C" w14:paraId="6464B3D9" w14:textId="77777777" w:rsidTr="00E973A4">
        <w:trPr>
          <w:trHeight w:hRule="exact" w:val="418"/>
          <w:jc w:val="center"/>
        </w:trPr>
        <w:tc>
          <w:tcPr>
            <w:tcW w:w="8721" w:type="dxa"/>
            <w:gridSpan w:val="2"/>
          </w:tcPr>
          <w:p w14:paraId="47F991D8" w14:textId="77777777" w:rsidR="000331E2" w:rsidRDefault="000331E2" w:rsidP="00307699">
            <w:pPr>
              <w:pStyle w:val="a3"/>
              <w:jc w:val="center"/>
              <w:rPr>
                <w:rFonts w:ascii="Tahoma" w:hAnsi="Tahoma" w:cs="Tahoma"/>
                <w:b/>
                <w:bCs/>
                <w:color w:val="000080"/>
                <w:rtl/>
              </w:rPr>
            </w:pPr>
          </w:p>
          <w:p w14:paraId="4C5CD3A0" w14:textId="77777777" w:rsidR="000331E2" w:rsidRDefault="000331E2" w:rsidP="00307699">
            <w:pPr>
              <w:pStyle w:val="a3"/>
              <w:jc w:val="center"/>
              <w:rPr>
                <w:rFonts w:ascii="Tahoma" w:hAnsi="Tahoma" w:cs="Tahoma"/>
                <w:color w:val="000080"/>
                <w:rtl/>
              </w:rPr>
            </w:pPr>
            <w:bookmarkStart w:id="0" w:name="LawTable"/>
            <w:bookmarkEnd w:id="0"/>
          </w:p>
          <w:p w14:paraId="202F77E5" w14:textId="77777777" w:rsidR="000331E2" w:rsidRPr="000331E2" w:rsidRDefault="000331E2" w:rsidP="000331E2">
            <w:pPr>
              <w:pStyle w:val="a3"/>
              <w:spacing w:after="120" w:line="240" w:lineRule="exact"/>
              <w:ind w:left="283" w:hanging="283"/>
              <w:jc w:val="both"/>
              <w:rPr>
                <w:rFonts w:ascii="FrankRuehl" w:hAnsi="FrankRuehl" w:cs="FrankRuehl"/>
                <w:color w:val="000080"/>
                <w:rtl/>
              </w:rPr>
            </w:pPr>
          </w:p>
          <w:p w14:paraId="58174CB4" w14:textId="77777777" w:rsidR="000331E2" w:rsidRPr="000331E2" w:rsidRDefault="000331E2" w:rsidP="000331E2">
            <w:pPr>
              <w:pStyle w:val="a3"/>
              <w:spacing w:after="120" w:line="240" w:lineRule="exact"/>
              <w:ind w:left="283" w:hanging="283"/>
              <w:jc w:val="both"/>
              <w:rPr>
                <w:rFonts w:ascii="FrankRuehl" w:hAnsi="FrankRuehl" w:cs="FrankRuehl"/>
                <w:color w:val="000080"/>
                <w:rtl/>
              </w:rPr>
            </w:pPr>
            <w:r w:rsidRPr="000331E2">
              <w:rPr>
                <w:rFonts w:ascii="FrankRuehl" w:hAnsi="FrankRuehl" w:cs="FrankRuehl"/>
                <w:color w:val="000080"/>
                <w:rtl/>
              </w:rPr>
              <w:t xml:space="preserve">חקיקה שאוזכרה: </w:t>
            </w:r>
          </w:p>
          <w:p w14:paraId="10E67E4B" w14:textId="77777777" w:rsidR="000331E2" w:rsidRPr="000331E2" w:rsidRDefault="000331E2" w:rsidP="000331E2">
            <w:pPr>
              <w:pStyle w:val="a3"/>
              <w:spacing w:after="120" w:line="240" w:lineRule="exact"/>
              <w:ind w:left="283" w:hanging="283"/>
              <w:jc w:val="both"/>
              <w:rPr>
                <w:rFonts w:ascii="FrankRuehl" w:hAnsi="FrankRuehl" w:cs="FrankRuehl"/>
                <w:rtl/>
              </w:rPr>
            </w:pPr>
            <w:hyperlink r:id="rId7" w:history="1">
              <w:r w:rsidRPr="000331E2">
                <w:rPr>
                  <w:rFonts w:ascii="FrankRuehl" w:hAnsi="FrankRuehl" w:cs="FrankRuehl"/>
                  <w:color w:val="0000FF"/>
                  <w:u w:val="single"/>
                  <w:rtl/>
                </w:rPr>
                <w:t>פקודת הסמים המסוכנים [נוסח חדש], תשל"ג-1973</w:t>
              </w:r>
            </w:hyperlink>
            <w:r w:rsidRPr="000331E2">
              <w:rPr>
                <w:rFonts w:ascii="FrankRuehl" w:hAnsi="FrankRuehl" w:cs="FrankRuehl"/>
                <w:rtl/>
              </w:rPr>
              <w:t xml:space="preserve">: סע'  </w:t>
            </w:r>
            <w:hyperlink r:id="rId8" w:history="1">
              <w:r w:rsidRPr="000331E2">
                <w:rPr>
                  <w:rFonts w:ascii="FrankRuehl" w:hAnsi="FrankRuehl" w:cs="FrankRuehl"/>
                  <w:color w:val="0000FF"/>
                  <w:u w:val="single"/>
                  <w:rtl/>
                </w:rPr>
                <w:t>7(א)</w:t>
              </w:r>
            </w:hyperlink>
            <w:r w:rsidRPr="000331E2">
              <w:rPr>
                <w:rFonts w:ascii="FrankRuehl" w:hAnsi="FrankRuehl" w:cs="FrankRuehl"/>
                <w:rtl/>
              </w:rPr>
              <w:t xml:space="preserve">, </w:t>
            </w:r>
            <w:hyperlink r:id="rId9" w:history="1">
              <w:r w:rsidRPr="000331E2">
                <w:rPr>
                  <w:rFonts w:ascii="FrankRuehl" w:hAnsi="FrankRuehl" w:cs="FrankRuehl"/>
                  <w:color w:val="0000FF"/>
                  <w:u w:val="single"/>
                  <w:rtl/>
                </w:rPr>
                <w:t>7(ג)</w:t>
              </w:r>
            </w:hyperlink>
          </w:p>
          <w:p w14:paraId="7587C21C" w14:textId="77777777" w:rsidR="000331E2" w:rsidRPr="000331E2" w:rsidRDefault="000331E2" w:rsidP="000331E2">
            <w:pPr>
              <w:pStyle w:val="a3"/>
              <w:spacing w:after="120" w:line="240" w:lineRule="exact"/>
              <w:ind w:left="283" w:hanging="283"/>
              <w:jc w:val="both"/>
              <w:rPr>
                <w:rFonts w:ascii="FrankRuehl" w:hAnsi="FrankRuehl" w:cs="FrankRuehl"/>
                <w:rtl/>
              </w:rPr>
            </w:pPr>
          </w:p>
          <w:p w14:paraId="742E9538" w14:textId="77777777" w:rsidR="000331E2" w:rsidRPr="000331E2" w:rsidRDefault="000331E2" w:rsidP="00307699">
            <w:pPr>
              <w:pStyle w:val="a3"/>
              <w:jc w:val="center"/>
              <w:rPr>
                <w:rFonts w:ascii="Tahoma" w:hAnsi="Tahoma" w:cs="Tahoma"/>
                <w:rtl/>
              </w:rPr>
            </w:pPr>
            <w:bookmarkStart w:id="1" w:name="LawTable_End"/>
            <w:bookmarkEnd w:id="1"/>
          </w:p>
          <w:p w14:paraId="3A1F78A9" w14:textId="77777777" w:rsidR="00EA0419" w:rsidRPr="00D41D4C" w:rsidRDefault="00EA0419" w:rsidP="00307699">
            <w:pPr>
              <w:pStyle w:val="a3"/>
              <w:jc w:val="center"/>
              <w:rPr>
                <w:rFonts w:ascii="Tahoma" w:hAnsi="Tahoma" w:cs="Tahoma"/>
                <w:color w:val="000080"/>
                <w:rtl/>
              </w:rPr>
            </w:pPr>
            <w:r w:rsidRPr="00D41D4C">
              <w:rPr>
                <w:rFonts w:ascii="Tahoma" w:hAnsi="Tahoma" w:cs="Tahoma"/>
                <w:b/>
                <w:bCs/>
                <w:color w:val="000080"/>
                <w:rtl/>
              </w:rPr>
              <w:t>בית משפט השלום ברחובות</w:t>
            </w:r>
          </w:p>
        </w:tc>
      </w:tr>
      <w:tr w:rsidR="00EA0419" w:rsidRPr="00D41D4C" w14:paraId="05B14B14" w14:textId="77777777" w:rsidTr="00E973A4">
        <w:trPr>
          <w:trHeight w:val="337"/>
          <w:jc w:val="center"/>
        </w:trPr>
        <w:tc>
          <w:tcPr>
            <w:tcW w:w="5056" w:type="dxa"/>
          </w:tcPr>
          <w:p w14:paraId="06547E7A" w14:textId="77777777" w:rsidR="00EA0419" w:rsidRPr="00D41D4C" w:rsidRDefault="00EA0419" w:rsidP="00307699">
            <w:pPr>
              <w:rPr>
                <w:rFonts w:cs="FrankRuehl"/>
                <w:sz w:val="28"/>
                <w:szCs w:val="28"/>
                <w:rtl/>
              </w:rPr>
            </w:pPr>
            <w:r w:rsidRPr="00D41D4C">
              <w:rPr>
                <w:rFonts w:cs="FrankRuehl"/>
                <w:sz w:val="28"/>
                <w:szCs w:val="28"/>
                <w:rtl/>
              </w:rPr>
              <w:t>ת"פ</w:t>
            </w:r>
            <w:r w:rsidRPr="00D41D4C">
              <w:rPr>
                <w:rFonts w:cs="FrankRuehl" w:hint="cs"/>
                <w:sz w:val="28"/>
                <w:szCs w:val="28"/>
                <w:rtl/>
              </w:rPr>
              <w:t xml:space="preserve"> </w:t>
            </w:r>
            <w:r w:rsidRPr="00D41D4C">
              <w:rPr>
                <w:rFonts w:cs="FrankRuehl"/>
                <w:sz w:val="28"/>
                <w:szCs w:val="28"/>
                <w:rtl/>
              </w:rPr>
              <w:t>16619-01-18</w:t>
            </w:r>
            <w:r w:rsidRPr="00D41D4C">
              <w:rPr>
                <w:rFonts w:cs="FrankRuehl" w:hint="cs"/>
                <w:sz w:val="28"/>
                <w:szCs w:val="28"/>
                <w:rtl/>
              </w:rPr>
              <w:t xml:space="preserve"> </w:t>
            </w:r>
            <w:r w:rsidRPr="00D41D4C">
              <w:rPr>
                <w:rFonts w:cs="FrankRuehl"/>
                <w:sz w:val="28"/>
                <w:szCs w:val="28"/>
                <w:rtl/>
              </w:rPr>
              <w:t>מדינת ישראל נ' פודומסקי</w:t>
            </w:r>
          </w:p>
          <w:p w14:paraId="7284BE59" w14:textId="77777777" w:rsidR="00EA0419" w:rsidRPr="00D41D4C" w:rsidRDefault="00EA0419" w:rsidP="00307699">
            <w:pPr>
              <w:pStyle w:val="a3"/>
              <w:rPr>
                <w:rFonts w:cs="FrankRuehl"/>
                <w:sz w:val="28"/>
                <w:szCs w:val="28"/>
                <w:rtl/>
              </w:rPr>
            </w:pPr>
          </w:p>
        </w:tc>
        <w:tc>
          <w:tcPr>
            <w:tcW w:w="3665" w:type="dxa"/>
          </w:tcPr>
          <w:p w14:paraId="698746BA" w14:textId="77777777" w:rsidR="00EA0419" w:rsidRPr="00D41D4C" w:rsidRDefault="00EA0419" w:rsidP="00307699">
            <w:pPr>
              <w:pStyle w:val="a3"/>
              <w:jc w:val="right"/>
              <w:rPr>
                <w:rFonts w:cs="FrankRuehl"/>
                <w:sz w:val="28"/>
                <w:szCs w:val="28"/>
                <w:rtl/>
              </w:rPr>
            </w:pPr>
          </w:p>
        </w:tc>
      </w:tr>
    </w:tbl>
    <w:p w14:paraId="7D99FB41" w14:textId="77777777" w:rsidR="00EA0419" w:rsidRPr="00D41D4C" w:rsidRDefault="00EA0419" w:rsidP="00EA0419">
      <w:pPr>
        <w:pStyle w:val="a3"/>
        <w:rPr>
          <w:rtl/>
        </w:rPr>
      </w:pPr>
      <w:r w:rsidRPr="00D41D4C">
        <w:rPr>
          <w:rFonts w:hint="cs"/>
          <w:rtl/>
        </w:rPr>
        <w:t xml:space="preserve"> </w:t>
      </w:r>
    </w:p>
    <w:p w14:paraId="1748E746" w14:textId="77777777" w:rsidR="00EA0419" w:rsidRPr="00D41D4C" w:rsidRDefault="00EA0419" w:rsidP="00EA04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A0419" w:rsidRPr="00D41D4C" w14:paraId="19E82ECA" w14:textId="77777777" w:rsidTr="00E973A4">
        <w:trPr>
          <w:trHeight w:val="295"/>
          <w:jc w:val="center"/>
        </w:trPr>
        <w:tc>
          <w:tcPr>
            <w:tcW w:w="945" w:type="dxa"/>
            <w:tcBorders>
              <w:top w:val="nil"/>
              <w:left w:val="nil"/>
              <w:bottom w:val="nil"/>
              <w:right w:val="nil"/>
            </w:tcBorders>
            <w:shd w:val="clear" w:color="auto" w:fill="auto"/>
          </w:tcPr>
          <w:p w14:paraId="62DD293E" w14:textId="77777777" w:rsidR="00EA0419" w:rsidRPr="00D41D4C" w:rsidRDefault="00EA0419" w:rsidP="00EA0419">
            <w:pPr>
              <w:jc w:val="both"/>
              <w:rPr>
                <w:rFonts w:ascii="Arial" w:hAnsi="Arial" w:cs="FrankRuehl"/>
                <w:sz w:val="28"/>
                <w:szCs w:val="28"/>
              </w:rPr>
            </w:pPr>
            <w:r w:rsidRPr="00D41D4C">
              <w:rPr>
                <w:rFonts w:ascii="Arial" w:hAnsi="Arial" w:cs="FrankRuehl" w:hint="cs"/>
                <w:sz w:val="28"/>
                <w:szCs w:val="28"/>
                <w:rtl/>
              </w:rPr>
              <w:t>ב</w:t>
            </w:r>
            <w:r w:rsidRPr="00D41D4C">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59840DEF" w14:textId="77777777" w:rsidR="00EA0419" w:rsidRPr="00D41D4C" w:rsidRDefault="00EA0419" w:rsidP="00307699">
            <w:pPr>
              <w:rPr>
                <w:rFonts w:ascii="Arial" w:hAnsi="Arial"/>
                <w:b/>
                <w:bCs/>
                <w:rtl/>
              </w:rPr>
            </w:pPr>
            <w:r w:rsidRPr="00D41D4C">
              <w:rPr>
                <w:rFonts w:ascii="Arial" w:hAnsi="Arial" w:hint="cs"/>
                <w:b/>
                <w:bCs/>
                <w:rtl/>
              </w:rPr>
              <w:t>כבוד ה</w:t>
            </w:r>
            <w:r w:rsidRPr="00D41D4C">
              <w:rPr>
                <w:rFonts w:ascii="Arial" w:hAnsi="Arial"/>
                <w:b/>
                <w:bCs/>
                <w:rtl/>
              </w:rPr>
              <w:t>שופטת, סגנית הנשיאה</w:t>
            </w:r>
            <w:r w:rsidRPr="00D41D4C">
              <w:rPr>
                <w:rFonts w:ascii="Arial" w:hAnsi="Arial" w:hint="cs"/>
                <w:b/>
                <w:bCs/>
                <w:rtl/>
              </w:rPr>
              <w:t xml:space="preserve">  </w:t>
            </w:r>
            <w:r w:rsidRPr="00D41D4C">
              <w:rPr>
                <w:rFonts w:ascii="Arial" w:hAnsi="Arial"/>
                <w:b/>
                <w:bCs/>
                <w:rtl/>
              </w:rPr>
              <w:t>אפרת פינק</w:t>
            </w:r>
          </w:p>
          <w:p w14:paraId="3A175E92" w14:textId="77777777" w:rsidR="00EA0419" w:rsidRPr="00D41D4C" w:rsidRDefault="00EA0419" w:rsidP="00307699">
            <w:pPr>
              <w:rPr>
                <w:rtl/>
              </w:rPr>
            </w:pPr>
          </w:p>
          <w:p w14:paraId="2D93CB3A" w14:textId="77777777" w:rsidR="00EA0419" w:rsidRPr="00D41D4C" w:rsidRDefault="00EA0419" w:rsidP="00EA0419">
            <w:pPr>
              <w:jc w:val="both"/>
              <w:rPr>
                <w:rFonts w:ascii="Arial" w:hAnsi="Arial" w:cs="FrankRuehl"/>
                <w:sz w:val="28"/>
                <w:szCs w:val="28"/>
              </w:rPr>
            </w:pPr>
          </w:p>
        </w:tc>
      </w:tr>
      <w:tr w:rsidR="00EA0419" w:rsidRPr="00D41D4C" w14:paraId="66E7B94A" w14:textId="77777777" w:rsidTr="00E973A4">
        <w:trPr>
          <w:trHeight w:val="355"/>
          <w:jc w:val="center"/>
        </w:trPr>
        <w:tc>
          <w:tcPr>
            <w:tcW w:w="945" w:type="dxa"/>
            <w:tcBorders>
              <w:top w:val="nil"/>
              <w:left w:val="nil"/>
              <w:bottom w:val="nil"/>
              <w:right w:val="nil"/>
            </w:tcBorders>
            <w:shd w:val="clear" w:color="auto" w:fill="auto"/>
          </w:tcPr>
          <w:p w14:paraId="7B57B021" w14:textId="77777777" w:rsidR="00EA0419" w:rsidRPr="00D41D4C" w:rsidRDefault="00EA0419" w:rsidP="00EA0419">
            <w:pPr>
              <w:jc w:val="both"/>
              <w:rPr>
                <w:rFonts w:ascii="Arial" w:hAnsi="Arial"/>
                <w:b/>
                <w:bCs/>
                <w:sz w:val="28"/>
                <w:szCs w:val="28"/>
              </w:rPr>
            </w:pPr>
            <w:bookmarkStart w:id="2" w:name="FirstAppellant"/>
            <w:bookmarkStart w:id="3" w:name="LastJudge"/>
            <w:bookmarkEnd w:id="3"/>
            <w:r w:rsidRPr="00D41D4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E0CDD65" w14:textId="77777777" w:rsidR="00EA0419" w:rsidRPr="00D41D4C" w:rsidRDefault="00EA0419" w:rsidP="00307699">
            <w:pPr>
              <w:rPr>
                <w:b/>
                <w:bCs/>
              </w:rPr>
            </w:pPr>
            <w:r w:rsidRPr="00D41D4C">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7E964BD2" w14:textId="77777777" w:rsidR="00EA0419" w:rsidRPr="00D41D4C" w:rsidRDefault="00EA0419" w:rsidP="00EA0419">
            <w:pPr>
              <w:jc w:val="both"/>
              <w:rPr>
                <w:rFonts w:ascii="Arial" w:hAnsi="Arial"/>
                <w:b/>
                <w:bCs/>
                <w:sz w:val="28"/>
                <w:szCs w:val="28"/>
              </w:rPr>
            </w:pPr>
          </w:p>
        </w:tc>
      </w:tr>
      <w:tr w:rsidR="00EA0419" w:rsidRPr="00D41D4C" w14:paraId="7F754F9F" w14:textId="77777777" w:rsidTr="00E973A4">
        <w:trPr>
          <w:trHeight w:val="355"/>
          <w:jc w:val="center"/>
        </w:trPr>
        <w:tc>
          <w:tcPr>
            <w:tcW w:w="945" w:type="dxa"/>
            <w:tcBorders>
              <w:top w:val="nil"/>
              <w:left w:val="nil"/>
              <w:bottom w:val="nil"/>
              <w:right w:val="nil"/>
            </w:tcBorders>
            <w:shd w:val="clear" w:color="auto" w:fill="auto"/>
          </w:tcPr>
          <w:p w14:paraId="62BC2B6A" w14:textId="77777777" w:rsidR="00EA0419" w:rsidRPr="00D41D4C" w:rsidRDefault="00EA0419" w:rsidP="00EA0419">
            <w:pPr>
              <w:jc w:val="both"/>
              <w:rPr>
                <w:rFonts w:ascii="Arial" w:hAnsi="Arial"/>
                <w:b/>
                <w:bCs/>
                <w:sz w:val="28"/>
                <w:szCs w:val="28"/>
                <w:rtl/>
              </w:rPr>
            </w:pPr>
            <w:bookmarkStart w:id="4" w:name="FirstLawyer"/>
            <w:bookmarkEnd w:id="2"/>
          </w:p>
        </w:tc>
        <w:tc>
          <w:tcPr>
            <w:tcW w:w="4114" w:type="dxa"/>
            <w:tcBorders>
              <w:top w:val="nil"/>
              <w:left w:val="nil"/>
              <w:bottom w:val="nil"/>
              <w:right w:val="nil"/>
            </w:tcBorders>
            <w:shd w:val="clear" w:color="auto" w:fill="auto"/>
          </w:tcPr>
          <w:p w14:paraId="67DA720C" w14:textId="77777777" w:rsidR="00EA0419" w:rsidRPr="00D41D4C" w:rsidRDefault="00EA0419" w:rsidP="00EA0419">
            <w:pPr>
              <w:jc w:val="both"/>
              <w:rPr>
                <w:rtl/>
              </w:rPr>
            </w:pPr>
            <w:r w:rsidRPr="00D41D4C">
              <w:rPr>
                <w:rFonts w:hint="cs"/>
                <w:rtl/>
              </w:rPr>
              <w:t>ע"י ב"כ עו"ד עדי סעדיה</w:t>
            </w:r>
          </w:p>
        </w:tc>
        <w:tc>
          <w:tcPr>
            <w:tcW w:w="3761" w:type="dxa"/>
            <w:tcBorders>
              <w:top w:val="nil"/>
              <w:left w:val="nil"/>
              <w:bottom w:val="nil"/>
              <w:right w:val="nil"/>
            </w:tcBorders>
            <w:shd w:val="clear" w:color="auto" w:fill="auto"/>
          </w:tcPr>
          <w:p w14:paraId="42562FD1" w14:textId="77777777" w:rsidR="00EA0419" w:rsidRPr="00D41D4C" w:rsidRDefault="00EA0419" w:rsidP="00EA0419">
            <w:pPr>
              <w:jc w:val="right"/>
              <w:rPr>
                <w:rFonts w:ascii="Arial" w:hAnsi="Arial"/>
                <w:b/>
                <w:bCs/>
                <w:sz w:val="28"/>
                <w:szCs w:val="28"/>
                <w:rtl/>
              </w:rPr>
            </w:pPr>
            <w:r w:rsidRPr="00D41D4C">
              <w:rPr>
                <w:rFonts w:ascii="Arial" w:hAnsi="Arial" w:hint="cs"/>
                <w:b/>
                <w:bCs/>
                <w:sz w:val="28"/>
                <w:szCs w:val="28"/>
                <w:rtl/>
              </w:rPr>
              <w:t>ה</w:t>
            </w:r>
            <w:r w:rsidRPr="00D41D4C">
              <w:rPr>
                <w:rFonts w:ascii="Arial" w:hAnsi="Arial"/>
                <w:b/>
                <w:bCs/>
                <w:sz w:val="28"/>
                <w:szCs w:val="28"/>
                <w:rtl/>
              </w:rPr>
              <w:t>מאשימה</w:t>
            </w:r>
          </w:p>
        </w:tc>
      </w:tr>
      <w:bookmarkEnd w:id="4"/>
      <w:tr w:rsidR="00EA0419" w:rsidRPr="00D41D4C" w14:paraId="09641E9D" w14:textId="77777777" w:rsidTr="00E973A4">
        <w:trPr>
          <w:trHeight w:val="355"/>
          <w:jc w:val="center"/>
        </w:trPr>
        <w:tc>
          <w:tcPr>
            <w:tcW w:w="945" w:type="dxa"/>
            <w:tcBorders>
              <w:top w:val="nil"/>
              <w:left w:val="nil"/>
              <w:bottom w:val="nil"/>
              <w:right w:val="nil"/>
            </w:tcBorders>
            <w:shd w:val="clear" w:color="auto" w:fill="auto"/>
          </w:tcPr>
          <w:p w14:paraId="527C79C7" w14:textId="77777777" w:rsidR="00EA0419" w:rsidRPr="00D41D4C" w:rsidRDefault="00EA0419" w:rsidP="00EA0419">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0C589A3E" w14:textId="77777777" w:rsidR="00EA0419" w:rsidRPr="00D41D4C" w:rsidRDefault="00EA0419" w:rsidP="00EA0419">
            <w:pPr>
              <w:jc w:val="center"/>
              <w:rPr>
                <w:rFonts w:ascii="Arial" w:hAnsi="Arial"/>
                <w:b/>
                <w:bCs/>
                <w:sz w:val="28"/>
                <w:szCs w:val="28"/>
                <w:rtl/>
              </w:rPr>
            </w:pPr>
          </w:p>
          <w:p w14:paraId="3E21F2EC" w14:textId="77777777" w:rsidR="00EA0419" w:rsidRPr="00D41D4C" w:rsidRDefault="00EA0419" w:rsidP="00EA0419">
            <w:pPr>
              <w:jc w:val="center"/>
              <w:rPr>
                <w:rFonts w:ascii="Arial" w:hAnsi="Arial"/>
                <w:b/>
                <w:bCs/>
                <w:sz w:val="28"/>
                <w:szCs w:val="28"/>
                <w:rtl/>
              </w:rPr>
            </w:pPr>
            <w:r w:rsidRPr="00D41D4C">
              <w:rPr>
                <w:rFonts w:ascii="Arial" w:hAnsi="Arial"/>
                <w:b/>
                <w:bCs/>
                <w:sz w:val="28"/>
                <w:szCs w:val="28"/>
                <w:rtl/>
              </w:rPr>
              <w:t>נגד</w:t>
            </w:r>
          </w:p>
          <w:p w14:paraId="37711CA1" w14:textId="77777777" w:rsidR="00EA0419" w:rsidRPr="00D41D4C" w:rsidRDefault="00EA0419" w:rsidP="00EA0419">
            <w:pPr>
              <w:jc w:val="both"/>
              <w:rPr>
                <w:rFonts w:ascii="Arial" w:hAnsi="Arial"/>
                <w:b/>
                <w:bCs/>
                <w:sz w:val="28"/>
                <w:szCs w:val="28"/>
              </w:rPr>
            </w:pPr>
          </w:p>
        </w:tc>
      </w:tr>
      <w:tr w:rsidR="00EA0419" w:rsidRPr="00D41D4C" w14:paraId="404CBE45" w14:textId="77777777" w:rsidTr="00E973A4">
        <w:trPr>
          <w:trHeight w:val="355"/>
          <w:jc w:val="center"/>
        </w:trPr>
        <w:tc>
          <w:tcPr>
            <w:tcW w:w="945" w:type="dxa"/>
            <w:tcBorders>
              <w:top w:val="nil"/>
              <w:left w:val="nil"/>
              <w:bottom w:val="nil"/>
              <w:right w:val="nil"/>
            </w:tcBorders>
            <w:shd w:val="clear" w:color="auto" w:fill="auto"/>
          </w:tcPr>
          <w:p w14:paraId="60F72382" w14:textId="77777777" w:rsidR="00EA0419" w:rsidRPr="00D41D4C" w:rsidRDefault="00EA0419" w:rsidP="00307699">
            <w:pPr>
              <w:rPr>
                <w:rFonts w:ascii="Arial" w:hAnsi="Arial"/>
                <w:b/>
                <w:bCs/>
                <w:sz w:val="28"/>
                <w:szCs w:val="28"/>
                <w:rtl/>
              </w:rPr>
            </w:pPr>
          </w:p>
        </w:tc>
        <w:tc>
          <w:tcPr>
            <w:tcW w:w="4114" w:type="dxa"/>
            <w:tcBorders>
              <w:top w:val="nil"/>
              <w:left w:val="nil"/>
              <w:bottom w:val="nil"/>
              <w:right w:val="nil"/>
            </w:tcBorders>
            <w:shd w:val="clear" w:color="auto" w:fill="auto"/>
          </w:tcPr>
          <w:p w14:paraId="041A0E18" w14:textId="77777777" w:rsidR="00EA0419" w:rsidRPr="00D41D4C" w:rsidRDefault="00EA0419" w:rsidP="00307699">
            <w:pPr>
              <w:rPr>
                <w:b/>
                <w:bCs/>
                <w:rtl/>
              </w:rPr>
            </w:pPr>
            <w:r w:rsidRPr="00D41D4C">
              <w:rPr>
                <w:rFonts w:ascii="Arial" w:hAnsi="Arial"/>
                <w:b/>
                <w:bCs/>
                <w:sz w:val="28"/>
                <w:szCs w:val="28"/>
                <w:rtl/>
              </w:rPr>
              <w:t>מתן פודומסקי</w:t>
            </w:r>
            <w:r w:rsidRPr="00D41D4C">
              <w:rPr>
                <w:rFonts w:hint="cs"/>
                <w:b/>
                <w:bCs/>
                <w:rtl/>
              </w:rPr>
              <w:t xml:space="preserve"> - </w:t>
            </w:r>
            <w:r w:rsidRPr="00D41D4C">
              <w:rPr>
                <w:rFonts w:hint="cs"/>
                <w:rtl/>
              </w:rPr>
              <w:t>בעצמו</w:t>
            </w:r>
          </w:p>
        </w:tc>
        <w:tc>
          <w:tcPr>
            <w:tcW w:w="3761" w:type="dxa"/>
            <w:tcBorders>
              <w:top w:val="nil"/>
              <w:left w:val="nil"/>
              <w:bottom w:val="nil"/>
              <w:right w:val="nil"/>
            </w:tcBorders>
            <w:shd w:val="clear" w:color="auto" w:fill="auto"/>
          </w:tcPr>
          <w:p w14:paraId="769B565A" w14:textId="77777777" w:rsidR="00EA0419" w:rsidRPr="00D41D4C" w:rsidRDefault="00EA0419" w:rsidP="00EA0419">
            <w:pPr>
              <w:jc w:val="right"/>
              <w:rPr>
                <w:rFonts w:ascii="Arial" w:hAnsi="Arial"/>
                <w:b/>
                <w:bCs/>
                <w:sz w:val="28"/>
                <w:szCs w:val="28"/>
              </w:rPr>
            </w:pPr>
          </w:p>
        </w:tc>
      </w:tr>
      <w:tr w:rsidR="00EA0419" w:rsidRPr="00D41D4C" w14:paraId="08314A14" w14:textId="77777777" w:rsidTr="00E973A4">
        <w:trPr>
          <w:trHeight w:val="355"/>
          <w:jc w:val="center"/>
        </w:trPr>
        <w:tc>
          <w:tcPr>
            <w:tcW w:w="945" w:type="dxa"/>
            <w:tcBorders>
              <w:top w:val="nil"/>
              <w:left w:val="nil"/>
              <w:bottom w:val="nil"/>
              <w:right w:val="nil"/>
            </w:tcBorders>
            <w:shd w:val="clear" w:color="auto" w:fill="auto"/>
          </w:tcPr>
          <w:p w14:paraId="5B2C3568" w14:textId="77777777" w:rsidR="00EA0419" w:rsidRPr="00D41D4C" w:rsidRDefault="00EA0419" w:rsidP="00EA0419">
            <w:pPr>
              <w:jc w:val="both"/>
              <w:rPr>
                <w:rFonts w:ascii="Arial" w:hAnsi="Arial"/>
                <w:b/>
                <w:bCs/>
                <w:sz w:val="28"/>
                <w:szCs w:val="28"/>
                <w:rtl/>
              </w:rPr>
            </w:pPr>
          </w:p>
        </w:tc>
        <w:tc>
          <w:tcPr>
            <w:tcW w:w="4114" w:type="dxa"/>
            <w:tcBorders>
              <w:top w:val="nil"/>
              <w:left w:val="nil"/>
              <w:bottom w:val="nil"/>
              <w:right w:val="nil"/>
            </w:tcBorders>
            <w:shd w:val="clear" w:color="auto" w:fill="auto"/>
          </w:tcPr>
          <w:p w14:paraId="4A09B68A" w14:textId="77777777" w:rsidR="00EA0419" w:rsidRPr="00D41D4C" w:rsidRDefault="00EA0419" w:rsidP="00EA0419">
            <w:pPr>
              <w:jc w:val="both"/>
              <w:rPr>
                <w:rtl/>
              </w:rPr>
            </w:pPr>
            <w:r w:rsidRPr="00D41D4C">
              <w:rPr>
                <w:rFonts w:hint="cs"/>
                <w:rtl/>
              </w:rPr>
              <w:t>ע"י ב"כ עו"ד אברהם לנדשטיין</w:t>
            </w:r>
          </w:p>
        </w:tc>
        <w:tc>
          <w:tcPr>
            <w:tcW w:w="3761" w:type="dxa"/>
            <w:tcBorders>
              <w:top w:val="nil"/>
              <w:left w:val="nil"/>
              <w:bottom w:val="nil"/>
              <w:right w:val="nil"/>
            </w:tcBorders>
            <w:shd w:val="clear" w:color="auto" w:fill="auto"/>
          </w:tcPr>
          <w:p w14:paraId="71ACAB37" w14:textId="77777777" w:rsidR="00EA0419" w:rsidRPr="00D41D4C" w:rsidRDefault="00EA0419" w:rsidP="00EA0419">
            <w:pPr>
              <w:jc w:val="right"/>
              <w:rPr>
                <w:rFonts w:ascii="Arial" w:hAnsi="Arial"/>
                <w:b/>
                <w:bCs/>
                <w:sz w:val="28"/>
                <w:szCs w:val="28"/>
              </w:rPr>
            </w:pPr>
            <w:r w:rsidRPr="00D41D4C">
              <w:rPr>
                <w:rFonts w:ascii="Arial" w:hAnsi="Arial" w:hint="cs"/>
                <w:b/>
                <w:bCs/>
                <w:sz w:val="28"/>
                <w:szCs w:val="28"/>
                <w:rtl/>
              </w:rPr>
              <w:t>ה</w:t>
            </w:r>
            <w:r w:rsidRPr="00D41D4C">
              <w:rPr>
                <w:rFonts w:ascii="Arial" w:hAnsi="Arial"/>
                <w:b/>
                <w:bCs/>
                <w:sz w:val="28"/>
                <w:szCs w:val="28"/>
                <w:rtl/>
              </w:rPr>
              <w:t>נאשם</w:t>
            </w:r>
          </w:p>
        </w:tc>
      </w:tr>
    </w:tbl>
    <w:p w14:paraId="65F3A6B9" w14:textId="77777777" w:rsidR="00E973A4" w:rsidRPr="008A7F67" w:rsidRDefault="00E973A4" w:rsidP="00E973A4">
      <w:pPr>
        <w:pStyle w:val="a3"/>
        <w:spacing w:after="120" w:line="240" w:lineRule="exact"/>
        <w:ind w:left="283" w:hanging="283"/>
        <w:jc w:val="both"/>
        <w:rPr>
          <w:rFonts w:ascii="FrankRuehl" w:hAnsi="FrankRuehl" w:cs="FrankRuehl"/>
          <w:rtl/>
        </w:rPr>
      </w:pPr>
    </w:p>
    <w:p w14:paraId="4F4FEFA8" w14:textId="77777777" w:rsidR="00E973A4" w:rsidRPr="008A7F67" w:rsidRDefault="00E973A4" w:rsidP="00E973A4">
      <w:pPr>
        <w:pStyle w:val="a3"/>
        <w:spacing w:after="120" w:line="240" w:lineRule="exact"/>
        <w:ind w:left="283" w:hanging="283"/>
        <w:jc w:val="both"/>
        <w:rPr>
          <w:rFonts w:ascii="FrankRuehl" w:hAnsi="FrankRuehl" w:cs="FrankRuehl"/>
          <w:rtl/>
        </w:rPr>
      </w:pPr>
      <w:r w:rsidRPr="008A7F67">
        <w:rPr>
          <w:rFonts w:ascii="FrankRuehl" w:hAnsi="FrankRuehl" w:cs="FrankRuehl"/>
          <w:rtl/>
        </w:rPr>
        <w:t xml:space="preserve">חקיקה שאוזכרה: </w:t>
      </w:r>
    </w:p>
    <w:p w14:paraId="48A9E1D0" w14:textId="77777777" w:rsidR="00E973A4" w:rsidRPr="008A7F67" w:rsidRDefault="00E973A4" w:rsidP="00E973A4">
      <w:pPr>
        <w:pStyle w:val="a3"/>
        <w:spacing w:after="120" w:line="240" w:lineRule="exact"/>
        <w:ind w:left="283" w:hanging="283"/>
        <w:jc w:val="both"/>
        <w:rPr>
          <w:rFonts w:ascii="FrankRuehl" w:hAnsi="FrankRuehl" w:cs="FrankRuehl"/>
          <w:rtl/>
        </w:rPr>
      </w:pPr>
      <w:hyperlink r:id="rId10" w:history="1">
        <w:r w:rsidRPr="008A7F67">
          <w:rPr>
            <w:rFonts w:ascii="FrankRuehl" w:hAnsi="FrankRuehl" w:cs="FrankRuehl"/>
            <w:color w:val="0000FF"/>
            <w:u w:val="single"/>
            <w:rtl/>
          </w:rPr>
          <w:t>פקודת הסמים המסוכנים [נוסח חדש], תשל"ג-1973</w:t>
        </w:r>
      </w:hyperlink>
      <w:r w:rsidRPr="008A7F67">
        <w:rPr>
          <w:rFonts w:ascii="FrankRuehl" w:hAnsi="FrankRuehl" w:cs="FrankRuehl"/>
          <w:rtl/>
        </w:rPr>
        <w:t xml:space="preserve">: </w:t>
      </w:r>
      <w:bookmarkStart w:id="5" w:name="Seif1"/>
      <w:r w:rsidRPr="008A7F67">
        <w:rPr>
          <w:rFonts w:ascii="FrankRuehl" w:hAnsi="FrankRuehl" w:cs="FrankRuehl"/>
          <w:rtl/>
        </w:rPr>
        <w:t xml:space="preserve">סע'  </w:t>
      </w:r>
      <w:bookmarkEnd w:id="5"/>
      <w:r w:rsidRPr="008A7F67">
        <w:rPr>
          <w:rFonts w:ascii="FrankRuehl" w:hAnsi="FrankRuehl" w:cs="FrankRuehl"/>
          <w:color w:val="0000FF"/>
          <w:u w:val="single"/>
          <w:rtl/>
        </w:rPr>
        <w:fldChar w:fldCharType="begin"/>
      </w:r>
      <w:r w:rsidRPr="008A7F67">
        <w:rPr>
          <w:rFonts w:ascii="FrankRuehl" w:hAnsi="FrankRuehl" w:cs="FrankRuehl"/>
          <w:color w:val="0000FF"/>
          <w:u w:val="single"/>
          <w:rtl/>
        </w:rPr>
        <w:instrText xml:space="preserve"> </w:instrText>
      </w:r>
      <w:r w:rsidRPr="008A7F67">
        <w:rPr>
          <w:rFonts w:ascii="FrankRuehl" w:hAnsi="FrankRuehl" w:cs="FrankRuehl"/>
          <w:color w:val="0000FF"/>
          <w:u w:val="single"/>
        </w:rPr>
        <w:instrText>HYPERLINK</w:instrText>
      </w:r>
      <w:r w:rsidRPr="008A7F67">
        <w:rPr>
          <w:rFonts w:ascii="FrankRuehl" w:hAnsi="FrankRuehl" w:cs="FrankRuehl"/>
          <w:color w:val="0000FF"/>
          <w:u w:val="single"/>
          <w:rtl/>
        </w:rPr>
        <w:instrText xml:space="preserve"> "</w:instrText>
      </w:r>
      <w:r w:rsidRPr="008A7F67">
        <w:rPr>
          <w:rFonts w:ascii="FrankRuehl" w:hAnsi="FrankRuehl" w:cs="FrankRuehl"/>
          <w:color w:val="0000FF"/>
          <w:u w:val="single"/>
        </w:rPr>
        <w:instrText>http://www.nevo.co.il/law/4216/7.a</w:instrText>
      </w:r>
      <w:r w:rsidRPr="008A7F67">
        <w:rPr>
          <w:rFonts w:ascii="FrankRuehl" w:hAnsi="FrankRuehl" w:cs="FrankRuehl"/>
          <w:color w:val="0000FF"/>
          <w:u w:val="single"/>
          <w:rtl/>
        </w:rPr>
        <w:instrText xml:space="preserve">" </w:instrText>
      </w:r>
      <w:r w:rsidRPr="008A7F67">
        <w:rPr>
          <w:rFonts w:ascii="FrankRuehl" w:hAnsi="FrankRuehl" w:cs="FrankRuehl"/>
          <w:color w:val="0000FF"/>
          <w:u w:val="single"/>
        </w:rPr>
      </w:r>
      <w:r w:rsidRPr="008A7F67">
        <w:rPr>
          <w:rFonts w:ascii="FrankRuehl" w:hAnsi="FrankRuehl" w:cs="FrankRuehl"/>
          <w:color w:val="0000FF"/>
          <w:u w:val="single"/>
          <w:rtl/>
        </w:rPr>
        <w:fldChar w:fldCharType="separate"/>
      </w:r>
      <w:r w:rsidRPr="008A7F67">
        <w:rPr>
          <w:rFonts w:ascii="FrankRuehl" w:hAnsi="FrankRuehl" w:cs="FrankRuehl"/>
          <w:color w:val="0000FF"/>
          <w:u w:val="single"/>
          <w:rtl/>
        </w:rPr>
        <w:t>7(א)</w:t>
      </w:r>
      <w:r w:rsidRPr="008A7F67">
        <w:rPr>
          <w:rFonts w:ascii="FrankRuehl" w:hAnsi="FrankRuehl" w:cs="FrankRuehl"/>
          <w:color w:val="0000FF"/>
          <w:u w:val="single"/>
          <w:rtl/>
        </w:rPr>
        <w:fldChar w:fldCharType="end"/>
      </w:r>
      <w:r w:rsidRPr="008A7F67">
        <w:rPr>
          <w:rFonts w:ascii="FrankRuehl" w:hAnsi="FrankRuehl" w:cs="FrankRuehl"/>
          <w:rtl/>
        </w:rPr>
        <w:t xml:space="preserve">, </w:t>
      </w:r>
      <w:hyperlink r:id="rId11" w:history="1">
        <w:r w:rsidRPr="008A7F67">
          <w:rPr>
            <w:rFonts w:ascii="FrankRuehl" w:hAnsi="FrankRuehl" w:cs="FrankRuehl"/>
            <w:color w:val="0000FF"/>
            <w:u w:val="single"/>
            <w:rtl/>
          </w:rPr>
          <w:t>7(ג)</w:t>
        </w:r>
      </w:hyperlink>
    </w:p>
    <w:p w14:paraId="3848C3FA" w14:textId="77777777" w:rsidR="00E973A4" w:rsidRPr="008A7F67" w:rsidRDefault="00E973A4" w:rsidP="00E973A4">
      <w:pPr>
        <w:pStyle w:val="a3"/>
        <w:spacing w:after="120" w:line="240" w:lineRule="exact"/>
        <w:ind w:left="283" w:hanging="283"/>
        <w:jc w:val="both"/>
        <w:rPr>
          <w:rFonts w:ascii="FrankRuehl" w:hAnsi="FrankRuehl" w:cs="FrankRuehl"/>
          <w:rtl/>
        </w:rPr>
      </w:pPr>
    </w:p>
    <w:p w14:paraId="5A93185F" w14:textId="77777777" w:rsidR="00EA0419" w:rsidRPr="00D41D4C" w:rsidRDefault="00EA0419" w:rsidP="00EA041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0419" w:rsidRPr="00D41D4C" w14:paraId="0D84208A" w14:textId="77777777" w:rsidTr="00EA0419">
        <w:trPr>
          <w:trHeight w:val="355"/>
          <w:jc w:val="center"/>
        </w:trPr>
        <w:tc>
          <w:tcPr>
            <w:tcW w:w="8820" w:type="dxa"/>
            <w:tcBorders>
              <w:top w:val="nil"/>
              <w:left w:val="nil"/>
              <w:bottom w:val="nil"/>
              <w:right w:val="nil"/>
            </w:tcBorders>
            <w:shd w:val="clear" w:color="auto" w:fill="auto"/>
          </w:tcPr>
          <w:p w14:paraId="581AEA73" w14:textId="77777777" w:rsidR="00EA0419" w:rsidRPr="00D41D4C" w:rsidRDefault="00EA0419" w:rsidP="00EA0419">
            <w:pPr>
              <w:jc w:val="center"/>
              <w:rPr>
                <w:rFonts w:ascii="Arial" w:hAnsi="Arial"/>
                <w:b/>
                <w:bCs/>
                <w:sz w:val="32"/>
                <w:szCs w:val="32"/>
                <w:rtl/>
              </w:rPr>
            </w:pPr>
          </w:p>
          <w:p w14:paraId="1BA113DF" w14:textId="77777777" w:rsidR="00EA0419" w:rsidRPr="00D41D4C" w:rsidRDefault="00EA0419" w:rsidP="00EA0419">
            <w:pPr>
              <w:jc w:val="center"/>
              <w:rPr>
                <w:rFonts w:ascii="Arial" w:hAnsi="Arial"/>
                <w:b/>
                <w:bCs/>
                <w:sz w:val="32"/>
                <w:szCs w:val="32"/>
                <w:rtl/>
              </w:rPr>
            </w:pPr>
            <w:bookmarkStart w:id="6" w:name="PsakDin"/>
            <w:r w:rsidRPr="00D41D4C">
              <w:rPr>
                <w:rFonts w:ascii="Arial" w:hAnsi="Arial" w:hint="cs"/>
                <w:b/>
                <w:bCs/>
                <w:sz w:val="32"/>
                <w:szCs w:val="32"/>
                <w:rtl/>
              </w:rPr>
              <w:t>גזר</w:t>
            </w:r>
            <w:bookmarkEnd w:id="6"/>
            <w:r w:rsidRPr="00D41D4C">
              <w:rPr>
                <w:rFonts w:ascii="Arial" w:hAnsi="Arial" w:hint="cs"/>
                <w:b/>
                <w:bCs/>
                <w:sz w:val="32"/>
                <w:szCs w:val="32"/>
                <w:rtl/>
              </w:rPr>
              <w:t>- דין</w:t>
            </w:r>
          </w:p>
        </w:tc>
      </w:tr>
    </w:tbl>
    <w:p w14:paraId="20E10F66" w14:textId="77777777" w:rsidR="00EA0419" w:rsidRPr="00D41D4C" w:rsidRDefault="00EA0419" w:rsidP="00EA0419">
      <w:pPr>
        <w:rPr>
          <w:rFonts w:ascii="Arial" w:hAnsi="Arial"/>
          <w:rtl/>
        </w:rPr>
      </w:pPr>
    </w:p>
    <w:p w14:paraId="7518778B" w14:textId="77777777" w:rsidR="00EA0419" w:rsidRPr="00D41D4C" w:rsidRDefault="00EA0419" w:rsidP="00EA0419">
      <w:pPr>
        <w:rPr>
          <w:rtl/>
        </w:rPr>
      </w:pPr>
    </w:p>
    <w:p w14:paraId="46AF183D" w14:textId="77777777" w:rsidR="00EA0419" w:rsidRPr="00D41D4C" w:rsidRDefault="00EA0419" w:rsidP="00EA0419">
      <w:pPr>
        <w:spacing w:line="360" w:lineRule="auto"/>
        <w:jc w:val="both"/>
        <w:rPr>
          <w:rFonts w:ascii="David" w:hAnsi="David"/>
          <w:b/>
          <w:bCs/>
        </w:rPr>
      </w:pPr>
      <w:r w:rsidRPr="00D41D4C">
        <w:rPr>
          <w:rFonts w:ascii="David" w:hAnsi="David" w:hint="cs"/>
          <w:b/>
          <w:bCs/>
          <w:rtl/>
        </w:rPr>
        <w:t>מבוא</w:t>
      </w:r>
    </w:p>
    <w:p w14:paraId="4641C908" w14:textId="77777777" w:rsidR="00EA0419" w:rsidRPr="00D41D4C" w:rsidRDefault="00EA0419" w:rsidP="00EA0419">
      <w:pPr>
        <w:pStyle w:val="aa"/>
        <w:numPr>
          <w:ilvl w:val="0"/>
          <w:numId w:val="1"/>
        </w:numPr>
        <w:spacing w:line="360" w:lineRule="auto"/>
        <w:ind w:left="509" w:hanging="509"/>
        <w:jc w:val="both"/>
        <w:rPr>
          <w:rFonts w:ascii="David" w:hAnsi="David" w:cs="David"/>
          <w:sz w:val="24"/>
          <w:szCs w:val="24"/>
          <w:rtl/>
        </w:rPr>
      </w:pPr>
      <w:bookmarkStart w:id="7" w:name="ABSTRACT_START"/>
      <w:bookmarkEnd w:id="7"/>
      <w:r w:rsidRPr="00D41D4C">
        <w:rPr>
          <w:rFonts w:ascii="David" w:hAnsi="David" w:cs="David" w:hint="cs"/>
          <w:sz w:val="24"/>
          <w:szCs w:val="24"/>
          <w:rtl/>
        </w:rPr>
        <w:t xml:space="preserve">ביום 9.4.18, הודה הנאשם, בעובדות כתב האישום המתוקן, בעבירה של החזקת סמים לצריכה עצמית, לפי </w:t>
      </w:r>
      <w:hyperlink r:id="rId12" w:history="1">
        <w:r w:rsidR="00E973A4" w:rsidRPr="00E973A4">
          <w:rPr>
            <w:rFonts w:ascii="David" w:hAnsi="David" w:cs="David"/>
            <w:color w:val="0000FF"/>
            <w:sz w:val="24"/>
            <w:szCs w:val="24"/>
            <w:u w:val="single"/>
            <w:rtl/>
          </w:rPr>
          <w:t>סעיף 7(א)</w:t>
        </w:r>
      </w:hyperlink>
      <w:r w:rsidRPr="00D41D4C">
        <w:rPr>
          <w:rFonts w:ascii="David" w:hAnsi="David" w:cs="David" w:hint="cs"/>
          <w:sz w:val="24"/>
          <w:szCs w:val="24"/>
          <w:rtl/>
        </w:rPr>
        <w:t xml:space="preserve"> יחד עם </w:t>
      </w:r>
      <w:bookmarkStart w:id="8" w:name="Seif3"/>
      <w:r w:rsidRPr="00D41D4C">
        <w:rPr>
          <w:rFonts w:ascii="David" w:hAnsi="David" w:cs="David" w:hint="cs"/>
          <w:sz w:val="24"/>
          <w:szCs w:val="24"/>
          <w:rtl/>
        </w:rPr>
        <w:t xml:space="preserve">סעיף </w:t>
      </w:r>
      <w:bookmarkStart w:id="9" w:name="Seif2"/>
      <w:bookmarkEnd w:id="8"/>
      <w:bookmarkEnd w:id="9"/>
      <w:r w:rsidR="00E973A4" w:rsidRPr="00E973A4">
        <w:rPr>
          <w:rFonts w:ascii="David" w:hAnsi="David" w:cs="David"/>
          <w:color w:val="0000FF"/>
          <w:sz w:val="24"/>
          <w:szCs w:val="24"/>
          <w:u w:val="single"/>
          <w:rtl/>
        </w:rPr>
        <w:fldChar w:fldCharType="begin"/>
      </w:r>
      <w:r w:rsidR="00E973A4" w:rsidRPr="00E973A4">
        <w:rPr>
          <w:rFonts w:ascii="David" w:hAnsi="David" w:cs="David"/>
          <w:color w:val="0000FF"/>
          <w:sz w:val="24"/>
          <w:szCs w:val="24"/>
          <w:u w:val="single"/>
          <w:rtl/>
        </w:rPr>
        <w:instrText xml:space="preserve"> </w:instrText>
      </w:r>
      <w:r w:rsidR="00E973A4" w:rsidRPr="00E973A4">
        <w:rPr>
          <w:rFonts w:ascii="David" w:hAnsi="David" w:cs="David"/>
          <w:color w:val="0000FF"/>
          <w:sz w:val="24"/>
          <w:szCs w:val="24"/>
          <w:u w:val="single"/>
        </w:rPr>
        <w:instrText>HYPERLINK</w:instrText>
      </w:r>
      <w:r w:rsidR="00E973A4" w:rsidRPr="00E973A4">
        <w:rPr>
          <w:rFonts w:ascii="David" w:hAnsi="David" w:cs="David"/>
          <w:color w:val="0000FF"/>
          <w:sz w:val="24"/>
          <w:szCs w:val="24"/>
          <w:u w:val="single"/>
          <w:rtl/>
        </w:rPr>
        <w:instrText xml:space="preserve"> "</w:instrText>
      </w:r>
      <w:r w:rsidR="00E973A4" w:rsidRPr="00E973A4">
        <w:rPr>
          <w:rFonts w:ascii="David" w:hAnsi="David" w:cs="David"/>
          <w:color w:val="0000FF"/>
          <w:sz w:val="24"/>
          <w:szCs w:val="24"/>
          <w:u w:val="single"/>
        </w:rPr>
        <w:instrText>http://www.nevo.co.il/law/4216/7.c</w:instrText>
      </w:r>
      <w:r w:rsidR="00E973A4" w:rsidRPr="00E973A4">
        <w:rPr>
          <w:rFonts w:ascii="David" w:hAnsi="David" w:cs="David"/>
          <w:color w:val="0000FF"/>
          <w:sz w:val="24"/>
          <w:szCs w:val="24"/>
          <w:u w:val="single"/>
          <w:rtl/>
        </w:rPr>
        <w:instrText xml:space="preserve">" </w:instrText>
      </w:r>
      <w:r w:rsidR="00437E3B" w:rsidRPr="00E973A4">
        <w:rPr>
          <w:rFonts w:ascii="David" w:hAnsi="David" w:cs="David"/>
          <w:color w:val="0000FF"/>
          <w:sz w:val="24"/>
          <w:szCs w:val="24"/>
          <w:u w:val="single"/>
        </w:rPr>
      </w:r>
      <w:r w:rsidR="00E973A4" w:rsidRPr="00E973A4">
        <w:rPr>
          <w:rFonts w:ascii="David" w:hAnsi="David" w:cs="David"/>
          <w:color w:val="0000FF"/>
          <w:sz w:val="24"/>
          <w:szCs w:val="24"/>
          <w:u w:val="single"/>
          <w:rtl/>
        </w:rPr>
        <w:fldChar w:fldCharType="separate"/>
      </w:r>
      <w:r w:rsidR="00E973A4" w:rsidRPr="00E973A4">
        <w:rPr>
          <w:rFonts w:ascii="David" w:hAnsi="David" w:cs="David"/>
          <w:color w:val="0000FF"/>
          <w:sz w:val="24"/>
          <w:szCs w:val="24"/>
          <w:u w:val="single"/>
          <w:rtl/>
        </w:rPr>
        <w:t>7(ג)</w:t>
      </w:r>
      <w:r w:rsidR="00E973A4" w:rsidRPr="00E973A4">
        <w:rPr>
          <w:rFonts w:ascii="David" w:hAnsi="David" w:cs="David"/>
          <w:color w:val="0000FF"/>
          <w:sz w:val="24"/>
          <w:szCs w:val="24"/>
          <w:u w:val="single"/>
          <w:rtl/>
        </w:rPr>
        <w:fldChar w:fldCharType="end"/>
      </w:r>
      <w:r w:rsidRPr="00D41D4C">
        <w:rPr>
          <w:rFonts w:ascii="David" w:hAnsi="David" w:cs="David" w:hint="cs"/>
          <w:sz w:val="24"/>
          <w:szCs w:val="24"/>
          <w:rtl/>
        </w:rPr>
        <w:t xml:space="preserve"> ל</w:t>
      </w:r>
      <w:hyperlink r:id="rId13" w:history="1">
        <w:r w:rsidR="00D41D4C" w:rsidRPr="00D41D4C">
          <w:rPr>
            <w:rFonts w:ascii="David" w:hAnsi="David" w:cs="David"/>
            <w:color w:val="0000FF"/>
            <w:sz w:val="24"/>
            <w:szCs w:val="24"/>
            <w:u w:val="single"/>
            <w:rtl/>
          </w:rPr>
          <w:t>פקודת הסמים המסוכנים</w:t>
        </w:r>
      </w:hyperlink>
      <w:r w:rsidRPr="00D41D4C">
        <w:rPr>
          <w:rFonts w:ascii="David" w:hAnsi="David" w:cs="David" w:hint="cs"/>
          <w:sz w:val="24"/>
          <w:szCs w:val="24"/>
          <w:rtl/>
        </w:rPr>
        <w:t xml:space="preserve"> [נוסח חדש], תשל"ג – 1973.</w:t>
      </w:r>
    </w:p>
    <w:p w14:paraId="64CA0ED2" w14:textId="77777777" w:rsidR="00EA0419" w:rsidRPr="00D41D4C" w:rsidRDefault="00EA0419" w:rsidP="00EA0419">
      <w:pPr>
        <w:spacing w:line="360" w:lineRule="auto"/>
        <w:ind w:left="509"/>
        <w:jc w:val="both"/>
        <w:rPr>
          <w:rFonts w:ascii="David" w:hAnsi="David"/>
        </w:rPr>
      </w:pPr>
      <w:r w:rsidRPr="00D41D4C">
        <w:rPr>
          <w:rFonts w:ascii="David" w:hAnsi="David" w:hint="cs"/>
          <w:rtl/>
        </w:rPr>
        <w:t xml:space="preserve">לפי כתב האישום </w:t>
      </w:r>
      <w:bookmarkStart w:id="10" w:name="ABSTRACT_END"/>
      <w:bookmarkEnd w:id="10"/>
      <w:r w:rsidRPr="00D41D4C">
        <w:rPr>
          <w:rFonts w:ascii="David" w:hAnsi="David" w:hint="cs"/>
          <w:rtl/>
        </w:rPr>
        <w:t xml:space="preserve">המתוקן, במהלך חיפוש בביתו של הנאשם ביום 23.1.17, נתפסו במגירה במזנון הטלוויזיה שתי שקיות המכילות סם מסוכן מסוג קנבוס במשקל 1.25 גרם נטו, שקית המכילה סם מסוכן מסוג </w:t>
      </w:r>
      <w:r w:rsidRPr="00D41D4C">
        <w:rPr>
          <w:rFonts w:ascii="David" w:hAnsi="David" w:hint="cs"/>
        </w:rPr>
        <w:t>MDMA</w:t>
      </w:r>
      <w:r w:rsidRPr="00D41D4C">
        <w:rPr>
          <w:rFonts w:ascii="David" w:hAnsi="David" w:hint="cs"/>
          <w:rtl/>
        </w:rPr>
        <w:t xml:space="preserve"> במשקל 0.1868 גרם נטו ובקבוקון המכיל סם מסוכן מסוג קוקאין במשקל 0.0527 גרם נטו.</w:t>
      </w:r>
    </w:p>
    <w:p w14:paraId="36A7831A" w14:textId="77777777" w:rsidR="00EA0419" w:rsidRPr="00D41D4C" w:rsidRDefault="00EA0419" w:rsidP="00EA0419">
      <w:pPr>
        <w:pStyle w:val="aa"/>
        <w:numPr>
          <w:ilvl w:val="0"/>
          <w:numId w:val="1"/>
        </w:numPr>
        <w:spacing w:line="360" w:lineRule="auto"/>
        <w:ind w:left="509" w:hanging="509"/>
        <w:jc w:val="both"/>
        <w:rPr>
          <w:rFonts w:ascii="David" w:hAnsi="David" w:cs="David"/>
          <w:sz w:val="24"/>
          <w:szCs w:val="24"/>
          <w:rtl/>
        </w:rPr>
      </w:pPr>
      <w:r w:rsidRPr="00D41D4C">
        <w:rPr>
          <w:rFonts w:ascii="David" w:hAnsi="David" w:cs="David" w:hint="cs"/>
          <w:sz w:val="24"/>
          <w:szCs w:val="24"/>
          <w:rtl/>
        </w:rPr>
        <w:t>לפי הסדר הטיעון, נשלח הנאשם לעריכת תסקיר שירות מבחן, ללא הסכמה עונשית. כן הוסכם, שככל שלא יימצאו שרידי סם בבדיקות שתן שיערכו לנאשם, התביעה תעתור לפסילה על תנאי בלבד ללא פסילה בפועל.</w:t>
      </w:r>
    </w:p>
    <w:p w14:paraId="535D5D1A" w14:textId="77777777" w:rsidR="00EA0419" w:rsidRPr="00D41D4C" w:rsidRDefault="00EA0419" w:rsidP="00EA0419">
      <w:pPr>
        <w:spacing w:line="360" w:lineRule="auto"/>
        <w:jc w:val="both"/>
        <w:rPr>
          <w:rFonts w:ascii="David" w:hAnsi="David"/>
          <w:b/>
          <w:bCs/>
        </w:rPr>
      </w:pPr>
    </w:p>
    <w:p w14:paraId="3FC9946C" w14:textId="77777777" w:rsidR="00EA0419" w:rsidRPr="00D41D4C" w:rsidRDefault="00EA0419" w:rsidP="00EA0419">
      <w:pPr>
        <w:spacing w:line="360" w:lineRule="auto"/>
        <w:jc w:val="both"/>
        <w:rPr>
          <w:rFonts w:ascii="David" w:hAnsi="David"/>
          <w:b/>
          <w:bCs/>
          <w:rtl/>
        </w:rPr>
      </w:pPr>
      <w:r w:rsidRPr="00D41D4C">
        <w:rPr>
          <w:rFonts w:ascii="David" w:hAnsi="David" w:hint="cs"/>
          <w:b/>
          <w:bCs/>
          <w:rtl/>
        </w:rPr>
        <w:t>תסקירי שירות מבחן</w:t>
      </w:r>
    </w:p>
    <w:p w14:paraId="334FD53E" w14:textId="77777777" w:rsidR="00EA0419" w:rsidRPr="00D41D4C" w:rsidRDefault="00EA0419" w:rsidP="00EA0419">
      <w:pPr>
        <w:pStyle w:val="aa"/>
        <w:numPr>
          <w:ilvl w:val="0"/>
          <w:numId w:val="1"/>
        </w:numPr>
        <w:spacing w:line="360" w:lineRule="auto"/>
        <w:ind w:left="509" w:hanging="509"/>
        <w:jc w:val="both"/>
        <w:rPr>
          <w:rFonts w:ascii="David" w:hAnsi="David" w:cs="David"/>
          <w:sz w:val="24"/>
          <w:szCs w:val="24"/>
          <w:rtl/>
        </w:rPr>
      </w:pPr>
      <w:r w:rsidRPr="00D41D4C">
        <w:rPr>
          <w:rFonts w:ascii="David" w:hAnsi="David" w:cs="David" w:hint="cs"/>
          <w:sz w:val="24"/>
          <w:szCs w:val="24"/>
          <w:rtl/>
        </w:rPr>
        <w:lastRenderedPageBreak/>
        <w:t>שירות המבחן, בתסקירו מיום 29.8.18, ציין כי הנאשם בן 35, נשוי, ונעדר הרשעות קודמות. הנאשם הודה במיוחס לו, לקח אחריות על מעשיו והביע צער וחרטה על אודות ביצוע העבירה. הנאשם סיים תואר ראשון במנהל עסקים, אולם עובד בתחום הפצת עיתונים. במכתב של מעסיקו ציין, כי הרשעתו תפגע בהמשך העסקתו בחברה. הנאשם תיאר בפני שירות המבחן את מצבו הנפשי הקשה עת נסגר העסק "פנסיון לכלבים", שהיה בבעלותו. באותה תקופה, עקב מצבו הרגשי הירוד ועל מנת להקל על התמודדותו, החל לצרוך סמים. בתקופה זו, גם פנה מיוזמתו למחלקה לבריאות הנפש לקבלת סיוע, והומלץ לו על טיפול תרופתי. על כך ניתן ללמוד גם ממסמכים רפואיים שהוגשו. הנאשם ציין, כי לאחר כחצי שנה, בהיעדר שיפור במצבו, הפסיק את הטיפול התרופתי והמעקב הפסיכיאטרי. עוד הוסיף, כי אחיו הצעיר נהרג בתאונת דרכים, בהיותו בן 11, וכי גם אמו ואחיו הצעיר מטופלים במסגרת בריאות הנפש, ומצבה הנפשי של אמו התדרדר לאחרונה בצורה משמעותית. לטענת הנאשם, בעקבות ההליך הפלילי, הפסיק לעשות שימוש בסמים. הנאשם ביצע ארבע בדיקות שתן במהלך החודשים יוני – אוגוסט 2018, ולא נמצאו בהן שרידי סם.</w:t>
      </w:r>
    </w:p>
    <w:p w14:paraId="18B4757B" w14:textId="77777777" w:rsidR="00EA0419" w:rsidRPr="00D41D4C" w:rsidRDefault="00EA0419" w:rsidP="00EA0419">
      <w:pPr>
        <w:spacing w:line="360" w:lineRule="auto"/>
        <w:ind w:left="509"/>
        <w:jc w:val="both"/>
        <w:rPr>
          <w:rFonts w:ascii="David" w:hAnsi="David"/>
          <w:rtl/>
        </w:rPr>
      </w:pPr>
      <w:r w:rsidRPr="00D41D4C">
        <w:rPr>
          <w:rFonts w:ascii="David" w:hAnsi="David" w:hint="cs"/>
          <w:rtl/>
        </w:rPr>
        <w:t>להתרשמות שירות המבחן, הנאשם חווה אירוע טראומתי בגיל צעיר עקב מות אחיו וגדל בצל חוויית אבל ואובדן. עוד העריך שירות המבחן, כי המשבר שעבר הנאשם עקב סגירת עסקו  הגביר את המצוקה הרגשית, ואלו הובילו לצריכת סמים. לצד זאת, התרשם שירות המבחן מנטיית הנאשם למקד כוחותיו ומשאביו לשמירה על אורח חיים מתפקד ברמה תעסוקתית ומשפחתית. הנאשם שלל צורך טיפולי ועל כן שירות המבחן נמנע מהמלצה שיקומית. לצד זאת, המליץ שירות המבחן לסיים ההליך ללא הרשעה ולצד זאת להטיל על הנאשם צו שירות לתועלת הציבור בהיקף של 140 שעות.</w:t>
      </w:r>
    </w:p>
    <w:p w14:paraId="5E0BADDF" w14:textId="77777777" w:rsidR="00EA0419" w:rsidRDefault="00EA0419" w:rsidP="00EA0419">
      <w:pPr>
        <w:spacing w:line="360" w:lineRule="auto"/>
        <w:ind w:left="509"/>
        <w:jc w:val="both"/>
        <w:rPr>
          <w:rFonts w:ascii="David" w:hAnsi="David"/>
          <w:rtl/>
        </w:rPr>
      </w:pPr>
      <w:r>
        <w:rPr>
          <w:rFonts w:ascii="David" w:hAnsi="David" w:hint="cs"/>
          <w:rtl/>
        </w:rPr>
        <w:t>לפי תסקירו המשלים של שירות המבחן מיום 9.1.19 במהלך תקופת הדחייה, נפגש שירות המבחן עם הנאשם והתרשם כי הוא מודע לצרכיו ומודע להם אך מביע קושי ואף חשש להשתלב בטיפול. הנאשם הביע נכונות מילולית לטיפול על רקע רצונו לסיים ההליך ללא הרשעתו. גם בתקופת הדחייה לא נמצאו שרידי סם בבדיקות השתן שנערכו לנאשם.</w:t>
      </w:r>
    </w:p>
    <w:p w14:paraId="011A3B14" w14:textId="77777777" w:rsidR="00EA0419" w:rsidRDefault="00EA0419" w:rsidP="00EA0419">
      <w:pPr>
        <w:spacing w:line="360" w:lineRule="auto"/>
        <w:ind w:left="509"/>
        <w:jc w:val="both"/>
        <w:rPr>
          <w:rFonts w:ascii="David" w:hAnsi="David"/>
          <w:rtl/>
        </w:rPr>
      </w:pPr>
      <w:r>
        <w:rPr>
          <w:rFonts w:ascii="David" w:hAnsi="David" w:hint="cs"/>
          <w:rtl/>
        </w:rPr>
        <w:t>מכאן חזר שירות המבחן על המלצתו לסיים ההליך ללא הרשעה לצד צו שירות לתועלת הציבור, והוסיף המלצה להטיל על הנאשם גם צו מבחן.</w:t>
      </w:r>
    </w:p>
    <w:p w14:paraId="6659136E" w14:textId="77777777" w:rsidR="00EA0419" w:rsidRDefault="00EA0419" w:rsidP="00EA0419">
      <w:pPr>
        <w:spacing w:line="360" w:lineRule="auto"/>
        <w:jc w:val="both"/>
        <w:rPr>
          <w:rFonts w:ascii="David" w:hAnsi="David"/>
          <w:b/>
          <w:bCs/>
          <w:u w:val="single"/>
        </w:rPr>
      </w:pPr>
    </w:p>
    <w:p w14:paraId="024B4067" w14:textId="77777777" w:rsidR="00EA0419" w:rsidRDefault="00EA0419" w:rsidP="00EA0419">
      <w:pPr>
        <w:spacing w:line="360" w:lineRule="auto"/>
        <w:jc w:val="both"/>
        <w:rPr>
          <w:rFonts w:ascii="David" w:hAnsi="David"/>
          <w:b/>
          <w:bCs/>
          <w:u w:val="single"/>
          <w:rtl/>
        </w:rPr>
      </w:pPr>
      <w:r>
        <w:rPr>
          <w:rFonts w:ascii="David" w:hAnsi="David" w:hint="cs"/>
          <w:b/>
          <w:bCs/>
          <w:u w:val="single"/>
          <w:rtl/>
        </w:rPr>
        <w:t>טענות הצדדים</w:t>
      </w:r>
    </w:p>
    <w:p w14:paraId="1BF25B67" w14:textId="77777777" w:rsidR="00EA0419" w:rsidRDefault="00EA0419" w:rsidP="00EA0419">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לטענת באת כוח התביעה, יש להרשיע את הנאשם בהיעדר פגיעה קונקרטית. הנאשם עובד בהפצת עיתונים ואין בהרשעתו כדי להביא לפגיעה בתפקידו. יתר על כן, הנאשם שלל הליך טיפולי ומכאן, כי שירות המבחן לא בא בהמלצה טיפולית. </w:t>
      </w:r>
    </w:p>
    <w:p w14:paraId="3BA949CC"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הוסיפה וטענה באת כוח התביעה כי יש לקחת בחשבון את הנסיבות הבאות שאינן קשורות בביצוע העבירות: הנאשם נעדר הרשעות קודמות; הנאשם נטל אחריות על ביצוע העבירות; הנאשם עבר גמילה בכוחות עצמו; בארבע בדיקות שתן שנערכו לנאשם לא נמצאו </w:t>
      </w:r>
      <w:r>
        <w:rPr>
          <w:rFonts w:ascii="David" w:hAnsi="David" w:cs="David" w:hint="cs"/>
          <w:sz w:val="24"/>
          <w:szCs w:val="24"/>
          <w:rtl/>
        </w:rPr>
        <w:lastRenderedPageBreak/>
        <w:t>שרידי סם; הוגש תסקיר חיובי בעניינו של הנאשם, עם זאת, הנאשם מפחית מחומרת מצבו, אינו מזהה צורך בטיפול ושלל נכונות להליך טיפולי.</w:t>
      </w:r>
    </w:p>
    <w:p w14:paraId="6880FD9C"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האמור, עתרה באת כוח התביעה להטיל על הנאשם מאסר על תנאי, צו שירות לתועלת הציבור ופסילת רישיון על תנאי.</w:t>
      </w:r>
    </w:p>
    <w:p w14:paraId="378E3618"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בא כוח הנאשם טען, לעומת זאת, כי יש לסיים ההליך ללא הרשעת הנאשם, לאור השינוי שחל במדיניות האכיפה של הממשלה בנושא שימוש בקנבוס. מכאן טען, יש במקרים אלו, מכוח טענות של הגנה מן הצדק וביקורת מנהלית, יש לבטל את כתב האישום. </w:t>
      </w:r>
    </w:p>
    <w:p w14:paraId="65BE0A30"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טען, כי מדיניות הענישה תומכת בסיום הליך ללא הרשעה בכתבי אישום שבהם מיוחסת עבירה של החזקת סמים קלים לצריכה עצמית. </w:t>
      </w:r>
    </w:p>
    <w:p w14:paraId="4699BA9D"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הוסיף וטען בא כוח הנאשם, כי יש לקחת בחשבון את הרקע לביצוע העבירות. הנאשם גדל במשפחה אומללה על רקע פטירת אחיו, אמו של הנאשם סובלת ממצב נפשי קשה וגם הנאשם עצמו טופל על ידי פסיכיאטרים. הנאשם החל בצריכת סמים על רקע עסקו שכשל ומצבו הנפשי הירוד. </w:t>
      </w:r>
    </w:p>
    <w:p w14:paraId="1298F773"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יש לקחת בחשבון את הנסיבות הבאות שאינן קשורות בביצוע העבירות: הנאשם הודה במיוחס לו, ונטל אחריות על מעשיו. הנאשם הוא אף זה שהפנה את המשטרה למקום בו נמצאים הסמים. הנאשם נגמל בכוחות עצמו, כפי שניתן ללמוד מבדיקות השתן שנערכו לנאשם; הנאשם נעדר הרשעות קודמות וזו הסתבכותו הראשונה עם רשויות אכיפת החוק. גם מתסקיר שירות המבחן עולה כי יש לסיים ההליך ללא הרשעה.</w:t>
      </w:r>
    </w:p>
    <w:p w14:paraId="1159A529"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ציין, כי יש בידי הנאשם להוכיח קיומו של נזק קונקרטי. הנאשם בעל נכס בארצות הברית, וככל שיורשע, לא יוכל לקבל ויזה לארצות הברית.</w:t>
      </w:r>
    </w:p>
    <w:p w14:paraId="3721DA15"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 בא כוח הנאשם, לאמץ את המלצת שירות המבחן ולסיים ההליך ללא הרשעת הנאשם.</w:t>
      </w:r>
    </w:p>
    <w:p w14:paraId="28B81658"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בדברו האחרון מסר הנאשם כי מדובר במעידה חד פעמית עקב מצב נפשי, הוא לקח אחריות מלאה, שיתף פעולה והביע נכונות להליך טיפולי.</w:t>
      </w:r>
    </w:p>
    <w:p w14:paraId="393E0915" w14:textId="77777777" w:rsidR="00EA0419" w:rsidRDefault="00EA0419" w:rsidP="00EA0419">
      <w:pPr>
        <w:spacing w:line="360" w:lineRule="auto"/>
        <w:jc w:val="both"/>
        <w:rPr>
          <w:rFonts w:ascii="David" w:hAnsi="David"/>
          <w:b/>
          <w:bCs/>
          <w:u w:val="single"/>
        </w:rPr>
      </w:pPr>
    </w:p>
    <w:p w14:paraId="1BEF3FAD" w14:textId="77777777" w:rsidR="00EA0419" w:rsidRDefault="00EA0419" w:rsidP="00EA0419">
      <w:pPr>
        <w:spacing w:line="360" w:lineRule="auto"/>
        <w:jc w:val="both"/>
        <w:rPr>
          <w:rFonts w:ascii="David" w:hAnsi="David"/>
          <w:rtl/>
        </w:rPr>
      </w:pPr>
      <w:r>
        <w:rPr>
          <w:rFonts w:ascii="David" w:hAnsi="David" w:hint="cs"/>
          <w:b/>
          <w:bCs/>
          <w:u w:val="single"/>
          <w:rtl/>
        </w:rPr>
        <w:t>דיון והכרעה</w:t>
      </w:r>
    </w:p>
    <w:p w14:paraId="446A898B" w14:textId="77777777" w:rsidR="00EA0419" w:rsidRDefault="00EA0419" w:rsidP="00EA0419">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עיקר המחלוקת בין הצדדים היא בשאלת הרשעתו של הנאשם.</w:t>
      </w:r>
    </w:p>
    <w:p w14:paraId="462B6E17"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כידוע, בעניינו של בגיר, ההרשעה היא ה</w:t>
      </w:r>
      <w:bookmarkStart w:id="11" w:name="Seif4"/>
      <w:r>
        <w:rPr>
          <w:rFonts w:ascii="David" w:hAnsi="David" w:cs="David" w:hint="cs"/>
          <w:sz w:val="24"/>
          <w:szCs w:val="24"/>
          <w:rtl/>
        </w:rPr>
        <w:t xml:space="preserve">כלל וביטולה </w:t>
      </w:r>
      <w:bookmarkEnd w:id="11"/>
      <w:r>
        <w:rPr>
          <w:rFonts w:ascii="David" w:hAnsi="David" w:cs="David" w:hint="cs"/>
          <w:sz w:val="24"/>
          <w:szCs w:val="24"/>
          <w:rtl/>
        </w:rPr>
        <w:t>הוא החריג. לפי ההלכה אשר נקבעה זה מכבר ב</w:t>
      </w:r>
      <w:hyperlink r:id="rId14" w:history="1">
        <w:r w:rsidR="00D41D4C" w:rsidRPr="00D41D4C">
          <w:rPr>
            <w:rFonts w:ascii="David" w:hAnsi="David" w:cs="David"/>
            <w:color w:val="0000FF"/>
            <w:sz w:val="24"/>
            <w:szCs w:val="24"/>
            <w:u w:val="single"/>
            <w:rtl/>
          </w:rPr>
          <w:t>ע"פ 2083/96 כתב נ' מדינת ישראל, פ"ד נב</w:t>
        </w:r>
      </w:hyperlink>
      <w:r>
        <w:rPr>
          <w:rFonts w:ascii="David" w:hAnsi="David" w:cs="David" w:hint="cs"/>
          <w:sz w:val="24"/>
          <w:szCs w:val="24"/>
          <w:rtl/>
        </w:rPr>
        <w:t xml:space="preserve">(3) 337 (1997). הימנעות מהרשעה אפשרית בהצטבר התנאים הבאים: האחד, סוג העבירה מאפשר לוותר בנסיבות המקרה המסוים על ההרשעה מבלי לפגוע באופן מהותי בשיקולי ענישה אחרים; השני, על ההרשעה לפגוע פגיעה חמורה בשיקום הנאשם (ראו גם: </w:t>
      </w:r>
      <w:hyperlink r:id="rId15" w:history="1">
        <w:r w:rsidR="00D41D4C" w:rsidRPr="00D41D4C">
          <w:rPr>
            <w:rFonts w:ascii="David" w:hAnsi="David" w:cs="David"/>
            <w:color w:val="0000FF"/>
            <w:sz w:val="24"/>
            <w:szCs w:val="24"/>
            <w:u w:val="single"/>
            <w:rtl/>
          </w:rPr>
          <w:t>ע"פ 8528/12</w:t>
        </w:r>
      </w:hyperlink>
      <w:r>
        <w:rPr>
          <w:rFonts w:ascii="David" w:hAnsi="David" w:cs="David" w:hint="cs"/>
          <w:sz w:val="24"/>
          <w:szCs w:val="24"/>
          <w:rtl/>
        </w:rPr>
        <w:t xml:space="preserve"> </w:t>
      </w:r>
      <w:r>
        <w:rPr>
          <w:rFonts w:ascii="David" w:hAnsi="David" w:cs="David" w:hint="cs"/>
          <w:b/>
          <w:bCs/>
          <w:sz w:val="24"/>
          <w:szCs w:val="24"/>
          <w:rtl/>
        </w:rPr>
        <w:t>צפורה נ' מדינת ישראל</w:t>
      </w:r>
      <w:r>
        <w:rPr>
          <w:rFonts w:ascii="David" w:hAnsi="David" w:cs="David" w:hint="cs"/>
          <w:sz w:val="24"/>
          <w:szCs w:val="24"/>
          <w:rtl/>
        </w:rPr>
        <w:t xml:space="preserve"> (3.3.13); </w:t>
      </w:r>
      <w:hyperlink r:id="rId16" w:history="1">
        <w:r w:rsidR="00D41D4C" w:rsidRPr="00D41D4C">
          <w:rPr>
            <w:rFonts w:ascii="David" w:hAnsi="David" w:cs="David"/>
            <w:color w:val="0000FF"/>
            <w:sz w:val="24"/>
            <w:szCs w:val="24"/>
            <w:u w:val="single"/>
            <w:rtl/>
          </w:rPr>
          <w:t>רע"פ 9118/12</w:t>
        </w:r>
      </w:hyperlink>
      <w:r>
        <w:rPr>
          <w:rFonts w:ascii="David" w:hAnsi="David" w:cs="David" w:hint="cs"/>
          <w:b/>
          <w:bCs/>
          <w:sz w:val="24"/>
          <w:szCs w:val="24"/>
          <w:rtl/>
        </w:rPr>
        <w:t xml:space="preserve"> פריגין נ' מדינת ישראל  </w:t>
      </w:r>
      <w:r>
        <w:rPr>
          <w:rFonts w:ascii="David" w:hAnsi="David" w:cs="David" w:hint="cs"/>
          <w:sz w:val="24"/>
          <w:szCs w:val="24"/>
          <w:rtl/>
        </w:rPr>
        <w:t xml:space="preserve">(1.1.13); </w:t>
      </w:r>
      <w:hyperlink r:id="rId17" w:history="1">
        <w:r w:rsidR="00D41D4C" w:rsidRPr="00D41D4C">
          <w:rPr>
            <w:rFonts w:ascii="David" w:hAnsi="David" w:cs="David"/>
            <w:color w:val="0000FF"/>
            <w:sz w:val="24"/>
            <w:szCs w:val="24"/>
            <w:u w:val="single"/>
            <w:rtl/>
          </w:rPr>
          <w:t>ע"פ 5102/03</w:t>
        </w:r>
      </w:hyperlink>
      <w:r>
        <w:rPr>
          <w:rFonts w:ascii="David" w:hAnsi="David" w:cs="David" w:hint="cs"/>
          <w:sz w:val="24"/>
          <w:szCs w:val="24"/>
          <w:rtl/>
        </w:rPr>
        <w:t xml:space="preserve"> </w:t>
      </w:r>
      <w:r>
        <w:rPr>
          <w:rFonts w:ascii="David" w:hAnsi="David" w:cs="David" w:hint="cs"/>
          <w:b/>
          <w:bCs/>
          <w:sz w:val="24"/>
          <w:szCs w:val="24"/>
          <w:rtl/>
        </w:rPr>
        <w:t>מדינת ישראל נ' קליין</w:t>
      </w:r>
      <w:r>
        <w:rPr>
          <w:rFonts w:ascii="David" w:hAnsi="David" w:cs="David" w:hint="cs"/>
          <w:sz w:val="24"/>
          <w:szCs w:val="24"/>
          <w:rtl/>
        </w:rPr>
        <w:t xml:space="preserve"> (4.9.09); </w:t>
      </w:r>
      <w:hyperlink r:id="rId18" w:history="1">
        <w:r w:rsidR="00D41D4C" w:rsidRPr="00D41D4C">
          <w:rPr>
            <w:rFonts w:ascii="David" w:hAnsi="David" w:cs="David"/>
            <w:color w:val="0000FF"/>
            <w:sz w:val="24"/>
            <w:szCs w:val="24"/>
            <w:u w:val="single"/>
            <w:rtl/>
          </w:rPr>
          <w:t>ע"פ 9893/06</w:t>
        </w:r>
      </w:hyperlink>
      <w:r>
        <w:rPr>
          <w:rFonts w:ascii="David" w:hAnsi="David" w:cs="David" w:hint="cs"/>
          <w:sz w:val="24"/>
          <w:szCs w:val="24"/>
          <w:rtl/>
        </w:rPr>
        <w:t xml:space="preserve"> </w:t>
      </w:r>
      <w:r>
        <w:rPr>
          <w:rFonts w:ascii="David" w:hAnsi="David" w:cs="David" w:hint="cs"/>
          <w:b/>
          <w:bCs/>
          <w:sz w:val="24"/>
          <w:szCs w:val="24"/>
          <w:rtl/>
        </w:rPr>
        <w:t>לאופר נ' מדינת ישראל</w:t>
      </w:r>
      <w:r>
        <w:rPr>
          <w:rFonts w:ascii="David" w:hAnsi="David" w:cs="David" w:hint="cs"/>
          <w:sz w:val="24"/>
          <w:szCs w:val="24"/>
          <w:rtl/>
        </w:rPr>
        <w:t xml:space="preserve"> (31.12.07)).</w:t>
      </w:r>
    </w:p>
    <w:p w14:paraId="0B2B44F8"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נפסק, כי על הנאשם המבקש לבטל את הרשעתו להראות שהותרת ההרשעה על כנה תפגע בו באופן קונקרטי ולא די בהעלאת תרחיש שלפיו עלול להיגרם לנאשם נזק בעתיד (</w:t>
      </w:r>
      <w:hyperlink r:id="rId19" w:history="1">
        <w:r w:rsidR="00D41D4C" w:rsidRPr="00D41D4C">
          <w:rPr>
            <w:rFonts w:ascii="David" w:hAnsi="David" w:cs="David"/>
            <w:color w:val="0000FF"/>
            <w:sz w:val="24"/>
            <w:szCs w:val="24"/>
            <w:u w:val="single"/>
            <w:rtl/>
          </w:rPr>
          <w:t>רע"פ 1097/18</w:t>
        </w:r>
      </w:hyperlink>
      <w:r>
        <w:rPr>
          <w:rFonts w:ascii="David" w:hAnsi="David" w:cs="David" w:hint="cs"/>
          <w:sz w:val="24"/>
          <w:szCs w:val="24"/>
          <w:rtl/>
        </w:rPr>
        <w:t xml:space="preserve"> </w:t>
      </w:r>
      <w:r>
        <w:rPr>
          <w:rFonts w:ascii="David" w:hAnsi="David" w:cs="David" w:hint="cs"/>
          <w:b/>
          <w:bCs/>
          <w:sz w:val="24"/>
          <w:szCs w:val="24"/>
          <w:rtl/>
        </w:rPr>
        <w:t xml:space="preserve">בצלאל נ' מדינת </w:t>
      </w:r>
      <w:r>
        <w:rPr>
          <w:rFonts w:ascii="David" w:hAnsi="David" w:cs="David" w:hint="cs"/>
          <w:sz w:val="24"/>
          <w:szCs w:val="24"/>
          <w:rtl/>
        </w:rPr>
        <w:t xml:space="preserve">ישראל (18.4.18); </w:t>
      </w:r>
      <w:hyperlink r:id="rId20" w:history="1">
        <w:r w:rsidR="00D41D4C" w:rsidRPr="00D41D4C">
          <w:rPr>
            <w:rFonts w:ascii="David" w:hAnsi="David" w:cs="David"/>
            <w:color w:val="0000FF"/>
            <w:sz w:val="24"/>
            <w:szCs w:val="24"/>
            <w:u w:val="single"/>
            <w:rtl/>
          </w:rPr>
          <w:t>רע"פ 5949/17</w:t>
        </w:r>
      </w:hyperlink>
      <w:r>
        <w:rPr>
          <w:rFonts w:ascii="David" w:hAnsi="David" w:cs="David" w:hint="cs"/>
          <w:sz w:val="24"/>
          <w:szCs w:val="24"/>
          <w:rtl/>
        </w:rPr>
        <w:t xml:space="preserve"> </w:t>
      </w:r>
      <w:r>
        <w:rPr>
          <w:rFonts w:ascii="David" w:hAnsi="David" w:cs="David" w:hint="cs"/>
          <w:b/>
          <w:bCs/>
          <w:sz w:val="24"/>
          <w:szCs w:val="24"/>
          <w:rtl/>
        </w:rPr>
        <w:t xml:space="preserve">אמר נ' מדינת </w:t>
      </w:r>
      <w:r>
        <w:rPr>
          <w:rFonts w:ascii="David" w:hAnsi="David" w:cs="David" w:hint="cs"/>
          <w:sz w:val="24"/>
          <w:szCs w:val="24"/>
          <w:rtl/>
        </w:rPr>
        <w:t xml:space="preserve">ישראל (25.7.17); </w:t>
      </w:r>
      <w:hyperlink r:id="rId21" w:history="1">
        <w:r w:rsidR="00D41D4C" w:rsidRPr="00D41D4C">
          <w:rPr>
            <w:rFonts w:ascii="David" w:hAnsi="David" w:cs="David"/>
            <w:color w:val="0000FF"/>
            <w:sz w:val="24"/>
            <w:szCs w:val="24"/>
            <w:u w:val="single"/>
            <w:rtl/>
          </w:rPr>
          <w:t>רע"פ 2180/14</w:t>
        </w:r>
      </w:hyperlink>
      <w:r>
        <w:rPr>
          <w:rFonts w:ascii="David" w:hAnsi="David" w:cs="David" w:hint="cs"/>
          <w:b/>
          <w:bCs/>
          <w:sz w:val="24"/>
          <w:szCs w:val="24"/>
          <w:rtl/>
        </w:rPr>
        <w:t xml:space="preserve"> שמואלי נ' מדינת ישראל </w:t>
      </w:r>
      <w:r>
        <w:rPr>
          <w:rFonts w:ascii="David" w:hAnsi="David" w:cs="David" w:hint="cs"/>
          <w:sz w:val="24"/>
          <w:szCs w:val="24"/>
          <w:rtl/>
        </w:rPr>
        <w:t xml:space="preserve">(24.4.14); </w:t>
      </w:r>
      <w:hyperlink r:id="rId22" w:history="1">
        <w:r w:rsidR="00D41D4C" w:rsidRPr="00D41D4C">
          <w:rPr>
            <w:rFonts w:ascii="David" w:hAnsi="David" w:cs="David"/>
            <w:color w:val="0000FF"/>
            <w:sz w:val="24"/>
            <w:szCs w:val="24"/>
            <w:u w:val="single"/>
            <w:rtl/>
          </w:rPr>
          <w:t>רע"פ 1439/13</w:t>
        </w:r>
      </w:hyperlink>
      <w:r>
        <w:rPr>
          <w:rFonts w:ascii="David" w:hAnsi="David" w:cs="David" w:hint="cs"/>
          <w:sz w:val="24"/>
          <w:szCs w:val="24"/>
          <w:rtl/>
        </w:rPr>
        <w:t xml:space="preserve"> </w:t>
      </w:r>
      <w:r>
        <w:rPr>
          <w:rFonts w:ascii="David" w:hAnsi="David" w:cs="David" w:hint="cs"/>
          <w:b/>
          <w:bCs/>
          <w:sz w:val="24"/>
          <w:szCs w:val="24"/>
          <w:rtl/>
        </w:rPr>
        <w:t>קשת נ' מדינת ישראל</w:t>
      </w:r>
      <w:r>
        <w:rPr>
          <w:rFonts w:ascii="David" w:hAnsi="David" w:cs="David" w:hint="cs"/>
          <w:sz w:val="24"/>
          <w:szCs w:val="24"/>
          <w:rtl/>
        </w:rPr>
        <w:t xml:space="preserve"> (4.3.13); </w:t>
      </w:r>
      <w:hyperlink r:id="rId23" w:history="1">
        <w:r w:rsidR="00D41D4C" w:rsidRPr="00D41D4C">
          <w:rPr>
            <w:rFonts w:ascii="David" w:hAnsi="David" w:cs="David"/>
            <w:color w:val="0000FF"/>
            <w:sz w:val="24"/>
            <w:szCs w:val="24"/>
            <w:u w:val="single"/>
            <w:rtl/>
          </w:rPr>
          <w:t>רע"פ 8627/12</w:t>
        </w:r>
      </w:hyperlink>
      <w:r>
        <w:rPr>
          <w:rFonts w:ascii="David" w:hAnsi="David" w:cs="David" w:hint="cs"/>
          <w:sz w:val="24"/>
          <w:szCs w:val="24"/>
          <w:rtl/>
        </w:rPr>
        <w:t xml:space="preserve"> </w:t>
      </w:r>
      <w:r>
        <w:rPr>
          <w:rFonts w:ascii="David" w:hAnsi="David" w:cs="David" w:hint="cs"/>
          <w:b/>
          <w:bCs/>
          <w:sz w:val="24"/>
          <w:szCs w:val="24"/>
          <w:rtl/>
        </w:rPr>
        <w:t>הנסב נ' מדינת ישראל</w:t>
      </w:r>
      <w:r>
        <w:rPr>
          <w:rFonts w:ascii="David" w:hAnsi="David" w:cs="David" w:hint="cs"/>
          <w:sz w:val="24"/>
          <w:szCs w:val="24"/>
          <w:rtl/>
        </w:rPr>
        <w:t xml:space="preserve"> (31.12.12)).</w:t>
      </w:r>
    </w:p>
    <w:p w14:paraId="1601A50E"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במקרה הנדון, אין מכלול הנסיבות מצדיק סיום ההליך ללא הרשעה.</w:t>
      </w:r>
    </w:p>
    <w:p w14:paraId="5825BE16"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ראשית, לנסיבות ביצוע העבירות - הנאשם אמנם הורשע בביצוע עבירת סמים במדרג נמוך, משמע החזקת סמים לצריכה עצמית. עם זאת, ובניגוד לטענת בא כוח הנאשם, לא החזיק הנאשם אך סמים קלים, אלא לצד הקנבוס החזיק גם סם מסוכן מסוג קוקאין במשקל 0.0527 גרם נטו וסם מסוכן מסוג </w:t>
      </w:r>
      <w:r>
        <w:rPr>
          <w:rFonts w:ascii="David" w:hAnsi="David" w:cs="David" w:hint="cs"/>
          <w:sz w:val="24"/>
          <w:szCs w:val="24"/>
        </w:rPr>
        <w:t>MDMA</w:t>
      </w:r>
      <w:r>
        <w:rPr>
          <w:rFonts w:ascii="David" w:hAnsi="David" w:cs="David" w:hint="cs"/>
          <w:sz w:val="24"/>
          <w:szCs w:val="24"/>
          <w:rtl/>
        </w:rPr>
        <w:t xml:space="preserve"> במשקל 0.1868 גרם נטו. המדובר אמנם במשקלים קטנים, ולא נעלמו מעיניי, בהקשר זה, הנסיבות האישיות הקשות שהובילו את הנאשם לביצוע העבירות, וב</w:t>
      </w:r>
      <w:bookmarkStart w:id="12" w:name="Seif5"/>
      <w:r>
        <w:rPr>
          <w:rFonts w:ascii="David" w:hAnsi="David" w:cs="David" w:hint="cs"/>
          <w:sz w:val="24"/>
          <w:szCs w:val="24"/>
          <w:rtl/>
        </w:rPr>
        <w:t xml:space="preserve">כלל זה </w:t>
      </w:r>
      <w:bookmarkEnd w:id="12"/>
      <w:r>
        <w:rPr>
          <w:rFonts w:ascii="David" w:hAnsi="David" w:cs="David" w:hint="cs"/>
          <w:sz w:val="24"/>
          <w:szCs w:val="24"/>
          <w:rtl/>
        </w:rPr>
        <w:t>פטירת אחיו והמשבר העסקי שחווה. אולם, הנזק בצדם של סמים קשים לנאשם ולחברה קשה ביותר. ממילא, השינוי במדיניות האכיפה ביחס לסמים קלים אינו רלוונטית למקרה הנדון.</w:t>
      </w:r>
    </w:p>
    <w:p w14:paraId="3AFA2E14"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שנית, לעניין נסיבותיו האישיות של הנאשם ופוטנציאל השיקום – הנאשם בן 35, נשוי ומתפקד ברמה התעסוקתית והמשפחתית; הנאשם הודה במיוחס לו, נטל אחריות על מעשיו והביע צער עליהם; הנאשם עבר אירוע טראומתי במות אחיו בהיותו בן 11. האירוע השפיע על בני משפחה נוספים הנזקקים לטיפול נפשי. גם הנאשם פנה לטיפול נפשי מיוזמתו והחל, בעקבות זאת, מעקב פסיכיאטרי וטיפול תרופתי. עם זאת, הנאשם הפסיק הטיפול על דעת עצמו. בעקבות ההליך המשפטי, הנאשם נגמל בכוחות עצמו, ולא נמצאו שרידי סם בארבע בדיקות שנערכו לו. מכאן, כי מירב הנסיבות האישיות עומדות לזכותו של הנאשם. עם זאת, לפי תסקיר שירות המבחן, הנאשם שלל תחילה צורך טיפולי, ולא התגייס לטיפול כלשהו במסגרת שירות המבחן. גם לאחר שהנאשם נשלח פעם נוספת לשירות המבחן, הביע נכונות מילולית בלבד בשל החשש מהרשעה, וניכר כי נכונותו להתגייס להליך טיפולי אינה גבוהה, והוא טרם החל בהליך מסוג זה.</w:t>
      </w:r>
    </w:p>
    <w:p w14:paraId="2AC6982C" w14:textId="77777777" w:rsidR="00EA0419" w:rsidRDefault="00EA0419" w:rsidP="00EA0419">
      <w:pPr>
        <w:spacing w:line="360" w:lineRule="auto"/>
        <w:ind w:left="509"/>
        <w:jc w:val="both"/>
        <w:rPr>
          <w:rFonts w:ascii="David" w:hAnsi="David"/>
        </w:rPr>
      </w:pPr>
      <w:r>
        <w:rPr>
          <w:rFonts w:ascii="David" w:hAnsi="David" w:hint="cs"/>
          <w:rtl/>
        </w:rPr>
        <w:t>שירות המבחן המליץ, אמנם, לסיים ההליך ללא הרשעה. אולם, לא מתקיים התנאי שעניינו בשיקום הנאשם הנדרש לסיום הליך ללא הרשעה.</w:t>
      </w:r>
    </w:p>
    <w:p w14:paraId="1FC8A0D6" w14:textId="77777777" w:rsidR="00EA0419" w:rsidRDefault="00EA0419" w:rsidP="00EA0419">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 שלישית, לעניין הפגיעה הקונקרטית - שירות המבחן המליץ לסיים ההליך ללא הרשעת הנאשם, בין היתר, לאור מכתב מעסיקו של הנאשם, כי הרשעתו של הנאשם עלולה לפגוע בעבודתו. יתר על כן, בא כוח הנאשם טען, כי לנאשם נכס בארצות הברית והרשעת הנאשם תפגע באפשרות הנאשם לקבל ויזה לארצות הברית. </w:t>
      </w:r>
    </w:p>
    <w:p w14:paraId="6ECEE4D7" w14:textId="77777777" w:rsidR="00EA0419" w:rsidRDefault="00EA0419" w:rsidP="00EA0419">
      <w:pPr>
        <w:pStyle w:val="aa"/>
        <w:spacing w:line="360" w:lineRule="auto"/>
        <w:ind w:left="509"/>
        <w:jc w:val="both"/>
        <w:rPr>
          <w:rFonts w:ascii="David" w:hAnsi="David" w:cs="David"/>
          <w:sz w:val="24"/>
          <w:szCs w:val="24"/>
        </w:rPr>
      </w:pPr>
      <w:r>
        <w:rPr>
          <w:rFonts w:ascii="David" w:hAnsi="David" w:cs="David" w:hint="cs"/>
          <w:sz w:val="24"/>
          <w:szCs w:val="24"/>
          <w:rtl/>
        </w:rPr>
        <w:t>אכן, כל הרשעה עלולה להוביל לפגיעה כלשהי בנאשם. אולם, במקרה הנדון אין כל קשר בין הרשעת הנאשם ובין תעסוקתו כמפיץ עיתונים, וזאת למרות מכתבו של המעסיק. גם לא הונחה כל תשתית ראייתית בדבר בעלותו של הנאשם בנכס בחו"ל והצורך של הנאשם, דווקא, להיכנס לארצות הברית כדי לטפל בנכס. מכאן, שטענות הנאשם בדבר פגיעה קונקרטית הן תיאורטיות בעיקרן ולא עלה בידו להוכיח נזק קונקרטי.</w:t>
      </w:r>
    </w:p>
    <w:p w14:paraId="122E07AA"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כל האמור, לא מתקיימים התנאים החריגים לסיום ההליך ללא הרשעתו של הנאשם.</w:t>
      </w:r>
    </w:p>
    <w:p w14:paraId="0AE8CC78" w14:textId="77777777" w:rsidR="00EA0419" w:rsidRDefault="00EA0419" w:rsidP="00EA0419">
      <w:pPr>
        <w:spacing w:line="360" w:lineRule="auto"/>
        <w:jc w:val="both"/>
        <w:rPr>
          <w:rFonts w:ascii="David" w:hAnsi="David"/>
          <w:u w:val="single"/>
        </w:rPr>
      </w:pPr>
      <w:r>
        <w:rPr>
          <w:rFonts w:ascii="David" w:hAnsi="David" w:hint="cs"/>
          <w:u w:val="single"/>
          <w:rtl/>
        </w:rPr>
        <w:t>קביעת מתחם העונש ההולם</w:t>
      </w:r>
    </w:p>
    <w:p w14:paraId="1FF8C48E"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בקביעת מתחם העונש ההולם את העבירות שביצע הנאשם, יתחשב בית המשפט </w:t>
      </w:r>
      <w:r>
        <w:rPr>
          <w:rFonts w:ascii="David" w:hAnsi="David" w:cs="David" w:hint="cs"/>
          <w:b/>
          <w:bCs/>
          <w:sz w:val="24"/>
          <w:szCs w:val="24"/>
          <w:rtl/>
        </w:rPr>
        <w:t>בערך החברתי</w:t>
      </w:r>
      <w:r>
        <w:rPr>
          <w:rFonts w:ascii="David" w:hAnsi="David" w:cs="David" w:hint="cs"/>
          <w:sz w:val="24"/>
          <w:szCs w:val="24"/>
          <w:rtl/>
        </w:rPr>
        <w:t xml:space="preserve"> שנפגע,</w:t>
      </w:r>
      <w:r>
        <w:rPr>
          <w:rFonts w:ascii="David" w:hAnsi="David" w:cs="David" w:hint="cs"/>
          <w:b/>
          <w:bCs/>
          <w:sz w:val="24"/>
          <w:szCs w:val="24"/>
          <w:rtl/>
        </w:rPr>
        <w:t xml:space="preserve"> במידת הפגיעה בו, במדיניות הענישה </w:t>
      </w:r>
      <w:r>
        <w:rPr>
          <w:rFonts w:ascii="David" w:hAnsi="David" w:cs="David" w:hint="cs"/>
          <w:sz w:val="24"/>
          <w:szCs w:val="24"/>
          <w:rtl/>
        </w:rPr>
        <w:t>הנהוגה</w:t>
      </w:r>
      <w:r>
        <w:rPr>
          <w:rFonts w:ascii="David" w:hAnsi="David" w:cs="David" w:hint="cs"/>
          <w:b/>
          <w:bCs/>
          <w:sz w:val="24"/>
          <w:szCs w:val="24"/>
          <w:rtl/>
        </w:rPr>
        <w:t xml:space="preserve"> ובנסיבות הקשורות בביצוע העבירות.</w:t>
      </w:r>
    </w:p>
    <w:p w14:paraId="25992E77"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הערכים החברתיים עליהם נועדה </w:t>
      </w:r>
      <w:hyperlink r:id="rId24" w:history="1">
        <w:r w:rsidR="00D41D4C" w:rsidRPr="00D41D4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בכללותה להגן הם שמירה על בריאותו ושלומו הפיזי והנפשי של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w:t>
      </w:r>
      <w:bookmarkStart w:id="13" w:name="Seif6"/>
      <w:r>
        <w:rPr>
          <w:rFonts w:ascii="David" w:hAnsi="David" w:cs="David" w:hint="cs"/>
          <w:sz w:val="24"/>
          <w:szCs w:val="24"/>
          <w:rtl/>
        </w:rPr>
        <w:t xml:space="preserve">כלל זה </w:t>
      </w:r>
      <w:bookmarkEnd w:id="13"/>
      <w:r>
        <w:rPr>
          <w:rFonts w:ascii="David" w:hAnsi="David" w:cs="David" w:hint="cs"/>
          <w:sz w:val="24"/>
          <w:szCs w:val="24"/>
          <w:rtl/>
        </w:rPr>
        <w:t>ההגנה על הביטחון האישי ורכוש הציבור (</w:t>
      </w:r>
      <w:hyperlink r:id="rId25" w:history="1">
        <w:r w:rsidR="00D41D4C" w:rsidRPr="00D41D4C">
          <w:rPr>
            <w:rFonts w:ascii="David" w:hAnsi="David" w:cs="David"/>
            <w:color w:val="0000FF"/>
            <w:sz w:val="24"/>
            <w:szCs w:val="24"/>
            <w:u w:val="single"/>
            <w:rtl/>
          </w:rPr>
          <w:t>ע"פ 972/11</w:t>
        </w:r>
      </w:hyperlink>
      <w:r>
        <w:rPr>
          <w:rFonts w:ascii="David" w:hAnsi="David" w:cs="David" w:hint="cs"/>
          <w:sz w:val="24"/>
          <w:szCs w:val="24"/>
          <w:rtl/>
        </w:rPr>
        <w:t xml:space="preserve"> </w:t>
      </w:r>
      <w:r>
        <w:rPr>
          <w:rFonts w:ascii="David" w:hAnsi="David" w:cs="David" w:hint="cs"/>
          <w:b/>
          <w:bCs/>
          <w:sz w:val="24"/>
          <w:szCs w:val="24"/>
          <w:rtl/>
        </w:rPr>
        <w:t>מדינת ישראל נ' יונה</w:t>
      </w:r>
      <w:r>
        <w:rPr>
          <w:rFonts w:ascii="David" w:hAnsi="David" w:cs="David" w:hint="cs"/>
          <w:sz w:val="24"/>
          <w:szCs w:val="24"/>
          <w:rtl/>
        </w:rPr>
        <w:t xml:space="preserve"> (4.7.12); </w:t>
      </w:r>
      <w:hyperlink r:id="rId26" w:history="1">
        <w:r w:rsidR="00D41D4C" w:rsidRPr="00D41D4C">
          <w:rPr>
            <w:rFonts w:ascii="David" w:hAnsi="David" w:cs="David"/>
            <w:color w:val="0000FF"/>
            <w:sz w:val="24"/>
            <w:szCs w:val="24"/>
            <w:u w:val="single"/>
            <w:rtl/>
          </w:rPr>
          <w:t>ע"פ 6029/03 מדינת ישראל נ' שמאי, פ"ד נח</w:t>
        </w:r>
      </w:hyperlink>
      <w:r>
        <w:rPr>
          <w:rFonts w:ascii="David" w:hAnsi="David" w:cs="David" w:hint="cs"/>
          <w:sz w:val="24"/>
          <w:szCs w:val="24"/>
          <w:rtl/>
        </w:rPr>
        <w:t xml:space="preserve"> (2) 734 (9.2.04)).</w:t>
      </w:r>
    </w:p>
    <w:p w14:paraId="00984B86"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הפגיעה בערכים המוגנים כתוצאה מביצוע העבירה של החזקת סמים לצריכה עצמית, היא נמוכה. כאמור, הנאשם החזיק בביתו סם מסוכן מסוג קנבוס, מסוג קוקאין ומסוג </w:t>
      </w:r>
      <w:r>
        <w:rPr>
          <w:rFonts w:ascii="David" w:hAnsi="David" w:cs="David" w:hint="cs"/>
          <w:sz w:val="24"/>
          <w:szCs w:val="24"/>
        </w:rPr>
        <w:t>MDMA</w:t>
      </w:r>
      <w:r>
        <w:rPr>
          <w:rFonts w:ascii="David" w:hAnsi="David" w:cs="David" w:hint="cs"/>
          <w:sz w:val="24"/>
          <w:szCs w:val="24"/>
          <w:rtl/>
        </w:rPr>
        <w:t>, כולם בכמויות קטנות.</w:t>
      </w:r>
    </w:p>
    <w:p w14:paraId="6D96014F"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בקביעת מתחם העונש בעבירות סמים, יש לקחת בחשבון את סוג הסמים ומשקלם.</w:t>
      </w:r>
    </w:p>
    <w:p w14:paraId="2EBD254B"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ממדיניות הפסיקה עולה, כי מתחם העונש ההולם עבירה של אחזקת סמים מסוג קנבוס, קוקאין ו-</w:t>
      </w:r>
      <w:r>
        <w:rPr>
          <w:rFonts w:ascii="David" w:hAnsi="David" w:cs="David" w:hint="cs"/>
          <w:sz w:val="24"/>
          <w:szCs w:val="24"/>
        </w:rPr>
        <w:t>MDMA</w:t>
      </w:r>
      <w:r>
        <w:rPr>
          <w:rFonts w:ascii="David" w:hAnsi="David" w:cs="David" w:hint="cs"/>
          <w:sz w:val="24"/>
          <w:szCs w:val="24"/>
          <w:rtl/>
        </w:rPr>
        <w:t xml:space="preserve">, לצריכה עצמית, ובמשקל קטן, נע בין מאסר על תנאי ובין מאסר לתקופה של מספר חודשים, לצד ענישה נלווית (ראו למשל: </w:t>
      </w:r>
      <w:hyperlink r:id="rId27" w:history="1">
        <w:r w:rsidR="00D41D4C" w:rsidRPr="00D41D4C">
          <w:rPr>
            <w:rFonts w:ascii="David" w:hAnsi="David" w:cs="David"/>
            <w:color w:val="0000FF"/>
            <w:sz w:val="24"/>
            <w:szCs w:val="24"/>
            <w:u w:val="single"/>
            <w:rtl/>
          </w:rPr>
          <w:t>ת"פ (ת"א) 34094-12-13</w:t>
        </w:r>
      </w:hyperlink>
      <w:r>
        <w:rPr>
          <w:rFonts w:ascii="David" w:hAnsi="David" w:cs="David" w:hint="cs"/>
          <w:b/>
          <w:bCs/>
          <w:sz w:val="24"/>
          <w:szCs w:val="24"/>
          <w:rtl/>
        </w:rPr>
        <w:t xml:space="preserve"> מדינת ישראל נ' הלל</w:t>
      </w:r>
      <w:r>
        <w:rPr>
          <w:rFonts w:ascii="David" w:hAnsi="David" w:cs="David" w:hint="cs"/>
          <w:sz w:val="24"/>
          <w:szCs w:val="24"/>
          <w:rtl/>
        </w:rPr>
        <w:t xml:space="preserve"> (7.10.15): </w:t>
      </w:r>
      <w:hyperlink r:id="rId28" w:history="1">
        <w:r w:rsidR="00D41D4C" w:rsidRPr="00D41D4C">
          <w:rPr>
            <w:rFonts w:ascii="David" w:hAnsi="David" w:cs="David"/>
            <w:color w:val="0000FF"/>
            <w:sz w:val="24"/>
            <w:szCs w:val="24"/>
            <w:u w:val="single"/>
            <w:rtl/>
          </w:rPr>
          <w:t>ת"פ (רמ') 63092-12-13</w:t>
        </w:r>
      </w:hyperlink>
      <w:r>
        <w:rPr>
          <w:rFonts w:ascii="David" w:hAnsi="David" w:cs="David" w:hint="cs"/>
          <w:sz w:val="24"/>
          <w:szCs w:val="24"/>
          <w:rtl/>
        </w:rPr>
        <w:t xml:space="preserve"> </w:t>
      </w:r>
      <w:r>
        <w:rPr>
          <w:rFonts w:ascii="David" w:hAnsi="David" w:cs="David" w:hint="cs"/>
          <w:b/>
          <w:bCs/>
          <w:sz w:val="24"/>
          <w:szCs w:val="24"/>
          <w:rtl/>
        </w:rPr>
        <w:t>משטרת ישראל תביעות- שלוחת רמלה נ' ברמי</w:t>
      </w:r>
      <w:r>
        <w:rPr>
          <w:rFonts w:ascii="David" w:hAnsi="David" w:cs="David" w:hint="cs"/>
          <w:sz w:val="24"/>
          <w:szCs w:val="24"/>
          <w:rtl/>
        </w:rPr>
        <w:t xml:space="preserve"> (23.11.14); </w:t>
      </w:r>
      <w:hyperlink r:id="rId29" w:history="1">
        <w:r w:rsidR="00D41D4C" w:rsidRPr="00D41D4C">
          <w:rPr>
            <w:rFonts w:ascii="David" w:hAnsi="David" w:cs="David"/>
            <w:color w:val="0000FF"/>
            <w:sz w:val="24"/>
            <w:szCs w:val="24"/>
            <w:u w:val="single"/>
            <w:rtl/>
          </w:rPr>
          <w:t>ת"פ (ת"א) 24100-09-13</w:t>
        </w:r>
      </w:hyperlink>
      <w:r>
        <w:rPr>
          <w:rFonts w:ascii="David" w:hAnsi="David" w:cs="David" w:hint="cs"/>
          <w:sz w:val="24"/>
          <w:szCs w:val="24"/>
          <w:rtl/>
        </w:rPr>
        <w:t xml:space="preserve"> </w:t>
      </w:r>
      <w:r>
        <w:rPr>
          <w:rFonts w:ascii="David" w:hAnsi="David" w:cs="David" w:hint="cs"/>
          <w:b/>
          <w:bCs/>
          <w:sz w:val="24"/>
          <w:szCs w:val="24"/>
          <w:rtl/>
        </w:rPr>
        <w:t>מדינת ישראל נ' קונפורטי</w:t>
      </w:r>
      <w:r>
        <w:rPr>
          <w:rFonts w:ascii="David" w:hAnsi="David" w:cs="David" w:hint="cs"/>
          <w:sz w:val="24"/>
          <w:szCs w:val="24"/>
          <w:rtl/>
        </w:rPr>
        <w:t xml:space="preserve"> (2.4.14); </w:t>
      </w:r>
      <w:hyperlink r:id="rId30" w:history="1">
        <w:r w:rsidR="00D41D4C" w:rsidRPr="00D41D4C">
          <w:rPr>
            <w:rFonts w:ascii="David" w:hAnsi="David" w:cs="David"/>
            <w:color w:val="0000FF"/>
            <w:sz w:val="24"/>
            <w:szCs w:val="24"/>
            <w:u w:val="single"/>
            <w:rtl/>
          </w:rPr>
          <w:t>ת"פ (ק"ג) 25179-08-13</w:t>
        </w:r>
      </w:hyperlink>
      <w:r>
        <w:rPr>
          <w:rFonts w:ascii="David" w:hAnsi="David" w:cs="David" w:hint="cs"/>
          <w:sz w:val="24"/>
          <w:szCs w:val="24"/>
          <w:rtl/>
        </w:rPr>
        <w:t xml:space="preserve"> </w:t>
      </w:r>
      <w:r>
        <w:rPr>
          <w:rFonts w:ascii="David" w:hAnsi="David" w:cs="David" w:hint="cs"/>
          <w:b/>
          <w:bCs/>
          <w:sz w:val="24"/>
          <w:szCs w:val="24"/>
          <w:rtl/>
        </w:rPr>
        <w:t>מדינת ישראל נ ' אוחיון</w:t>
      </w:r>
      <w:r>
        <w:rPr>
          <w:rFonts w:ascii="David" w:hAnsi="David" w:cs="David" w:hint="cs"/>
          <w:sz w:val="24"/>
          <w:szCs w:val="24"/>
          <w:rtl/>
        </w:rPr>
        <w:t xml:space="preserve"> (19.1.14)).</w:t>
      </w:r>
    </w:p>
    <w:p w14:paraId="294C7B59"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האמור, מתחם העונש ההולם את העבירה של החזקת סמים  לצריכה עצמית, בנסיבות המקרה, נע בין מאסר על תנאי לצד ענישה נלווית ובין מאסר לתקופה של מספר חודשים, לצד ענישה נלווית.</w:t>
      </w:r>
    </w:p>
    <w:p w14:paraId="7624DBA5" w14:textId="77777777" w:rsidR="00EA0419" w:rsidRDefault="00EA0419" w:rsidP="00EA0419">
      <w:pPr>
        <w:spacing w:line="360" w:lineRule="auto"/>
        <w:jc w:val="both"/>
        <w:rPr>
          <w:rFonts w:ascii="David" w:hAnsi="David"/>
          <w:u w:val="single"/>
        </w:rPr>
      </w:pPr>
      <w:r>
        <w:rPr>
          <w:rFonts w:ascii="David" w:hAnsi="David" w:hint="cs"/>
          <w:u w:val="single"/>
          <w:rtl/>
        </w:rPr>
        <w:t>העונש ההולם בתוך המתחם</w:t>
      </w:r>
    </w:p>
    <w:p w14:paraId="7F0B52BB" w14:textId="77777777" w:rsidR="00EA0419" w:rsidRDefault="00EA0419" w:rsidP="00EA0419">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העונש ההולם בתוך המתחם לקחתי בחשבון את הנסיבות הבאות שאינן קשורות לביצוע העבירות:</w:t>
      </w:r>
    </w:p>
    <w:p w14:paraId="7071D1A2"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כאמור, מירב הנסיבות עומדות לזכותו של הנאשם. הנאשם הודה במיוחס לו ונטל אחריות על מעשיו. הנאשם נעדר הרשעות בפלילים וזו הסתבכותו הראשונה עם רשויות אכיפת החוק. הנאשם נגמל בכוחות עצמו, כפי שניתן ללמוד מבדיקות השתן שנערכו לנאשם, בהן לא נמצאו שרידי סמים; הנאשם מתפקד ברמה תעסוקתית ומשפחתית, ולמרות הזמן שחלף לא נפתחו לחובתו תיקים נוספים; הנאשם עבר אירוע טראומתי במות אחיו בהיותו בן 11. האירוע השפיע על בני משפחה נוספים הנזקקים לטיפול נפשי. גם הנאשם פנה לטיפול נפשי מיוזמתו והחל, בעקבות זאת, מעקב פסיכיאטרי וטיפול תרופתי. אמנם, לא אימצתי את המלצת שירות המבחן לעניין סיום ההליך ללא הרשעה, אולם תסקירי שירות המבחן, מלמדים כי יש להטיל על הנאשם עונש שהוא בתחתית המתחם, והוא כולל מרכיבי ענישה שיקומיים, כהמלצת שירות המבחן. </w:t>
      </w:r>
    </w:p>
    <w:p w14:paraId="59841DE0" w14:textId="77777777" w:rsidR="00EA0419" w:rsidRDefault="00EA0419" w:rsidP="00EA0419">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שיש להטיל על הנאשם עונש שהוא בתחתית מתחם העונש ההולם, והוא כולל מאסר על תנאי, צו שירות לתועלת והציבור, פסילה על תנאי וקנס.</w:t>
      </w:r>
    </w:p>
    <w:p w14:paraId="3C7AF51D" w14:textId="77777777" w:rsidR="00EA0419" w:rsidRDefault="00EA0419" w:rsidP="00EA0419">
      <w:pPr>
        <w:spacing w:line="360" w:lineRule="auto"/>
        <w:jc w:val="both"/>
        <w:rPr>
          <w:rFonts w:ascii="David" w:hAnsi="David"/>
          <w:b/>
          <w:bCs/>
          <w:u w:val="single"/>
        </w:rPr>
      </w:pPr>
      <w:r>
        <w:rPr>
          <w:rFonts w:ascii="David" w:hAnsi="David" w:hint="cs"/>
          <w:b/>
          <w:bCs/>
          <w:u w:val="single"/>
          <w:rtl/>
        </w:rPr>
        <w:t>סוף דבר</w:t>
      </w:r>
    </w:p>
    <w:p w14:paraId="541A3219" w14:textId="77777777" w:rsidR="00EA0419" w:rsidRDefault="00EA0419" w:rsidP="00EA0419">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לפיכך אני גוזרת על הנאשם את העונשים הבאים:</w:t>
      </w:r>
    </w:p>
    <w:p w14:paraId="0C00DDC0" w14:textId="77777777" w:rsidR="00EA0419" w:rsidRDefault="00EA0419" w:rsidP="00EA0419">
      <w:pPr>
        <w:pStyle w:val="aa"/>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מאסר על תנאי לתקופה של 6 חודשים, והתנאי הוא שבמשך 3 שנים מהיום, לא יעבור כל עבירת סמים מסוג פשע;</w:t>
      </w:r>
    </w:p>
    <w:p w14:paraId="1847BB1C" w14:textId="77777777" w:rsidR="00EA0419" w:rsidRDefault="00EA0419" w:rsidP="00EA0419">
      <w:pPr>
        <w:pStyle w:val="aa"/>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מאסר על תנאי לתקופה של 2 חודשים, והתנאי הוא שבמשך 2 שנים מהיום, לא יעבור כל עבירת סמים מסוג עוון;</w:t>
      </w:r>
    </w:p>
    <w:p w14:paraId="12E1E908" w14:textId="77777777" w:rsidR="00EA0419" w:rsidRDefault="00EA0419" w:rsidP="00EA0419">
      <w:pPr>
        <w:pStyle w:val="aa"/>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צו שירות לתועלת הציבור בהיקף של 140 שעות בהתאם להוראות שירות המבחן;</w:t>
      </w:r>
    </w:p>
    <w:p w14:paraId="7FB592CC" w14:textId="77777777" w:rsidR="00EA0419" w:rsidRDefault="00EA0419" w:rsidP="00EA0419">
      <w:pPr>
        <w:pStyle w:val="aa"/>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צו מבחן לתקופה של עד 1.7.19.</w:t>
      </w:r>
    </w:p>
    <w:p w14:paraId="73CD9378" w14:textId="77777777" w:rsidR="00EA0419" w:rsidRDefault="00EA0419" w:rsidP="00EA0419">
      <w:pPr>
        <w:spacing w:line="360" w:lineRule="auto"/>
        <w:ind w:left="935"/>
        <w:jc w:val="both"/>
        <w:rPr>
          <w:rFonts w:ascii="David" w:hAnsi="David"/>
        </w:rPr>
      </w:pPr>
      <w:r>
        <w:rPr>
          <w:rFonts w:ascii="David" w:hAnsi="David" w:hint="cs"/>
          <w:rtl/>
        </w:rPr>
        <w:t>רשמתי לפני את נכונות הנאשם לבצע את צו השירות לתועלת הציבור וצו המבחן. מובהר בזאת לנאשם כי כל הפרה של צו השירות לתועלת הציבור יוביל לביטול גזר הדין וגזירת העונש מחדש;</w:t>
      </w:r>
    </w:p>
    <w:p w14:paraId="309F4A12" w14:textId="77777777" w:rsidR="00EA0419" w:rsidRDefault="00EA0419" w:rsidP="00EA0419">
      <w:pPr>
        <w:pStyle w:val="aa"/>
        <w:numPr>
          <w:ilvl w:val="0"/>
          <w:numId w:val="2"/>
        </w:numPr>
        <w:spacing w:line="360" w:lineRule="auto"/>
        <w:ind w:left="935" w:hanging="426"/>
        <w:jc w:val="both"/>
        <w:rPr>
          <w:rFonts w:ascii="David" w:hAnsi="David" w:cs="David"/>
          <w:sz w:val="24"/>
          <w:szCs w:val="24"/>
          <w:rtl/>
        </w:rPr>
      </w:pPr>
      <w:r>
        <w:rPr>
          <w:rFonts w:ascii="David" w:hAnsi="David" w:cs="David" w:hint="cs"/>
          <w:sz w:val="24"/>
          <w:szCs w:val="24"/>
          <w:rtl/>
        </w:rPr>
        <w:t>הנאשם ישלם קנס בסכום של 500 ₪ או 5 ימי מאסר תמורתו. את הקנס ישלם לא יאוחר מיום 1.2.19;</w:t>
      </w:r>
    </w:p>
    <w:p w14:paraId="69E96888" w14:textId="77777777" w:rsidR="00EA0419" w:rsidRDefault="00EA0419" w:rsidP="00EA0419">
      <w:pPr>
        <w:pStyle w:val="aa"/>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אני פוסלת את הנאשם מלקבל או להחזיק רישיון נהיגה לתקופה של 3 חודשים, אם בתוך תקופה בת 3 שנים מהיום יעבור עבירה מהסוג בה הורשע.</w:t>
      </w:r>
    </w:p>
    <w:p w14:paraId="3A5C1B00" w14:textId="77777777" w:rsidR="00EA0419" w:rsidRDefault="00EA0419" w:rsidP="00EA0419">
      <w:pPr>
        <w:spacing w:line="360" w:lineRule="auto"/>
        <w:jc w:val="both"/>
        <w:rPr>
          <w:rFonts w:ascii="David" w:hAnsi="David"/>
          <w:b/>
          <w:bCs/>
        </w:rPr>
      </w:pPr>
      <w:r>
        <w:rPr>
          <w:rFonts w:ascii="David" w:hAnsi="David" w:hint="cs"/>
          <w:b/>
          <w:bCs/>
          <w:rtl/>
        </w:rPr>
        <w:t>עותק גזר הדין יועבר לשירות המבחן.</w:t>
      </w:r>
    </w:p>
    <w:p w14:paraId="7A84908F" w14:textId="77777777" w:rsidR="00EA0419" w:rsidRDefault="00EA0419" w:rsidP="00EA0419">
      <w:pPr>
        <w:spacing w:line="360" w:lineRule="auto"/>
        <w:jc w:val="both"/>
        <w:rPr>
          <w:rFonts w:ascii="David" w:hAnsi="David"/>
          <w:b/>
          <w:bCs/>
          <w:rtl/>
        </w:rPr>
      </w:pPr>
      <w:r>
        <w:rPr>
          <w:rFonts w:ascii="David" w:hAnsi="David" w:hint="cs"/>
          <w:b/>
          <w:bCs/>
          <w:rtl/>
        </w:rPr>
        <w:t>זכות ערעור תוך 45 ימים.</w:t>
      </w:r>
    </w:p>
    <w:p w14:paraId="4AAABBAE" w14:textId="77777777" w:rsidR="00EA0419" w:rsidRPr="00D41D4C" w:rsidRDefault="00D41D4C" w:rsidP="00EA0419">
      <w:pPr>
        <w:rPr>
          <w:color w:val="FFFFFF"/>
          <w:sz w:val="2"/>
          <w:szCs w:val="2"/>
          <w:rtl/>
        </w:rPr>
      </w:pPr>
      <w:r w:rsidRPr="00D41D4C">
        <w:rPr>
          <w:color w:val="FFFFFF"/>
          <w:sz w:val="2"/>
          <w:szCs w:val="2"/>
          <w:rtl/>
        </w:rPr>
        <w:t>5129371</w:t>
      </w:r>
    </w:p>
    <w:p w14:paraId="12EED443" w14:textId="77777777" w:rsidR="00EA0419" w:rsidRDefault="00D41D4C" w:rsidP="00EA0419">
      <w:pPr>
        <w:rPr>
          <w:rFonts w:cs="FrankRuehl"/>
          <w:sz w:val="28"/>
          <w:szCs w:val="28"/>
          <w:rtl/>
        </w:rPr>
      </w:pPr>
      <w:r w:rsidRPr="00D41D4C">
        <w:rPr>
          <w:rFonts w:ascii="Arial" w:hAnsi="Arial"/>
          <w:color w:val="FFFFFF"/>
          <w:sz w:val="2"/>
          <w:szCs w:val="2"/>
          <w:rtl/>
        </w:rPr>
        <w:t>54678313</w:t>
      </w:r>
      <w:r>
        <w:rPr>
          <w:rFonts w:ascii="Arial" w:hAnsi="Arial"/>
          <w:rtl/>
        </w:rPr>
        <w:t xml:space="preserve">ניתן היום,  י' שבט תשע"ט, 16 ינואר 2019, במעמד הצדדים. </w:t>
      </w:r>
    </w:p>
    <w:p w14:paraId="6F51BDD8" w14:textId="77777777" w:rsidR="00EA0419" w:rsidRDefault="00EA0419" w:rsidP="00EA04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ECE774" w14:textId="77777777" w:rsidR="00EA0419" w:rsidRDefault="00EA0419" w:rsidP="00EA0419">
      <w:pPr>
        <w:jc w:val="center"/>
        <w:rPr>
          <w:rFonts w:ascii="Arial" w:hAnsi="Arial" w:cs="FrankRuehl"/>
          <w:sz w:val="28"/>
          <w:szCs w:val="28"/>
          <w:rtl/>
        </w:rPr>
      </w:pPr>
    </w:p>
    <w:p w14:paraId="74781AD7" w14:textId="77777777" w:rsidR="00EA0419" w:rsidRDefault="00EA0419" w:rsidP="00EA0419">
      <w:pPr>
        <w:rPr>
          <w:rFonts w:cs="FrankRuehl"/>
          <w:sz w:val="28"/>
          <w:szCs w:val="28"/>
          <w:rtl/>
        </w:rPr>
      </w:pPr>
    </w:p>
    <w:p w14:paraId="3EAA91CE" w14:textId="77777777" w:rsidR="00EA0419" w:rsidRDefault="00EA0419" w:rsidP="00EA0419">
      <w:pPr>
        <w:pStyle w:val="a3"/>
        <w:jc w:val="center"/>
        <w:rPr>
          <w:rtl/>
        </w:rPr>
      </w:pPr>
    </w:p>
    <w:p w14:paraId="30A874A9" w14:textId="77777777" w:rsidR="00A51681" w:rsidRPr="00D41D4C" w:rsidRDefault="00A51681" w:rsidP="00D41D4C">
      <w:pPr>
        <w:keepNext/>
        <w:rPr>
          <w:rFonts w:ascii="David" w:hAnsi="David"/>
          <w:color w:val="000000"/>
          <w:sz w:val="22"/>
          <w:szCs w:val="22"/>
          <w:rtl/>
        </w:rPr>
      </w:pPr>
    </w:p>
    <w:p w14:paraId="499055A7" w14:textId="77777777" w:rsidR="00D41D4C" w:rsidRPr="00D41D4C" w:rsidRDefault="00D41D4C" w:rsidP="00D41D4C">
      <w:pPr>
        <w:keepNext/>
        <w:rPr>
          <w:rFonts w:ascii="David" w:hAnsi="David"/>
          <w:color w:val="000000"/>
          <w:sz w:val="22"/>
          <w:szCs w:val="22"/>
          <w:rtl/>
        </w:rPr>
      </w:pPr>
      <w:r w:rsidRPr="00D41D4C">
        <w:rPr>
          <w:rFonts w:ascii="David" w:hAnsi="David"/>
          <w:color w:val="000000"/>
          <w:sz w:val="22"/>
          <w:szCs w:val="22"/>
          <w:rtl/>
        </w:rPr>
        <w:t>אפרת פינק 54678313</w:t>
      </w:r>
    </w:p>
    <w:p w14:paraId="4132D4D7" w14:textId="77777777" w:rsidR="00D41D4C" w:rsidRDefault="00D41D4C" w:rsidP="00D41D4C">
      <w:r w:rsidRPr="00D41D4C">
        <w:rPr>
          <w:color w:val="000000"/>
          <w:rtl/>
        </w:rPr>
        <w:t>נוסח מסמך זה כפוף לשינויי ניסוח ועריכה</w:t>
      </w:r>
    </w:p>
    <w:p w14:paraId="561C0888" w14:textId="77777777" w:rsidR="00D41D4C" w:rsidRDefault="00D41D4C" w:rsidP="00D41D4C">
      <w:pPr>
        <w:rPr>
          <w:rtl/>
        </w:rPr>
      </w:pPr>
    </w:p>
    <w:p w14:paraId="0C802DBD" w14:textId="77777777" w:rsidR="00D41D4C" w:rsidRDefault="00D41D4C" w:rsidP="00D41D4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5B3537">
        <w:rPr>
          <w:rFonts w:hint="cs"/>
          <w:color w:val="0000FF"/>
          <w:u w:val="single"/>
          <w:rtl/>
        </w:rPr>
        <w:t xml:space="preserve"> </w:t>
      </w:r>
    </w:p>
    <w:p w14:paraId="2C676774" w14:textId="77777777" w:rsidR="00D41D4C" w:rsidRPr="00D41D4C" w:rsidRDefault="00D41D4C" w:rsidP="00D41D4C">
      <w:pPr>
        <w:jc w:val="center"/>
        <w:rPr>
          <w:color w:val="0000FF"/>
          <w:u w:val="single"/>
        </w:rPr>
      </w:pPr>
    </w:p>
    <w:sectPr w:rsidR="00D41D4C" w:rsidRPr="00D41D4C" w:rsidSect="00D41D4C">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F5D92" w14:textId="77777777" w:rsidR="005C7646" w:rsidRDefault="005C7646" w:rsidP="005A734C">
      <w:r>
        <w:separator/>
      </w:r>
    </w:p>
  </w:endnote>
  <w:endnote w:type="continuationSeparator" w:id="0">
    <w:p w14:paraId="7DB2EC90" w14:textId="77777777" w:rsidR="005C7646" w:rsidRDefault="005C7646" w:rsidP="005A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29A3D" w14:textId="77777777" w:rsidR="00D41D4C" w:rsidRDefault="00D41D4C" w:rsidP="00D41D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840F3F" w14:textId="77777777" w:rsidR="00307699" w:rsidRPr="00D41D4C" w:rsidRDefault="00D41D4C" w:rsidP="00D41D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E7949" w14:textId="77777777" w:rsidR="00D41D4C" w:rsidRDefault="00D41D4C" w:rsidP="00D41D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4505">
      <w:rPr>
        <w:rFonts w:ascii="FrankRuehl" w:hAnsi="FrankRuehl" w:cs="FrankRuehl"/>
        <w:noProof/>
        <w:rtl/>
      </w:rPr>
      <w:t>1</w:t>
    </w:r>
    <w:r>
      <w:rPr>
        <w:rFonts w:ascii="FrankRuehl" w:hAnsi="FrankRuehl" w:cs="FrankRuehl"/>
        <w:rtl/>
      </w:rPr>
      <w:fldChar w:fldCharType="end"/>
    </w:r>
  </w:p>
  <w:p w14:paraId="5B8F9027" w14:textId="77777777" w:rsidR="00307699" w:rsidRPr="00D41D4C" w:rsidRDefault="00D41D4C" w:rsidP="00D41D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827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00037" w14:textId="77777777" w:rsidR="005C7646" w:rsidRDefault="005C7646" w:rsidP="005A734C">
      <w:r>
        <w:separator/>
      </w:r>
    </w:p>
  </w:footnote>
  <w:footnote w:type="continuationSeparator" w:id="0">
    <w:p w14:paraId="159D714F" w14:textId="77777777" w:rsidR="005C7646" w:rsidRDefault="005C7646" w:rsidP="005A7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2402" w14:textId="77777777" w:rsidR="00D41D4C" w:rsidRPr="00D41D4C" w:rsidRDefault="00D41D4C" w:rsidP="00D41D4C">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(רח') 16619-01-18</w:t>
    </w:r>
    <w:r>
      <w:rPr>
        <w:rFonts w:ascii="David" w:hAnsi="David"/>
        <w:color w:val="000000"/>
        <w:sz w:val="22"/>
        <w:szCs w:val="22"/>
        <w:rtl/>
      </w:rPr>
      <w:tab/>
      <w:t xml:space="preserve"> מדינת ישראל נ' מתן פודומסקי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2125" w14:textId="77777777" w:rsidR="00D41D4C" w:rsidRPr="00D41D4C" w:rsidRDefault="00D41D4C" w:rsidP="00D41D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16619-01-18</w:t>
    </w:r>
    <w:r>
      <w:rPr>
        <w:rFonts w:ascii="David" w:hAnsi="David"/>
        <w:color w:val="000000"/>
        <w:sz w:val="22"/>
        <w:szCs w:val="22"/>
        <w:rtl/>
      </w:rPr>
      <w:tab/>
      <w:t xml:space="preserve"> מדינת ישראל נ' מתן פודומסקי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E1768"/>
    <w:multiLevelType w:val="hybridMultilevel"/>
    <w:tmpl w:val="E5D262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CD43765"/>
    <w:multiLevelType w:val="hybridMultilevel"/>
    <w:tmpl w:val="151AE5C0"/>
    <w:lvl w:ilvl="0" w:tplc="A1FA83D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2187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4296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0419"/>
    <w:rsid w:val="000331E2"/>
    <w:rsid w:val="00307699"/>
    <w:rsid w:val="00381020"/>
    <w:rsid w:val="00437C82"/>
    <w:rsid w:val="00437E3B"/>
    <w:rsid w:val="005A734C"/>
    <w:rsid w:val="005B3537"/>
    <w:rsid w:val="005C7646"/>
    <w:rsid w:val="00894505"/>
    <w:rsid w:val="00A51681"/>
    <w:rsid w:val="00C025C3"/>
    <w:rsid w:val="00D41D4C"/>
    <w:rsid w:val="00D76765"/>
    <w:rsid w:val="00E973A4"/>
    <w:rsid w:val="00EA0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D7061E"/>
  <w15:chartTrackingRefBased/>
  <w15:docId w15:val="{57109114-377E-45A0-8375-0D9EA927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04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0419"/>
    <w:pPr>
      <w:tabs>
        <w:tab w:val="center" w:pos="4153"/>
        <w:tab w:val="right" w:pos="8306"/>
      </w:tabs>
    </w:pPr>
  </w:style>
  <w:style w:type="character" w:customStyle="1" w:styleId="a4">
    <w:name w:val="כותרת עליונה תו"/>
    <w:link w:val="a3"/>
    <w:rsid w:val="00EA0419"/>
    <w:rPr>
      <w:rFonts w:ascii="Times New Roman" w:eastAsia="Times New Roman" w:hAnsi="Times New Roman" w:cs="David"/>
      <w:sz w:val="24"/>
      <w:szCs w:val="24"/>
    </w:rPr>
  </w:style>
  <w:style w:type="paragraph" w:styleId="a5">
    <w:name w:val="footer"/>
    <w:basedOn w:val="a"/>
    <w:link w:val="a6"/>
    <w:rsid w:val="00EA0419"/>
    <w:pPr>
      <w:tabs>
        <w:tab w:val="center" w:pos="4153"/>
        <w:tab w:val="right" w:pos="8306"/>
      </w:tabs>
    </w:pPr>
  </w:style>
  <w:style w:type="character" w:customStyle="1" w:styleId="a6">
    <w:name w:val="כותרת תחתונה תו"/>
    <w:link w:val="a5"/>
    <w:rsid w:val="00EA0419"/>
    <w:rPr>
      <w:rFonts w:ascii="Times New Roman" w:eastAsia="Times New Roman" w:hAnsi="Times New Roman" w:cs="David"/>
      <w:sz w:val="24"/>
      <w:szCs w:val="24"/>
    </w:rPr>
  </w:style>
  <w:style w:type="table" w:styleId="a7">
    <w:name w:val="Table Grid"/>
    <w:basedOn w:val="a1"/>
    <w:rsid w:val="00EA04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0419"/>
  </w:style>
  <w:style w:type="character" w:customStyle="1" w:styleId="a9">
    <w:name w:val="פיסקת רשימה תו"/>
    <w:link w:val="aa"/>
    <w:locked/>
    <w:rsid w:val="00EA0419"/>
  </w:style>
  <w:style w:type="paragraph" w:styleId="aa">
    <w:name w:val="List Paragraph"/>
    <w:basedOn w:val="a"/>
    <w:link w:val="a9"/>
    <w:qFormat/>
    <w:rsid w:val="00EA0419"/>
    <w:pPr>
      <w:spacing w:after="160" w:line="256" w:lineRule="auto"/>
      <w:ind w:left="720"/>
      <w:contextualSpacing/>
    </w:pPr>
    <w:rPr>
      <w:rFonts w:ascii="Calibri" w:eastAsia="Calibri" w:hAnsi="Calibri" w:cs="Arial"/>
      <w:sz w:val="22"/>
      <w:szCs w:val="22"/>
    </w:rPr>
  </w:style>
  <w:style w:type="character" w:styleId="Hyperlink">
    <w:name w:val="Hyperlink"/>
    <w:rsid w:val="00D41D4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161385" TargetMode="External"/><Relationship Id="rId26" Type="http://schemas.openxmlformats.org/officeDocument/2006/relationships/hyperlink" Target="http://www.nevo.co.il/case/5786821" TargetMode="External"/><Relationship Id="rId21" Type="http://schemas.openxmlformats.org/officeDocument/2006/relationships/hyperlink" Target="http://www.nevo.co.il/case/1690036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5993495" TargetMode="External"/><Relationship Id="rId25" Type="http://schemas.openxmlformats.org/officeDocument/2006/relationships/hyperlink" Target="http://www.nevo.co.il/case/573860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611948" TargetMode="External"/><Relationship Id="rId20" Type="http://schemas.openxmlformats.org/officeDocument/2006/relationships/hyperlink" Target="http://www.nevo.co.il/case/22852989" TargetMode="External"/><Relationship Id="rId29" Type="http://schemas.openxmlformats.org/officeDocument/2006/relationships/hyperlink" Target="http://www.nevo.co.il/case/82809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608134" TargetMode="External"/><Relationship Id="rId23" Type="http://schemas.openxmlformats.org/officeDocument/2006/relationships/hyperlink" Target="http://www.nevo.co.il/case/5603186" TargetMode="External"/><Relationship Id="rId28" Type="http://schemas.openxmlformats.org/officeDocument/2006/relationships/hyperlink" Target="http://www.nevo.co.il/case/11212337"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374604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810781" TargetMode="External"/><Relationship Id="rId22" Type="http://schemas.openxmlformats.org/officeDocument/2006/relationships/hyperlink" Target="http://www.nevo.co.il/case/6552365" TargetMode="External"/><Relationship Id="rId27" Type="http://schemas.openxmlformats.org/officeDocument/2006/relationships/hyperlink" Target="http://www.nevo.co.il/case/10529719" TargetMode="External"/><Relationship Id="rId30" Type="http://schemas.openxmlformats.org/officeDocument/2006/relationships/hyperlink" Target="http://www.nevo.co.il/case/795329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2147</Words>
  <Characters>10737</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12859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3539063</vt:i4>
      </vt:variant>
      <vt:variant>
        <vt:i4>75</vt:i4>
      </vt:variant>
      <vt:variant>
        <vt:i4>0</vt:i4>
      </vt:variant>
      <vt:variant>
        <vt:i4>5</vt:i4>
      </vt:variant>
      <vt:variant>
        <vt:lpwstr>http://www.nevo.co.il/case/7953296</vt:lpwstr>
      </vt:variant>
      <vt:variant>
        <vt:lpwstr/>
      </vt:variant>
      <vt:variant>
        <vt:i4>4063347</vt:i4>
      </vt:variant>
      <vt:variant>
        <vt:i4>72</vt:i4>
      </vt:variant>
      <vt:variant>
        <vt:i4>0</vt:i4>
      </vt:variant>
      <vt:variant>
        <vt:i4>5</vt:i4>
      </vt:variant>
      <vt:variant>
        <vt:lpwstr>http://www.nevo.co.il/case/8280957</vt:lpwstr>
      </vt:variant>
      <vt:variant>
        <vt:lpwstr/>
      </vt:variant>
      <vt:variant>
        <vt:i4>3276919</vt:i4>
      </vt:variant>
      <vt:variant>
        <vt:i4>69</vt:i4>
      </vt:variant>
      <vt:variant>
        <vt:i4>0</vt:i4>
      </vt:variant>
      <vt:variant>
        <vt:i4>5</vt:i4>
      </vt:variant>
      <vt:variant>
        <vt:lpwstr>http://www.nevo.co.il/case/11212337</vt:lpwstr>
      </vt:variant>
      <vt:variant>
        <vt:lpwstr/>
      </vt:variant>
      <vt:variant>
        <vt:i4>3932273</vt:i4>
      </vt:variant>
      <vt:variant>
        <vt:i4>66</vt:i4>
      </vt:variant>
      <vt:variant>
        <vt:i4>0</vt:i4>
      </vt:variant>
      <vt:variant>
        <vt:i4>5</vt:i4>
      </vt:variant>
      <vt:variant>
        <vt:lpwstr>http://www.nevo.co.il/case/10529719</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8257637</vt:i4>
      </vt:variant>
      <vt:variant>
        <vt:i4>57</vt:i4>
      </vt:variant>
      <vt:variant>
        <vt:i4>0</vt:i4>
      </vt:variant>
      <vt:variant>
        <vt:i4>5</vt:i4>
      </vt:variant>
      <vt:variant>
        <vt:lpwstr>http://www.nevo.co.il/law/4216</vt:lpwstr>
      </vt:variant>
      <vt:variant>
        <vt:lpwstr/>
      </vt:variant>
      <vt:variant>
        <vt:i4>3276921</vt:i4>
      </vt:variant>
      <vt:variant>
        <vt:i4>54</vt:i4>
      </vt:variant>
      <vt:variant>
        <vt:i4>0</vt:i4>
      </vt:variant>
      <vt:variant>
        <vt:i4>5</vt:i4>
      </vt:variant>
      <vt:variant>
        <vt:lpwstr>http://www.nevo.co.il/case/5603186</vt:lpwstr>
      </vt:variant>
      <vt:variant>
        <vt:lpwstr/>
      </vt:variant>
      <vt:variant>
        <vt:i4>3473525</vt:i4>
      </vt:variant>
      <vt:variant>
        <vt:i4>51</vt:i4>
      </vt:variant>
      <vt:variant>
        <vt:i4>0</vt:i4>
      </vt:variant>
      <vt:variant>
        <vt:i4>5</vt:i4>
      </vt:variant>
      <vt:variant>
        <vt:lpwstr>http://www.nevo.co.il/case/6552365</vt:lpwstr>
      </vt:variant>
      <vt:variant>
        <vt:lpwstr/>
      </vt:variant>
      <vt:variant>
        <vt:i4>4063345</vt:i4>
      </vt:variant>
      <vt:variant>
        <vt:i4>48</vt:i4>
      </vt:variant>
      <vt:variant>
        <vt:i4>0</vt:i4>
      </vt:variant>
      <vt:variant>
        <vt:i4>5</vt:i4>
      </vt:variant>
      <vt:variant>
        <vt:lpwstr>http://www.nevo.co.il/case/16900367</vt:lpwstr>
      </vt:variant>
      <vt:variant>
        <vt:lpwstr/>
      </vt:variant>
      <vt:variant>
        <vt:i4>3145850</vt:i4>
      </vt:variant>
      <vt:variant>
        <vt:i4>45</vt:i4>
      </vt:variant>
      <vt:variant>
        <vt:i4>0</vt:i4>
      </vt:variant>
      <vt:variant>
        <vt:i4>5</vt:i4>
      </vt:variant>
      <vt:variant>
        <vt:lpwstr>http://www.nevo.co.il/case/22852989</vt:lpwstr>
      </vt:variant>
      <vt:variant>
        <vt:lpwstr/>
      </vt:variant>
      <vt:variant>
        <vt:i4>3604595</vt:i4>
      </vt:variant>
      <vt:variant>
        <vt:i4>42</vt:i4>
      </vt:variant>
      <vt:variant>
        <vt:i4>0</vt:i4>
      </vt:variant>
      <vt:variant>
        <vt:i4>5</vt:i4>
      </vt:variant>
      <vt:variant>
        <vt:lpwstr>http://www.nevo.co.il/case/23746048</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3997815</vt:i4>
      </vt:variant>
      <vt:variant>
        <vt:i4>36</vt:i4>
      </vt:variant>
      <vt:variant>
        <vt:i4>0</vt:i4>
      </vt:variant>
      <vt:variant>
        <vt:i4>5</vt:i4>
      </vt:variant>
      <vt:variant>
        <vt:lpwstr>http://www.nevo.co.il/case/5993495</vt:lpwstr>
      </vt:variant>
      <vt:variant>
        <vt:lpwstr/>
      </vt:variant>
      <vt:variant>
        <vt:i4>3473527</vt:i4>
      </vt:variant>
      <vt:variant>
        <vt:i4>33</vt:i4>
      </vt:variant>
      <vt:variant>
        <vt:i4>0</vt:i4>
      </vt:variant>
      <vt:variant>
        <vt:i4>5</vt:i4>
      </vt:variant>
      <vt:variant>
        <vt:lpwstr>http://www.nevo.co.il/case/5611948</vt:lpwstr>
      </vt:variant>
      <vt:variant>
        <vt:lpwstr/>
      </vt:variant>
      <vt:variant>
        <vt:i4>3145849</vt:i4>
      </vt:variant>
      <vt:variant>
        <vt:i4>30</vt:i4>
      </vt:variant>
      <vt:variant>
        <vt:i4>0</vt:i4>
      </vt:variant>
      <vt:variant>
        <vt:i4>5</vt:i4>
      </vt:variant>
      <vt:variant>
        <vt:lpwstr>http://www.nevo.co.il/case/5608134</vt:lpwstr>
      </vt:variant>
      <vt:variant>
        <vt:lpwstr/>
      </vt:variant>
      <vt:variant>
        <vt:i4>3276916</vt:i4>
      </vt:variant>
      <vt:variant>
        <vt:i4>27</vt:i4>
      </vt:variant>
      <vt:variant>
        <vt:i4>0</vt:i4>
      </vt:variant>
      <vt:variant>
        <vt:i4>5</vt:i4>
      </vt:variant>
      <vt:variant>
        <vt:lpwstr>http://www.nevo.co.il/case/5810781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16619</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מתן פודומסקי</vt:lpwstr>
  </property>
  <property fmtid="{D5CDD505-2E9C-101B-9397-08002B2CF9AE}" pid="10" name="LAWYER">
    <vt:lpwstr>עדי סעדיה;אברהם לנדשטיין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20190116</vt:lpwstr>
  </property>
  <property fmtid="{D5CDD505-2E9C-101B-9397-08002B2CF9AE}" pid="14" name="TYPE_N_DATE">
    <vt:lpwstr>38020190116</vt:lpwstr>
  </property>
  <property fmtid="{D5CDD505-2E9C-101B-9397-08002B2CF9AE}" pid="15" name="WORDNUMPAGES">
    <vt:lpwstr>6</vt:lpwstr>
  </property>
  <property fmtid="{D5CDD505-2E9C-101B-9397-08002B2CF9AE}" pid="16" name="TYPE_ABS_DATE">
    <vt:lpwstr>380020190116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5810781;5608134;5611948;5993495;6161385;23746048;22852989;16900367;6552365;5603186;5738608;5786821;10529719;11212337;8280957;7953296</vt:lpwstr>
  </property>
  <property fmtid="{D5CDD505-2E9C-101B-9397-08002B2CF9AE}" pid="36" name="LAWLISTTMP1">
    <vt:lpwstr>4216/007.a;007.c</vt:lpwstr>
  </property>
</Properties>
</file>