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EE89F" w14:textId="77777777" w:rsidR="0038638B" w:rsidRPr="001C0A3C" w:rsidRDefault="0038638B" w:rsidP="00F24514">
      <w:pPr>
        <w:pStyle w:val="a3"/>
        <w:jc w:val="center"/>
        <w:rPr>
          <w:rFonts w:ascii="Tahoma" w:hAnsi="Tahoma" w:cs="Tahoma"/>
          <w:color w:val="000080"/>
          <w:rtl/>
        </w:rPr>
      </w:pPr>
      <w:bookmarkStart w:id="0" w:name="LastJudge"/>
      <w:r w:rsidRPr="001C0A3C">
        <w:rPr>
          <w:rFonts w:ascii="Tahoma" w:hAnsi="Tahoma" w:cs="Tahoma"/>
          <w:b/>
          <w:bCs/>
          <w:color w:val="000080"/>
          <w:rtl/>
        </w:rPr>
        <w:t>בית משפט השלום בקריות</w:t>
      </w:r>
    </w:p>
    <w:p w14:paraId="279EF9CC" w14:textId="77777777" w:rsidR="0038638B" w:rsidRPr="001C0A3C" w:rsidRDefault="0038638B" w:rsidP="00F24514">
      <w:pPr>
        <w:rPr>
          <w:rFonts w:cs="FrankRuehl"/>
          <w:sz w:val="28"/>
          <w:szCs w:val="28"/>
          <w:rtl/>
        </w:rPr>
      </w:pPr>
      <w:r w:rsidRPr="001C0A3C">
        <w:rPr>
          <w:rFonts w:cs="FrankRuehl"/>
          <w:sz w:val="28"/>
          <w:szCs w:val="28"/>
          <w:rtl/>
        </w:rPr>
        <w:t>ת"פ</w:t>
      </w:r>
      <w:r w:rsidRPr="001C0A3C">
        <w:rPr>
          <w:rFonts w:cs="FrankRuehl" w:hint="cs"/>
          <w:sz w:val="28"/>
          <w:szCs w:val="28"/>
          <w:rtl/>
        </w:rPr>
        <w:t xml:space="preserve"> </w:t>
      </w:r>
      <w:r w:rsidRPr="001C0A3C">
        <w:rPr>
          <w:rFonts w:cs="FrankRuehl"/>
          <w:sz w:val="28"/>
          <w:szCs w:val="28"/>
          <w:rtl/>
        </w:rPr>
        <w:t>19505-01-18</w:t>
      </w:r>
      <w:r w:rsidRPr="001C0A3C">
        <w:rPr>
          <w:rFonts w:cs="FrankRuehl" w:hint="cs"/>
          <w:sz w:val="28"/>
          <w:szCs w:val="28"/>
          <w:rtl/>
        </w:rPr>
        <w:t xml:space="preserve"> </w:t>
      </w:r>
      <w:r w:rsidRPr="001C0A3C">
        <w:rPr>
          <w:rFonts w:cs="FrankRuehl"/>
          <w:sz w:val="28"/>
          <w:szCs w:val="28"/>
          <w:rtl/>
        </w:rPr>
        <w:t>מדינת ישראל נ' כהן(אחר/נוסף)</w:t>
      </w:r>
    </w:p>
    <w:p w14:paraId="18E1DF61" w14:textId="77777777" w:rsidR="0038638B" w:rsidRPr="001C0A3C" w:rsidRDefault="0038638B" w:rsidP="00F24514">
      <w:pPr>
        <w:pStyle w:val="a3"/>
        <w:rPr>
          <w:rFonts w:cs="FrankRuehl"/>
          <w:sz w:val="28"/>
          <w:szCs w:val="28"/>
          <w:rtl/>
        </w:rPr>
      </w:pPr>
    </w:p>
    <w:p w14:paraId="2C433EAB" w14:textId="77777777" w:rsidR="0038638B" w:rsidRPr="001C0A3C" w:rsidRDefault="0038638B" w:rsidP="00F24514">
      <w:pPr>
        <w:pStyle w:val="a3"/>
        <w:jc w:val="right"/>
        <w:rPr>
          <w:rFonts w:cs="FrankRuehl"/>
          <w:sz w:val="28"/>
          <w:szCs w:val="28"/>
          <w:rtl/>
        </w:rPr>
      </w:pPr>
    </w:p>
    <w:p w14:paraId="2AC7E2F7" w14:textId="77777777" w:rsidR="0038638B" w:rsidRPr="001C0A3C" w:rsidRDefault="0038638B" w:rsidP="00104624">
      <w:pPr>
        <w:jc w:val="both"/>
        <w:rPr>
          <w:rFonts w:ascii="David" w:hAnsi="David"/>
          <w:sz w:val="26"/>
          <w:szCs w:val="26"/>
        </w:rPr>
      </w:pPr>
      <w:r w:rsidRPr="001C0A3C">
        <w:rPr>
          <w:rFonts w:hint="cs"/>
          <w:rtl/>
        </w:rPr>
        <w:t xml:space="preserve"> </w:t>
      </w:r>
      <w:r w:rsidRPr="001C0A3C">
        <w:rPr>
          <w:rFonts w:ascii="David" w:hAnsi="David"/>
          <w:sz w:val="26"/>
          <w:szCs w:val="26"/>
          <w:rtl/>
        </w:rPr>
        <w:t xml:space="preserve">בפני </w:t>
      </w:r>
    </w:p>
    <w:p w14:paraId="515AE416" w14:textId="77777777" w:rsidR="0038638B" w:rsidRPr="001C0A3C" w:rsidRDefault="0038638B" w:rsidP="00F24514">
      <w:pPr>
        <w:rPr>
          <w:rFonts w:ascii="David" w:hAnsi="David"/>
          <w:b/>
          <w:bCs/>
          <w:sz w:val="26"/>
          <w:szCs w:val="26"/>
          <w:rtl/>
        </w:rPr>
      </w:pPr>
      <w:r w:rsidRPr="001C0A3C">
        <w:rPr>
          <w:rFonts w:ascii="David" w:hAnsi="David"/>
          <w:b/>
          <w:bCs/>
          <w:sz w:val="26"/>
          <w:szCs w:val="26"/>
          <w:rtl/>
        </w:rPr>
        <w:t>כבוד השופטת  סימי פלג קימלוב</w:t>
      </w:r>
    </w:p>
    <w:p w14:paraId="26ED0F56" w14:textId="77777777" w:rsidR="0038638B" w:rsidRPr="001C0A3C" w:rsidRDefault="0038638B" w:rsidP="00F24514">
      <w:pPr>
        <w:rPr>
          <w:rFonts w:ascii="David" w:hAnsi="David"/>
          <w:sz w:val="26"/>
          <w:szCs w:val="26"/>
          <w:rtl/>
        </w:rPr>
      </w:pPr>
    </w:p>
    <w:p w14:paraId="6F722CEF" w14:textId="77777777" w:rsidR="0038638B" w:rsidRPr="001C0A3C" w:rsidRDefault="0038638B" w:rsidP="00104624">
      <w:pPr>
        <w:jc w:val="both"/>
        <w:rPr>
          <w:rFonts w:ascii="David" w:hAnsi="David"/>
          <w:sz w:val="26"/>
          <w:szCs w:val="26"/>
        </w:rPr>
      </w:pPr>
    </w:p>
    <w:p w14:paraId="0A32ACBC" w14:textId="77777777" w:rsidR="0038638B" w:rsidRPr="001C0A3C" w:rsidRDefault="0038638B" w:rsidP="00104624">
      <w:pPr>
        <w:jc w:val="both"/>
        <w:rPr>
          <w:rFonts w:ascii="David" w:hAnsi="David"/>
          <w:sz w:val="26"/>
          <w:szCs w:val="26"/>
        </w:rPr>
      </w:pPr>
      <w:bookmarkStart w:id="1" w:name="FirstAppellant"/>
      <w:r w:rsidRPr="001C0A3C">
        <w:rPr>
          <w:rFonts w:ascii="David" w:hAnsi="David"/>
          <w:sz w:val="26"/>
          <w:szCs w:val="26"/>
          <w:rtl/>
        </w:rPr>
        <w:t>בעניין:</w:t>
      </w:r>
    </w:p>
    <w:p w14:paraId="55196EF4" w14:textId="77777777" w:rsidR="0038638B" w:rsidRPr="001C0A3C" w:rsidRDefault="0038638B" w:rsidP="00104624">
      <w:pPr>
        <w:suppressLineNumbers/>
      </w:pPr>
      <w:r w:rsidRPr="001C0A3C">
        <w:rPr>
          <w:rFonts w:ascii="Arial" w:hAnsi="Arial" w:hint="cs"/>
          <w:b/>
          <w:bCs/>
          <w:rtl/>
        </w:rPr>
        <w:t>ה</w:t>
      </w:r>
      <w:r w:rsidRPr="001C0A3C">
        <w:rPr>
          <w:rFonts w:ascii="Arial" w:hAnsi="Arial"/>
          <w:b/>
          <w:bCs/>
          <w:rtl/>
        </w:rPr>
        <w:t>מאשימה</w:t>
      </w:r>
    </w:p>
    <w:p w14:paraId="4BC26B7E" w14:textId="77777777" w:rsidR="0038638B" w:rsidRPr="001C0A3C" w:rsidRDefault="0038638B" w:rsidP="00F24514">
      <w:pPr>
        <w:rPr>
          <w:rFonts w:ascii="David" w:hAnsi="David"/>
          <w:sz w:val="26"/>
          <w:szCs w:val="26"/>
        </w:rPr>
      </w:pPr>
    </w:p>
    <w:p w14:paraId="7CA2AD57" w14:textId="77777777" w:rsidR="0038638B" w:rsidRPr="001C0A3C" w:rsidRDefault="0038638B" w:rsidP="00104624">
      <w:pPr>
        <w:suppressLineNumbers/>
        <w:rPr>
          <w:rFonts w:ascii="David" w:hAnsi="David"/>
          <w:b/>
          <w:bCs/>
        </w:rPr>
      </w:pPr>
      <w:r w:rsidRPr="001C0A3C">
        <w:rPr>
          <w:rFonts w:ascii="David" w:hAnsi="David" w:hint="cs"/>
          <w:b/>
          <w:bCs/>
          <w:rtl/>
        </w:rPr>
        <w:t xml:space="preserve">מדינת ישראל </w:t>
      </w:r>
    </w:p>
    <w:bookmarkEnd w:id="1"/>
    <w:p w14:paraId="07E0EA61" w14:textId="77777777" w:rsidR="0038638B" w:rsidRPr="001C0A3C" w:rsidRDefault="0038638B" w:rsidP="00104624">
      <w:pPr>
        <w:jc w:val="both"/>
        <w:rPr>
          <w:rFonts w:ascii="David" w:hAnsi="David"/>
          <w:sz w:val="26"/>
          <w:szCs w:val="26"/>
          <w:rtl/>
        </w:rPr>
      </w:pPr>
    </w:p>
    <w:p w14:paraId="5A8C43CF" w14:textId="77777777" w:rsidR="0038638B" w:rsidRPr="001C0A3C" w:rsidRDefault="0038638B" w:rsidP="00104624">
      <w:pPr>
        <w:jc w:val="center"/>
        <w:rPr>
          <w:rFonts w:ascii="David" w:hAnsi="David"/>
          <w:b/>
          <w:bCs/>
          <w:sz w:val="26"/>
          <w:szCs w:val="26"/>
          <w:rtl/>
        </w:rPr>
      </w:pPr>
    </w:p>
    <w:p w14:paraId="52123B5B" w14:textId="77777777" w:rsidR="0038638B" w:rsidRPr="001C0A3C" w:rsidRDefault="0038638B" w:rsidP="00104624">
      <w:pPr>
        <w:jc w:val="center"/>
        <w:rPr>
          <w:rFonts w:ascii="David" w:hAnsi="David"/>
          <w:b/>
          <w:bCs/>
          <w:sz w:val="26"/>
          <w:szCs w:val="26"/>
          <w:rtl/>
        </w:rPr>
      </w:pPr>
      <w:r w:rsidRPr="001C0A3C">
        <w:rPr>
          <w:rFonts w:ascii="David" w:hAnsi="David"/>
          <w:b/>
          <w:bCs/>
          <w:sz w:val="26"/>
          <w:szCs w:val="26"/>
          <w:rtl/>
        </w:rPr>
        <w:t>נגד</w:t>
      </w:r>
    </w:p>
    <w:p w14:paraId="207C0620" w14:textId="77777777" w:rsidR="0038638B" w:rsidRPr="001C0A3C" w:rsidRDefault="0038638B" w:rsidP="00104624">
      <w:pPr>
        <w:jc w:val="both"/>
        <w:rPr>
          <w:rFonts w:ascii="David" w:hAnsi="David"/>
          <w:sz w:val="26"/>
          <w:szCs w:val="26"/>
        </w:rPr>
      </w:pPr>
    </w:p>
    <w:p w14:paraId="5103BAF6" w14:textId="77777777" w:rsidR="0038638B" w:rsidRPr="001C0A3C" w:rsidRDefault="0038638B" w:rsidP="00F24514">
      <w:pPr>
        <w:rPr>
          <w:rFonts w:ascii="David" w:hAnsi="David"/>
          <w:sz w:val="26"/>
          <w:szCs w:val="26"/>
          <w:rtl/>
        </w:rPr>
      </w:pPr>
    </w:p>
    <w:p w14:paraId="17285832" w14:textId="77777777" w:rsidR="0038638B" w:rsidRPr="001C0A3C" w:rsidRDefault="0038638B" w:rsidP="00F24514">
      <w:pPr>
        <w:rPr>
          <w:rFonts w:ascii="Arial" w:hAnsi="Arial"/>
          <w:b/>
          <w:bCs/>
          <w:rtl/>
        </w:rPr>
      </w:pPr>
      <w:r w:rsidRPr="001C0A3C">
        <w:rPr>
          <w:rFonts w:ascii="Arial" w:hAnsi="Arial"/>
          <w:b/>
          <w:bCs/>
          <w:rtl/>
        </w:rPr>
        <w:t>הנאשם</w:t>
      </w:r>
    </w:p>
    <w:p w14:paraId="01CC2E11" w14:textId="77777777" w:rsidR="0038638B" w:rsidRDefault="0038638B" w:rsidP="00104624">
      <w:pPr>
        <w:suppressLineNumbers/>
        <w:rPr>
          <w:rFonts w:ascii="Arial" w:hAnsi="Arial"/>
          <w:b/>
          <w:bCs/>
          <w:sz w:val="26"/>
          <w:szCs w:val="26"/>
          <w:rtl/>
        </w:rPr>
      </w:pPr>
      <w:r w:rsidRPr="001C0A3C">
        <w:rPr>
          <w:rFonts w:ascii="Arial" w:hAnsi="Arial" w:hint="cs"/>
          <w:b/>
          <w:bCs/>
          <w:sz w:val="26"/>
          <w:szCs w:val="26"/>
          <w:rtl/>
        </w:rPr>
        <w:t xml:space="preserve">יוסי כהן </w:t>
      </w:r>
    </w:p>
    <w:p w14:paraId="110FE29F" w14:textId="77777777" w:rsidR="0038638B" w:rsidRPr="0038638B" w:rsidRDefault="0038638B" w:rsidP="0038638B">
      <w:pPr>
        <w:suppressLineNumbers/>
        <w:spacing w:after="120" w:line="240" w:lineRule="exact"/>
        <w:ind w:left="283" w:hanging="283"/>
        <w:jc w:val="both"/>
        <w:rPr>
          <w:rFonts w:ascii="FrankRuehl" w:hAnsi="FrankRuehl" w:cs="FrankRuehl"/>
          <w:rtl/>
        </w:rPr>
      </w:pPr>
    </w:p>
    <w:p w14:paraId="2975BA31" w14:textId="77777777" w:rsidR="00A92E36" w:rsidRPr="00A92E36" w:rsidRDefault="00A92E36" w:rsidP="00A92E36">
      <w:pPr>
        <w:suppressLineNumbers/>
        <w:spacing w:before="120" w:after="120" w:line="240" w:lineRule="exact"/>
        <w:ind w:left="283" w:hanging="283"/>
        <w:jc w:val="both"/>
        <w:rPr>
          <w:rFonts w:ascii="FrankRuehl" w:hAnsi="FrankRuehl" w:cs="FrankRuehl"/>
          <w:rtl/>
        </w:rPr>
      </w:pPr>
    </w:p>
    <w:p w14:paraId="2474BEC5" w14:textId="77777777" w:rsidR="007F4DA5" w:rsidRDefault="007F4DA5" w:rsidP="007F4DA5">
      <w:pPr>
        <w:suppressLineNumbers/>
        <w:rPr>
          <w:rFonts w:ascii="David" w:hAnsi="David"/>
          <w:sz w:val="26"/>
          <w:szCs w:val="26"/>
          <w:rtl/>
        </w:rPr>
      </w:pPr>
      <w:bookmarkStart w:id="2" w:name="LawTable"/>
      <w:bookmarkEnd w:id="2"/>
    </w:p>
    <w:p w14:paraId="2DC764A8" w14:textId="77777777" w:rsidR="007F4DA5" w:rsidRPr="007F4DA5" w:rsidRDefault="007F4DA5" w:rsidP="007F4DA5">
      <w:pPr>
        <w:suppressLineNumbers/>
        <w:spacing w:before="120" w:after="120" w:line="240" w:lineRule="exact"/>
        <w:ind w:left="283" w:hanging="283"/>
        <w:jc w:val="both"/>
        <w:rPr>
          <w:rFonts w:ascii="FrankRuehl" w:hAnsi="FrankRuehl" w:cs="FrankRuehl"/>
          <w:rtl/>
        </w:rPr>
      </w:pPr>
    </w:p>
    <w:p w14:paraId="556D59BF" w14:textId="77777777" w:rsidR="007F4DA5" w:rsidRPr="007F4DA5" w:rsidRDefault="007F4DA5" w:rsidP="007F4DA5">
      <w:pPr>
        <w:suppressLineNumbers/>
        <w:spacing w:before="120" w:after="120" w:line="240" w:lineRule="exact"/>
        <w:ind w:left="283" w:hanging="283"/>
        <w:jc w:val="both"/>
        <w:rPr>
          <w:rFonts w:ascii="FrankRuehl" w:hAnsi="FrankRuehl" w:cs="FrankRuehl"/>
          <w:rtl/>
        </w:rPr>
      </w:pPr>
    </w:p>
    <w:p w14:paraId="5F18D09F" w14:textId="77777777" w:rsidR="007F4DA5" w:rsidRPr="007F4DA5" w:rsidRDefault="007F4DA5" w:rsidP="007F4DA5">
      <w:pPr>
        <w:suppressLineNumbers/>
        <w:spacing w:before="120" w:after="120" w:line="240" w:lineRule="exact"/>
        <w:ind w:left="283" w:hanging="283"/>
        <w:jc w:val="both"/>
        <w:rPr>
          <w:rFonts w:ascii="FrankRuehl" w:hAnsi="FrankRuehl" w:cs="FrankRuehl"/>
          <w:rtl/>
        </w:rPr>
      </w:pPr>
      <w:r w:rsidRPr="007F4DA5">
        <w:rPr>
          <w:rFonts w:ascii="FrankRuehl" w:hAnsi="FrankRuehl" w:cs="FrankRuehl"/>
          <w:rtl/>
        </w:rPr>
        <w:t xml:space="preserve">חקיקה שאוזכרה: </w:t>
      </w:r>
    </w:p>
    <w:p w14:paraId="5608549A" w14:textId="77777777" w:rsidR="007F4DA5" w:rsidRPr="007F4DA5" w:rsidRDefault="007F4DA5" w:rsidP="007F4DA5">
      <w:pPr>
        <w:suppressLineNumbers/>
        <w:spacing w:before="120" w:after="120" w:line="240" w:lineRule="exact"/>
        <w:ind w:left="283" w:hanging="283"/>
        <w:jc w:val="both"/>
        <w:rPr>
          <w:rFonts w:ascii="FrankRuehl" w:hAnsi="FrankRuehl" w:cs="FrankRuehl"/>
          <w:rtl/>
        </w:rPr>
      </w:pPr>
      <w:hyperlink r:id="rId7" w:history="1">
        <w:r w:rsidRPr="007F4DA5">
          <w:rPr>
            <w:rFonts w:ascii="FrankRuehl" w:hAnsi="FrankRuehl" w:cs="FrankRuehl"/>
            <w:color w:val="0000FF"/>
            <w:rtl/>
          </w:rPr>
          <w:t>פקודת הסמים המסוכנים [נוסח חדש], תשל"ג-1973</w:t>
        </w:r>
      </w:hyperlink>
      <w:r w:rsidRPr="007F4DA5">
        <w:rPr>
          <w:rFonts w:ascii="FrankRuehl" w:hAnsi="FrankRuehl" w:cs="FrankRuehl"/>
          <w:rtl/>
        </w:rPr>
        <w:t xml:space="preserve">: סע'  </w:t>
      </w:r>
      <w:hyperlink r:id="rId8" w:history="1">
        <w:r w:rsidRPr="007F4DA5">
          <w:rPr>
            <w:rFonts w:ascii="FrankRuehl" w:hAnsi="FrankRuehl" w:cs="FrankRuehl"/>
            <w:color w:val="0000FF"/>
            <w:rtl/>
          </w:rPr>
          <w:t>6</w:t>
        </w:r>
      </w:hyperlink>
      <w:r w:rsidRPr="007F4DA5">
        <w:rPr>
          <w:rFonts w:ascii="FrankRuehl" w:hAnsi="FrankRuehl" w:cs="FrankRuehl"/>
          <w:rtl/>
        </w:rPr>
        <w:t xml:space="preserve">, </w:t>
      </w:r>
      <w:hyperlink r:id="rId9" w:history="1">
        <w:r w:rsidRPr="007F4DA5">
          <w:rPr>
            <w:rFonts w:ascii="FrankRuehl" w:hAnsi="FrankRuehl" w:cs="FrankRuehl"/>
            <w:color w:val="0000FF"/>
            <w:rtl/>
          </w:rPr>
          <w:t>7(א)</w:t>
        </w:r>
      </w:hyperlink>
      <w:r w:rsidRPr="007F4DA5">
        <w:rPr>
          <w:rFonts w:ascii="FrankRuehl" w:hAnsi="FrankRuehl" w:cs="FrankRuehl"/>
          <w:rtl/>
        </w:rPr>
        <w:t xml:space="preserve">, </w:t>
      </w:r>
      <w:hyperlink r:id="rId10" w:history="1">
        <w:r w:rsidRPr="007F4DA5">
          <w:rPr>
            <w:rFonts w:ascii="FrankRuehl" w:hAnsi="FrankRuehl" w:cs="FrankRuehl"/>
            <w:color w:val="0000FF"/>
            <w:rtl/>
          </w:rPr>
          <w:t>7(ג)</w:t>
        </w:r>
      </w:hyperlink>
    </w:p>
    <w:p w14:paraId="18A286EB" w14:textId="77777777" w:rsidR="007F4DA5" w:rsidRPr="007F4DA5" w:rsidRDefault="007F4DA5" w:rsidP="007F4DA5">
      <w:pPr>
        <w:suppressLineNumbers/>
        <w:spacing w:before="120" w:after="120" w:line="240" w:lineRule="exact"/>
        <w:ind w:left="283" w:hanging="283"/>
        <w:jc w:val="both"/>
        <w:rPr>
          <w:rFonts w:ascii="FrankRuehl" w:hAnsi="FrankRuehl" w:cs="FrankRuehl"/>
          <w:rtl/>
        </w:rPr>
      </w:pPr>
      <w:hyperlink r:id="rId11" w:history="1">
        <w:r w:rsidRPr="007F4DA5">
          <w:rPr>
            <w:rFonts w:ascii="FrankRuehl" w:hAnsi="FrankRuehl" w:cs="FrankRuehl"/>
            <w:color w:val="0000FF"/>
            <w:rtl/>
          </w:rPr>
          <w:t>חוק העונשין, תשל"ז-1977</w:t>
        </w:r>
      </w:hyperlink>
      <w:r w:rsidRPr="007F4DA5">
        <w:rPr>
          <w:rFonts w:ascii="FrankRuehl" w:hAnsi="FrankRuehl" w:cs="FrankRuehl"/>
          <w:rtl/>
        </w:rPr>
        <w:t xml:space="preserve">: סע'  </w:t>
      </w:r>
      <w:hyperlink r:id="rId12" w:history="1">
        <w:r w:rsidRPr="007F4DA5">
          <w:rPr>
            <w:rFonts w:ascii="FrankRuehl" w:hAnsi="FrankRuehl" w:cs="FrankRuehl"/>
            <w:color w:val="0000FF"/>
            <w:rtl/>
          </w:rPr>
          <w:t>71ד(3)</w:t>
        </w:r>
      </w:hyperlink>
      <w:r w:rsidRPr="007F4DA5">
        <w:rPr>
          <w:rFonts w:ascii="FrankRuehl" w:hAnsi="FrankRuehl" w:cs="FrankRuehl"/>
          <w:rtl/>
        </w:rPr>
        <w:t xml:space="preserve">, </w:t>
      </w:r>
      <w:hyperlink r:id="rId13" w:history="1">
        <w:r w:rsidRPr="007F4DA5">
          <w:rPr>
            <w:rFonts w:ascii="FrankRuehl" w:hAnsi="FrankRuehl" w:cs="FrankRuehl"/>
            <w:color w:val="0000FF"/>
            <w:rtl/>
          </w:rPr>
          <w:t>400</w:t>
        </w:r>
      </w:hyperlink>
    </w:p>
    <w:p w14:paraId="2E1E9939" w14:textId="77777777" w:rsidR="007F4DA5" w:rsidRPr="007F4DA5" w:rsidRDefault="007F4DA5" w:rsidP="007F4DA5">
      <w:pPr>
        <w:suppressLineNumbers/>
        <w:spacing w:before="120" w:after="120" w:line="240" w:lineRule="exact"/>
        <w:ind w:left="283" w:hanging="283"/>
        <w:jc w:val="both"/>
        <w:rPr>
          <w:rFonts w:ascii="FrankRuehl" w:hAnsi="FrankRuehl" w:cs="FrankRuehl"/>
          <w:rtl/>
        </w:rPr>
      </w:pPr>
      <w:hyperlink r:id="rId14" w:history="1">
        <w:r w:rsidRPr="007F4DA5">
          <w:rPr>
            <w:rFonts w:ascii="FrankRuehl" w:hAnsi="FrankRuehl" w:cs="FrankRuehl"/>
            <w:color w:val="0000FF"/>
            <w:rtl/>
          </w:rPr>
          <w:t>פקודת המבחן [נוסח חדש], תשכ"ט-1969</w:t>
        </w:r>
      </w:hyperlink>
      <w:r w:rsidRPr="007F4DA5">
        <w:rPr>
          <w:rFonts w:ascii="FrankRuehl" w:hAnsi="FrankRuehl" w:cs="FrankRuehl"/>
          <w:rtl/>
        </w:rPr>
        <w:t xml:space="preserve">: סע'  </w:t>
      </w:r>
      <w:hyperlink r:id="rId15" w:history="1">
        <w:r w:rsidRPr="007F4DA5">
          <w:rPr>
            <w:rFonts w:ascii="FrankRuehl" w:hAnsi="FrankRuehl" w:cs="FrankRuehl"/>
            <w:color w:val="0000FF"/>
            <w:rtl/>
          </w:rPr>
          <w:t>20(4)</w:t>
        </w:r>
      </w:hyperlink>
    </w:p>
    <w:p w14:paraId="66E8EDDB" w14:textId="77777777" w:rsidR="007F4DA5" w:rsidRPr="007F4DA5" w:rsidRDefault="007F4DA5" w:rsidP="007F4DA5">
      <w:pPr>
        <w:suppressLineNumbers/>
        <w:rPr>
          <w:rFonts w:ascii="David" w:hAnsi="David"/>
          <w:sz w:val="26"/>
          <w:szCs w:val="26"/>
          <w:rtl/>
        </w:rPr>
      </w:pPr>
      <w:bookmarkStart w:id="3" w:name="LawTable_End"/>
      <w:bookmarkEnd w:id="3"/>
    </w:p>
    <w:p w14:paraId="10F9D5B6" w14:textId="77777777" w:rsidR="0038638B" w:rsidRPr="00A92E36" w:rsidRDefault="0038638B" w:rsidP="00A92E36">
      <w:pPr>
        <w:suppressLineNumbers/>
        <w:rPr>
          <w:rFonts w:ascii="David" w:hAnsi="David"/>
          <w:sz w:val="26"/>
          <w:szCs w:val="26"/>
        </w:rPr>
      </w:pPr>
    </w:p>
    <w:p w14:paraId="5B8850DA" w14:textId="77777777" w:rsidR="0038638B" w:rsidRPr="001C0A3C" w:rsidRDefault="0038638B" w:rsidP="001C0A3C">
      <w:pPr>
        <w:jc w:val="center"/>
        <w:rPr>
          <w:rFonts w:ascii="David" w:hAnsi="David"/>
          <w:b/>
          <w:bCs/>
          <w:sz w:val="26"/>
          <w:szCs w:val="26"/>
          <w:u w:val="single"/>
          <w:rtl/>
        </w:rPr>
      </w:pPr>
      <w:bookmarkStart w:id="4" w:name="PsakDin"/>
      <w:bookmarkEnd w:id="0"/>
      <w:r w:rsidRPr="001C0A3C">
        <w:rPr>
          <w:rFonts w:ascii="David" w:hAnsi="David"/>
          <w:b/>
          <w:bCs/>
          <w:sz w:val="26"/>
          <w:szCs w:val="26"/>
          <w:rtl/>
        </w:rPr>
        <w:t>גזר</w:t>
      </w:r>
      <w:r w:rsidRPr="001C0A3C">
        <w:rPr>
          <w:rFonts w:ascii="David" w:hAnsi="David"/>
          <w:b/>
          <w:bCs/>
          <w:sz w:val="26"/>
          <w:szCs w:val="26"/>
          <w:u w:val="single"/>
          <w:rtl/>
        </w:rPr>
        <w:t xml:space="preserve"> דין (לאחר הפקעת צו מבחן)</w:t>
      </w:r>
    </w:p>
    <w:p w14:paraId="17929BB5" w14:textId="77777777" w:rsidR="0038638B" w:rsidRPr="001C0A3C" w:rsidRDefault="0038638B" w:rsidP="001C0A3C">
      <w:pPr>
        <w:jc w:val="center"/>
        <w:rPr>
          <w:rFonts w:ascii="David" w:hAnsi="David"/>
          <w:b/>
          <w:bCs/>
          <w:sz w:val="26"/>
          <w:szCs w:val="26"/>
          <w:u w:val="single"/>
          <w:rtl/>
        </w:rPr>
      </w:pPr>
    </w:p>
    <w:bookmarkEnd w:id="4"/>
    <w:p w14:paraId="6E6C206E" w14:textId="77777777" w:rsidR="00104624" w:rsidRPr="00323371" w:rsidRDefault="00104624" w:rsidP="00104624">
      <w:pPr>
        <w:rPr>
          <w:rFonts w:ascii="Arial" w:hAnsi="Arial"/>
          <w:b/>
          <w:bCs/>
          <w:sz w:val="26"/>
          <w:szCs w:val="26"/>
          <w:rtl/>
        </w:rPr>
      </w:pPr>
    </w:p>
    <w:p w14:paraId="45250636" w14:textId="77777777" w:rsidR="00104624" w:rsidRDefault="00104624" w:rsidP="00104624">
      <w:pPr>
        <w:spacing w:line="360" w:lineRule="auto"/>
        <w:ind w:firstLine="720"/>
        <w:jc w:val="both"/>
        <w:rPr>
          <w:rFonts w:ascii="Arial" w:hAnsi="Arial"/>
          <w:b/>
          <w:bCs/>
          <w:u w:val="single"/>
        </w:rPr>
      </w:pPr>
      <w:r>
        <w:rPr>
          <w:rFonts w:ascii="Arial" w:hAnsi="Arial" w:hint="cs"/>
          <w:b/>
          <w:bCs/>
          <w:u w:val="single"/>
          <w:rtl/>
        </w:rPr>
        <w:t>הבקשה להפקעת צו מבחן וההליך המשפטי</w:t>
      </w:r>
    </w:p>
    <w:p w14:paraId="386C0EF9" w14:textId="77777777" w:rsidR="00104624" w:rsidRDefault="00104624" w:rsidP="00104624">
      <w:pPr>
        <w:pStyle w:val="a9"/>
        <w:numPr>
          <w:ilvl w:val="0"/>
          <w:numId w:val="1"/>
        </w:numPr>
        <w:spacing w:line="360" w:lineRule="auto"/>
        <w:ind w:left="714" w:hanging="357"/>
        <w:jc w:val="both"/>
        <w:rPr>
          <w:rFonts w:ascii="Arial" w:hAnsi="Arial"/>
        </w:rPr>
      </w:pPr>
      <w:bookmarkStart w:id="5" w:name="ABSTRACT_START"/>
      <w:bookmarkEnd w:id="5"/>
      <w:r>
        <w:rPr>
          <w:rFonts w:ascii="Arial" w:hAnsi="Arial" w:hint="cs"/>
          <w:rtl/>
        </w:rPr>
        <w:t xml:space="preserve">שירות המבחן הגיש בקשה להפקעת צו מבחן וזאת בשני תסקירים שהוגשו בעניינו של הנאשם. בתסקיר משלים שהוגש לבית המשפט ציין שירות המבחן הנאשם לא קיבל אחריות על ניתוק הקשר עם שירות המבחן ולדבריו לא היה מודע לכך שנערכו ניסיונות לזמנו לפגישות בשירות המבחן. לדבריו הוא מיוצב בתחליף סם ושבע רצון מכך והתנגד לחזרתו לטיפול במסגרת "מאמץ" שהיא המסגרת המוכרת על ידי שירות המבחן לטיפול בתחליף סם ולדבריו של הנאשם לאור המשבר ביחסים ובאמון הצוות הטיפולי שם. לדבריו תכנית הטיפול הקיימת עבורו כרגע עונה על צרכיו. עיון בגיליון הרשעותיו הקודמות של </w:t>
      </w:r>
      <w:r>
        <w:rPr>
          <w:rFonts w:ascii="Arial" w:hAnsi="Arial" w:hint="cs"/>
          <w:rtl/>
        </w:rPr>
        <w:lastRenderedPageBreak/>
        <w:t xml:space="preserve">הנאשם מלמד כי לא נפתחו תיקים נוספים חדשים כנגד הנאשם. לאור זאת שירות המבחן לא בא בהמלצה כלשהי ועתר להפקעת צו המבחן. </w:t>
      </w:r>
    </w:p>
    <w:p w14:paraId="248739A1" w14:textId="77777777" w:rsidR="00104624" w:rsidRDefault="00104624" w:rsidP="00104624">
      <w:pPr>
        <w:pStyle w:val="a9"/>
        <w:spacing w:line="360" w:lineRule="auto"/>
        <w:ind w:left="714"/>
        <w:jc w:val="both"/>
        <w:rPr>
          <w:rFonts w:ascii="Arial" w:hAnsi="Arial"/>
        </w:rPr>
      </w:pPr>
    </w:p>
    <w:p w14:paraId="72BAA0CA" w14:textId="77777777" w:rsidR="00104624" w:rsidRDefault="00104624" w:rsidP="00104624">
      <w:pPr>
        <w:pStyle w:val="a9"/>
        <w:numPr>
          <w:ilvl w:val="0"/>
          <w:numId w:val="1"/>
        </w:numPr>
        <w:spacing w:line="360" w:lineRule="auto"/>
        <w:ind w:left="714" w:hanging="357"/>
        <w:jc w:val="both"/>
        <w:rPr>
          <w:rFonts w:ascii="Arial" w:hAnsi="Arial"/>
        </w:rPr>
      </w:pPr>
      <w:bookmarkStart w:id="6" w:name="ABSTRACT_END"/>
      <w:bookmarkEnd w:id="6"/>
      <w:r>
        <w:rPr>
          <w:rFonts w:ascii="Arial" w:hAnsi="Arial" w:hint="cs"/>
          <w:rtl/>
        </w:rPr>
        <w:t xml:space="preserve">ביום 1.4.19 נגזר דינו של הנאשם לאחר שבית המשפט חרג ממתחם העונש ההולם והושתו על הנאשם העונשים הבאים: </w:t>
      </w:r>
    </w:p>
    <w:p w14:paraId="7CB75446" w14:textId="77777777" w:rsidR="00104624" w:rsidRDefault="00104624" w:rsidP="00104624">
      <w:pPr>
        <w:pStyle w:val="a9"/>
        <w:spacing w:line="360" w:lineRule="auto"/>
        <w:ind w:left="714"/>
        <w:jc w:val="both"/>
        <w:rPr>
          <w:rFonts w:ascii="Arial" w:hAnsi="Arial"/>
          <w:b/>
          <w:bCs/>
          <w:rtl/>
        </w:rPr>
      </w:pPr>
      <w:r w:rsidRPr="00BD6479">
        <w:rPr>
          <w:rFonts w:ascii="Arial" w:hAnsi="Arial" w:hint="cs"/>
          <w:b/>
          <w:bCs/>
          <w:rtl/>
        </w:rPr>
        <w:t xml:space="preserve">6 חודשי מאסר על תנאי, צו פיקוח שירות המבחן לתקופה של 24 חודשים, קנס כספי בסכום של 4,000 ₪, פסילה בפועל של רישיון הנהיגה ועונש של פסילה על תנאי. </w:t>
      </w:r>
    </w:p>
    <w:p w14:paraId="2028FB0A" w14:textId="77777777" w:rsidR="00104624" w:rsidRDefault="00104624" w:rsidP="00104624">
      <w:pPr>
        <w:pStyle w:val="a9"/>
        <w:spacing w:line="360" w:lineRule="auto"/>
        <w:ind w:left="714"/>
        <w:jc w:val="both"/>
        <w:rPr>
          <w:rFonts w:ascii="Arial" w:hAnsi="Arial"/>
          <w:rtl/>
        </w:rPr>
      </w:pPr>
      <w:r>
        <w:rPr>
          <w:rFonts w:ascii="Arial" w:hAnsi="Arial" w:hint="cs"/>
          <w:rtl/>
        </w:rPr>
        <w:t xml:space="preserve">בגזר הדין קבעתי מתחם עונש הולם שנע בין עונש של 6 חודשי מאסר בפועל ועד לעונש של 20 חודשי מאסר בפועל. </w:t>
      </w:r>
    </w:p>
    <w:p w14:paraId="5F3380FA" w14:textId="77777777" w:rsidR="00104624" w:rsidRDefault="00104624" w:rsidP="00104624">
      <w:pPr>
        <w:pStyle w:val="a9"/>
        <w:spacing w:line="360" w:lineRule="auto"/>
        <w:ind w:left="714"/>
        <w:jc w:val="both"/>
        <w:rPr>
          <w:rFonts w:ascii="Arial" w:hAnsi="Arial"/>
          <w:rtl/>
        </w:rPr>
      </w:pPr>
    </w:p>
    <w:p w14:paraId="55E7E88F" w14:textId="77777777" w:rsidR="00104624" w:rsidRDefault="00104624" w:rsidP="00104624">
      <w:pPr>
        <w:pStyle w:val="a9"/>
        <w:numPr>
          <w:ilvl w:val="0"/>
          <w:numId w:val="1"/>
        </w:numPr>
        <w:spacing w:line="360" w:lineRule="auto"/>
        <w:jc w:val="both"/>
      </w:pPr>
      <w:r>
        <w:rPr>
          <w:rFonts w:ascii="Arial" w:hAnsi="Arial" w:hint="cs"/>
          <w:rtl/>
        </w:rPr>
        <w:t xml:space="preserve">הנאשם הורשע על פי הודאתו בתיק זה בעבירות של </w:t>
      </w:r>
      <w:r>
        <w:rPr>
          <w:rFonts w:hint="cs"/>
          <w:rtl/>
        </w:rPr>
        <w:t xml:space="preserve"> </w:t>
      </w:r>
      <w:r>
        <w:rPr>
          <w:rtl/>
        </w:rPr>
        <w:t xml:space="preserve">גידול יצור הכנת סמים מסוכנים – עבירה לפי </w:t>
      </w:r>
      <w:hyperlink r:id="rId16" w:history="1">
        <w:r w:rsidR="0038638B" w:rsidRPr="0038638B">
          <w:rPr>
            <w:rStyle w:val="Hyperlink"/>
            <w:rFonts w:cs="David"/>
            <w:rtl/>
          </w:rPr>
          <w:t>סעיף 6</w:t>
        </w:r>
      </w:hyperlink>
      <w:r>
        <w:rPr>
          <w:rtl/>
        </w:rPr>
        <w:t xml:space="preserve"> ל</w:t>
      </w:r>
      <w:hyperlink r:id="rId17" w:history="1">
        <w:r w:rsidR="001C0A3C" w:rsidRPr="001C0A3C">
          <w:rPr>
            <w:color w:val="0000FF"/>
            <w:u w:val="single"/>
            <w:rtl/>
          </w:rPr>
          <w:t>פקודת הסמים המסוכנים</w:t>
        </w:r>
      </w:hyperlink>
      <w:r>
        <w:rPr>
          <w:rtl/>
        </w:rPr>
        <w:t xml:space="preserve"> (נוסח חדש) תשל"ג – 1973 (</w:t>
      </w:r>
      <w:r>
        <w:rPr>
          <w:b/>
          <w:bCs/>
          <w:rtl/>
        </w:rPr>
        <w:t>להלן: "פקודת הסמים"),</w:t>
      </w:r>
      <w:r>
        <w:rPr>
          <w:rtl/>
        </w:rPr>
        <w:t xml:space="preserve"> החזקה ושימוש של סמים שלא לצריכה עצמית – עבירה לפי </w:t>
      </w:r>
      <w:hyperlink r:id="rId18" w:history="1">
        <w:r w:rsidR="0038638B" w:rsidRPr="0038638B">
          <w:rPr>
            <w:rStyle w:val="Hyperlink"/>
            <w:rFonts w:cs="David"/>
            <w:rtl/>
          </w:rPr>
          <w:t>סעיף 7(א)</w:t>
        </w:r>
      </w:hyperlink>
      <w:r>
        <w:rPr>
          <w:rtl/>
        </w:rPr>
        <w:t xml:space="preserve"> +</w:t>
      </w:r>
      <w:hyperlink r:id="rId19" w:history="1">
        <w:r w:rsidR="0038638B" w:rsidRPr="0038638B">
          <w:rPr>
            <w:rStyle w:val="Hyperlink"/>
            <w:rFonts w:cs="David"/>
            <w:rtl/>
          </w:rPr>
          <w:t>7(ג)</w:t>
        </w:r>
      </w:hyperlink>
      <w:r>
        <w:rPr>
          <w:rtl/>
        </w:rPr>
        <w:t xml:space="preserve"> רישא לפקודת הסמים ונטילת חשמל, מים או גז בגניבה – עבירה לפי </w:t>
      </w:r>
      <w:hyperlink r:id="rId20" w:history="1">
        <w:r w:rsidR="0038638B" w:rsidRPr="0038638B">
          <w:rPr>
            <w:rStyle w:val="Hyperlink"/>
            <w:rFonts w:cs="David"/>
            <w:rtl/>
          </w:rPr>
          <w:t>סעיף 400</w:t>
        </w:r>
      </w:hyperlink>
      <w:r>
        <w:rPr>
          <w:rtl/>
        </w:rPr>
        <w:t xml:space="preserve"> ל</w:t>
      </w:r>
      <w:hyperlink r:id="rId21" w:history="1">
        <w:r w:rsidR="001C0A3C" w:rsidRPr="001C0A3C">
          <w:rPr>
            <w:color w:val="0000FF"/>
            <w:u w:val="single"/>
            <w:rtl/>
          </w:rPr>
          <w:t>חוק העונשין</w:t>
        </w:r>
      </w:hyperlink>
      <w:r>
        <w:rPr>
          <w:rtl/>
        </w:rPr>
        <w:t>, תשל"ז – 1977 (</w:t>
      </w:r>
      <w:r>
        <w:rPr>
          <w:b/>
          <w:bCs/>
          <w:rtl/>
        </w:rPr>
        <w:t>להלן: " חוק העונשין").</w:t>
      </w:r>
      <w:r>
        <w:rPr>
          <w:rtl/>
        </w:rPr>
        <w:t xml:space="preserve"> </w:t>
      </w:r>
    </w:p>
    <w:p w14:paraId="3CD1ABD0" w14:textId="77777777" w:rsidR="00104624" w:rsidRDefault="00104624" w:rsidP="00104624">
      <w:pPr>
        <w:pStyle w:val="a9"/>
        <w:spacing w:line="360" w:lineRule="auto"/>
        <w:jc w:val="both"/>
      </w:pPr>
    </w:p>
    <w:p w14:paraId="52B919B0" w14:textId="77777777" w:rsidR="00104624" w:rsidRDefault="00104624" w:rsidP="00104624">
      <w:pPr>
        <w:pStyle w:val="a9"/>
        <w:numPr>
          <w:ilvl w:val="0"/>
          <w:numId w:val="1"/>
        </w:numPr>
        <w:spacing w:line="360" w:lineRule="auto"/>
        <w:jc w:val="both"/>
      </w:pPr>
      <w:r>
        <w:rPr>
          <w:rtl/>
        </w:rPr>
        <w:t xml:space="preserve">על פי עובדות כתב האישום המתוקן, במועדים הרלוונטיים לכתב האישום, החזיק הנאשם בקרית אתא דירה. כמספר חודשים עובר ליום 3.1.18 ייעד הנאשם את הדירה לצורך מעבדה לגידול שתיל סם מסוכן מסוג קנבוס. בתאריך 3.1.18 סמוך לשעה 13:30 במעבדה, גידל הנאשם סם מסוכן מסוג קנבוס בכך שנמצאו במעבדה 62 שתיל קנבוס והכל במשקל כולל של 22.184 ק"ג נטו, שלא לצריכתו העצמית, ללא אישור או רישיון מאת המנהל. באותו מעד, החזיק הנאשם בכלים המשמשים להכנת סמים בתוך המעבדה בדמות 21 בתי מנורה, 8 מפוחים, 6 פלטרים, 19 שנאים, נירוסטות ורשת סל, 2 מזגנים ניידים, 2 רשתות ייבוש שהינם כלים המשמשים להכנת סם מסוכן וזאת ללא היתר. </w:t>
      </w:r>
    </w:p>
    <w:p w14:paraId="221B4796" w14:textId="77777777" w:rsidR="00104624" w:rsidRDefault="00104624" w:rsidP="00104624">
      <w:pPr>
        <w:pStyle w:val="a9"/>
        <w:spacing w:line="360" w:lineRule="auto"/>
        <w:jc w:val="both"/>
      </w:pPr>
    </w:p>
    <w:p w14:paraId="0B960662" w14:textId="77777777" w:rsidR="00104624" w:rsidRDefault="00104624" w:rsidP="00104624">
      <w:pPr>
        <w:pStyle w:val="a9"/>
        <w:numPr>
          <w:ilvl w:val="0"/>
          <w:numId w:val="1"/>
        </w:numPr>
        <w:spacing w:after="120" w:line="360" w:lineRule="auto"/>
        <w:jc w:val="both"/>
      </w:pPr>
      <w:r>
        <w:rPr>
          <w:rtl/>
        </w:rPr>
        <w:t xml:space="preserve">בדיון שהתקיים במעמד הצדדים חזרו הצדדים על טענותיהם </w:t>
      </w:r>
      <w:r>
        <w:rPr>
          <w:rFonts w:hint="cs"/>
          <w:rtl/>
        </w:rPr>
        <w:t xml:space="preserve">ובסופו של דבר הוריתי על הפקעת צו המבחן לאחר ששירות המבחן הגיש תסקיר משלים ולא המליץ המלצה כלשהי. </w:t>
      </w:r>
    </w:p>
    <w:p w14:paraId="157F9C9F" w14:textId="77777777" w:rsidR="00104624" w:rsidRDefault="00104624" w:rsidP="00104624">
      <w:pPr>
        <w:pStyle w:val="a9"/>
        <w:rPr>
          <w:rtl/>
        </w:rPr>
      </w:pPr>
    </w:p>
    <w:p w14:paraId="5BA82A05" w14:textId="77777777" w:rsidR="00104624" w:rsidRDefault="00104624" w:rsidP="00104624">
      <w:pPr>
        <w:pStyle w:val="a9"/>
        <w:numPr>
          <w:ilvl w:val="0"/>
          <w:numId w:val="1"/>
        </w:numPr>
        <w:spacing w:after="120" w:line="360" w:lineRule="auto"/>
        <w:jc w:val="both"/>
      </w:pPr>
      <w:r>
        <w:rPr>
          <w:rFonts w:hint="cs"/>
          <w:rtl/>
        </w:rPr>
        <w:t xml:space="preserve">טרם מתן גזר הדין הופנה הנאשם לקבלת חוות דעת של הממונה על עבודות השירות. לתיק בית המשפט הוגשה חוות דעת ממנה ניתן ללמוד שהנאשם אינו כשיר לביצוע עבודות שירות ונרשם על ידי הממונה כי מדובר ב"אי כשירות טוטאלית". </w:t>
      </w:r>
    </w:p>
    <w:p w14:paraId="5D60ECBD" w14:textId="77777777" w:rsidR="00104624" w:rsidRDefault="00104624" w:rsidP="00104624">
      <w:pPr>
        <w:pStyle w:val="a9"/>
        <w:spacing w:after="120" w:line="360" w:lineRule="auto"/>
        <w:jc w:val="both"/>
      </w:pPr>
    </w:p>
    <w:p w14:paraId="6A66F037" w14:textId="77777777" w:rsidR="00104624" w:rsidRDefault="00104624" w:rsidP="00104624">
      <w:pPr>
        <w:pStyle w:val="a9"/>
        <w:spacing w:line="360" w:lineRule="auto"/>
        <w:jc w:val="both"/>
        <w:rPr>
          <w:rFonts w:ascii="David" w:hAnsi="David"/>
          <w:b/>
          <w:bCs/>
          <w:u w:val="single"/>
        </w:rPr>
      </w:pPr>
      <w:r>
        <w:rPr>
          <w:rFonts w:ascii="David" w:hAnsi="David"/>
          <w:b/>
          <w:bCs/>
          <w:u w:val="single"/>
          <w:rtl/>
        </w:rPr>
        <w:t>דיון והכרעה</w:t>
      </w:r>
    </w:p>
    <w:p w14:paraId="0A1A5ADB" w14:textId="77777777" w:rsidR="00104624" w:rsidRPr="001F3C12" w:rsidRDefault="0038638B" w:rsidP="00104624">
      <w:pPr>
        <w:pStyle w:val="a9"/>
        <w:numPr>
          <w:ilvl w:val="0"/>
          <w:numId w:val="1"/>
        </w:numPr>
        <w:spacing w:line="360" w:lineRule="auto"/>
        <w:jc w:val="both"/>
        <w:rPr>
          <w:rFonts w:ascii="David" w:hAnsi="David"/>
          <w:rtl/>
        </w:rPr>
      </w:pPr>
      <w:hyperlink r:id="rId22" w:history="1">
        <w:r w:rsidRPr="0038638B">
          <w:rPr>
            <w:rStyle w:val="Hyperlink"/>
            <w:rFonts w:ascii="David" w:hAnsi="David"/>
            <w:rtl/>
          </w:rPr>
          <w:t>סעיף 20(4)</w:t>
        </w:r>
      </w:hyperlink>
      <w:r w:rsidR="00104624" w:rsidRPr="001F3C12">
        <w:rPr>
          <w:rFonts w:ascii="David" w:hAnsi="David"/>
          <w:rtl/>
        </w:rPr>
        <w:t xml:space="preserve"> ל</w:t>
      </w:r>
      <w:hyperlink r:id="rId23" w:history="1">
        <w:r w:rsidR="001C0A3C" w:rsidRPr="001C0A3C">
          <w:rPr>
            <w:rFonts w:ascii="David" w:hAnsi="David" w:cs="Times New Roman"/>
            <w:color w:val="0000FF"/>
            <w:u w:val="single"/>
            <w:rtl/>
          </w:rPr>
          <w:t>פקודת המבחן</w:t>
        </w:r>
      </w:hyperlink>
      <w:r w:rsidR="00104624" w:rsidRPr="001F3C12">
        <w:rPr>
          <w:rFonts w:ascii="David" w:hAnsi="David"/>
          <w:rtl/>
        </w:rPr>
        <w:t xml:space="preserve"> [נוסח חדש], תשכ"ט- 1969 קובע: </w:t>
      </w:r>
    </w:p>
    <w:p w14:paraId="301C341D" w14:textId="77777777" w:rsidR="00104624" w:rsidRDefault="00104624" w:rsidP="00104624">
      <w:pPr>
        <w:pStyle w:val="a9"/>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1021" w:right="1134"/>
        <w:jc w:val="both"/>
        <w:rPr>
          <w:rFonts w:ascii="Miriam" w:hAnsi="Miriam" w:cs="Miriam"/>
          <w:rtl/>
          <w:lang w:eastAsia="he-IL"/>
        </w:rPr>
      </w:pPr>
      <w:r>
        <w:rPr>
          <w:rFonts w:ascii="Miriam" w:hAnsi="Miriam" w:cs="Miriam"/>
          <w:rtl/>
          <w:lang w:eastAsia="he-IL"/>
        </w:rPr>
        <w:t xml:space="preserve">"הוכח להנחת דעתו של בית המשפט שנתן את צו המבחן, שהנבחן לא </w:t>
      </w:r>
      <w:r>
        <w:rPr>
          <w:rFonts w:ascii="Miriam" w:hAnsi="Miriam" w:cs="Miriam"/>
          <w:rtl/>
          <w:lang w:eastAsia="he-IL"/>
        </w:rPr>
        <w:lastRenderedPageBreak/>
        <w:t>מילא אחרי   הוראה מהוראותיו של צו המבחן, רשאי בית המשפט, בהתחשב, בין היתר, בתקופה שחלפה מיום העמדתו של הנידון במבחן, בדרך שבה עמד במבחן באותה תקופה ובנסיבות אי מילוי הוראות צו המבחן לעשות אחד מאלה:</w:t>
      </w:r>
    </w:p>
    <w:p w14:paraId="45080AFC" w14:textId="77777777" w:rsidR="00104624" w:rsidRDefault="00104624" w:rsidP="00104624">
      <w:pPr>
        <w:pStyle w:val="a9"/>
        <w:widowControl w:val="0"/>
        <w:tabs>
          <w:tab w:val="left" w:pos="1021"/>
          <w:tab w:val="left" w:pos="1474"/>
          <w:tab w:val="left" w:pos="1928"/>
          <w:tab w:val="left" w:pos="2381"/>
          <w:tab w:val="left" w:pos="2835"/>
          <w:tab w:val="right" w:leader="dot" w:pos="6259"/>
        </w:tabs>
        <w:suppressAutoHyphens/>
        <w:autoSpaceDE w:val="0"/>
        <w:autoSpaceDN w:val="0"/>
        <w:spacing w:before="72" w:line="360" w:lineRule="auto"/>
        <w:ind w:left="714" w:right="1134"/>
        <w:jc w:val="both"/>
        <w:rPr>
          <w:rFonts w:ascii="Miriam" w:hAnsi="Miriam" w:cs="Miriam"/>
          <w:lang w:eastAsia="he-IL"/>
        </w:rPr>
      </w:pPr>
      <w:r>
        <w:rPr>
          <w:rFonts w:ascii="Miriam" w:hAnsi="Miriam" w:cs="Miriam"/>
          <w:rtl/>
          <w:lang w:eastAsia="he-IL"/>
        </w:rPr>
        <w:tab/>
        <w:t>...</w:t>
      </w:r>
    </w:p>
    <w:p w14:paraId="609A4634" w14:textId="77777777" w:rsidR="00104624" w:rsidRDefault="00104624" w:rsidP="00104624">
      <w:pPr>
        <w:widowControl w:val="0"/>
        <w:tabs>
          <w:tab w:val="left" w:pos="1021"/>
          <w:tab w:val="left" w:pos="1474"/>
          <w:tab w:val="left" w:pos="1928"/>
          <w:tab w:val="left" w:pos="2381"/>
          <w:tab w:val="left" w:pos="2835"/>
          <w:tab w:val="right" w:leader="dot" w:pos="6259"/>
        </w:tabs>
        <w:suppressAutoHyphens/>
        <w:autoSpaceDE w:val="0"/>
        <w:autoSpaceDN w:val="0"/>
        <w:spacing w:before="72" w:line="360" w:lineRule="auto"/>
        <w:ind w:left="1021" w:right="1134" w:hanging="301"/>
        <w:jc w:val="both"/>
        <w:rPr>
          <w:rFonts w:ascii="Miriam" w:hAnsi="Miriam" w:cs="Miriam"/>
          <w:lang w:eastAsia="he-IL"/>
        </w:rPr>
      </w:pPr>
      <w:r>
        <w:rPr>
          <w:rFonts w:ascii="Miriam" w:hAnsi="Miriam" w:cs="Miriam"/>
          <w:rtl/>
          <w:lang w:eastAsia="he-IL"/>
        </w:rPr>
        <w:tab/>
        <w:t>(4)</w:t>
      </w:r>
      <w:r>
        <w:rPr>
          <w:rFonts w:ascii="Miriam" w:hAnsi="Miriam" w:cs="Miriam"/>
          <w:rtl/>
          <w:lang w:eastAsia="he-IL"/>
        </w:rPr>
        <w:tab/>
        <w:t>אם ניתן צו המבחן לאחר הרשעה לפי סעיף 1(1)(ב) – להטיל עליו</w:t>
      </w:r>
      <w:r>
        <w:rPr>
          <w:rFonts w:hint="cs"/>
          <w:b/>
          <w:bCs/>
          <w:rtl/>
          <w:lang w:eastAsia="he-IL"/>
        </w:rPr>
        <w:t xml:space="preserve"> </w:t>
      </w:r>
      <w:r>
        <w:rPr>
          <w:rFonts w:ascii="Miriam" w:hAnsi="Miriam" w:cs="Miriam"/>
          <w:rtl/>
          <w:lang w:eastAsia="he-IL"/>
        </w:rPr>
        <w:t>עונש נוסף על העבירה המקורית במקום צו המבחן, בהתחשב בכל עונש אחר שהוטל עליו על העבירה המקורית".</w:t>
      </w:r>
    </w:p>
    <w:p w14:paraId="19841EDF" w14:textId="77777777" w:rsidR="00104624" w:rsidRDefault="00104624" w:rsidP="00104624">
      <w:pPr>
        <w:pStyle w:val="a9"/>
        <w:spacing w:line="360" w:lineRule="auto"/>
        <w:ind w:left="714"/>
        <w:jc w:val="both"/>
        <w:rPr>
          <w:rFonts w:ascii="David" w:hAnsi="David"/>
          <w:rtl/>
        </w:rPr>
      </w:pPr>
    </w:p>
    <w:p w14:paraId="7CA10CA7" w14:textId="77777777" w:rsidR="00104624" w:rsidRPr="001F3C12" w:rsidRDefault="0038638B" w:rsidP="00104624">
      <w:pPr>
        <w:pStyle w:val="a9"/>
        <w:spacing w:line="360" w:lineRule="auto"/>
        <w:ind w:left="714"/>
        <w:jc w:val="both"/>
        <w:rPr>
          <w:rFonts w:ascii="David" w:hAnsi="David"/>
          <w:rtl/>
        </w:rPr>
      </w:pPr>
      <w:hyperlink r:id="rId24" w:history="1">
        <w:r w:rsidRPr="0038638B">
          <w:rPr>
            <w:rStyle w:val="Hyperlink"/>
            <w:rFonts w:ascii="David" w:hAnsi="David"/>
            <w:rtl/>
          </w:rPr>
          <w:t>סעיף 71ד(3)</w:t>
        </w:r>
      </w:hyperlink>
      <w:r w:rsidR="00104624" w:rsidRPr="001F3C12">
        <w:rPr>
          <w:rFonts w:ascii="David" w:hAnsi="David"/>
          <w:rtl/>
        </w:rPr>
        <w:t xml:space="preserve"> ל</w:t>
      </w:r>
      <w:hyperlink r:id="rId25" w:history="1">
        <w:r w:rsidR="001C0A3C" w:rsidRPr="001C0A3C">
          <w:rPr>
            <w:rFonts w:ascii="David" w:hAnsi="David" w:cs="Times New Roman"/>
            <w:color w:val="0000FF"/>
            <w:u w:val="single"/>
            <w:rtl/>
          </w:rPr>
          <w:t>חוק העונשין</w:t>
        </w:r>
      </w:hyperlink>
      <w:r w:rsidR="00104624" w:rsidRPr="001F3C12">
        <w:rPr>
          <w:rFonts w:ascii="David" w:hAnsi="David"/>
          <w:rtl/>
        </w:rPr>
        <w:t xml:space="preserve"> קובע:</w:t>
      </w:r>
    </w:p>
    <w:p w14:paraId="496F52FC" w14:textId="77777777" w:rsidR="00104624" w:rsidRDefault="00104624" w:rsidP="00104624">
      <w:pPr>
        <w:pStyle w:val="a9"/>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1021" w:right="1134"/>
        <w:jc w:val="both"/>
        <w:rPr>
          <w:rFonts w:ascii="Miriam" w:hAnsi="Miriam" w:cs="Miriam"/>
          <w:rtl/>
          <w:lang w:eastAsia="he-IL"/>
        </w:rPr>
      </w:pPr>
      <w:r>
        <w:rPr>
          <w:rFonts w:ascii="Miriam" w:hAnsi="Miriam" w:cs="Miriam"/>
          <w:rtl/>
          <w:lang w:eastAsia="he-IL"/>
        </w:rPr>
        <w:t>"הוכח להנחת דעתו של בית המשפט שנתן את צו השירות שהנידון לא מילא אחר צו השירות, רשאי הוא –</w:t>
      </w:r>
    </w:p>
    <w:p w14:paraId="4ECF722D" w14:textId="77777777" w:rsidR="00104624" w:rsidRDefault="00104624" w:rsidP="00104624">
      <w:pPr>
        <w:pStyle w:val="a9"/>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714" w:right="1134"/>
        <w:jc w:val="both"/>
        <w:rPr>
          <w:rFonts w:ascii="Miriam" w:hAnsi="Miriam" w:cs="Miriam"/>
          <w:rtl/>
          <w:lang w:eastAsia="he-IL"/>
        </w:rPr>
      </w:pPr>
      <w:r>
        <w:rPr>
          <w:rFonts w:ascii="Miriam" w:hAnsi="Miriam" w:cs="Miriam"/>
          <w:rtl/>
          <w:lang w:eastAsia="he-IL"/>
        </w:rPr>
        <w:tab/>
        <w:t>...</w:t>
      </w:r>
    </w:p>
    <w:p w14:paraId="075C0004" w14:textId="77777777" w:rsidR="00104624" w:rsidRDefault="00104624" w:rsidP="00104624">
      <w:pPr>
        <w:pStyle w:val="a9"/>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1021" w:right="1134" w:hanging="307"/>
        <w:jc w:val="both"/>
        <w:rPr>
          <w:rFonts w:ascii="Miriam" w:hAnsi="Miriam" w:cs="Miriam"/>
          <w:rtl/>
          <w:lang w:eastAsia="he-IL"/>
        </w:rPr>
      </w:pPr>
      <w:r>
        <w:rPr>
          <w:rFonts w:ascii="Miriam" w:hAnsi="Miriam" w:cs="Miriam"/>
          <w:rtl/>
          <w:lang w:eastAsia="he-IL"/>
        </w:rPr>
        <w:tab/>
        <w:t>(3)</w:t>
      </w:r>
      <w:r>
        <w:rPr>
          <w:rFonts w:ascii="Miriam" w:hAnsi="Miriam" w:cs="Miriam"/>
          <w:rtl/>
          <w:lang w:eastAsia="he-IL"/>
        </w:rPr>
        <w:tab/>
        <w:t xml:space="preserve">אם ניתן צו השירות לאחר הרשעה נוסף על עונש אחר – לבטל את צו השירות ולהטיל עליו עונש נוסף על העבירה המקורית במקום צו השירות, בהתחשב, בין השאר, בכל עונש שהוטל עליו על העבירה המקורית". </w:t>
      </w:r>
    </w:p>
    <w:p w14:paraId="6F7960DB" w14:textId="77777777" w:rsidR="00104624" w:rsidRDefault="00104624" w:rsidP="00104624">
      <w:pPr>
        <w:pStyle w:val="a9"/>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1021" w:right="1134" w:hanging="307"/>
        <w:jc w:val="both"/>
        <w:rPr>
          <w:rFonts w:ascii="Miriam" w:hAnsi="Miriam" w:cs="Miriam"/>
          <w:rtl/>
          <w:lang w:eastAsia="he-IL"/>
        </w:rPr>
      </w:pPr>
    </w:p>
    <w:p w14:paraId="1E85B5BC" w14:textId="77777777" w:rsidR="00104624" w:rsidRPr="003731C0" w:rsidRDefault="00104624" w:rsidP="00104624">
      <w:pPr>
        <w:pStyle w:val="a9"/>
        <w:numPr>
          <w:ilvl w:val="0"/>
          <w:numId w:val="1"/>
        </w:numPr>
        <w:spacing w:line="360" w:lineRule="auto"/>
        <w:jc w:val="both"/>
        <w:rPr>
          <w:rFonts w:ascii="David" w:hAnsi="David"/>
        </w:rPr>
      </w:pPr>
      <w:r>
        <w:rPr>
          <w:rFonts w:ascii="David" w:hAnsi="David" w:hint="cs"/>
          <w:rtl/>
        </w:rPr>
        <w:t xml:space="preserve">הצדדים טענו לעונש </w:t>
      </w:r>
      <w:r>
        <w:rPr>
          <w:rFonts w:ascii="David" w:hAnsi="David"/>
          <w:rtl/>
        </w:rPr>
        <w:t xml:space="preserve">הצדדים אינם חולקים על כך שהנאשם לא השלים ולא ביצע את צו המבחן . </w:t>
      </w:r>
      <w:r>
        <w:rPr>
          <w:rFonts w:ascii="David" w:hAnsi="David" w:hint="cs"/>
          <w:rtl/>
        </w:rPr>
        <w:t xml:space="preserve">ב"כ המאשימה הפנה למתחם הענישה אותו קבע בית המשפט ועתר לעונש מאסר של 8 חודשי מאסר בדרך של עבודות שירות והפנה לפסיקה רלוונטית במקרים דומים. </w:t>
      </w:r>
      <w:r w:rsidRPr="003731C0">
        <w:rPr>
          <w:rFonts w:ascii="David" w:hAnsi="David"/>
          <w:rtl/>
        </w:rPr>
        <w:t xml:space="preserve">היום בדיון </w:t>
      </w:r>
      <w:r>
        <w:rPr>
          <w:rFonts w:ascii="David" w:hAnsi="David" w:hint="cs"/>
          <w:rtl/>
        </w:rPr>
        <w:t xml:space="preserve">עתרה המאשימה לשישה חודשי מאסר בפועל לאור העובדה שהנאשם נמצא לא כשיר לעבודות שירות והוראת השעה לעניין משך תקופת עבודות שירות אשר פקעה. </w:t>
      </w:r>
    </w:p>
    <w:p w14:paraId="0A99B0A9" w14:textId="77777777" w:rsidR="00104624" w:rsidRDefault="00104624" w:rsidP="00104624">
      <w:pPr>
        <w:pStyle w:val="a9"/>
        <w:spacing w:line="360" w:lineRule="auto"/>
        <w:jc w:val="both"/>
        <w:rPr>
          <w:rFonts w:ascii="Miriam" w:hAnsi="Miriam" w:cs="Miriam"/>
          <w:b/>
          <w:bCs/>
        </w:rPr>
      </w:pPr>
    </w:p>
    <w:p w14:paraId="451B022F" w14:textId="77777777" w:rsidR="00104624" w:rsidRPr="007D61ED" w:rsidRDefault="00104624" w:rsidP="00104624">
      <w:pPr>
        <w:pStyle w:val="a9"/>
        <w:numPr>
          <w:ilvl w:val="0"/>
          <w:numId w:val="1"/>
        </w:numPr>
        <w:spacing w:line="360" w:lineRule="auto"/>
        <w:jc w:val="both"/>
        <w:rPr>
          <w:rFonts w:ascii="David" w:hAnsi="David"/>
        </w:rPr>
      </w:pPr>
      <w:r w:rsidRPr="007D61ED">
        <w:rPr>
          <w:rFonts w:ascii="David" w:hAnsi="David"/>
          <w:rtl/>
        </w:rPr>
        <w:t xml:space="preserve">הסנגור הדגיש כי </w:t>
      </w:r>
      <w:r>
        <w:rPr>
          <w:rFonts w:ascii="David" w:hAnsi="David" w:hint="cs"/>
          <w:rtl/>
        </w:rPr>
        <w:t xml:space="preserve">לטעמו לנאשם אין הרשעות קודמות וכי לא נערכו חיפושים אחר הנאשם וניתן היה לאתרו בנקל. עוד הוסיף ב"כ הנאשם יכול להראות כי השתקם על אף עליות ומורדות בהתנהלותו אל מול שירות המבחן. כמו כן הגיש ב"כ הנאשם מסמכים באשר למצבו הרפואי של הנאשם וכי הנאשם קיבל רישיון לשימוש בקנביס (נ/4). הנאשם כך נטען עושה כל שניתן על מנת לתפקד באורח נורמטיבי ולקיים את בנו. לפיכך, עתר הסנגור לעונש  מאסר על תנאי בצירוף ענישה נלווית. </w:t>
      </w:r>
    </w:p>
    <w:p w14:paraId="382FA728" w14:textId="77777777" w:rsidR="00104624" w:rsidRPr="007D61ED" w:rsidRDefault="00104624" w:rsidP="00104624">
      <w:pPr>
        <w:pStyle w:val="a9"/>
        <w:spacing w:line="360" w:lineRule="auto"/>
        <w:jc w:val="both"/>
        <w:rPr>
          <w:rFonts w:ascii="David" w:hAnsi="David"/>
        </w:rPr>
      </w:pPr>
    </w:p>
    <w:p w14:paraId="172C7A75" w14:textId="77777777" w:rsidR="00104624" w:rsidRPr="00766FC5" w:rsidRDefault="00104624" w:rsidP="00104624">
      <w:pPr>
        <w:pStyle w:val="a9"/>
        <w:numPr>
          <w:ilvl w:val="0"/>
          <w:numId w:val="1"/>
        </w:numPr>
        <w:spacing w:line="360" w:lineRule="auto"/>
        <w:jc w:val="both"/>
        <w:rPr>
          <w:rFonts w:ascii="Miriam" w:hAnsi="Miriam" w:cs="Miriam"/>
        </w:rPr>
      </w:pPr>
      <w:r>
        <w:rPr>
          <w:rFonts w:ascii="David" w:hAnsi="David"/>
          <w:rtl/>
        </w:rPr>
        <w:t xml:space="preserve">בית המשפט אפשר לנאשם לשוב ולבצע את צו המבחן בהתאם להנחיות שירות המבחן אך הנאשם לא עמד </w:t>
      </w:r>
      <w:r w:rsidRPr="00766FC5">
        <w:rPr>
          <w:rFonts w:ascii="David" w:hAnsi="David"/>
          <w:rtl/>
        </w:rPr>
        <w:t>בהזדמנו</w:t>
      </w:r>
      <w:r w:rsidRPr="00766FC5">
        <w:rPr>
          <w:rFonts w:ascii="David" w:hAnsi="David" w:hint="cs"/>
          <w:rtl/>
        </w:rPr>
        <w:t xml:space="preserve">ת שניתנה לו וסירב להשתלב להליך טיפולי במסגרת שירות המבחן. </w:t>
      </w:r>
    </w:p>
    <w:p w14:paraId="20629493" w14:textId="77777777" w:rsidR="00104624" w:rsidRPr="00766FC5" w:rsidRDefault="00104624" w:rsidP="00104624">
      <w:pPr>
        <w:pStyle w:val="a9"/>
        <w:rPr>
          <w:rFonts w:ascii="David" w:hAnsi="David"/>
          <w:rtl/>
        </w:rPr>
      </w:pPr>
    </w:p>
    <w:p w14:paraId="00EA9C7B" w14:textId="77777777" w:rsidR="00104624" w:rsidRPr="00766FC5" w:rsidRDefault="00104624" w:rsidP="00104624">
      <w:pPr>
        <w:pStyle w:val="a9"/>
        <w:numPr>
          <w:ilvl w:val="0"/>
          <w:numId w:val="1"/>
        </w:numPr>
        <w:spacing w:line="360" w:lineRule="auto"/>
        <w:jc w:val="both"/>
        <w:rPr>
          <w:rFonts w:ascii="Miriam" w:hAnsi="Miriam" w:cs="Miriam"/>
          <w:b/>
          <w:bCs/>
        </w:rPr>
      </w:pPr>
      <w:r w:rsidRPr="00766FC5">
        <w:rPr>
          <w:rFonts w:ascii="David" w:hAnsi="David"/>
          <w:rtl/>
        </w:rPr>
        <w:t>יצויין כי מהתסקיר שהוגש ביום 8.3.21</w:t>
      </w:r>
      <w:r>
        <w:rPr>
          <w:rFonts w:ascii="Miriam" w:hAnsi="Miriam" w:cs="Miriam" w:hint="cs"/>
          <w:b/>
          <w:bCs/>
          <w:rtl/>
        </w:rPr>
        <w:t xml:space="preserve"> </w:t>
      </w:r>
      <w:r>
        <w:rPr>
          <w:rFonts w:ascii="David" w:hAnsi="David" w:hint="cs"/>
          <w:rtl/>
        </w:rPr>
        <w:t xml:space="preserve">כתב שירות המבחן בתסקיר כי בדיווח מהמסגרת מתאריך 22.2.21 נמסר כי חל שינוי במצבו הטיפולי של הנאשם בעקבות חזרתו לשימוש במדבקות "פנטיל" לטיפול בכאבים וזאת על אף שהתחייב להימנע משימוש בחומר זה במקביל לטיפול התרופתי שמקבל במסגרת. עוד צוין כי הנאשם נצפה מנסה לזייף בדיקות שתן ואף הוזהר על ידי הצוות הטיפולי אולם בתאריך 14.2.21 נתפס שוב מנסה לזייף בדיקות שתן ולאחר מכן עזב ולא שב לקבלת טיפול. </w:t>
      </w:r>
      <w:r w:rsidRPr="00766FC5">
        <w:rPr>
          <w:rFonts w:ascii="Miriam" w:hAnsi="Miriam" w:cs="Miriam"/>
          <w:b/>
          <w:bCs/>
          <w:rtl/>
        </w:rPr>
        <w:t xml:space="preserve"> </w:t>
      </w:r>
    </w:p>
    <w:p w14:paraId="4381BC54" w14:textId="77777777" w:rsidR="00104624" w:rsidRDefault="00104624" w:rsidP="00104624">
      <w:pPr>
        <w:pStyle w:val="a9"/>
        <w:spacing w:line="360" w:lineRule="auto"/>
        <w:jc w:val="both"/>
        <w:rPr>
          <w:rFonts w:ascii="Miriam" w:hAnsi="Miriam" w:cs="Miriam"/>
          <w:b/>
          <w:bCs/>
          <w:rtl/>
        </w:rPr>
      </w:pPr>
    </w:p>
    <w:p w14:paraId="6322AB58" w14:textId="77777777" w:rsidR="00104624" w:rsidRDefault="00104624" w:rsidP="00104624">
      <w:pPr>
        <w:pStyle w:val="a9"/>
        <w:spacing w:line="360" w:lineRule="auto"/>
        <w:jc w:val="both"/>
        <w:rPr>
          <w:b/>
          <w:bCs/>
          <w:u w:val="single"/>
          <w:rtl/>
        </w:rPr>
      </w:pPr>
      <w:r>
        <w:rPr>
          <w:b/>
          <w:bCs/>
          <w:u w:val="single"/>
          <w:rtl/>
        </w:rPr>
        <w:t xml:space="preserve">גזירת עונשו של הנאשם לאחר הפקעת צו המבחן </w:t>
      </w:r>
    </w:p>
    <w:p w14:paraId="4414498D" w14:textId="77777777" w:rsidR="00104624" w:rsidRDefault="00104624" w:rsidP="00104624">
      <w:pPr>
        <w:pStyle w:val="a9"/>
        <w:numPr>
          <w:ilvl w:val="0"/>
          <w:numId w:val="1"/>
        </w:numPr>
        <w:spacing w:after="160" w:line="360" w:lineRule="auto"/>
        <w:jc w:val="both"/>
        <w:rPr>
          <w:rtl/>
        </w:rPr>
      </w:pPr>
      <w:r>
        <w:rPr>
          <w:rtl/>
        </w:rPr>
        <w:t xml:space="preserve">הערכים החברתיים ידועים ופורטו באריכות בגזר הדין כמו כן נסיבות ביצוע העבירות. </w:t>
      </w:r>
    </w:p>
    <w:p w14:paraId="5956865B" w14:textId="77777777" w:rsidR="00104624" w:rsidRDefault="00104624" w:rsidP="00104624">
      <w:pPr>
        <w:pStyle w:val="a9"/>
        <w:spacing w:after="160" w:line="360" w:lineRule="auto"/>
        <w:jc w:val="both"/>
      </w:pPr>
    </w:p>
    <w:p w14:paraId="676D2C9E" w14:textId="77777777" w:rsidR="00104624" w:rsidRDefault="00104624" w:rsidP="00104624">
      <w:pPr>
        <w:pStyle w:val="a9"/>
        <w:numPr>
          <w:ilvl w:val="0"/>
          <w:numId w:val="1"/>
        </w:numPr>
        <w:spacing w:after="120" w:line="360" w:lineRule="auto"/>
        <w:jc w:val="both"/>
        <w:rPr>
          <w:rtl/>
        </w:rPr>
      </w:pPr>
      <w:r>
        <w:rPr>
          <w:rtl/>
        </w:rPr>
        <w:t xml:space="preserve">כאמור, קבעתי כי מתחם העונש ההולם את נסיבות העבירות שעבר הנאשם נע בין </w:t>
      </w:r>
      <w:r>
        <w:rPr>
          <w:rFonts w:hint="cs"/>
          <w:rtl/>
        </w:rPr>
        <w:t xml:space="preserve">6 </w:t>
      </w:r>
      <w:r>
        <w:rPr>
          <w:rtl/>
        </w:rPr>
        <w:t xml:space="preserve"> חודשי מאסר לבין עונש של 20 חודשי מאסר והעונש שהושת על הנאשם הוא ע</w:t>
      </w:r>
      <w:r>
        <w:rPr>
          <w:rFonts w:hint="cs"/>
          <w:rtl/>
        </w:rPr>
        <w:t xml:space="preserve">ונש הצופה פני עתיד. </w:t>
      </w:r>
      <w:r>
        <w:rPr>
          <w:rtl/>
        </w:rPr>
        <w:t xml:space="preserve">    </w:t>
      </w:r>
    </w:p>
    <w:p w14:paraId="6255A840" w14:textId="77777777" w:rsidR="00104624" w:rsidRDefault="00104624" w:rsidP="00104624">
      <w:pPr>
        <w:pStyle w:val="a9"/>
        <w:spacing w:after="120" w:line="360" w:lineRule="auto"/>
        <w:jc w:val="both"/>
        <w:rPr>
          <w:b/>
          <w:bCs/>
          <w:u w:val="single"/>
        </w:rPr>
      </w:pPr>
    </w:p>
    <w:p w14:paraId="0B248CF3" w14:textId="77777777" w:rsidR="00104624" w:rsidRDefault="00104624" w:rsidP="00104624">
      <w:pPr>
        <w:pStyle w:val="a9"/>
        <w:numPr>
          <w:ilvl w:val="0"/>
          <w:numId w:val="1"/>
        </w:numPr>
        <w:spacing w:line="360" w:lineRule="auto"/>
        <w:jc w:val="both"/>
      </w:pPr>
      <w:r>
        <w:rPr>
          <w:rtl/>
        </w:rPr>
        <w:t>ההליך הטיפולי שעבר הנאשם קיבל משקל משמעותי במסגרת גזר דינו הקודם של הנאשם והביא לכך שעונשו של הנאשם חרג מהמתחם ונשאלת השאלה האם יש ליתן בכך משקל במסגרת ההליך הנוכחי</w:t>
      </w:r>
      <w:r>
        <w:rPr>
          <w:rFonts w:hint="cs"/>
          <w:rtl/>
        </w:rPr>
        <w:t xml:space="preserve">. </w:t>
      </w:r>
    </w:p>
    <w:p w14:paraId="143FF6C2" w14:textId="77777777" w:rsidR="00104624" w:rsidRDefault="00104624" w:rsidP="00104624">
      <w:pPr>
        <w:pStyle w:val="a9"/>
      </w:pPr>
    </w:p>
    <w:p w14:paraId="74EA37F5" w14:textId="77777777" w:rsidR="00104624" w:rsidRDefault="00104624" w:rsidP="00104624">
      <w:pPr>
        <w:pStyle w:val="a9"/>
        <w:numPr>
          <w:ilvl w:val="0"/>
          <w:numId w:val="1"/>
        </w:numPr>
        <w:spacing w:line="360" w:lineRule="auto"/>
        <w:jc w:val="both"/>
      </w:pPr>
      <w:r>
        <w:rPr>
          <w:rtl/>
        </w:rPr>
        <w:t xml:space="preserve">בגזירת עונש נוסף לאחר הפקעת צו מבחן על בית משפט נוסף על כל השיקולים, להתחשב במשך הזמן שחלף ממועד מתן צו המבחן וכן בעונשים האחרים שהוטלו עליו. במקרה הנדון </w:t>
      </w:r>
      <w:r>
        <w:rPr>
          <w:rFonts w:hint="cs"/>
          <w:rtl/>
        </w:rPr>
        <w:t xml:space="preserve">אמנם </w:t>
      </w:r>
      <w:r>
        <w:rPr>
          <w:rtl/>
        </w:rPr>
        <w:t>חלף זמן ניכר מאז נגזר דינו של הנאשם</w:t>
      </w:r>
      <w:r>
        <w:rPr>
          <w:rFonts w:hint="cs"/>
          <w:rtl/>
        </w:rPr>
        <w:t xml:space="preserve"> אך גם מנגד בית המשפט חרג באופן משמעותי מהמתחם שקבע והנאשם זכה מכך שהושת עליו עונש הצופה פני עתיד. </w:t>
      </w:r>
      <w:r>
        <w:rPr>
          <w:rtl/>
        </w:rPr>
        <w:t xml:space="preserve"> </w:t>
      </w:r>
      <w:r>
        <w:rPr>
          <w:rFonts w:hint="cs"/>
          <w:rtl/>
        </w:rPr>
        <w:t xml:space="preserve">לכך יש לקחת בחשבון את העובדה כי צו המבחן שהוטל על הנאשם היה לתקופה של 24 חודשים וזאת מיום 1.4.19. </w:t>
      </w:r>
    </w:p>
    <w:p w14:paraId="587196C8" w14:textId="77777777" w:rsidR="00104624" w:rsidRDefault="00104624" w:rsidP="00104624">
      <w:pPr>
        <w:pStyle w:val="a9"/>
        <w:spacing w:line="360" w:lineRule="auto"/>
        <w:jc w:val="both"/>
        <w:rPr>
          <w:rtl/>
        </w:rPr>
      </w:pPr>
      <w:r>
        <w:rPr>
          <w:rFonts w:hint="cs"/>
          <w:rtl/>
        </w:rPr>
        <w:t xml:space="preserve">נכון ליום 10.1.21 עדיין הנאשם שיתף פעולה באופן מלא עם גורמי הטיפול כך על פי דיווח של היחידה להתמכרויות וכי השינוי בשיתוף הפעולה חל רק בחודש פברואר 21 לאחר שחזר להשתמש במדבקות "פנטיל" לטיפול בכאבים. דהיינו לתקופה ממושכת של כמעט שנתיים היה הנאשם בשיתוף פעולה מלא ורק בסיום צו המבחן חל שינוי בשיתוף הפעולה. </w:t>
      </w:r>
    </w:p>
    <w:p w14:paraId="18B25C56" w14:textId="77777777" w:rsidR="00104624" w:rsidRDefault="00104624" w:rsidP="00104624">
      <w:pPr>
        <w:spacing w:line="360" w:lineRule="auto"/>
        <w:jc w:val="both"/>
        <w:rPr>
          <w:rtl/>
        </w:rPr>
      </w:pPr>
    </w:p>
    <w:p w14:paraId="0D8D1561" w14:textId="77777777" w:rsidR="00104624" w:rsidRDefault="00104624" w:rsidP="00104624">
      <w:pPr>
        <w:spacing w:line="360" w:lineRule="auto"/>
        <w:ind w:left="720" w:hanging="360"/>
        <w:jc w:val="both"/>
        <w:rPr>
          <w:rFonts w:ascii="Arial" w:hAnsi="Arial"/>
          <w:rtl/>
        </w:rPr>
      </w:pPr>
      <w:r>
        <w:rPr>
          <w:rFonts w:ascii="Arial" w:hAnsi="Arial" w:hint="cs"/>
          <w:rtl/>
        </w:rPr>
        <w:t>14.</w:t>
      </w:r>
      <w:r>
        <w:rPr>
          <w:rFonts w:ascii="Arial" w:hAnsi="Arial" w:hint="cs"/>
          <w:rtl/>
        </w:rPr>
        <w:tab/>
        <w:t xml:space="preserve">לצורך קביעת עונשו החלופי של הנאשם, הבאתי בחשבון כאמור את רכיבי הענישה שהוטלו עליו בגזר הדין המקורי . כמו כן הבאתי בחשבון את עברו הפלילי של הנאשם.  המאשימה עתרה  לעונש של מאסר בדרך של עבודות שירות ואף אני סברתי כי יש מקום לבחון השתת עונש של מאסר בדרך זו אך התקבלה חוות דעת של הממונה על עבודות השירות לפיה הנאשם אינו מתאים לעבודות שירות בשל מצבו הרפואי המורכב. </w:t>
      </w:r>
    </w:p>
    <w:p w14:paraId="7879DE4F" w14:textId="77777777" w:rsidR="00104624" w:rsidRDefault="00104624" w:rsidP="00104624">
      <w:pPr>
        <w:pStyle w:val="a9"/>
        <w:spacing w:line="360" w:lineRule="auto"/>
        <w:jc w:val="both"/>
        <w:rPr>
          <w:rFonts w:ascii="David" w:hAnsi="David"/>
          <w:rtl/>
        </w:rPr>
      </w:pPr>
    </w:p>
    <w:p w14:paraId="7652861D" w14:textId="77777777" w:rsidR="00104624" w:rsidRPr="006458FF" w:rsidRDefault="00104624" w:rsidP="00104624">
      <w:pPr>
        <w:pStyle w:val="a9"/>
        <w:numPr>
          <w:ilvl w:val="0"/>
          <w:numId w:val="2"/>
        </w:numPr>
        <w:spacing w:line="360" w:lineRule="auto"/>
        <w:jc w:val="both"/>
        <w:rPr>
          <w:rFonts w:ascii="David" w:hAnsi="David"/>
        </w:rPr>
      </w:pPr>
      <w:r w:rsidRPr="006458FF">
        <w:rPr>
          <w:rFonts w:ascii="David" w:hAnsi="David"/>
          <w:rtl/>
        </w:rPr>
        <w:t>נשאלת השאלה אם בנסיבות תיק זה יש מקום להטיל עונש של מאסר בפועל של ממש על הנאשם. להבנתי, עונש זה יש בו כדי פגיעה של ממש בנאשם</w:t>
      </w:r>
      <w:r w:rsidRPr="006458FF">
        <w:rPr>
          <w:rFonts w:ascii="David" w:hAnsi="David" w:hint="cs"/>
          <w:rtl/>
        </w:rPr>
        <w:t xml:space="preserve"> במיוחד נוכח מצבו הרפואי. </w:t>
      </w:r>
    </w:p>
    <w:p w14:paraId="56F00BD5" w14:textId="77777777" w:rsidR="00104624" w:rsidRDefault="00104624" w:rsidP="00104624">
      <w:pPr>
        <w:spacing w:line="360" w:lineRule="auto"/>
        <w:ind w:left="-118"/>
        <w:jc w:val="both"/>
        <w:rPr>
          <w:rFonts w:ascii="David" w:hAnsi="David"/>
          <w:rtl/>
        </w:rPr>
      </w:pPr>
    </w:p>
    <w:p w14:paraId="5202C99D" w14:textId="77777777" w:rsidR="00104624" w:rsidRDefault="00104624" w:rsidP="00104624">
      <w:pPr>
        <w:pStyle w:val="a9"/>
        <w:spacing w:line="360" w:lineRule="auto"/>
        <w:jc w:val="both"/>
        <w:rPr>
          <w:rFonts w:ascii="David" w:hAnsi="David"/>
        </w:rPr>
      </w:pPr>
      <w:r>
        <w:rPr>
          <w:rFonts w:ascii="David" w:hAnsi="David"/>
          <w:rtl/>
        </w:rPr>
        <w:t xml:space="preserve">אחד העקרונות במשפט הפלילי היא הענישה האינדיבידואלית וזאת כיוון שאין עסקינן </w:t>
      </w:r>
      <w:r>
        <w:rPr>
          <w:rFonts w:ascii="Miriam" w:hAnsi="Miriam" w:cs="Miriam"/>
          <w:rtl/>
        </w:rPr>
        <w:t>"בשיטת ניקוד, או באריתמטיקה. ענישה היא מלאכת מחשבת – ולא מלאכת מחשב"</w:t>
      </w:r>
      <w:r>
        <w:rPr>
          <w:rFonts w:ascii="David" w:hAnsi="David"/>
          <w:rtl/>
        </w:rPr>
        <w:t xml:space="preserve"> (</w:t>
      </w:r>
      <w:hyperlink r:id="rId26" w:history="1">
        <w:r w:rsidR="001C0A3C" w:rsidRPr="001C0A3C">
          <w:rPr>
            <w:rFonts w:ascii="David" w:hAnsi="David" w:cs="Times New Roman"/>
            <w:color w:val="0000FF"/>
            <w:u w:val="single"/>
            <w:rtl/>
          </w:rPr>
          <w:t>ע"פ 5768/10</w:t>
        </w:r>
      </w:hyperlink>
      <w:r>
        <w:rPr>
          <w:rFonts w:ascii="David" w:hAnsi="David"/>
          <w:rtl/>
        </w:rPr>
        <w:t xml:space="preserve"> </w:t>
      </w:r>
      <w:r>
        <w:rPr>
          <w:rFonts w:ascii="David" w:hAnsi="David" w:hint="cs"/>
          <w:b/>
          <w:bCs/>
          <w:rtl/>
        </w:rPr>
        <w:t>פלוני נ' מדינת ישראל,</w:t>
      </w:r>
      <w:r>
        <w:rPr>
          <w:rFonts w:ascii="David" w:hAnsi="David" w:hint="cs"/>
          <w:rtl/>
        </w:rPr>
        <w:t xml:space="preserve"> </w:t>
      </w:r>
      <w:r>
        <w:rPr>
          <w:sz w:val="22"/>
          <w:rtl/>
        </w:rPr>
        <w:t xml:space="preserve"> </w:t>
      </w:r>
      <w:r>
        <w:rPr>
          <w:rFonts w:ascii="David" w:hAnsi="David"/>
          <w:rtl/>
        </w:rPr>
        <w:t xml:space="preserve">(08.06.2015)) וכל מקרה צריך להיבחן בנסיבותיו. </w:t>
      </w:r>
    </w:p>
    <w:p w14:paraId="4FFD60B4" w14:textId="77777777" w:rsidR="00104624" w:rsidRDefault="00104624" w:rsidP="00104624">
      <w:pPr>
        <w:pStyle w:val="a9"/>
        <w:rPr>
          <w:rFonts w:ascii="David" w:hAnsi="David"/>
        </w:rPr>
      </w:pPr>
    </w:p>
    <w:p w14:paraId="4673BCF8" w14:textId="77777777" w:rsidR="00104624" w:rsidRPr="006458FF" w:rsidRDefault="00104624" w:rsidP="00104624">
      <w:pPr>
        <w:pStyle w:val="a9"/>
        <w:numPr>
          <w:ilvl w:val="0"/>
          <w:numId w:val="2"/>
        </w:numPr>
        <w:spacing w:line="360" w:lineRule="auto"/>
        <w:jc w:val="both"/>
        <w:rPr>
          <w:rFonts w:ascii="David" w:hAnsi="David"/>
          <w:rtl/>
        </w:rPr>
      </w:pPr>
      <w:r w:rsidRPr="006458FF">
        <w:rPr>
          <w:rFonts w:ascii="David" w:hAnsi="David"/>
          <w:rtl/>
        </w:rPr>
        <w:t xml:space="preserve">נתתי דעתי לנסיבותיו האישיות של הנאשם ולפגיעה שעלולה להיגרם לו אם יושת עליו עונש מאסר, </w:t>
      </w:r>
      <w:r w:rsidRPr="006458FF">
        <w:rPr>
          <w:rFonts w:ascii="David" w:hAnsi="David" w:hint="cs"/>
          <w:rtl/>
        </w:rPr>
        <w:t xml:space="preserve">ולנוכח חלוף הזמן מעת ביצוע העבירות והעובדה שלא נפתחו תיקים חדשים. </w:t>
      </w:r>
      <w:r>
        <w:rPr>
          <w:rFonts w:ascii="David" w:hAnsi="David" w:hint="cs"/>
          <w:rtl/>
        </w:rPr>
        <w:t xml:space="preserve">כמו כן כשיקול משמעותי </w:t>
      </w:r>
      <w:r w:rsidRPr="006458FF">
        <w:rPr>
          <w:rFonts w:ascii="David" w:hAnsi="David"/>
          <w:rtl/>
        </w:rPr>
        <w:t xml:space="preserve">נתתי דעתי למצבו הבריאותי המורכב של הנאשם. לאחר שהנאשם המציא מסמכים רפואיים לממונה על עבודות השירות, מצא רופא המערך הרפואי לקבוע כי הנאשם אינו כשיר מבחינה רפואית לביצוע עבודות שירות ומשכך לא ניתן להשמה במסגרת זו. </w:t>
      </w:r>
    </w:p>
    <w:p w14:paraId="61255F4B" w14:textId="77777777" w:rsidR="00104624" w:rsidRDefault="00104624" w:rsidP="00104624">
      <w:pPr>
        <w:pStyle w:val="a9"/>
        <w:rPr>
          <w:rFonts w:ascii="David" w:hAnsi="David"/>
          <w:rtl/>
        </w:rPr>
      </w:pPr>
    </w:p>
    <w:p w14:paraId="71C59AFB" w14:textId="77777777" w:rsidR="00104624" w:rsidRDefault="00104624" w:rsidP="00104624">
      <w:pPr>
        <w:pStyle w:val="1"/>
        <w:spacing w:after="0"/>
        <w:ind w:firstLine="0"/>
        <w:rPr>
          <w:rFonts w:ascii="David" w:hAnsi="David"/>
          <w:sz w:val="24"/>
          <w:szCs w:val="24"/>
        </w:rPr>
      </w:pPr>
      <w:r w:rsidRPr="006458FF">
        <w:rPr>
          <w:rFonts w:ascii="David" w:hAnsi="David" w:cs="David"/>
          <w:sz w:val="24"/>
          <w:szCs w:val="24"/>
          <w:rtl/>
        </w:rPr>
        <w:t>כאשר מניעותו של הנאשם לבצע עבודות שירות נובעת מנסיבות שאינן תלויות בו או ברצונו הטוב, אלא אך בשל מצבו הבריאותי  שאליו הוא נקלע שלא באשמתו אני סבורה כי  לא יהיה זה צודק או הוגן לגזור עליו חלף מאסר בעבודות שירות מאסר לריצוי מאחורי סורג ובריח, בעניין זה אפנה</w:t>
      </w:r>
      <w:r>
        <w:rPr>
          <w:rFonts w:hint="cs"/>
          <w:sz w:val="24"/>
          <w:szCs w:val="24"/>
          <w:rtl/>
        </w:rPr>
        <w:t xml:space="preserve"> ל</w:t>
      </w:r>
      <w:hyperlink r:id="rId27" w:history="1">
        <w:r w:rsidR="001C0A3C" w:rsidRPr="001C0A3C">
          <w:rPr>
            <w:rFonts w:ascii="Times New Roman" w:hAnsi="Times New Roman" w:cs="Times New Roman"/>
            <w:color w:val="0000FF"/>
            <w:sz w:val="24"/>
            <w:szCs w:val="24"/>
            <w:u w:val="single"/>
            <w:rtl/>
          </w:rPr>
          <w:t>רע"פ 1/09</w:t>
        </w:r>
      </w:hyperlink>
      <w:r>
        <w:rPr>
          <w:sz w:val="24"/>
          <w:szCs w:val="24"/>
          <w:rtl/>
        </w:rPr>
        <w:t xml:space="preserve"> </w:t>
      </w:r>
      <w:r>
        <w:rPr>
          <w:rFonts w:hint="cs"/>
          <w:b/>
          <w:bCs/>
          <w:sz w:val="24"/>
          <w:szCs w:val="24"/>
          <w:rtl/>
        </w:rPr>
        <w:t>ג'וג'ו אסרף נ' מדינת ישראל</w:t>
      </w:r>
      <w:r>
        <w:rPr>
          <w:rFonts w:hint="cs"/>
          <w:sz w:val="24"/>
          <w:szCs w:val="24"/>
          <w:rtl/>
        </w:rPr>
        <w:t xml:space="preserve">, </w:t>
      </w:r>
      <w:r>
        <w:rPr>
          <w:rFonts w:hint="cs"/>
          <w:szCs w:val="24"/>
          <w:rtl/>
        </w:rPr>
        <w:t xml:space="preserve"> </w:t>
      </w:r>
      <w:r>
        <w:rPr>
          <w:rFonts w:hint="cs"/>
          <w:sz w:val="24"/>
          <w:szCs w:val="24"/>
          <w:rtl/>
        </w:rPr>
        <w:t>(17.03.2010):</w:t>
      </w:r>
    </w:p>
    <w:p w14:paraId="44D78E1D" w14:textId="77777777" w:rsidR="00104624" w:rsidRDefault="00104624" w:rsidP="00104624">
      <w:pPr>
        <w:pStyle w:val="1"/>
        <w:spacing w:after="0"/>
        <w:ind w:left="-118" w:firstLine="0"/>
        <w:rPr>
          <w:b/>
          <w:bCs/>
          <w:sz w:val="24"/>
          <w:szCs w:val="24"/>
          <w:rtl/>
        </w:rPr>
      </w:pPr>
    </w:p>
    <w:p w14:paraId="1C73BCFD" w14:textId="77777777" w:rsidR="00104624" w:rsidRDefault="00104624" w:rsidP="00104624">
      <w:pPr>
        <w:pStyle w:val="1"/>
        <w:spacing w:after="0"/>
        <w:ind w:firstLine="0"/>
        <w:rPr>
          <w:rFonts w:ascii="Miriam" w:hAnsi="Miriam" w:cs="Miriam"/>
          <w:sz w:val="24"/>
          <w:szCs w:val="24"/>
        </w:rPr>
      </w:pPr>
      <w:r>
        <w:rPr>
          <w:rFonts w:ascii="Miriam" w:hAnsi="Miriam" w:cs="Miriam"/>
          <w:sz w:val="24"/>
          <w:szCs w:val="24"/>
          <w:rtl/>
        </w:rPr>
        <w:t>"נציין כי במובן הערכי אין מצבו של אדם עם מוגבלויות צריך לדעתנו להיות שונה לרעה מזה של כל אדם, לא רק בשל חוק שוויון זכויות לאנשים עם מוגבלויות, תשנ"ח-1998, המדבר (סעיף 2) ב'זכותו להשתתפות שוויונית ופעילה בחברה בכל תחומי החיים', אלא בשל חובת הגינות שאינה טעונה חוק, והיא מעוגנת בערכים אנושיים בסיסיים. הרי לא יתכן, כי אדם עם מוגבלות ייאסר במקום שאחר לא ייאסר".</w:t>
      </w:r>
    </w:p>
    <w:p w14:paraId="1F25F035" w14:textId="77777777" w:rsidR="00104624" w:rsidRDefault="00104624" w:rsidP="00104624">
      <w:pPr>
        <w:pStyle w:val="1"/>
        <w:spacing w:after="0"/>
        <w:ind w:firstLine="0"/>
        <w:rPr>
          <w:rFonts w:ascii="Miriam" w:hAnsi="Miriam" w:cs="Miriam"/>
          <w:sz w:val="24"/>
          <w:szCs w:val="24"/>
          <w:rtl/>
        </w:rPr>
      </w:pPr>
    </w:p>
    <w:p w14:paraId="0D7CE0DF" w14:textId="77777777" w:rsidR="00104624" w:rsidRPr="006458FF" w:rsidRDefault="00104624" w:rsidP="00104624">
      <w:pPr>
        <w:pStyle w:val="1"/>
        <w:spacing w:after="0"/>
        <w:ind w:firstLine="0"/>
        <w:rPr>
          <w:rFonts w:ascii="David" w:hAnsi="David" w:cs="David"/>
          <w:sz w:val="24"/>
          <w:szCs w:val="24"/>
          <w:rtl/>
        </w:rPr>
      </w:pPr>
      <w:r w:rsidRPr="006458FF">
        <w:rPr>
          <w:rFonts w:ascii="David" w:hAnsi="David" w:cs="David"/>
          <w:sz w:val="24"/>
          <w:szCs w:val="24"/>
          <w:rtl/>
        </w:rPr>
        <w:t xml:space="preserve">הדברים מצאו ביטוי בפסיקה ענפה בה דובר בנאשמים אשר בית המשפט מצא תחילה כי העונש הראוי להם הוא מאסר בעבודות שירות, אולם בשל מצבם הבריאותי שבעטיו הם נמצאו כלא כשירים להשמה בעונש זה , בתי משפט בסופו של דבר השיתו עליהם  ענישה מקלה יותר בדמות מאסר מותנה. </w:t>
      </w:r>
    </w:p>
    <w:p w14:paraId="0ACB86A9" w14:textId="77777777" w:rsidR="00104624" w:rsidRPr="006458FF" w:rsidRDefault="00104624" w:rsidP="00104624">
      <w:pPr>
        <w:pStyle w:val="1"/>
        <w:spacing w:after="0"/>
        <w:ind w:left="-118" w:firstLine="0"/>
        <w:rPr>
          <w:rFonts w:ascii="David" w:hAnsi="David" w:cs="David"/>
          <w:sz w:val="24"/>
          <w:szCs w:val="24"/>
        </w:rPr>
      </w:pPr>
    </w:p>
    <w:p w14:paraId="3CF9A4FC" w14:textId="77777777" w:rsidR="00104624" w:rsidRPr="006458FF" w:rsidRDefault="00104624" w:rsidP="00104624">
      <w:pPr>
        <w:pStyle w:val="1"/>
        <w:spacing w:after="0"/>
        <w:ind w:firstLine="0"/>
        <w:rPr>
          <w:rFonts w:ascii="David" w:hAnsi="David" w:cs="David"/>
          <w:sz w:val="24"/>
          <w:szCs w:val="24"/>
        </w:rPr>
      </w:pPr>
      <w:r w:rsidRPr="006458FF">
        <w:rPr>
          <w:rFonts w:ascii="David" w:hAnsi="David" w:cs="David"/>
          <w:sz w:val="24"/>
          <w:szCs w:val="24"/>
          <w:rtl/>
        </w:rPr>
        <w:t xml:space="preserve">לעניין זה אפנה לדוגמאות הבאות: </w:t>
      </w:r>
      <w:hyperlink r:id="rId28" w:history="1">
        <w:r w:rsidR="001C0A3C" w:rsidRPr="001C0A3C">
          <w:rPr>
            <w:rFonts w:ascii="David" w:hAnsi="David" w:cs="David"/>
            <w:color w:val="0000FF"/>
            <w:sz w:val="24"/>
            <w:szCs w:val="24"/>
            <w:u w:val="single"/>
            <w:rtl/>
          </w:rPr>
          <w:t>ע"פ 2383/16</w:t>
        </w:r>
      </w:hyperlink>
      <w:r w:rsidRPr="006458FF">
        <w:rPr>
          <w:rFonts w:ascii="David" w:hAnsi="David" w:cs="David"/>
          <w:sz w:val="24"/>
          <w:szCs w:val="24"/>
          <w:rtl/>
        </w:rPr>
        <w:t xml:space="preserve"> </w:t>
      </w:r>
      <w:r w:rsidRPr="006458FF">
        <w:rPr>
          <w:rFonts w:ascii="David" w:hAnsi="David" w:cs="David"/>
          <w:b/>
          <w:bCs/>
          <w:sz w:val="24"/>
          <w:szCs w:val="24"/>
          <w:rtl/>
        </w:rPr>
        <w:t>קאעוד תמימי חמזה נ' מדינת ישראל</w:t>
      </w:r>
      <w:r w:rsidRPr="006458FF">
        <w:rPr>
          <w:rFonts w:ascii="David" w:hAnsi="David" w:cs="David"/>
          <w:sz w:val="24"/>
          <w:szCs w:val="24"/>
          <w:rtl/>
        </w:rPr>
        <w:t xml:space="preserve">,  (02.01.2017); </w:t>
      </w:r>
      <w:r w:rsidRPr="001C0A3C">
        <w:rPr>
          <w:rFonts w:ascii="David" w:hAnsi="David" w:cs="David"/>
          <w:color w:val="000000"/>
          <w:sz w:val="24"/>
          <w:szCs w:val="24"/>
          <w:rtl/>
        </w:rPr>
        <w:t xml:space="preserve">ע"פ (מחוזי ירושלים) </w:t>
      </w:r>
      <w:hyperlink r:id="rId29" w:history="1">
        <w:r w:rsidR="00A92E36" w:rsidRPr="00A92E36">
          <w:rPr>
            <w:rFonts w:ascii="David" w:hAnsi="David" w:cs="David"/>
            <w:color w:val="0000FF"/>
            <w:sz w:val="24"/>
            <w:szCs w:val="24"/>
            <w:u w:val="single"/>
            <w:rtl/>
          </w:rPr>
          <w:t xml:space="preserve">2208/10‏ </w:t>
        </w:r>
      </w:hyperlink>
      <w:r w:rsidRPr="006458FF">
        <w:rPr>
          <w:rFonts w:ascii="David" w:hAnsi="David" w:cs="David"/>
          <w:sz w:val="24"/>
          <w:szCs w:val="24"/>
          <w:rtl/>
        </w:rPr>
        <w:t xml:space="preserve"> </w:t>
      </w:r>
      <w:r w:rsidRPr="006458FF">
        <w:rPr>
          <w:rFonts w:ascii="David" w:hAnsi="David" w:cs="David"/>
          <w:b/>
          <w:bCs/>
          <w:sz w:val="24"/>
          <w:szCs w:val="24"/>
          <w:rtl/>
        </w:rPr>
        <w:t>יוסף גולדציאן נ' מדינת ישראל</w:t>
      </w:r>
      <w:r w:rsidRPr="006458FF">
        <w:rPr>
          <w:rFonts w:ascii="David" w:hAnsi="David" w:cs="David"/>
          <w:sz w:val="24"/>
          <w:szCs w:val="24"/>
          <w:rtl/>
        </w:rPr>
        <w:t xml:space="preserve">,  (06.05.2010);  </w:t>
      </w:r>
      <w:hyperlink r:id="rId30" w:history="1">
        <w:r w:rsidR="001C0A3C" w:rsidRPr="001C0A3C">
          <w:rPr>
            <w:rFonts w:ascii="David" w:hAnsi="David" w:cs="David"/>
            <w:color w:val="0000FF"/>
            <w:sz w:val="24"/>
            <w:szCs w:val="24"/>
            <w:u w:val="single"/>
            <w:rtl/>
          </w:rPr>
          <w:t>עפ"ג (מחוזי חיפה) 44648-02-15</w:t>
        </w:r>
      </w:hyperlink>
      <w:r w:rsidRPr="006458FF">
        <w:rPr>
          <w:rFonts w:ascii="David" w:hAnsi="David" w:cs="David"/>
          <w:sz w:val="24"/>
          <w:szCs w:val="24"/>
          <w:rtl/>
        </w:rPr>
        <w:t xml:space="preserve">‏ </w:t>
      </w:r>
      <w:r w:rsidRPr="006458FF">
        <w:rPr>
          <w:rFonts w:ascii="David" w:hAnsi="David" w:cs="David"/>
          <w:b/>
          <w:bCs/>
          <w:sz w:val="24"/>
          <w:szCs w:val="24"/>
          <w:rtl/>
        </w:rPr>
        <w:t>מדינת ישראל נ' ראיק אבו חמדה</w:t>
      </w:r>
      <w:r w:rsidRPr="006458FF">
        <w:rPr>
          <w:rFonts w:ascii="David" w:hAnsi="David" w:cs="David"/>
          <w:sz w:val="24"/>
          <w:szCs w:val="24"/>
          <w:rtl/>
        </w:rPr>
        <w:t xml:space="preserve">,  (18.06.2015); </w:t>
      </w:r>
      <w:hyperlink r:id="rId31" w:history="1">
        <w:r w:rsidR="001C0A3C" w:rsidRPr="001C0A3C">
          <w:rPr>
            <w:rFonts w:ascii="David" w:hAnsi="David" w:cs="David"/>
            <w:color w:val="0000FF"/>
            <w:sz w:val="24"/>
            <w:szCs w:val="24"/>
            <w:u w:val="single"/>
            <w:rtl/>
          </w:rPr>
          <w:t>ת"פ (שלום קריות) 54158-11-14</w:t>
        </w:r>
      </w:hyperlink>
      <w:r w:rsidRPr="006458FF">
        <w:rPr>
          <w:rFonts w:ascii="David" w:hAnsi="David" w:cs="David"/>
          <w:sz w:val="24"/>
          <w:szCs w:val="24"/>
          <w:rtl/>
        </w:rPr>
        <w:t xml:space="preserve"> </w:t>
      </w:r>
      <w:r w:rsidRPr="006458FF">
        <w:rPr>
          <w:rFonts w:ascii="David" w:hAnsi="David" w:cs="David"/>
          <w:b/>
          <w:bCs/>
          <w:sz w:val="24"/>
          <w:szCs w:val="24"/>
          <w:rtl/>
        </w:rPr>
        <w:t>מדינת ישראל נ' אנדריי לובנצ'וב</w:t>
      </w:r>
      <w:r w:rsidRPr="006458FF">
        <w:rPr>
          <w:rFonts w:ascii="David" w:hAnsi="David" w:cs="David"/>
          <w:sz w:val="24"/>
          <w:szCs w:val="24"/>
          <w:rtl/>
        </w:rPr>
        <w:t xml:space="preserve">, (30.04.2017); </w:t>
      </w:r>
      <w:hyperlink r:id="rId32" w:history="1">
        <w:r w:rsidR="001C0A3C" w:rsidRPr="001C0A3C">
          <w:rPr>
            <w:rFonts w:ascii="David" w:hAnsi="David" w:cs="David"/>
            <w:color w:val="0000FF"/>
            <w:sz w:val="24"/>
            <w:szCs w:val="24"/>
            <w:u w:val="single"/>
            <w:rtl/>
          </w:rPr>
          <w:t>ת"פ (שלום קריות) 23917-04-15</w:t>
        </w:r>
      </w:hyperlink>
      <w:r w:rsidRPr="006458FF">
        <w:rPr>
          <w:rFonts w:ascii="David" w:hAnsi="David" w:cs="David"/>
          <w:sz w:val="24"/>
          <w:szCs w:val="24"/>
          <w:rtl/>
        </w:rPr>
        <w:t xml:space="preserve"> </w:t>
      </w:r>
      <w:r w:rsidRPr="006458FF">
        <w:rPr>
          <w:rFonts w:ascii="David" w:hAnsi="David" w:cs="David"/>
          <w:b/>
          <w:bCs/>
          <w:sz w:val="24"/>
          <w:szCs w:val="24"/>
          <w:rtl/>
        </w:rPr>
        <w:t>מדינת ישראל נ' פלוני</w:t>
      </w:r>
      <w:r w:rsidRPr="006458FF">
        <w:rPr>
          <w:rFonts w:ascii="David" w:hAnsi="David" w:cs="David"/>
          <w:sz w:val="24"/>
          <w:szCs w:val="24"/>
          <w:rtl/>
        </w:rPr>
        <w:t xml:space="preserve">,  (03.07.2016); </w:t>
      </w:r>
      <w:hyperlink r:id="rId33" w:history="1">
        <w:r w:rsidR="001C0A3C" w:rsidRPr="001C0A3C">
          <w:rPr>
            <w:rFonts w:ascii="David" w:hAnsi="David" w:cs="David"/>
            <w:color w:val="0000FF"/>
            <w:sz w:val="24"/>
            <w:szCs w:val="24"/>
            <w:u w:val="single"/>
            <w:rtl/>
          </w:rPr>
          <w:t>ת"פ (שלום רמלה) 21679-04-15</w:t>
        </w:r>
      </w:hyperlink>
      <w:r w:rsidRPr="006458FF">
        <w:rPr>
          <w:rFonts w:ascii="David" w:hAnsi="David" w:cs="David"/>
          <w:sz w:val="24"/>
          <w:szCs w:val="24"/>
          <w:rtl/>
        </w:rPr>
        <w:t xml:space="preserve"> </w:t>
      </w:r>
      <w:r w:rsidRPr="006458FF">
        <w:rPr>
          <w:rFonts w:ascii="David" w:hAnsi="David" w:cs="David"/>
          <w:b/>
          <w:bCs/>
          <w:sz w:val="24"/>
          <w:szCs w:val="24"/>
          <w:rtl/>
        </w:rPr>
        <w:t>מדינת ישראל נ' שאול בראנץ</w:t>
      </w:r>
      <w:r w:rsidRPr="006458FF">
        <w:rPr>
          <w:rFonts w:ascii="David" w:hAnsi="David" w:cs="David"/>
          <w:sz w:val="24"/>
          <w:szCs w:val="24"/>
          <w:rtl/>
        </w:rPr>
        <w:t xml:space="preserve">,  (24.02.2016); </w:t>
      </w:r>
      <w:hyperlink r:id="rId34" w:history="1">
        <w:r w:rsidR="001C0A3C" w:rsidRPr="001C0A3C">
          <w:rPr>
            <w:rFonts w:ascii="David" w:hAnsi="David" w:cs="David"/>
            <w:color w:val="0000FF"/>
            <w:sz w:val="24"/>
            <w:szCs w:val="24"/>
            <w:u w:val="single"/>
            <w:rtl/>
          </w:rPr>
          <w:t>ת"פ (שלום רחובות) 9524-12-13</w:t>
        </w:r>
      </w:hyperlink>
      <w:r w:rsidRPr="006458FF">
        <w:rPr>
          <w:rFonts w:ascii="David" w:hAnsi="David" w:cs="David"/>
          <w:sz w:val="24"/>
          <w:szCs w:val="24"/>
          <w:rtl/>
        </w:rPr>
        <w:t xml:space="preserve"> </w:t>
      </w:r>
      <w:r w:rsidRPr="006458FF">
        <w:rPr>
          <w:rFonts w:ascii="David" w:hAnsi="David" w:cs="David"/>
          <w:b/>
          <w:bCs/>
          <w:sz w:val="24"/>
          <w:szCs w:val="24"/>
          <w:rtl/>
        </w:rPr>
        <w:t>מדינת ישראל נ' פלוני</w:t>
      </w:r>
      <w:r w:rsidRPr="006458FF">
        <w:rPr>
          <w:rFonts w:ascii="David" w:hAnsi="David" w:cs="David"/>
          <w:sz w:val="24"/>
          <w:szCs w:val="24"/>
          <w:rtl/>
        </w:rPr>
        <w:t>, (21.10.2015).</w:t>
      </w:r>
    </w:p>
    <w:p w14:paraId="503B3C1A" w14:textId="77777777" w:rsidR="00104624" w:rsidRPr="006458FF" w:rsidRDefault="00104624" w:rsidP="00104624">
      <w:pPr>
        <w:pStyle w:val="1"/>
        <w:spacing w:after="0"/>
        <w:ind w:firstLine="0"/>
        <w:rPr>
          <w:rFonts w:ascii="David" w:hAnsi="David" w:cs="David"/>
          <w:sz w:val="24"/>
          <w:szCs w:val="24"/>
          <w:rtl/>
        </w:rPr>
      </w:pPr>
    </w:p>
    <w:p w14:paraId="0B7D8226" w14:textId="77777777" w:rsidR="00104624" w:rsidRPr="006458FF" w:rsidRDefault="00104624" w:rsidP="00104624">
      <w:pPr>
        <w:pStyle w:val="1"/>
        <w:numPr>
          <w:ilvl w:val="0"/>
          <w:numId w:val="2"/>
        </w:numPr>
        <w:spacing w:after="0"/>
        <w:rPr>
          <w:rFonts w:ascii="David" w:hAnsi="David" w:cs="David"/>
          <w:sz w:val="24"/>
          <w:szCs w:val="24"/>
          <w:rtl/>
        </w:rPr>
      </w:pPr>
      <w:r w:rsidRPr="006458FF">
        <w:rPr>
          <w:rFonts w:ascii="David" w:hAnsi="David" w:cs="David"/>
          <w:sz w:val="24"/>
          <w:szCs w:val="24"/>
          <w:rtl/>
        </w:rPr>
        <w:t>זאת ועוד, ישנם מקרים חריגים בהם מצבו הרפואי של הנאשם יכול להצדיק סטייה לקולא ממתחם העונש ההולם ולעניין זה אפנה לפסק הדין בעניינו של אורי לופליאנסקי, ב</w:t>
      </w:r>
      <w:hyperlink r:id="rId35" w:history="1">
        <w:r w:rsidR="001C0A3C" w:rsidRPr="001C0A3C">
          <w:rPr>
            <w:rFonts w:ascii="David" w:hAnsi="David" w:cs="David"/>
            <w:color w:val="0000FF"/>
            <w:sz w:val="24"/>
            <w:szCs w:val="24"/>
            <w:u w:val="single"/>
            <w:rtl/>
          </w:rPr>
          <w:t>ע"פ 4456/14</w:t>
        </w:r>
      </w:hyperlink>
      <w:r w:rsidRPr="006458FF">
        <w:rPr>
          <w:rFonts w:ascii="David" w:hAnsi="David" w:cs="David"/>
          <w:sz w:val="24"/>
          <w:szCs w:val="24"/>
          <w:rtl/>
        </w:rPr>
        <w:t xml:space="preserve"> </w:t>
      </w:r>
      <w:r w:rsidRPr="006458FF">
        <w:rPr>
          <w:rFonts w:ascii="David" w:hAnsi="David" w:cs="David"/>
          <w:b/>
          <w:bCs/>
          <w:sz w:val="24"/>
          <w:szCs w:val="24"/>
          <w:rtl/>
        </w:rPr>
        <w:t>אביגדור קלנר נ' מדינת ישראל</w:t>
      </w:r>
      <w:r w:rsidRPr="006458FF">
        <w:rPr>
          <w:rFonts w:ascii="David" w:hAnsi="David" w:cs="David"/>
          <w:sz w:val="24"/>
          <w:szCs w:val="24"/>
          <w:rtl/>
        </w:rPr>
        <w:t>,  (29.12.2015); ו</w:t>
      </w:r>
      <w:hyperlink r:id="rId36" w:history="1">
        <w:r w:rsidR="001C0A3C" w:rsidRPr="001C0A3C">
          <w:rPr>
            <w:rFonts w:ascii="David" w:hAnsi="David" w:cs="David"/>
            <w:color w:val="0000FF"/>
            <w:sz w:val="24"/>
            <w:szCs w:val="24"/>
            <w:u w:val="single"/>
            <w:rtl/>
          </w:rPr>
          <w:t>ע"פ 4506/15</w:t>
        </w:r>
      </w:hyperlink>
      <w:r w:rsidRPr="006458FF">
        <w:rPr>
          <w:rFonts w:ascii="David" w:hAnsi="David" w:cs="David"/>
          <w:sz w:val="24"/>
          <w:szCs w:val="24"/>
          <w:rtl/>
        </w:rPr>
        <w:t xml:space="preserve"> </w:t>
      </w:r>
      <w:r w:rsidRPr="006458FF">
        <w:rPr>
          <w:rFonts w:ascii="David" w:hAnsi="David" w:cs="David"/>
          <w:b/>
          <w:bCs/>
          <w:sz w:val="24"/>
          <w:szCs w:val="24"/>
          <w:rtl/>
        </w:rPr>
        <w:t>צבי בר נ' מדינת ישראל</w:t>
      </w:r>
      <w:r w:rsidRPr="006458FF">
        <w:rPr>
          <w:rFonts w:ascii="David" w:hAnsi="David" w:cs="David"/>
          <w:sz w:val="24"/>
          <w:szCs w:val="24"/>
          <w:rtl/>
        </w:rPr>
        <w:t xml:space="preserve">,  (11.12.2016)). </w:t>
      </w:r>
    </w:p>
    <w:p w14:paraId="68F690F8" w14:textId="77777777" w:rsidR="00104624" w:rsidRDefault="00104624" w:rsidP="00104624">
      <w:pPr>
        <w:spacing w:line="360" w:lineRule="auto"/>
        <w:ind w:left="720" w:hanging="360"/>
        <w:jc w:val="both"/>
        <w:rPr>
          <w:rFonts w:ascii="Arial" w:hAnsi="Arial"/>
          <w:rtl/>
        </w:rPr>
      </w:pPr>
    </w:p>
    <w:p w14:paraId="56245787" w14:textId="77777777" w:rsidR="00104624" w:rsidRPr="00273C2D" w:rsidRDefault="00104624" w:rsidP="00104624">
      <w:pPr>
        <w:pStyle w:val="a9"/>
        <w:numPr>
          <w:ilvl w:val="0"/>
          <w:numId w:val="2"/>
        </w:numPr>
        <w:spacing w:line="360" w:lineRule="auto"/>
        <w:jc w:val="both"/>
        <w:rPr>
          <w:rFonts w:ascii="Arial" w:hAnsi="Arial"/>
          <w:rtl/>
        </w:rPr>
      </w:pPr>
      <w:r w:rsidRPr="00273C2D">
        <w:rPr>
          <w:rFonts w:ascii="Arial" w:hAnsi="Arial" w:hint="cs"/>
          <w:rtl/>
        </w:rPr>
        <w:t xml:space="preserve">בסופו של דבר, באתי לכלל מסקנה כי ראוי להטיל על הנאשם עונש נוסף </w:t>
      </w:r>
      <w:r>
        <w:rPr>
          <w:rFonts w:ascii="Arial" w:hAnsi="Arial" w:hint="cs"/>
          <w:rtl/>
        </w:rPr>
        <w:t>של התחייבות ו</w:t>
      </w:r>
      <w:r w:rsidRPr="00273C2D">
        <w:rPr>
          <w:rFonts w:ascii="Arial" w:hAnsi="Arial" w:hint="cs"/>
          <w:rtl/>
        </w:rPr>
        <w:t xml:space="preserve">השתת קנס כספי שיהיה  בו כדי לגלם את העבירות אותן עבר הנאשם וכן להוות גורם מרתיע. הטלת מאסר בפועל תהא החמרה יתר על המידה בנסיבות העניין. </w:t>
      </w:r>
      <w:r>
        <w:rPr>
          <w:rFonts w:ascii="Arial" w:hAnsi="Arial" w:hint="cs"/>
          <w:rtl/>
        </w:rPr>
        <w:t xml:space="preserve">החלטתי להימנע מהשתת עונש של מאסר בפועל ואפנה לעניין זה </w:t>
      </w:r>
      <w:r>
        <w:rPr>
          <w:rFonts w:hint="cs"/>
          <w:b/>
          <w:bCs/>
          <w:rtl/>
        </w:rPr>
        <w:t>ל</w:t>
      </w:r>
      <w:r w:rsidRPr="00273C2D">
        <w:rPr>
          <w:rFonts w:hint="cs"/>
          <w:b/>
          <w:bCs/>
          <w:rtl/>
        </w:rPr>
        <w:t>דו"ח הועדה הציבורית לבחינת מדיניות הענישה והטיפול בעבריינים</w:t>
      </w:r>
      <w:r>
        <w:rPr>
          <w:rFonts w:hint="cs"/>
          <w:rtl/>
        </w:rPr>
        <w:t xml:space="preserve"> (ועדת דורנר, פורסם בנובמבר 2015; ע"פ </w:t>
      </w:r>
      <w:hyperlink r:id="rId37" w:history="1">
        <w:r w:rsidR="00A92E36" w:rsidRPr="00A92E36">
          <w:rPr>
            <w:color w:val="0000FF"/>
            <w:u w:val="single"/>
            <w:rtl/>
          </w:rPr>
          <w:t xml:space="preserve">55303-03-17 </w:t>
        </w:r>
      </w:hyperlink>
      <w:r>
        <w:rPr>
          <w:rFonts w:hint="cs"/>
          <w:rtl/>
        </w:rPr>
        <w:t xml:space="preserve"> </w:t>
      </w:r>
      <w:r w:rsidRPr="00273C2D">
        <w:rPr>
          <w:rFonts w:ascii="Arial" w:hAnsi="Arial" w:hint="cs"/>
          <w:b/>
          <w:bCs/>
          <w:rtl/>
        </w:rPr>
        <w:t>מוסא דארי נ' מדינת ישראל</w:t>
      </w:r>
      <w:r w:rsidRPr="00273C2D">
        <w:rPr>
          <w:rFonts w:ascii="Arial" w:hAnsi="Arial" w:hint="cs"/>
          <w:rtl/>
        </w:rPr>
        <w:t xml:space="preserve"> (17.5.17), פסק דינו של כב' השופט שפירא).</w:t>
      </w:r>
    </w:p>
    <w:p w14:paraId="4B3EC34A" w14:textId="77777777" w:rsidR="00104624" w:rsidRDefault="00104624" w:rsidP="00104624">
      <w:pPr>
        <w:spacing w:line="360" w:lineRule="auto"/>
        <w:ind w:left="720"/>
        <w:contextualSpacing/>
        <w:jc w:val="both"/>
        <w:rPr>
          <w:rFonts w:ascii="Arial" w:hAnsi="Arial"/>
          <w:rtl/>
        </w:rPr>
      </w:pPr>
    </w:p>
    <w:p w14:paraId="41D6C147" w14:textId="77777777" w:rsidR="00104624" w:rsidRDefault="00104624" w:rsidP="00104624">
      <w:pPr>
        <w:spacing w:line="360" w:lineRule="auto"/>
        <w:ind w:left="720"/>
        <w:contextualSpacing/>
        <w:jc w:val="both"/>
        <w:rPr>
          <w:rFonts w:ascii="Arial" w:hAnsi="Arial"/>
        </w:rPr>
      </w:pPr>
    </w:p>
    <w:p w14:paraId="66C1A100" w14:textId="77777777" w:rsidR="00104624" w:rsidRDefault="00104624" w:rsidP="00104624">
      <w:pPr>
        <w:spacing w:line="360" w:lineRule="auto"/>
        <w:ind w:firstLine="360"/>
        <w:jc w:val="both"/>
        <w:rPr>
          <w:rFonts w:ascii="Arial" w:hAnsi="Arial"/>
          <w:b/>
          <w:bCs/>
        </w:rPr>
      </w:pPr>
      <w:r>
        <w:rPr>
          <w:rFonts w:ascii="Arial" w:hAnsi="Arial" w:hint="cs"/>
          <w:b/>
          <w:bCs/>
          <w:rtl/>
        </w:rPr>
        <w:t>15.</w:t>
      </w:r>
      <w:r>
        <w:rPr>
          <w:rFonts w:ascii="Arial" w:hAnsi="Arial" w:hint="cs"/>
          <w:b/>
          <w:bCs/>
          <w:rtl/>
        </w:rPr>
        <w:tab/>
        <w:t xml:space="preserve">אשר על כן , אני מורה כדלקמן: </w:t>
      </w:r>
    </w:p>
    <w:p w14:paraId="2D4A5F88" w14:textId="77777777" w:rsidR="00104624" w:rsidRDefault="00104624" w:rsidP="00104624">
      <w:pPr>
        <w:spacing w:line="360" w:lineRule="auto"/>
        <w:ind w:firstLine="720"/>
        <w:jc w:val="both"/>
        <w:rPr>
          <w:rFonts w:ascii="Arial" w:hAnsi="Arial"/>
          <w:b/>
          <w:bCs/>
          <w:rtl/>
        </w:rPr>
      </w:pPr>
      <w:r>
        <w:rPr>
          <w:rFonts w:ascii="Arial" w:hAnsi="Arial" w:hint="cs"/>
          <w:b/>
          <w:bCs/>
          <w:rtl/>
        </w:rPr>
        <w:t>אני מורה על הפקעת צו המבחן שהוטל על הנאשם.</w:t>
      </w:r>
    </w:p>
    <w:p w14:paraId="193FB8C7" w14:textId="77777777" w:rsidR="00104624" w:rsidRDefault="00104624" w:rsidP="00104624">
      <w:pPr>
        <w:spacing w:line="360" w:lineRule="auto"/>
        <w:ind w:left="720"/>
        <w:jc w:val="both"/>
        <w:rPr>
          <w:rFonts w:ascii="Arial" w:hAnsi="Arial"/>
          <w:b/>
          <w:bCs/>
        </w:rPr>
      </w:pPr>
      <w:r>
        <w:rPr>
          <w:rFonts w:ascii="Arial" w:hAnsi="Arial" w:hint="cs"/>
          <w:b/>
          <w:bCs/>
          <w:rtl/>
        </w:rPr>
        <w:t xml:space="preserve">אני מטילה על הנאשם תחת צו המבחן קנס כספי בסכום של 4,000 ₪ שישולמו ב – 5 תשלומים שווים ורצופים החל מיום 1.7.23 ובכל חודש שלאחר מכן . אי עמידה באחד מתשלומי הקנס תעמיד את יתרת הקנס לפירעון מיידי. </w:t>
      </w:r>
    </w:p>
    <w:p w14:paraId="3CA07200" w14:textId="77777777" w:rsidR="00104624" w:rsidRDefault="00104624" w:rsidP="00104624">
      <w:pPr>
        <w:spacing w:line="360" w:lineRule="auto"/>
        <w:ind w:left="720"/>
        <w:jc w:val="both"/>
        <w:rPr>
          <w:rFonts w:ascii="Arial" w:hAnsi="Arial"/>
          <w:b/>
          <w:bCs/>
          <w:rtl/>
        </w:rPr>
      </w:pPr>
      <w:r>
        <w:rPr>
          <w:rFonts w:ascii="Arial" w:hAnsi="Arial" w:hint="cs"/>
          <w:b/>
          <w:bCs/>
          <w:rtl/>
        </w:rPr>
        <w:t xml:space="preserve">אני מחייבת את הנאשם בהתחייבות כספית בסכום של 2,000 ₪ להימנע מעבירת סמים מסוג פשע על פי </w:t>
      </w:r>
      <w:hyperlink r:id="rId38" w:history="1">
        <w:r w:rsidR="001C0A3C" w:rsidRPr="001C0A3C">
          <w:rPr>
            <w:rFonts w:ascii="Arial" w:hAnsi="Arial"/>
            <w:b/>
            <w:bCs/>
            <w:color w:val="0000FF"/>
            <w:u w:val="single"/>
            <w:rtl/>
          </w:rPr>
          <w:t>פקודת הסמים המסוכנים</w:t>
        </w:r>
      </w:hyperlink>
      <w:r>
        <w:rPr>
          <w:rFonts w:ascii="Arial" w:hAnsi="Arial" w:hint="cs"/>
          <w:b/>
          <w:bCs/>
          <w:rtl/>
        </w:rPr>
        <w:t xml:space="preserve"> וזאת לתקופה של שנתיים. </w:t>
      </w:r>
    </w:p>
    <w:p w14:paraId="72423D51" w14:textId="77777777" w:rsidR="00104624" w:rsidRDefault="00104624" w:rsidP="00104624">
      <w:pPr>
        <w:spacing w:line="360" w:lineRule="auto"/>
        <w:ind w:left="720"/>
        <w:jc w:val="both"/>
        <w:rPr>
          <w:rFonts w:ascii="Arial" w:hAnsi="Arial"/>
          <w:b/>
          <w:bCs/>
        </w:rPr>
      </w:pPr>
      <w:r>
        <w:rPr>
          <w:rFonts w:ascii="Arial" w:hAnsi="Arial" w:hint="cs"/>
          <w:b/>
          <w:bCs/>
          <w:rtl/>
        </w:rPr>
        <w:t xml:space="preserve">מובהר כי כל רכיבי הענישה האחרים שהיו קיימים במועד גזר הדין לרבות עונש מאסר על תנאי וכן  של פסילה בפועל ופסילה על תנאי של רישיון הנהיגה - נותרים בעינם. </w:t>
      </w:r>
    </w:p>
    <w:p w14:paraId="72374C07" w14:textId="77777777" w:rsidR="00104624" w:rsidRDefault="00104624" w:rsidP="00104624">
      <w:pPr>
        <w:spacing w:line="360" w:lineRule="auto"/>
        <w:ind w:left="360"/>
        <w:jc w:val="both"/>
        <w:rPr>
          <w:rFonts w:ascii="Arial" w:hAnsi="Arial"/>
          <w:b/>
          <w:bCs/>
          <w:rtl/>
        </w:rPr>
      </w:pPr>
    </w:p>
    <w:p w14:paraId="4E6C8F45" w14:textId="77777777" w:rsidR="00104624" w:rsidRDefault="00104624" w:rsidP="00104624">
      <w:pPr>
        <w:spacing w:line="360" w:lineRule="auto"/>
        <w:ind w:left="360" w:firstLine="360"/>
        <w:jc w:val="both"/>
        <w:rPr>
          <w:rFonts w:ascii="Arial" w:hAnsi="Arial"/>
          <w:b/>
          <w:bCs/>
          <w:rtl/>
        </w:rPr>
      </w:pPr>
      <w:r>
        <w:rPr>
          <w:rFonts w:ascii="Arial" w:hAnsi="Arial" w:hint="cs"/>
          <w:b/>
          <w:bCs/>
          <w:u w:val="single"/>
          <w:rtl/>
        </w:rPr>
        <w:t xml:space="preserve">המזכירות תשלח עותק החלטתי לשירות המבחן ולממונה על עבודות שירות. </w:t>
      </w:r>
    </w:p>
    <w:p w14:paraId="35C1251B" w14:textId="77777777" w:rsidR="00104624" w:rsidRDefault="00104624" w:rsidP="00104624">
      <w:pPr>
        <w:spacing w:line="360" w:lineRule="auto"/>
        <w:jc w:val="both"/>
        <w:rPr>
          <w:rFonts w:ascii="Arial" w:hAnsi="Arial"/>
          <w:b/>
          <w:bCs/>
          <w:u w:val="single"/>
          <w:rtl/>
        </w:rPr>
      </w:pPr>
    </w:p>
    <w:p w14:paraId="4DB94AE2" w14:textId="77777777" w:rsidR="00104624" w:rsidRDefault="001C0A3C" w:rsidP="00104624">
      <w:pPr>
        <w:spacing w:line="360" w:lineRule="auto"/>
        <w:ind w:firstLine="720"/>
        <w:jc w:val="both"/>
        <w:rPr>
          <w:rFonts w:ascii="Arial" w:hAnsi="Arial"/>
          <w:rtl/>
        </w:rPr>
      </w:pPr>
      <w:r w:rsidRPr="001C0A3C">
        <w:rPr>
          <w:rFonts w:ascii="Arial" w:hAnsi="Arial"/>
          <w:b/>
          <w:bCs/>
          <w:color w:val="FFFFFF"/>
          <w:sz w:val="2"/>
          <w:szCs w:val="2"/>
          <w:u w:val="single"/>
          <w:rtl/>
        </w:rPr>
        <w:t>5129371</w:t>
      </w:r>
      <w:r w:rsidR="00104624">
        <w:rPr>
          <w:rFonts w:ascii="Arial" w:hAnsi="Arial" w:hint="cs"/>
          <w:b/>
          <w:bCs/>
          <w:u w:val="single"/>
          <w:rtl/>
        </w:rPr>
        <w:t>זכות ערעור בתוך 45 יום.</w:t>
      </w:r>
    </w:p>
    <w:p w14:paraId="587AA448" w14:textId="77777777" w:rsidR="00104624" w:rsidRPr="001C0A3C" w:rsidRDefault="001C0A3C" w:rsidP="00104624">
      <w:pPr>
        <w:rPr>
          <w:rFonts w:ascii="Arial" w:hAnsi="Arial"/>
          <w:b/>
          <w:bCs/>
          <w:color w:val="FFFFFF"/>
          <w:sz w:val="2"/>
          <w:szCs w:val="2"/>
          <w:rtl/>
        </w:rPr>
      </w:pPr>
      <w:r w:rsidRPr="001C0A3C">
        <w:rPr>
          <w:rFonts w:ascii="Arial" w:hAnsi="Arial"/>
          <w:b/>
          <w:bCs/>
          <w:color w:val="FFFFFF"/>
          <w:sz w:val="2"/>
          <w:szCs w:val="2"/>
          <w:rtl/>
        </w:rPr>
        <w:t>54678313</w:t>
      </w:r>
    </w:p>
    <w:p w14:paraId="73FD325F" w14:textId="77777777" w:rsidR="00104624" w:rsidRPr="000F2247" w:rsidRDefault="00104624" w:rsidP="00104624">
      <w:pPr>
        <w:rPr>
          <w:rFonts w:ascii="Arial" w:hAnsi="Arial"/>
          <w:b/>
          <w:bCs/>
          <w:sz w:val="26"/>
          <w:szCs w:val="26"/>
          <w:rtl/>
        </w:rPr>
      </w:pPr>
    </w:p>
    <w:p w14:paraId="53826D02" w14:textId="77777777" w:rsidR="00104624" w:rsidRPr="000F2247" w:rsidRDefault="001C0A3C" w:rsidP="00104624">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ב' אייר תשפ"ג, 23 אפריל 2023, בנוכחות הצדדים. </w:t>
      </w:r>
      <w:bookmarkEnd w:id="7"/>
      <w:r w:rsidR="00104624">
        <w:rPr>
          <w:rFonts w:ascii="Arial" w:hAnsi="Arial"/>
          <w:b/>
          <w:bCs/>
          <w:sz w:val="26"/>
          <w:szCs w:val="26"/>
          <w:rtl/>
        </w:rPr>
        <w:tab/>
      </w:r>
      <w:r w:rsidR="00104624">
        <w:rPr>
          <w:rFonts w:ascii="Arial" w:hAnsi="Arial"/>
          <w:b/>
          <w:bCs/>
          <w:sz w:val="26"/>
          <w:szCs w:val="26"/>
          <w:rtl/>
        </w:rPr>
        <w:tab/>
      </w:r>
      <w:r w:rsidR="00104624">
        <w:rPr>
          <w:rFonts w:ascii="Arial" w:hAnsi="Arial"/>
          <w:b/>
          <w:bCs/>
          <w:sz w:val="26"/>
          <w:szCs w:val="26"/>
          <w:rtl/>
        </w:rPr>
        <w:tab/>
      </w:r>
      <w:r w:rsidR="00104624">
        <w:rPr>
          <w:rFonts w:ascii="Arial" w:hAnsi="Arial"/>
          <w:b/>
          <w:bCs/>
          <w:sz w:val="26"/>
          <w:szCs w:val="26"/>
          <w:rtl/>
        </w:rPr>
        <w:tab/>
      </w:r>
      <w:r w:rsidR="00104624">
        <w:rPr>
          <w:rFonts w:ascii="Arial" w:hAnsi="Arial"/>
          <w:b/>
          <w:bCs/>
          <w:sz w:val="26"/>
          <w:szCs w:val="26"/>
          <w:rtl/>
        </w:rPr>
        <w:tab/>
      </w:r>
      <w:r w:rsidR="00104624">
        <w:rPr>
          <w:rFonts w:ascii="Arial" w:hAnsi="Arial"/>
          <w:b/>
          <w:bCs/>
          <w:sz w:val="26"/>
          <w:szCs w:val="26"/>
          <w:rtl/>
        </w:rPr>
        <w:tab/>
      </w:r>
      <w:r w:rsidR="00104624">
        <w:rPr>
          <w:rFonts w:ascii="Arial" w:hAnsi="Arial"/>
          <w:b/>
          <w:bCs/>
          <w:sz w:val="26"/>
          <w:szCs w:val="26"/>
          <w:rtl/>
        </w:rPr>
        <w:tab/>
      </w:r>
      <w:r w:rsidR="00104624">
        <w:rPr>
          <w:rFonts w:ascii="Arial" w:hAnsi="Arial" w:hint="cs"/>
          <w:b/>
          <w:bCs/>
          <w:sz w:val="26"/>
          <w:szCs w:val="26"/>
          <w:rtl/>
        </w:rPr>
        <w:t xml:space="preserve">         </w:t>
      </w:r>
    </w:p>
    <w:p w14:paraId="4D9CC15D" w14:textId="77777777" w:rsidR="00104624" w:rsidRPr="000F2247" w:rsidRDefault="00104624" w:rsidP="001C0A3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1B2EC3F" w14:textId="77777777" w:rsidR="00104624" w:rsidRPr="000F2247" w:rsidRDefault="00104624" w:rsidP="00104624">
      <w:pPr>
        <w:jc w:val="center"/>
        <w:rPr>
          <w:rFonts w:ascii="Arial" w:hAnsi="Arial"/>
          <w:b/>
          <w:bCs/>
          <w:sz w:val="26"/>
          <w:szCs w:val="26"/>
          <w:rtl/>
        </w:rPr>
      </w:pPr>
    </w:p>
    <w:p w14:paraId="181DF01A" w14:textId="77777777" w:rsidR="00C62837" w:rsidRPr="001C0A3C" w:rsidRDefault="00C62837" w:rsidP="001C0A3C">
      <w:pPr>
        <w:keepNext/>
        <w:rPr>
          <w:rFonts w:ascii="David" w:hAnsi="David"/>
          <w:color w:val="000000"/>
          <w:sz w:val="22"/>
          <w:szCs w:val="22"/>
          <w:rtl/>
        </w:rPr>
      </w:pPr>
    </w:p>
    <w:p w14:paraId="4F90C64C" w14:textId="77777777" w:rsidR="001C0A3C" w:rsidRPr="001C0A3C" w:rsidRDefault="001C0A3C" w:rsidP="001C0A3C">
      <w:pPr>
        <w:keepNext/>
        <w:rPr>
          <w:rFonts w:ascii="David" w:hAnsi="David"/>
          <w:color w:val="000000"/>
          <w:sz w:val="22"/>
          <w:szCs w:val="22"/>
          <w:rtl/>
        </w:rPr>
      </w:pPr>
      <w:r w:rsidRPr="001C0A3C">
        <w:rPr>
          <w:rFonts w:ascii="David" w:hAnsi="David"/>
          <w:color w:val="000000"/>
          <w:sz w:val="22"/>
          <w:szCs w:val="22"/>
          <w:rtl/>
        </w:rPr>
        <w:t>סימי פלג קימלוב 54678313</w:t>
      </w:r>
    </w:p>
    <w:p w14:paraId="00143BF0" w14:textId="77777777" w:rsidR="001C0A3C" w:rsidRDefault="001C0A3C" w:rsidP="001C0A3C">
      <w:r w:rsidRPr="001C0A3C">
        <w:rPr>
          <w:color w:val="000000"/>
          <w:rtl/>
        </w:rPr>
        <w:t>נוסח מסמך זה כפוף לשינויי ניסוח ועריכה</w:t>
      </w:r>
    </w:p>
    <w:p w14:paraId="234C1000" w14:textId="77777777" w:rsidR="001C0A3C" w:rsidRDefault="001C0A3C" w:rsidP="001C0A3C">
      <w:pPr>
        <w:rPr>
          <w:rtl/>
        </w:rPr>
      </w:pPr>
    </w:p>
    <w:p w14:paraId="380E911D" w14:textId="77777777" w:rsidR="001C0A3C" w:rsidRDefault="001C0A3C" w:rsidP="001C0A3C">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21E1E718" w14:textId="77777777" w:rsidR="001C0A3C" w:rsidRPr="001C0A3C" w:rsidRDefault="001C0A3C" w:rsidP="001C0A3C">
      <w:pPr>
        <w:jc w:val="center"/>
        <w:rPr>
          <w:color w:val="0000FF"/>
          <w:u w:val="single"/>
        </w:rPr>
      </w:pPr>
    </w:p>
    <w:sectPr w:rsidR="001C0A3C" w:rsidRPr="001C0A3C" w:rsidSect="001C0A3C">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99289C" w14:textId="77777777" w:rsidR="00267EC1" w:rsidRDefault="00267EC1" w:rsidP="007921E5">
      <w:r>
        <w:separator/>
      </w:r>
    </w:p>
  </w:endnote>
  <w:endnote w:type="continuationSeparator" w:id="0">
    <w:p w14:paraId="559AFEBC" w14:textId="77777777" w:rsidR="00267EC1" w:rsidRDefault="00267EC1" w:rsidP="00792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F601AD" w14:textId="77777777" w:rsidR="001C0A3C" w:rsidRDefault="001C0A3C" w:rsidP="001C0A3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DAAFC21" w14:textId="77777777" w:rsidR="00F24514" w:rsidRPr="001C0A3C" w:rsidRDefault="001C0A3C" w:rsidP="001C0A3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21BCB" w14:textId="77777777" w:rsidR="001C0A3C" w:rsidRDefault="001C0A3C" w:rsidP="001C0A3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63309">
      <w:rPr>
        <w:rFonts w:ascii="FrankRuehl" w:hAnsi="FrankRuehl" w:cs="FrankRuehl"/>
        <w:noProof/>
        <w:rtl/>
      </w:rPr>
      <w:t>1</w:t>
    </w:r>
    <w:r>
      <w:rPr>
        <w:rFonts w:ascii="FrankRuehl" w:hAnsi="FrankRuehl" w:cs="FrankRuehl"/>
        <w:rtl/>
      </w:rPr>
      <w:fldChar w:fldCharType="end"/>
    </w:r>
  </w:p>
  <w:p w14:paraId="2B11030E" w14:textId="77777777" w:rsidR="00F24514" w:rsidRPr="001C0A3C" w:rsidRDefault="001C0A3C" w:rsidP="001C0A3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1788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0B69FD" w14:textId="77777777" w:rsidR="00267EC1" w:rsidRDefault="00267EC1" w:rsidP="007921E5">
      <w:r>
        <w:separator/>
      </w:r>
    </w:p>
  </w:footnote>
  <w:footnote w:type="continuationSeparator" w:id="0">
    <w:p w14:paraId="7151F314" w14:textId="77777777" w:rsidR="00267EC1" w:rsidRDefault="00267EC1" w:rsidP="007921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6006B" w14:textId="77777777" w:rsidR="001C0A3C" w:rsidRPr="001C0A3C" w:rsidRDefault="001C0A3C" w:rsidP="001C0A3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19505-01-18</w:t>
    </w:r>
    <w:r>
      <w:rPr>
        <w:rFonts w:ascii="David" w:hAnsi="David"/>
        <w:color w:val="000000"/>
        <w:sz w:val="22"/>
        <w:szCs w:val="22"/>
        <w:rtl/>
      </w:rPr>
      <w:tab/>
      <w:t xml:space="preserve"> מדינת ישראל נ' יוסי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49539" w14:textId="77777777" w:rsidR="001C0A3C" w:rsidRPr="001C0A3C" w:rsidRDefault="001C0A3C" w:rsidP="001C0A3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19505-01-18</w:t>
    </w:r>
    <w:r>
      <w:rPr>
        <w:rFonts w:ascii="David" w:hAnsi="David"/>
        <w:color w:val="000000"/>
        <w:sz w:val="22"/>
        <w:szCs w:val="22"/>
        <w:rtl/>
      </w:rPr>
      <w:tab/>
      <w:t xml:space="preserve"> מדינת ישראל נ' יוסי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9A4DB1"/>
    <w:multiLevelType w:val="hybridMultilevel"/>
    <w:tmpl w:val="7D22EA24"/>
    <w:lvl w:ilvl="0" w:tplc="6B3C395C">
      <w:start w:val="15"/>
      <w:numFmt w:val="decimal"/>
      <w:lvlText w:val="%1."/>
      <w:lvlJc w:val="left"/>
      <w:pPr>
        <w:ind w:left="720"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1" w15:restartNumberingAfterBreak="0">
    <w:nsid w:val="5B174A8C"/>
    <w:multiLevelType w:val="hybridMultilevel"/>
    <w:tmpl w:val="C090CDBE"/>
    <w:lvl w:ilvl="0" w:tplc="46521696">
      <w:start w:val="1"/>
      <w:numFmt w:val="decimal"/>
      <w:lvlText w:val="%1."/>
      <w:lvlJc w:val="left"/>
      <w:pPr>
        <w:ind w:left="720" w:hanging="360"/>
      </w:pPr>
      <w:rPr>
        <w:rFonts w:ascii="David" w:hAnsi="David" w:cs="David"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4825428">
    <w:abstractNumId w:val="1"/>
  </w:num>
  <w:num w:numId="2" w16cid:durableId="178740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04624"/>
    <w:rsid w:val="00023338"/>
    <w:rsid w:val="000B36BC"/>
    <w:rsid w:val="00104624"/>
    <w:rsid w:val="001B5A3B"/>
    <w:rsid w:val="001C0A3C"/>
    <w:rsid w:val="00267EC1"/>
    <w:rsid w:val="00332E21"/>
    <w:rsid w:val="0038638B"/>
    <w:rsid w:val="00463309"/>
    <w:rsid w:val="007921E5"/>
    <w:rsid w:val="007F4DA5"/>
    <w:rsid w:val="00934BB0"/>
    <w:rsid w:val="00A92E36"/>
    <w:rsid w:val="00C62837"/>
    <w:rsid w:val="00CF005C"/>
    <w:rsid w:val="00F245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C503C4"/>
  <w15:chartTrackingRefBased/>
  <w15:docId w15:val="{1577CED7-7479-4A36-B52A-9A52DAA22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0462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04624"/>
    <w:pPr>
      <w:tabs>
        <w:tab w:val="center" w:pos="4153"/>
        <w:tab w:val="right" w:pos="8306"/>
      </w:tabs>
    </w:pPr>
  </w:style>
  <w:style w:type="character" w:customStyle="1" w:styleId="a4">
    <w:name w:val="כותרת עליונה תו"/>
    <w:link w:val="a3"/>
    <w:rsid w:val="00104624"/>
    <w:rPr>
      <w:rFonts w:ascii="Times New Roman" w:eastAsia="Times New Roman" w:hAnsi="Times New Roman" w:cs="David"/>
      <w:sz w:val="24"/>
      <w:szCs w:val="24"/>
    </w:rPr>
  </w:style>
  <w:style w:type="paragraph" w:styleId="a5">
    <w:name w:val="footer"/>
    <w:basedOn w:val="a"/>
    <w:link w:val="a6"/>
    <w:rsid w:val="00104624"/>
    <w:pPr>
      <w:tabs>
        <w:tab w:val="center" w:pos="4153"/>
        <w:tab w:val="right" w:pos="8306"/>
      </w:tabs>
    </w:pPr>
  </w:style>
  <w:style w:type="character" w:customStyle="1" w:styleId="a6">
    <w:name w:val="כותרת תחתונה תו"/>
    <w:link w:val="a5"/>
    <w:rsid w:val="00104624"/>
    <w:rPr>
      <w:rFonts w:ascii="Times New Roman" w:eastAsia="Times New Roman" w:hAnsi="Times New Roman" w:cs="David"/>
      <w:sz w:val="24"/>
      <w:szCs w:val="24"/>
    </w:rPr>
  </w:style>
  <w:style w:type="table" w:styleId="a7">
    <w:name w:val="Table Grid"/>
    <w:basedOn w:val="a1"/>
    <w:rsid w:val="0010462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04624"/>
  </w:style>
  <w:style w:type="paragraph" w:styleId="a9">
    <w:name w:val="List Paragraph"/>
    <w:basedOn w:val="a"/>
    <w:qFormat/>
    <w:rsid w:val="00104624"/>
    <w:pPr>
      <w:ind w:left="720"/>
      <w:contextualSpacing/>
    </w:pPr>
  </w:style>
  <w:style w:type="character" w:styleId="Hyperlink">
    <w:name w:val="Hyperlink"/>
    <w:rsid w:val="00104624"/>
    <w:rPr>
      <w:rFonts w:ascii="Times New Roman" w:hAnsi="Times New Roman" w:cs="Times New Roman" w:hint="default"/>
      <w:color w:val="0000FF"/>
      <w:u w:val="single"/>
    </w:rPr>
  </w:style>
  <w:style w:type="character" w:customStyle="1" w:styleId="ListParagraphChar">
    <w:name w:val="List Paragraph Char"/>
    <w:link w:val="1"/>
    <w:locked/>
    <w:rsid w:val="00104624"/>
  </w:style>
  <w:style w:type="paragraph" w:customStyle="1" w:styleId="1">
    <w:name w:val="פיסקת רשימה1"/>
    <w:basedOn w:val="a"/>
    <w:link w:val="ListParagraphChar"/>
    <w:rsid w:val="00104624"/>
    <w:pPr>
      <w:spacing w:after="160" w:line="360" w:lineRule="auto"/>
      <w:ind w:left="720" w:hanging="357"/>
      <w:contextualSpacing/>
      <w:jc w:val="both"/>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0" TargetMode="External"/><Relationship Id="rId18" Type="http://schemas.openxmlformats.org/officeDocument/2006/relationships/hyperlink" Target="http://www.nevo.co.il/law/4216/7.a" TargetMode="External"/><Relationship Id="rId26" Type="http://schemas.openxmlformats.org/officeDocument/2006/relationships/hyperlink" Target="http://www.nevo.co.il/case/6032057"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10500701" TargetMode="External"/><Relationship Id="rId42"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6" TargetMode="External"/><Relationship Id="rId29" Type="http://schemas.openxmlformats.org/officeDocument/2006/relationships/hyperlink" Target="http://www.nevo.co.il/case/239265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law/70301/71d.3" TargetMode="External"/><Relationship Id="rId32" Type="http://schemas.openxmlformats.org/officeDocument/2006/relationships/hyperlink" Target="http://www.nevo.co.il/case/20213808" TargetMode="External"/><Relationship Id="rId37" Type="http://schemas.openxmlformats.org/officeDocument/2006/relationships/hyperlink" Target="http://www.nevo.co.il/case/22355740"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1553/20.4" TargetMode="External"/><Relationship Id="rId23" Type="http://schemas.openxmlformats.org/officeDocument/2006/relationships/hyperlink" Target="http://www.nevo.co.il/law/71553" TargetMode="External"/><Relationship Id="rId28" Type="http://schemas.openxmlformats.org/officeDocument/2006/relationships/hyperlink" Target="http://www.nevo.co.il/case/21472242" TargetMode="External"/><Relationship Id="rId36" Type="http://schemas.openxmlformats.org/officeDocument/2006/relationships/hyperlink" Target="http://www.nevo.co.il/case/20402459"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4216/7.c" TargetMode="External"/><Relationship Id="rId31" Type="http://schemas.openxmlformats.org/officeDocument/2006/relationships/hyperlink" Target="http://www.nevo.co.il/case/18185314"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1553" TargetMode="External"/><Relationship Id="rId22" Type="http://schemas.openxmlformats.org/officeDocument/2006/relationships/hyperlink" Target="http://www.nevo.co.il/law/71553/20.4" TargetMode="External"/><Relationship Id="rId27" Type="http://schemas.openxmlformats.org/officeDocument/2006/relationships/hyperlink" Target="http://www.nevo.co.il/case/5670039" TargetMode="External"/><Relationship Id="rId30" Type="http://schemas.openxmlformats.org/officeDocument/2006/relationships/hyperlink" Target="http://www.nevo.co.il/case/20092201" TargetMode="External"/><Relationship Id="rId35" Type="http://schemas.openxmlformats.org/officeDocument/2006/relationships/hyperlink" Target="http://www.nevo.co.il/case/17015235" TargetMode="External"/><Relationship Id="rId43" Type="http://schemas.openxmlformats.org/officeDocument/2006/relationships/footer" Target="footer2.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71d.3"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0199517" TargetMode="External"/><Relationship Id="rId38" Type="http://schemas.openxmlformats.org/officeDocument/2006/relationships/hyperlink" Target="http://www.nevo.co.il/law/4216" TargetMode="External"/><Relationship Id="rId20" Type="http://schemas.openxmlformats.org/officeDocument/2006/relationships/hyperlink" Target="http://www.nevo.co.il/law/70301/400"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1980</Words>
  <Characters>9903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11860</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8257637</vt:i4>
      </vt:variant>
      <vt:variant>
        <vt:i4>93</vt:i4>
      </vt:variant>
      <vt:variant>
        <vt:i4>0</vt:i4>
      </vt:variant>
      <vt:variant>
        <vt:i4>5</vt:i4>
      </vt:variant>
      <vt:variant>
        <vt:lpwstr>http://www.nevo.co.il/law/4216</vt:lpwstr>
      </vt:variant>
      <vt:variant>
        <vt:lpwstr/>
      </vt:variant>
      <vt:variant>
        <vt:i4>3145844</vt:i4>
      </vt:variant>
      <vt:variant>
        <vt:i4>90</vt:i4>
      </vt:variant>
      <vt:variant>
        <vt:i4>0</vt:i4>
      </vt:variant>
      <vt:variant>
        <vt:i4>5</vt:i4>
      </vt:variant>
      <vt:variant>
        <vt:lpwstr>http://www.nevo.co.il/case/22355740</vt:lpwstr>
      </vt:variant>
      <vt:variant>
        <vt:lpwstr/>
      </vt:variant>
      <vt:variant>
        <vt:i4>3211376</vt:i4>
      </vt:variant>
      <vt:variant>
        <vt:i4>87</vt:i4>
      </vt:variant>
      <vt:variant>
        <vt:i4>0</vt:i4>
      </vt:variant>
      <vt:variant>
        <vt:i4>5</vt:i4>
      </vt:variant>
      <vt:variant>
        <vt:lpwstr>http://www.nevo.co.il/case/20402459</vt:lpwstr>
      </vt:variant>
      <vt:variant>
        <vt:lpwstr/>
      </vt:variant>
      <vt:variant>
        <vt:i4>3604592</vt:i4>
      </vt:variant>
      <vt:variant>
        <vt:i4>84</vt:i4>
      </vt:variant>
      <vt:variant>
        <vt:i4>0</vt:i4>
      </vt:variant>
      <vt:variant>
        <vt:i4>5</vt:i4>
      </vt:variant>
      <vt:variant>
        <vt:lpwstr>http://www.nevo.co.il/case/17015235</vt:lpwstr>
      </vt:variant>
      <vt:variant>
        <vt:lpwstr/>
      </vt:variant>
      <vt:variant>
        <vt:i4>3407987</vt:i4>
      </vt:variant>
      <vt:variant>
        <vt:i4>81</vt:i4>
      </vt:variant>
      <vt:variant>
        <vt:i4>0</vt:i4>
      </vt:variant>
      <vt:variant>
        <vt:i4>5</vt:i4>
      </vt:variant>
      <vt:variant>
        <vt:lpwstr>http://www.nevo.co.il/case/10500701</vt:lpwstr>
      </vt:variant>
      <vt:variant>
        <vt:lpwstr/>
      </vt:variant>
      <vt:variant>
        <vt:i4>3866744</vt:i4>
      </vt:variant>
      <vt:variant>
        <vt:i4>78</vt:i4>
      </vt:variant>
      <vt:variant>
        <vt:i4>0</vt:i4>
      </vt:variant>
      <vt:variant>
        <vt:i4>5</vt:i4>
      </vt:variant>
      <vt:variant>
        <vt:lpwstr>http://www.nevo.co.il/case/20199517</vt:lpwstr>
      </vt:variant>
      <vt:variant>
        <vt:lpwstr/>
      </vt:variant>
      <vt:variant>
        <vt:i4>3342461</vt:i4>
      </vt:variant>
      <vt:variant>
        <vt:i4>75</vt:i4>
      </vt:variant>
      <vt:variant>
        <vt:i4>0</vt:i4>
      </vt:variant>
      <vt:variant>
        <vt:i4>5</vt:i4>
      </vt:variant>
      <vt:variant>
        <vt:lpwstr>http://www.nevo.co.il/case/20213808</vt:lpwstr>
      </vt:variant>
      <vt:variant>
        <vt:lpwstr/>
      </vt:variant>
      <vt:variant>
        <vt:i4>3407991</vt:i4>
      </vt:variant>
      <vt:variant>
        <vt:i4>72</vt:i4>
      </vt:variant>
      <vt:variant>
        <vt:i4>0</vt:i4>
      </vt:variant>
      <vt:variant>
        <vt:i4>5</vt:i4>
      </vt:variant>
      <vt:variant>
        <vt:lpwstr>http://www.nevo.co.il/case/18185314</vt:lpwstr>
      </vt:variant>
      <vt:variant>
        <vt:lpwstr/>
      </vt:variant>
      <vt:variant>
        <vt:i4>3145855</vt:i4>
      </vt:variant>
      <vt:variant>
        <vt:i4>69</vt:i4>
      </vt:variant>
      <vt:variant>
        <vt:i4>0</vt:i4>
      </vt:variant>
      <vt:variant>
        <vt:i4>5</vt:i4>
      </vt:variant>
      <vt:variant>
        <vt:lpwstr>http://www.nevo.co.il/case/20092201</vt:lpwstr>
      </vt:variant>
      <vt:variant>
        <vt:lpwstr/>
      </vt:variant>
      <vt:variant>
        <vt:i4>3735664</vt:i4>
      </vt:variant>
      <vt:variant>
        <vt:i4>66</vt:i4>
      </vt:variant>
      <vt:variant>
        <vt:i4>0</vt:i4>
      </vt:variant>
      <vt:variant>
        <vt:i4>5</vt:i4>
      </vt:variant>
      <vt:variant>
        <vt:lpwstr>http://www.nevo.co.il/case/2392654</vt:lpwstr>
      </vt:variant>
      <vt:variant>
        <vt:lpwstr/>
      </vt:variant>
      <vt:variant>
        <vt:i4>3145840</vt:i4>
      </vt:variant>
      <vt:variant>
        <vt:i4>63</vt:i4>
      </vt:variant>
      <vt:variant>
        <vt:i4>0</vt:i4>
      </vt:variant>
      <vt:variant>
        <vt:i4>5</vt:i4>
      </vt:variant>
      <vt:variant>
        <vt:lpwstr>http://www.nevo.co.il/case/21472242</vt:lpwstr>
      </vt:variant>
      <vt:variant>
        <vt:lpwstr/>
      </vt:variant>
      <vt:variant>
        <vt:i4>3866737</vt:i4>
      </vt:variant>
      <vt:variant>
        <vt:i4>60</vt:i4>
      </vt:variant>
      <vt:variant>
        <vt:i4>0</vt:i4>
      </vt:variant>
      <vt:variant>
        <vt:i4>5</vt:i4>
      </vt:variant>
      <vt:variant>
        <vt:lpwstr>http://www.nevo.co.il/case/5670039</vt:lpwstr>
      </vt:variant>
      <vt:variant>
        <vt:lpwstr/>
      </vt:variant>
      <vt:variant>
        <vt:i4>3276915</vt:i4>
      </vt:variant>
      <vt:variant>
        <vt:i4>57</vt:i4>
      </vt:variant>
      <vt:variant>
        <vt:i4>0</vt:i4>
      </vt:variant>
      <vt:variant>
        <vt:i4>5</vt:i4>
      </vt:variant>
      <vt:variant>
        <vt:lpwstr>http://www.nevo.co.il/case/6032057</vt:lpwstr>
      </vt:variant>
      <vt:variant>
        <vt:lpwstr/>
      </vt:variant>
      <vt:variant>
        <vt:i4>7995492</vt:i4>
      </vt:variant>
      <vt:variant>
        <vt:i4>54</vt:i4>
      </vt:variant>
      <vt:variant>
        <vt:i4>0</vt:i4>
      </vt:variant>
      <vt:variant>
        <vt:i4>5</vt:i4>
      </vt:variant>
      <vt:variant>
        <vt:lpwstr>http://www.nevo.co.il/law/70301</vt:lpwstr>
      </vt:variant>
      <vt:variant>
        <vt:lpwstr/>
      </vt:variant>
      <vt:variant>
        <vt:i4>4849670</vt:i4>
      </vt:variant>
      <vt:variant>
        <vt:i4>51</vt:i4>
      </vt:variant>
      <vt:variant>
        <vt:i4>0</vt:i4>
      </vt:variant>
      <vt:variant>
        <vt:i4>5</vt:i4>
      </vt:variant>
      <vt:variant>
        <vt:lpwstr>http://www.nevo.co.il/law/70301/71d.3</vt:lpwstr>
      </vt:variant>
      <vt:variant>
        <vt:lpwstr/>
      </vt:variant>
      <vt:variant>
        <vt:i4>8257634</vt:i4>
      </vt:variant>
      <vt:variant>
        <vt:i4>48</vt:i4>
      </vt:variant>
      <vt:variant>
        <vt:i4>0</vt:i4>
      </vt:variant>
      <vt:variant>
        <vt:i4>5</vt:i4>
      </vt:variant>
      <vt:variant>
        <vt:lpwstr>http://www.nevo.co.il/law/71553</vt:lpwstr>
      </vt:variant>
      <vt:variant>
        <vt:lpwstr/>
      </vt:variant>
      <vt:variant>
        <vt:i4>5570637</vt:i4>
      </vt:variant>
      <vt:variant>
        <vt:i4>45</vt:i4>
      </vt:variant>
      <vt:variant>
        <vt:i4>0</vt:i4>
      </vt:variant>
      <vt:variant>
        <vt:i4>5</vt:i4>
      </vt:variant>
      <vt:variant>
        <vt:lpwstr>http://www.nevo.co.il/law/71553/20.4</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http://www.nevo.co.il/law/70301/400</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5570637</vt:i4>
      </vt:variant>
      <vt:variant>
        <vt:i4>24</vt:i4>
      </vt:variant>
      <vt:variant>
        <vt:i4>0</vt:i4>
      </vt:variant>
      <vt:variant>
        <vt:i4>5</vt:i4>
      </vt:variant>
      <vt:variant>
        <vt:lpwstr>http://www.nevo.co.il/law/71553/20.4</vt:lpwstr>
      </vt:variant>
      <vt:variant>
        <vt:lpwstr/>
      </vt:variant>
      <vt:variant>
        <vt:i4>8257634</vt:i4>
      </vt:variant>
      <vt:variant>
        <vt:i4>21</vt:i4>
      </vt:variant>
      <vt:variant>
        <vt:i4>0</vt:i4>
      </vt:variant>
      <vt:variant>
        <vt:i4>5</vt:i4>
      </vt:variant>
      <vt:variant>
        <vt:lpwstr>http://www.nevo.co.il/law/71553</vt:lpwstr>
      </vt:variant>
      <vt:variant>
        <vt:lpwstr/>
      </vt:variant>
      <vt:variant>
        <vt:i4>6619233</vt:i4>
      </vt:variant>
      <vt:variant>
        <vt:i4>18</vt:i4>
      </vt:variant>
      <vt:variant>
        <vt:i4>0</vt:i4>
      </vt:variant>
      <vt:variant>
        <vt:i4>5</vt:i4>
      </vt:variant>
      <vt:variant>
        <vt:lpwstr>http://www.nevo.co.il/law/70301/400</vt:lpwstr>
      </vt:variant>
      <vt:variant>
        <vt:lpwstr/>
      </vt:variant>
      <vt:variant>
        <vt:i4>4849670</vt:i4>
      </vt:variant>
      <vt:variant>
        <vt:i4>15</vt:i4>
      </vt:variant>
      <vt:variant>
        <vt:i4>0</vt:i4>
      </vt:variant>
      <vt:variant>
        <vt:i4>5</vt:i4>
      </vt:variant>
      <vt:variant>
        <vt:lpwstr>http://www.nevo.co.il/law/70301/71d.3</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2025-04-22T23:38:00Z</dcterms:created>
  <dcterms:modified xsi:type="dcterms:W3CDTF">2025-04-22T23:38:00Z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19505</vt:lpwstr>
  </property>
  <property fmtid="{D5CDD505-2E9C-101B-9397-08002B2CF9AE}" pid="6" name="NEWPARTB">
    <vt:lpwstr>01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יוסי כהן</vt:lpwstr>
  </property>
  <property fmtid="{D5CDD505-2E9C-101B-9397-08002B2CF9AE}" pid="10" name="JUDGE">
    <vt:lpwstr>סימי פלג קימלוב</vt:lpwstr>
  </property>
  <property fmtid="{D5CDD505-2E9C-101B-9397-08002B2CF9AE}" pid="11" name="CITY">
    <vt:lpwstr>קריות</vt:lpwstr>
  </property>
  <property fmtid="{D5CDD505-2E9C-101B-9397-08002B2CF9AE}" pid="12" name="DATE">
    <vt:lpwstr>20230423</vt:lpwstr>
  </property>
  <property fmtid="{D5CDD505-2E9C-101B-9397-08002B2CF9AE}" pid="13" name="TYPE_N_DATE">
    <vt:lpwstr>38020230423</vt:lpwstr>
  </property>
  <property fmtid="{D5CDD505-2E9C-101B-9397-08002B2CF9AE}" pid="14" name="WORDNUMPAGES">
    <vt:lpwstr>7</vt:lpwstr>
  </property>
  <property fmtid="{D5CDD505-2E9C-101B-9397-08002B2CF9AE}" pid="15" name="TYPE_ABS_DATE">
    <vt:lpwstr>380020230423</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6032057;5670039;21472242;2392654;20092201;18185314;20213808;20199517;10500701;17015235;20402459;22355740</vt:lpwstr>
  </property>
  <property fmtid="{D5CDD505-2E9C-101B-9397-08002B2CF9AE}" pid="36" name="LAWLISTTMP1">
    <vt:lpwstr>4216/006;007.a;007.c</vt:lpwstr>
  </property>
  <property fmtid="{D5CDD505-2E9C-101B-9397-08002B2CF9AE}" pid="37" name="LAWLISTTMP2">
    <vt:lpwstr>70301/400;071d.3</vt:lpwstr>
  </property>
  <property fmtid="{D5CDD505-2E9C-101B-9397-08002B2CF9AE}" pid="38" name="LAWLISTTMP3">
    <vt:lpwstr>71553/020.4</vt:lpwstr>
  </property>
</Properties>
</file>