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8D3AB4" w:rsidRPr="00F12C3A" w14:paraId="63C0A4CC" w14:textId="77777777" w:rsidTr="00086D58">
        <w:trPr>
          <w:trHeight w:hRule="exact" w:val="418"/>
          <w:jc w:val="center"/>
        </w:trPr>
        <w:tc>
          <w:tcPr>
            <w:tcW w:w="8523" w:type="dxa"/>
            <w:gridSpan w:val="2"/>
          </w:tcPr>
          <w:p w14:paraId="0956D89D" w14:textId="77777777" w:rsidR="008D3AB4" w:rsidRPr="00F12C3A" w:rsidRDefault="008D3AB4" w:rsidP="00123D09">
            <w:pPr>
              <w:pStyle w:val="a3"/>
              <w:jc w:val="center"/>
              <w:rPr>
                <w:rFonts w:ascii="Tahoma" w:hAnsi="Tahoma"/>
                <w:color w:val="000080"/>
                <w:sz w:val="32"/>
                <w:szCs w:val="32"/>
                <w:rtl/>
              </w:rPr>
            </w:pPr>
            <w:bookmarkStart w:id="0" w:name="LastJudge"/>
            <w:r w:rsidRPr="00F12C3A">
              <w:rPr>
                <w:rFonts w:ascii="Tahoma" w:hAnsi="Tahoma"/>
                <w:b/>
                <w:bCs/>
                <w:color w:val="000080"/>
                <w:sz w:val="32"/>
                <w:szCs w:val="32"/>
                <w:rtl/>
              </w:rPr>
              <w:t>בית משפט השלום בתל אביב - יפו</w:t>
            </w:r>
          </w:p>
        </w:tc>
      </w:tr>
      <w:tr w:rsidR="008D3AB4" w:rsidRPr="00F12C3A" w14:paraId="3ED2BB34" w14:textId="77777777" w:rsidTr="00086D58">
        <w:trPr>
          <w:trHeight w:val="337"/>
          <w:jc w:val="center"/>
        </w:trPr>
        <w:tc>
          <w:tcPr>
            <w:tcW w:w="4945" w:type="dxa"/>
          </w:tcPr>
          <w:p w14:paraId="707F14ED" w14:textId="77777777" w:rsidR="008D3AB4" w:rsidRPr="00F12C3A" w:rsidRDefault="008D3AB4" w:rsidP="00123D09">
            <w:pPr>
              <w:rPr>
                <w:sz w:val="26"/>
                <w:szCs w:val="26"/>
                <w:rtl/>
              </w:rPr>
            </w:pPr>
            <w:r w:rsidRPr="00F12C3A">
              <w:rPr>
                <w:sz w:val="26"/>
                <w:szCs w:val="26"/>
                <w:rtl/>
              </w:rPr>
              <w:t>ת"פ</w:t>
            </w:r>
            <w:r w:rsidRPr="00F12C3A">
              <w:rPr>
                <w:rFonts w:hint="cs"/>
                <w:sz w:val="26"/>
                <w:szCs w:val="26"/>
                <w:rtl/>
              </w:rPr>
              <w:t xml:space="preserve"> </w:t>
            </w:r>
            <w:r w:rsidRPr="00F12C3A">
              <w:rPr>
                <w:sz w:val="26"/>
                <w:szCs w:val="26"/>
                <w:rtl/>
              </w:rPr>
              <w:t>21232-01-18</w:t>
            </w:r>
            <w:r w:rsidRPr="00F12C3A">
              <w:rPr>
                <w:rFonts w:hint="cs"/>
                <w:sz w:val="26"/>
                <w:szCs w:val="26"/>
                <w:rtl/>
              </w:rPr>
              <w:t xml:space="preserve"> </w:t>
            </w:r>
            <w:r w:rsidRPr="00F12C3A">
              <w:rPr>
                <w:sz w:val="26"/>
                <w:szCs w:val="26"/>
                <w:rtl/>
              </w:rPr>
              <w:t>מדינת ישראל נ' עגיב</w:t>
            </w:r>
          </w:p>
        </w:tc>
        <w:tc>
          <w:tcPr>
            <w:tcW w:w="3578" w:type="dxa"/>
          </w:tcPr>
          <w:p w14:paraId="5652BABD" w14:textId="77777777" w:rsidR="008D3AB4" w:rsidRPr="00F12C3A" w:rsidRDefault="008D3AB4" w:rsidP="00123D09">
            <w:pPr>
              <w:pStyle w:val="a3"/>
              <w:jc w:val="right"/>
              <w:rPr>
                <w:rFonts w:cs="FrankRuehl"/>
                <w:sz w:val="28"/>
                <w:szCs w:val="28"/>
                <w:rtl/>
              </w:rPr>
            </w:pPr>
          </w:p>
        </w:tc>
      </w:tr>
    </w:tbl>
    <w:p w14:paraId="35648BDD" w14:textId="77777777" w:rsidR="008D3AB4" w:rsidRPr="00F12C3A" w:rsidRDefault="008D3AB4" w:rsidP="008D3AB4">
      <w:pPr>
        <w:pStyle w:val="a3"/>
        <w:rPr>
          <w:rtl/>
        </w:rPr>
      </w:pPr>
      <w:r w:rsidRPr="00F12C3A">
        <w:rPr>
          <w:rFonts w:hint="cs"/>
          <w:rtl/>
        </w:rPr>
        <w:t xml:space="preserve"> </w:t>
      </w:r>
    </w:p>
    <w:p w14:paraId="6D566C2F" w14:textId="77777777" w:rsidR="008D3AB4" w:rsidRPr="00F12C3A" w:rsidRDefault="008D3AB4" w:rsidP="008D3AB4">
      <w:pPr>
        <w:rPr>
          <w:rtl/>
        </w:rPr>
      </w:pPr>
    </w:p>
    <w:p w14:paraId="27812B2E" w14:textId="77777777" w:rsidR="008D3AB4" w:rsidRPr="00F12C3A" w:rsidRDefault="008D3AB4" w:rsidP="008D3AB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2"/>
        <w:gridCol w:w="3326"/>
      </w:tblGrid>
      <w:tr w:rsidR="008D3AB4" w:rsidRPr="00F12C3A" w14:paraId="53C8D19F" w14:textId="77777777" w:rsidTr="008D3AB4">
        <w:trPr>
          <w:trHeight w:val="295"/>
          <w:jc w:val="center"/>
        </w:trPr>
        <w:tc>
          <w:tcPr>
            <w:tcW w:w="8820" w:type="dxa"/>
            <w:gridSpan w:val="3"/>
            <w:tcBorders>
              <w:top w:val="nil"/>
              <w:left w:val="nil"/>
              <w:bottom w:val="nil"/>
              <w:right w:val="nil"/>
            </w:tcBorders>
            <w:shd w:val="clear" w:color="auto" w:fill="auto"/>
          </w:tcPr>
          <w:p w14:paraId="216250F7" w14:textId="77777777" w:rsidR="008D3AB4" w:rsidRPr="00F12C3A" w:rsidRDefault="008D3AB4" w:rsidP="008D3AB4">
            <w:pPr>
              <w:jc w:val="both"/>
              <w:rPr>
                <w:rFonts w:ascii="Arial" w:hAnsi="Arial"/>
                <w:b/>
                <w:bCs/>
                <w:sz w:val="26"/>
                <w:szCs w:val="26"/>
              </w:rPr>
            </w:pPr>
            <w:r w:rsidRPr="00F12C3A">
              <w:rPr>
                <w:rFonts w:ascii="Arial" w:hAnsi="Arial" w:hint="cs"/>
                <w:b/>
                <w:bCs/>
                <w:sz w:val="26"/>
                <w:szCs w:val="26"/>
                <w:rtl/>
              </w:rPr>
              <w:t>ל</w:t>
            </w:r>
            <w:r w:rsidRPr="00F12C3A">
              <w:rPr>
                <w:rFonts w:ascii="Arial" w:hAnsi="Arial"/>
                <w:b/>
                <w:bCs/>
                <w:sz w:val="26"/>
                <w:szCs w:val="26"/>
                <w:rtl/>
              </w:rPr>
              <w:t xml:space="preserve">פני </w:t>
            </w:r>
            <w:r w:rsidRPr="00F12C3A">
              <w:rPr>
                <w:rFonts w:ascii="Arial" w:hAnsi="Arial" w:hint="cs"/>
                <w:b/>
                <w:bCs/>
                <w:sz w:val="26"/>
                <w:szCs w:val="26"/>
                <w:rtl/>
              </w:rPr>
              <w:t>כבוד ה</w:t>
            </w:r>
            <w:r w:rsidRPr="00F12C3A">
              <w:rPr>
                <w:rFonts w:ascii="Arial" w:hAnsi="Arial"/>
                <w:b/>
                <w:bCs/>
                <w:sz w:val="26"/>
                <w:szCs w:val="26"/>
                <w:rtl/>
              </w:rPr>
              <w:t>שופט</w:t>
            </w:r>
            <w:r w:rsidRPr="00F12C3A">
              <w:rPr>
                <w:rFonts w:ascii="Arial" w:hAnsi="Arial" w:hint="cs"/>
                <w:b/>
                <w:bCs/>
                <w:sz w:val="26"/>
                <w:szCs w:val="26"/>
                <w:rtl/>
              </w:rPr>
              <w:t xml:space="preserve">  </w:t>
            </w:r>
            <w:r w:rsidRPr="00F12C3A">
              <w:rPr>
                <w:rFonts w:ascii="Arial" w:hAnsi="Arial"/>
                <w:b/>
                <w:bCs/>
                <w:sz w:val="26"/>
                <w:szCs w:val="26"/>
                <w:rtl/>
              </w:rPr>
              <w:t>רועי פרי</w:t>
            </w:r>
          </w:p>
        </w:tc>
      </w:tr>
      <w:tr w:rsidR="008D3AB4" w:rsidRPr="00F12C3A" w14:paraId="0B16E1E5" w14:textId="77777777" w:rsidTr="008D3AB4">
        <w:trPr>
          <w:trHeight w:val="355"/>
          <w:jc w:val="center"/>
        </w:trPr>
        <w:tc>
          <w:tcPr>
            <w:tcW w:w="885" w:type="dxa"/>
            <w:tcBorders>
              <w:top w:val="nil"/>
              <w:left w:val="nil"/>
              <w:bottom w:val="nil"/>
              <w:right w:val="nil"/>
            </w:tcBorders>
            <w:shd w:val="clear" w:color="auto" w:fill="auto"/>
          </w:tcPr>
          <w:p w14:paraId="5A1E9BF3" w14:textId="77777777" w:rsidR="008D3AB4" w:rsidRPr="00F12C3A" w:rsidRDefault="008D3AB4" w:rsidP="008D3AB4">
            <w:pPr>
              <w:jc w:val="both"/>
              <w:rPr>
                <w:rFonts w:ascii="Arial" w:hAnsi="Arial"/>
                <w:b/>
                <w:bCs/>
                <w:sz w:val="26"/>
                <w:szCs w:val="26"/>
                <w:rtl/>
              </w:rPr>
            </w:pPr>
            <w:bookmarkStart w:id="1" w:name="FirstAppellant"/>
          </w:p>
          <w:p w14:paraId="6351954A" w14:textId="77777777" w:rsidR="008D3AB4" w:rsidRPr="00F12C3A" w:rsidRDefault="008D3AB4" w:rsidP="008D3AB4">
            <w:pPr>
              <w:jc w:val="both"/>
              <w:rPr>
                <w:rFonts w:ascii="Arial" w:hAnsi="Arial"/>
                <w:b/>
                <w:bCs/>
                <w:sz w:val="26"/>
                <w:szCs w:val="26"/>
              </w:rPr>
            </w:pPr>
            <w:r w:rsidRPr="00F12C3A">
              <w:rPr>
                <w:rFonts w:ascii="Arial" w:hAnsi="Arial" w:hint="cs"/>
                <w:b/>
                <w:bCs/>
                <w:sz w:val="26"/>
                <w:szCs w:val="26"/>
                <w:rtl/>
              </w:rPr>
              <w:t>ה</w:t>
            </w:r>
            <w:r w:rsidRPr="00F12C3A">
              <w:rPr>
                <w:rFonts w:ascii="Arial" w:hAnsi="Arial"/>
                <w:b/>
                <w:bCs/>
                <w:sz w:val="26"/>
                <w:szCs w:val="26"/>
                <w:rtl/>
              </w:rPr>
              <w:t>מאשימה</w:t>
            </w:r>
            <w:r w:rsidRPr="00F12C3A">
              <w:rPr>
                <w:rFonts w:ascii="Arial" w:hAnsi="Arial" w:hint="cs"/>
                <w:b/>
                <w:bCs/>
                <w:sz w:val="26"/>
                <w:szCs w:val="26"/>
                <w:rtl/>
              </w:rPr>
              <w:t>:</w:t>
            </w:r>
          </w:p>
        </w:tc>
        <w:tc>
          <w:tcPr>
            <w:tcW w:w="4384" w:type="dxa"/>
            <w:tcBorders>
              <w:top w:val="nil"/>
              <w:left w:val="nil"/>
              <w:bottom w:val="nil"/>
              <w:right w:val="nil"/>
            </w:tcBorders>
            <w:shd w:val="clear" w:color="auto" w:fill="auto"/>
          </w:tcPr>
          <w:p w14:paraId="4BD913D2" w14:textId="77777777" w:rsidR="008D3AB4" w:rsidRPr="00F12C3A" w:rsidRDefault="008D3AB4" w:rsidP="00123D09">
            <w:pPr>
              <w:rPr>
                <w:b/>
                <w:bCs/>
                <w:sz w:val="26"/>
                <w:szCs w:val="26"/>
                <w:rtl/>
              </w:rPr>
            </w:pPr>
            <w:r w:rsidRPr="00F12C3A">
              <w:rPr>
                <w:rFonts w:ascii="Arial" w:hAnsi="Arial"/>
                <w:b/>
                <w:bCs/>
                <w:sz w:val="26"/>
                <w:szCs w:val="26"/>
                <w:rtl/>
              </w:rPr>
              <w:br/>
              <w:t>מדינת ישראל</w:t>
            </w:r>
            <w:r w:rsidRPr="00F12C3A">
              <w:rPr>
                <w:rFonts w:ascii="Arial" w:hAnsi="Arial"/>
                <w:b/>
                <w:bCs/>
                <w:sz w:val="26"/>
                <w:szCs w:val="26"/>
                <w:rtl/>
              </w:rPr>
              <w:br/>
            </w:r>
            <w:r w:rsidRPr="00F12C3A">
              <w:rPr>
                <w:rFonts w:hint="cs"/>
                <w:b/>
                <w:bCs/>
                <w:sz w:val="26"/>
                <w:szCs w:val="26"/>
                <w:rtl/>
              </w:rPr>
              <w:t>באמצעות תביעות תל אביב</w:t>
            </w:r>
          </w:p>
          <w:p w14:paraId="61DA3442" w14:textId="77777777" w:rsidR="008D3AB4" w:rsidRPr="00F12C3A" w:rsidRDefault="008D3AB4" w:rsidP="00123D09">
            <w:pPr>
              <w:rPr>
                <w:b/>
                <w:bCs/>
                <w:sz w:val="26"/>
                <w:szCs w:val="26"/>
              </w:rPr>
            </w:pPr>
            <w:r w:rsidRPr="00F12C3A">
              <w:rPr>
                <w:rFonts w:hint="cs"/>
                <w:b/>
                <w:bCs/>
                <w:sz w:val="26"/>
                <w:szCs w:val="26"/>
                <w:rtl/>
              </w:rPr>
              <w:t>ע"י  עו"ד בן משה ומתמחה שיראל כהן</w:t>
            </w:r>
          </w:p>
        </w:tc>
        <w:tc>
          <w:tcPr>
            <w:tcW w:w="3551" w:type="dxa"/>
            <w:tcBorders>
              <w:top w:val="nil"/>
              <w:left w:val="nil"/>
              <w:bottom w:val="nil"/>
              <w:right w:val="nil"/>
            </w:tcBorders>
            <w:shd w:val="clear" w:color="auto" w:fill="auto"/>
          </w:tcPr>
          <w:p w14:paraId="0B13A112" w14:textId="77777777" w:rsidR="008D3AB4" w:rsidRPr="00F12C3A" w:rsidRDefault="008D3AB4" w:rsidP="008D3AB4">
            <w:pPr>
              <w:jc w:val="both"/>
              <w:rPr>
                <w:rFonts w:ascii="Arial" w:hAnsi="Arial"/>
                <w:sz w:val="26"/>
                <w:szCs w:val="26"/>
              </w:rPr>
            </w:pPr>
          </w:p>
        </w:tc>
      </w:tr>
      <w:bookmarkEnd w:id="1"/>
      <w:tr w:rsidR="008D3AB4" w:rsidRPr="00F12C3A" w14:paraId="030003FC" w14:textId="77777777" w:rsidTr="008D3AB4">
        <w:trPr>
          <w:trHeight w:val="373"/>
          <w:jc w:val="center"/>
        </w:trPr>
        <w:tc>
          <w:tcPr>
            <w:tcW w:w="885" w:type="dxa"/>
            <w:tcBorders>
              <w:top w:val="nil"/>
              <w:left w:val="nil"/>
              <w:bottom w:val="nil"/>
              <w:right w:val="nil"/>
            </w:tcBorders>
            <w:shd w:val="clear" w:color="auto" w:fill="auto"/>
          </w:tcPr>
          <w:p w14:paraId="07E4C412" w14:textId="77777777" w:rsidR="008D3AB4" w:rsidRPr="00F12C3A" w:rsidRDefault="008D3AB4" w:rsidP="008D3AB4">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6E428AA7" w14:textId="77777777" w:rsidR="008D3AB4" w:rsidRPr="00F12C3A" w:rsidRDefault="008D3AB4" w:rsidP="008D3AB4">
            <w:pPr>
              <w:jc w:val="center"/>
              <w:rPr>
                <w:rFonts w:ascii="Arial" w:hAnsi="Arial"/>
                <w:b/>
                <w:bCs/>
                <w:sz w:val="26"/>
                <w:szCs w:val="26"/>
                <w:rtl/>
              </w:rPr>
            </w:pPr>
          </w:p>
          <w:p w14:paraId="09CE17A4" w14:textId="77777777" w:rsidR="008D3AB4" w:rsidRPr="00F12C3A" w:rsidRDefault="008D3AB4" w:rsidP="008D3AB4">
            <w:pPr>
              <w:jc w:val="center"/>
              <w:rPr>
                <w:rFonts w:ascii="Arial" w:hAnsi="Arial"/>
                <w:b/>
                <w:bCs/>
                <w:sz w:val="26"/>
                <w:szCs w:val="26"/>
                <w:rtl/>
              </w:rPr>
            </w:pPr>
            <w:r w:rsidRPr="00F12C3A">
              <w:rPr>
                <w:rFonts w:ascii="Arial" w:hAnsi="Arial"/>
                <w:b/>
                <w:bCs/>
                <w:sz w:val="26"/>
                <w:szCs w:val="26"/>
                <w:rtl/>
              </w:rPr>
              <w:t>נגד</w:t>
            </w:r>
          </w:p>
          <w:p w14:paraId="426DA281" w14:textId="77777777" w:rsidR="008D3AB4" w:rsidRPr="00F12C3A" w:rsidRDefault="008D3AB4" w:rsidP="008D3AB4">
            <w:pPr>
              <w:jc w:val="both"/>
              <w:rPr>
                <w:rFonts w:ascii="Arial" w:hAnsi="Arial"/>
                <w:b/>
                <w:bCs/>
                <w:sz w:val="26"/>
                <w:szCs w:val="26"/>
              </w:rPr>
            </w:pPr>
          </w:p>
        </w:tc>
      </w:tr>
      <w:tr w:rsidR="008D3AB4" w:rsidRPr="00F12C3A" w14:paraId="3666B8F9" w14:textId="77777777" w:rsidTr="008D3AB4">
        <w:trPr>
          <w:trHeight w:val="355"/>
          <w:jc w:val="center"/>
        </w:trPr>
        <w:tc>
          <w:tcPr>
            <w:tcW w:w="885" w:type="dxa"/>
            <w:tcBorders>
              <w:top w:val="nil"/>
              <w:left w:val="nil"/>
              <w:bottom w:val="nil"/>
              <w:right w:val="nil"/>
            </w:tcBorders>
            <w:shd w:val="clear" w:color="auto" w:fill="auto"/>
          </w:tcPr>
          <w:p w14:paraId="32A59B36" w14:textId="77777777" w:rsidR="008D3AB4" w:rsidRPr="00F12C3A" w:rsidRDefault="008D3AB4" w:rsidP="00123D09">
            <w:pPr>
              <w:rPr>
                <w:rFonts w:ascii="Arial" w:hAnsi="Arial"/>
                <w:b/>
                <w:bCs/>
                <w:sz w:val="26"/>
                <w:szCs w:val="26"/>
                <w:rtl/>
              </w:rPr>
            </w:pPr>
            <w:bookmarkStart w:id="2" w:name="FirstLawyer"/>
            <w:r w:rsidRPr="00F12C3A">
              <w:rPr>
                <w:rFonts w:ascii="Arial" w:hAnsi="Arial" w:hint="cs"/>
                <w:b/>
                <w:bCs/>
                <w:sz w:val="26"/>
                <w:szCs w:val="26"/>
                <w:rtl/>
              </w:rPr>
              <w:t>ה</w:t>
            </w:r>
            <w:r w:rsidRPr="00F12C3A">
              <w:rPr>
                <w:rFonts w:ascii="Arial" w:hAnsi="Arial"/>
                <w:b/>
                <w:bCs/>
                <w:sz w:val="26"/>
                <w:szCs w:val="26"/>
                <w:rtl/>
              </w:rPr>
              <w:t>נאש</w:t>
            </w:r>
            <w:r w:rsidRPr="00F12C3A">
              <w:rPr>
                <w:rFonts w:ascii="Arial" w:hAnsi="Arial" w:hint="cs"/>
                <w:b/>
                <w:bCs/>
                <w:sz w:val="26"/>
                <w:szCs w:val="26"/>
                <w:rtl/>
              </w:rPr>
              <w:t>ם:</w:t>
            </w:r>
          </w:p>
        </w:tc>
        <w:tc>
          <w:tcPr>
            <w:tcW w:w="4384" w:type="dxa"/>
            <w:tcBorders>
              <w:top w:val="nil"/>
              <w:left w:val="nil"/>
              <w:bottom w:val="nil"/>
              <w:right w:val="nil"/>
            </w:tcBorders>
            <w:shd w:val="clear" w:color="auto" w:fill="auto"/>
          </w:tcPr>
          <w:p w14:paraId="16403718" w14:textId="77777777" w:rsidR="008D3AB4" w:rsidRPr="00F12C3A" w:rsidRDefault="008D3AB4" w:rsidP="00123D09">
            <w:pPr>
              <w:rPr>
                <w:b/>
                <w:bCs/>
                <w:sz w:val="26"/>
                <w:szCs w:val="26"/>
                <w:rtl/>
              </w:rPr>
            </w:pPr>
            <w:r w:rsidRPr="00F12C3A">
              <w:rPr>
                <w:rFonts w:ascii="Arial" w:hAnsi="Arial"/>
                <w:b/>
                <w:bCs/>
                <w:sz w:val="26"/>
                <w:szCs w:val="26"/>
                <w:rtl/>
              </w:rPr>
              <w:t>ליאור עגיב</w:t>
            </w:r>
          </w:p>
          <w:p w14:paraId="388E6158" w14:textId="77777777" w:rsidR="008D3AB4" w:rsidRPr="00F12C3A" w:rsidRDefault="008D3AB4" w:rsidP="00123D09">
            <w:pPr>
              <w:rPr>
                <w:b/>
                <w:bCs/>
                <w:sz w:val="26"/>
                <w:szCs w:val="26"/>
                <w:rtl/>
              </w:rPr>
            </w:pPr>
            <w:r w:rsidRPr="00F12C3A">
              <w:rPr>
                <w:rFonts w:hint="cs"/>
                <w:b/>
                <w:bCs/>
                <w:sz w:val="26"/>
                <w:szCs w:val="26"/>
                <w:rtl/>
              </w:rPr>
              <w:t>ע"י ב"כ עו"ד ליאור פרי</w:t>
            </w:r>
          </w:p>
        </w:tc>
        <w:tc>
          <w:tcPr>
            <w:tcW w:w="3551" w:type="dxa"/>
            <w:tcBorders>
              <w:top w:val="nil"/>
              <w:left w:val="nil"/>
              <w:bottom w:val="nil"/>
              <w:right w:val="nil"/>
            </w:tcBorders>
            <w:shd w:val="clear" w:color="auto" w:fill="auto"/>
          </w:tcPr>
          <w:p w14:paraId="49394DB3" w14:textId="77777777" w:rsidR="008D3AB4" w:rsidRPr="00F12C3A" w:rsidRDefault="008D3AB4" w:rsidP="008D3AB4">
            <w:pPr>
              <w:jc w:val="right"/>
              <w:rPr>
                <w:rFonts w:ascii="Arial" w:hAnsi="Arial"/>
                <w:sz w:val="26"/>
                <w:szCs w:val="26"/>
              </w:rPr>
            </w:pPr>
          </w:p>
        </w:tc>
      </w:tr>
    </w:tbl>
    <w:p w14:paraId="1DD30658" w14:textId="77777777" w:rsidR="00086D58" w:rsidRPr="00086D58" w:rsidRDefault="00086D58" w:rsidP="00086D58">
      <w:pPr>
        <w:spacing w:before="120" w:after="120" w:line="240" w:lineRule="exact"/>
        <w:ind w:left="283" w:hanging="283"/>
        <w:jc w:val="both"/>
        <w:rPr>
          <w:rFonts w:ascii="FrankRuehl" w:hAnsi="FrankRuehl" w:cs="FrankRuehl"/>
        </w:rPr>
      </w:pPr>
      <w:bookmarkStart w:id="3" w:name="LawTable"/>
      <w:bookmarkEnd w:id="2"/>
      <w:bookmarkEnd w:id="3"/>
      <w:r w:rsidRPr="00086D58">
        <w:rPr>
          <w:rFonts w:ascii="FrankRuehl" w:hAnsi="FrankRuehl" w:cs="FrankRuehl"/>
          <w:rtl/>
        </w:rPr>
        <w:t xml:space="preserve">חקיקה שאוזכרה: </w:t>
      </w:r>
    </w:p>
    <w:p w14:paraId="43A7284C" w14:textId="77777777" w:rsidR="00086D58" w:rsidRPr="00086D58" w:rsidRDefault="00086D58" w:rsidP="00086D58">
      <w:pPr>
        <w:spacing w:before="120" w:after="120" w:line="240" w:lineRule="exact"/>
        <w:ind w:left="283" w:hanging="283"/>
        <w:jc w:val="both"/>
        <w:rPr>
          <w:rFonts w:ascii="FrankRuehl" w:hAnsi="FrankRuehl" w:cs="FrankRuehl"/>
        </w:rPr>
      </w:pPr>
      <w:hyperlink r:id="rId7" w:history="1">
        <w:r w:rsidRPr="00086D58">
          <w:rPr>
            <w:rFonts w:ascii="FrankRuehl" w:hAnsi="FrankRuehl" w:cs="FrankRuehl"/>
            <w:color w:val="0000FF"/>
            <w:u w:val="single"/>
            <w:rtl/>
          </w:rPr>
          <w:t>פקודת הסמים המסוכנים [נוסח חדש], תשל"ג-1973</w:t>
        </w:r>
      </w:hyperlink>
      <w:r w:rsidRPr="00086D58">
        <w:rPr>
          <w:rFonts w:ascii="FrankRuehl" w:hAnsi="FrankRuehl" w:cs="FrankRuehl"/>
        </w:rPr>
        <w:t xml:space="preserve">: </w:t>
      </w:r>
      <w:r w:rsidRPr="00086D58">
        <w:rPr>
          <w:rFonts w:ascii="FrankRuehl" w:hAnsi="FrankRuehl" w:cs="FrankRuehl"/>
          <w:rtl/>
        </w:rPr>
        <w:t>סע</w:t>
      </w:r>
      <w:r w:rsidRPr="00086D58">
        <w:rPr>
          <w:rFonts w:ascii="FrankRuehl" w:hAnsi="FrankRuehl" w:cs="FrankRuehl"/>
        </w:rPr>
        <w:t xml:space="preserve">'  </w:t>
      </w:r>
      <w:hyperlink r:id="rId8" w:history="1">
        <w:r w:rsidRPr="00086D58">
          <w:rPr>
            <w:rFonts w:ascii="FrankRuehl" w:hAnsi="FrankRuehl" w:cs="FrankRuehl"/>
            <w:color w:val="0000FF"/>
            <w:u w:val="single"/>
          </w:rPr>
          <w:t>6</w:t>
        </w:r>
      </w:hyperlink>
      <w:r w:rsidRPr="00086D58">
        <w:rPr>
          <w:rFonts w:ascii="FrankRuehl" w:hAnsi="FrankRuehl" w:cs="FrankRuehl"/>
        </w:rPr>
        <w:t xml:space="preserve">, </w:t>
      </w:r>
      <w:hyperlink r:id="rId9" w:history="1">
        <w:r w:rsidRPr="00086D58">
          <w:rPr>
            <w:rFonts w:ascii="FrankRuehl" w:hAnsi="FrankRuehl" w:cs="FrankRuehl"/>
            <w:color w:val="0000FF"/>
            <w:u w:val="single"/>
          </w:rPr>
          <w:t>7(</w:t>
        </w:r>
        <w:r w:rsidRPr="00086D58">
          <w:rPr>
            <w:rFonts w:ascii="FrankRuehl" w:hAnsi="FrankRuehl" w:cs="FrankRuehl"/>
            <w:color w:val="0000FF"/>
            <w:u w:val="single"/>
            <w:rtl/>
          </w:rPr>
          <w:t>א</w:t>
        </w:r>
        <w:r w:rsidRPr="00086D58">
          <w:rPr>
            <w:rFonts w:ascii="FrankRuehl" w:hAnsi="FrankRuehl" w:cs="FrankRuehl"/>
            <w:color w:val="0000FF"/>
            <w:u w:val="single"/>
          </w:rPr>
          <w:t>)</w:t>
        </w:r>
      </w:hyperlink>
      <w:r w:rsidRPr="00086D58">
        <w:rPr>
          <w:rFonts w:ascii="FrankRuehl" w:hAnsi="FrankRuehl" w:cs="FrankRuehl"/>
        </w:rPr>
        <w:t xml:space="preserve">, </w:t>
      </w:r>
      <w:hyperlink r:id="rId10" w:history="1">
        <w:r w:rsidRPr="00086D58">
          <w:rPr>
            <w:rFonts w:ascii="FrankRuehl" w:hAnsi="FrankRuehl" w:cs="FrankRuehl"/>
            <w:color w:val="0000FF"/>
            <w:u w:val="single"/>
          </w:rPr>
          <w:t>7(</w:t>
        </w:r>
        <w:r w:rsidRPr="00086D58">
          <w:rPr>
            <w:rFonts w:ascii="FrankRuehl" w:hAnsi="FrankRuehl" w:cs="FrankRuehl"/>
            <w:color w:val="0000FF"/>
            <w:u w:val="single"/>
            <w:rtl/>
          </w:rPr>
          <w:t>ג</w:t>
        </w:r>
        <w:r w:rsidRPr="00086D58">
          <w:rPr>
            <w:rFonts w:ascii="FrankRuehl" w:hAnsi="FrankRuehl" w:cs="FrankRuehl"/>
            <w:color w:val="0000FF"/>
            <w:u w:val="single"/>
          </w:rPr>
          <w:t>)</w:t>
        </w:r>
      </w:hyperlink>
      <w:r w:rsidRPr="00086D58">
        <w:rPr>
          <w:rFonts w:ascii="FrankRuehl" w:hAnsi="FrankRuehl" w:cs="FrankRuehl"/>
        </w:rPr>
        <w:t xml:space="preserve">, </w:t>
      </w:r>
      <w:hyperlink r:id="rId11" w:history="1">
        <w:r w:rsidRPr="00086D58">
          <w:rPr>
            <w:rFonts w:ascii="FrankRuehl" w:hAnsi="FrankRuehl" w:cs="FrankRuehl"/>
            <w:color w:val="0000FF"/>
            <w:u w:val="single"/>
          </w:rPr>
          <w:t>10</w:t>
        </w:r>
      </w:hyperlink>
      <w:r w:rsidRPr="00086D58">
        <w:rPr>
          <w:rFonts w:ascii="FrankRuehl" w:hAnsi="FrankRuehl" w:cs="FrankRuehl"/>
        </w:rPr>
        <w:t xml:space="preserve">, </w:t>
      </w:r>
      <w:hyperlink r:id="rId12" w:history="1">
        <w:r w:rsidRPr="00086D58">
          <w:rPr>
            <w:rFonts w:ascii="FrankRuehl" w:hAnsi="FrankRuehl" w:cs="FrankRuehl"/>
            <w:color w:val="0000FF"/>
            <w:u w:val="single"/>
          </w:rPr>
          <w:t>36</w:t>
        </w:r>
        <w:r w:rsidRPr="00086D58">
          <w:rPr>
            <w:rFonts w:ascii="FrankRuehl" w:hAnsi="FrankRuehl" w:cs="FrankRuehl"/>
            <w:color w:val="0000FF"/>
            <w:u w:val="single"/>
            <w:rtl/>
          </w:rPr>
          <w:t>א(א</w:t>
        </w:r>
        <w:r w:rsidRPr="00086D58">
          <w:rPr>
            <w:rFonts w:ascii="FrankRuehl" w:hAnsi="FrankRuehl" w:cs="FrankRuehl"/>
            <w:color w:val="0000FF"/>
            <w:u w:val="single"/>
          </w:rPr>
          <w:t>)</w:t>
        </w:r>
      </w:hyperlink>
      <w:r w:rsidRPr="00086D58">
        <w:rPr>
          <w:rFonts w:ascii="FrankRuehl" w:hAnsi="FrankRuehl" w:cs="FrankRuehl"/>
        </w:rPr>
        <w:t xml:space="preserve">, </w:t>
      </w:r>
      <w:hyperlink r:id="rId13" w:history="1">
        <w:r w:rsidRPr="00086D58">
          <w:rPr>
            <w:rFonts w:ascii="FrankRuehl" w:hAnsi="FrankRuehl" w:cs="FrankRuehl"/>
            <w:color w:val="0000FF"/>
            <w:u w:val="single"/>
          </w:rPr>
          <w:t>36</w:t>
        </w:r>
        <w:r w:rsidRPr="00086D58">
          <w:rPr>
            <w:rFonts w:ascii="FrankRuehl" w:hAnsi="FrankRuehl" w:cs="FrankRuehl"/>
            <w:color w:val="0000FF"/>
            <w:u w:val="single"/>
            <w:rtl/>
          </w:rPr>
          <w:t>א(ב</w:t>
        </w:r>
        <w:r w:rsidRPr="00086D58">
          <w:rPr>
            <w:rFonts w:ascii="FrankRuehl" w:hAnsi="FrankRuehl" w:cs="FrankRuehl"/>
            <w:color w:val="0000FF"/>
            <w:u w:val="single"/>
          </w:rPr>
          <w:t>)</w:t>
        </w:r>
      </w:hyperlink>
    </w:p>
    <w:p w14:paraId="7EC1CCA3" w14:textId="77777777" w:rsidR="00086D58" w:rsidRPr="00086D58" w:rsidRDefault="00086D58" w:rsidP="00086D58">
      <w:pPr>
        <w:spacing w:before="120" w:after="120" w:line="240" w:lineRule="exact"/>
        <w:ind w:left="283" w:hanging="283"/>
        <w:jc w:val="both"/>
        <w:rPr>
          <w:rFonts w:ascii="FrankRuehl" w:hAnsi="FrankRuehl" w:cs="FrankRuehl"/>
        </w:rPr>
      </w:pPr>
      <w:hyperlink r:id="rId14" w:history="1">
        <w:r w:rsidRPr="00086D58">
          <w:rPr>
            <w:rFonts w:ascii="FrankRuehl" w:hAnsi="FrankRuehl" w:cs="FrankRuehl"/>
            <w:color w:val="0000FF"/>
            <w:u w:val="single"/>
            <w:rtl/>
          </w:rPr>
          <w:t>חוק העונשין, תשל"ז-1977</w:t>
        </w:r>
      </w:hyperlink>
      <w:r w:rsidRPr="00086D58">
        <w:rPr>
          <w:rFonts w:ascii="FrankRuehl" w:hAnsi="FrankRuehl" w:cs="FrankRuehl"/>
        </w:rPr>
        <w:t xml:space="preserve">: </w:t>
      </w:r>
      <w:r w:rsidRPr="00086D58">
        <w:rPr>
          <w:rFonts w:ascii="FrankRuehl" w:hAnsi="FrankRuehl" w:cs="FrankRuehl"/>
          <w:rtl/>
        </w:rPr>
        <w:t>סע</w:t>
      </w:r>
      <w:r w:rsidRPr="00086D58">
        <w:rPr>
          <w:rFonts w:ascii="FrankRuehl" w:hAnsi="FrankRuehl" w:cs="FrankRuehl"/>
        </w:rPr>
        <w:t xml:space="preserve">'  </w:t>
      </w:r>
      <w:hyperlink r:id="rId15" w:history="1">
        <w:r w:rsidRPr="00086D58">
          <w:rPr>
            <w:rFonts w:ascii="FrankRuehl" w:hAnsi="FrankRuehl" w:cs="FrankRuehl"/>
            <w:color w:val="0000FF"/>
            <w:u w:val="single"/>
          </w:rPr>
          <w:t>40</w:t>
        </w:r>
        <w:r w:rsidRPr="00086D58">
          <w:rPr>
            <w:rFonts w:ascii="FrankRuehl" w:hAnsi="FrankRuehl" w:cs="FrankRuehl"/>
            <w:color w:val="0000FF"/>
            <w:u w:val="single"/>
            <w:rtl/>
          </w:rPr>
          <w:t>ד</w:t>
        </w:r>
      </w:hyperlink>
    </w:p>
    <w:p w14:paraId="6BD49208" w14:textId="77777777" w:rsidR="008D3AB4" w:rsidRPr="00086D58" w:rsidRDefault="008D3AB4" w:rsidP="00086D58">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3AB4" w14:paraId="1BB83DAA" w14:textId="77777777" w:rsidTr="008D3AB4">
        <w:trPr>
          <w:trHeight w:val="355"/>
          <w:jc w:val="center"/>
        </w:trPr>
        <w:tc>
          <w:tcPr>
            <w:tcW w:w="8820" w:type="dxa"/>
            <w:tcBorders>
              <w:top w:val="nil"/>
              <w:left w:val="nil"/>
              <w:bottom w:val="nil"/>
              <w:right w:val="nil"/>
            </w:tcBorders>
            <w:shd w:val="clear" w:color="auto" w:fill="auto"/>
          </w:tcPr>
          <w:p w14:paraId="54F330D2" w14:textId="77777777" w:rsidR="00F12C3A" w:rsidRPr="00F12C3A" w:rsidRDefault="00F12C3A" w:rsidP="00F12C3A">
            <w:pPr>
              <w:jc w:val="center"/>
              <w:rPr>
                <w:rFonts w:ascii="Arial" w:hAnsi="Arial"/>
                <w:b/>
                <w:bCs/>
                <w:sz w:val="28"/>
                <w:szCs w:val="28"/>
                <w:rtl/>
              </w:rPr>
            </w:pPr>
            <w:bookmarkStart w:id="5" w:name="PsakDin" w:colFirst="0" w:colLast="0"/>
            <w:bookmarkEnd w:id="0"/>
            <w:r w:rsidRPr="00F12C3A">
              <w:rPr>
                <w:rFonts w:ascii="Arial" w:hAnsi="Arial"/>
                <w:b/>
                <w:bCs/>
                <w:sz w:val="28"/>
                <w:szCs w:val="28"/>
                <w:rtl/>
              </w:rPr>
              <w:t>גזר דין</w:t>
            </w:r>
          </w:p>
          <w:p w14:paraId="10A4C222" w14:textId="77777777" w:rsidR="008D3AB4" w:rsidRPr="00F12C3A" w:rsidRDefault="008D3AB4" w:rsidP="00F12C3A">
            <w:pPr>
              <w:jc w:val="center"/>
              <w:rPr>
                <w:rFonts w:ascii="Arial" w:hAnsi="Arial"/>
                <w:bCs/>
                <w:sz w:val="28"/>
                <w:szCs w:val="28"/>
                <w:u w:val="single"/>
                <w:rtl/>
              </w:rPr>
            </w:pPr>
          </w:p>
        </w:tc>
      </w:tr>
      <w:bookmarkEnd w:id="5"/>
    </w:tbl>
    <w:p w14:paraId="062255CA" w14:textId="77777777" w:rsidR="008D3AB4" w:rsidRPr="00B05847" w:rsidRDefault="008D3AB4" w:rsidP="008D3AB4">
      <w:pPr>
        <w:jc w:val="both"/>
        <w:rPr>
          <w:rFonts w:ascii="Arial" w:hAnsi="Arial"/>
          <w:rtl/>
        </w:rPr>
      </w:pPr>
    </w:p>
    <w:p w14:paraId="6E41CE3E" w14:textId="77777777" w:rsidR="008D3AB4" w:rsidRDefault="008D3AB4" w:rsidP="008D3AB4">
      <w:pPr>
        <w:pStyle w:val="a9"/>
        <w:numPr>
          <w:ilvl w:val="0"/>
          <w:numId w:val="1"/>
        </w:numPr>
        <w:spacing w:line="360" w:lineRule="auto"/>
        <w:jc w:val="both"/>
      </w:pPr>
      <w:bookmarkStart w:id="6" w:name="ABSTRACT_START"/>
      <w:bookmarkEnd w:id="6"/>
      <w:r>
        <w:rPr>
          <w:rFonts w:hint="cs"/>
          <w:rtl/>
        </w:rPr>
        <w:t xml:space="preserve">הנאשם הורשע עפ"י הודאתו, בעובדות כתב האישום בעבירות של גידול סמים לפי </w:t>
      </w:r>
      <w:hyperlink r:id="rId16" w:history="1">
        <w:r w:rsidR="00086D58" w:rsidRPr="00086D58">
          <w:rPr>
            <w:color w:val="0000FF"/>
            <w:u w:val="single"/>
            <w:rtl/>
          </w:rPr>
          <w:t>סעיף 6</w:t>
        </w:r>
      </w:hyperlink>
      <w:r>
        <w:rPr>
          <w:rFonts w:hint="cs"/>
          <w:rtl/>
        </w:rPr>
        <w:t xml:space="preserve"> ל</w:t>
      </w:r>
      <w:hyperlink r:id="rId17" w:history="1">
        <w:r w:rsidR="00086D58" w:rsidRPr="00086D58">
          <w:rPr>
            <w:color w:val="0000FF"/>
            <w:u w:val="single"/>
            <w:rtl/>
          </w:rPr>
          <w:t>פקודת הסמים (</w:t>
        </w:r>
      </w:hyperlink>
      <w:r>
        <w:rPr>
          <w:rFonts w:hint="cs"/>
          <w:rtl/>
        </w:rPr>
        <w:t xml:space="preserve">נוסח חדש), תשל"ג </w:t>
      </w:r>
      <w:r>
        <w:rPr>
          <w:rtl/>
        </w:rPr>
        <w:t>–</w:t>
      </w:r>
      <w:r>
        <w:rPr>
          <w:rFonts w:hint="cs"/>
          <w:rtl/>
        </w:rPr>
        <w:t xml:space="preserve"> 1973 (להלן: </w:t>
      </w:r>
      <w:r>
        <w:rPr>
          <w:rFonts w:hint="cs"/>
          <w:b/>
          <w:bCs/>
          <w:rtl/>
        </w:rPr>
        <w:t>הפקודה</w:t>
      </w:r>
      <w:r>
        <w:rPr>
          <w:rFonts w:hint="cs"/>
          <w:rtl/>
        </w:rPr>
        <w:t xml:space="preserve">), החזקת סם שלא לצריכה עצמית לפי </w:t>
      </w:r>
      <w:hyperlink r:id="rId18" w:history="1">
        <w:r w:rsidR="00086D58" w:rsidRPr="00086D58">
          <w:rPr>
            <w:color w:val="0000FF"/>
            <w:u w:val="single"/>
            <w:rtl/>
          </w:rPr>
          <w:t>סעיף 7(א)</w:t>
        </w:r>
      </w:hyperlink>
      <w:r>
        <w:rPr>
          <w:rFonts w:hint="cs"/>
          <w:rtl/>
        </w:rPr>
        <w:t xml:space="preserve"> ביחד עם </w:t>
      </w:r>
      <w:hyperlink r:id="rId19" w:history="1">
        <w:r w:rsidR="00086D58" w:rsidRPr="00086D58">
          <w:rPr>
            <w:color w:val="0000FF"/>
            <w:u w:val="single"/>
            <w:rtl/>
          </w:rPr>
          <w:t>סעיף 7(ג)</w:t>
        </w:r>
      </w:hyperlink>
      <w:r>
        <w:rPr>
          <w:rFonts w:hint="cs"/>
          <w:rtl/>
        </w:rPr>
        <w:t xml:space="preserve"> רישא לפקודה, החזקת כלים להכנת סם לפי </w:t>
      </w:r>
      <w:hyperlink r:id="rId20" w:history="1">
        <w:r w:rsidR="00086D58" w:rsidRPr="00086D58">
          <w:rPr>
            <w:color w:val="0000FF"/>
            <w:u w:val="single"/>
            <w:rtl/>
          </w:rPr>
          <w:t>סעיף 10</w:t>
        </w:r>
      </w:hyperlink>
      <w:r>
        <w:rPr>
          <w:rFonts w:hint="cs"/>
          <w:rtl/>
        </w:rPr>
        <w:t xml:space="preserve"> רישא לפקודה והחזקת סם לצריכה עצמית לפי </w:t>
      </w:r>
      <w:hyperlink r:id="rId21" w:history="1">
        <w:r w:rsidR="00086D58" w:rsidRPr="00086D58">
          <w:rPr>
            <w:color w:val="0000FF"/>
            <w:u w:val="single"/>
            <w:rtl/>
          </w:rPr>
          <w:t>סעיף 7(א)</w:t>
        </w:r>
      </w:hyperlink>
      <w:r>
        <w:rPr>
          <w:rFonts w:hint="cs"/>
          <w:rtl/>
        </w:rPr>
        <w:t xml:space="preserve"> ביחד עם </w:t>
      </w:r>
      <w:hyperlink r:id="rId22" w:history="1">
        <w:r w:rsidR="00086D58" w:rsidRPr="00086D58">
          <w:rPr>
            <w:color w:val="0000FF"/>
            <w:u w:val="single"/>
            <w:rtl/>
          </w:rPr>
          <w:t>סעיף 7(ג)</w:t>
        </w:r>
      </w:hyperlink>
      <w:r>
        <w:rPr>
          <w:rFonts w:hint="cs"/>
          <w:rtl/>
        </w:rPr>
        <w:t xml:space="preserve"> סיפא לפקודה.</w:t>
      </w:r>
    </w:p>
    <w:p w14:paraId="6D9212A3" w14:textId="77777777" w:rsidR="008D3AB4" w:rsidRPr="008A2434" w:rsidRDefault="008D3AB4" w:rsidP="008D3AB4">
      <w:pPr>
        <w:pStyle w:val="a9"/>
        <w:jc w:val="both"/>
        <w:rPr>
          <w:b/>
          <w:bCs/>
        </w:rPr>
      </w:pPr>
      <w:bookmarkStart w:id="7" w:name="ABSTRACT_END"/>
      <w:bookmarkEnd w:id="7"/>
    </w:p>
    <w:p w14:paraId="17E1E9A2" w14:textId="77777777" w:rsidR="008D3AB4" w:rsidRDefault="008D3AB4" w:rsidP="008D3AB4">
      <w:pPr>
        <w:pStyle w:val="a9"/>
        <w:numPr>
          <w:ilvl w:val="0"/>
          <w:numId w:val="1"/>
        </w:numPr>
        <w:spacing w:line="360" w:lineRule="auto"/>
        <w:jc w:val="both"/>
      </w:pPr>
      <w:r>
        <w:rPr>
          <w:rFonts w:hint="cs"/>
          <w:rtl/>
        </w:rPr>
        <w:t xml:space="preserve">למקרא עובדות כתב האישום, עולה כי בעת הרלוונטית התגורר הנאשם ברחוב הכלנית באור יהודה. ביום 25.6.17, גידל הנאשם בביתו 46 שתילים של סם הקנביס במשקל כולל של 257 גרם, ללא היתר כדין. בנוסף החזיק הנאשם בביתו כלים להכנת סמים, כגון משקל אלקטרוני, בקבוקי דשן, שנאים, מאווררים, מנורות, מתקני תליה, שעוני חשמל, מסננים, פילטר, וונטות, משאבות מים ועוד. </w:t>
      </w:r>
    </w:p>
    <w:p w14:paraId="50CCAD6A" w14:textId="77777777" w:rsidR="008D3AB4" w:rsidRDefault="008D3AB4" w:rsidP="008D3AB4">
      <w:pPr>
        <w:pStyle w:val="a9"/>
        <w:spacing w:line="360" w:lineRule="auto"/>
        <w:rPr>
          <w:rtl/>
        </w:rPr>
      </w:pPr>
      <w:r>
        <w:rPr>
          <w:rFonts w:hint="cs"/>
          <w:rtl/>
        </w:rPr>
        <w:t>הנאשם החזיק בסם מסוג קנביס, שלא לצריכה עצמית, בתוך צנצנות, קופסות ושקיות בביתו, במשקל כולל של כ- 135 גרם, ובנוסף החזיק בסם מסוג קנביס לצריכתו העצמית במשקל של 0.97 גרם.</w:t>
      </w:r>
    </w:p>
    <w:p w14:paraId="572592E0" w14:textId="77777777" w:rsidR="008D3AB4" w:rsidRDefault="008D3AB4" w:rsidP="008D3AB4">
      <w:pPr>
        <w:pStyle w:val="a9"/>
        <w:jc w:val="both"/>
      </w:pPr>
    </w:p>
    <w:p w14:paraId="57806D45" w14:textId="77777777" w:rsidR="008D3AB4" w:rsidRDefault="008D3AB4" w:rsidP="008D3AB4">
      <w:pPr>
        <w:pStyle w:val="a9"/>
        <w:numPr>
          <w:ilvl w:val="0"/>
          <w:numId w:val="1"/>
        </w:numPr>
        <w:spacing w:line="360" w:lineRule="auto"/>
        <w:jc w:val="both"/>
      </w:pPr>
      <w:r>
        <w:rPr>
          <w:rFonts w:hint="cs"/>
          <w:rtl/>
        </w:rPr>
        <w:t>הצדדים לא נקשרו ביניהם בהסדר עונשי כלשהו והנאשם נשלח בהסכמה לקבלת תסקיר מאת שירות המבחן.</w:t>
      </w:r>
    </w:p>
    <w:p w14:paraId="74ECDE5C" w14:textId="77777777" w:rsidR="008D3AB4" w:rsidRDefault="008D3AB4" w:rsidP="008D3AB4">
      <w:pPr>
        <w:pStyle w:val="a9"/>
        <w:jc w:val="both"/>
      </w:pPr>
    </w:p>
    <w:p w14:paraId="3E1B57A6" w14:textId="77777777" w:rsidR="008D3AB4" w:rsidRDefault="008D3AB4" w:rsidP="008D3AB4">
      <w:pPr>
        <w:pStyle w:val="a9"/>
        <w:numPr>
          <w:ilvl w:val="0"/>
          <w:numId w:val="1"/>
        </w:numPr>
        <w:spacing w:line="360" w:lineRule="auto"/>
        <w:jc w:val="both"/>
      </w:pPr>
      <w:r w:rsidRPr="006E2476">
        <w:rPr>
          <w:rFonts w:hint="cs"/>
          <w:b/>
          <w:bCs/>
          <w:rtl/>
        </w:rPr>
        <w:t>התובעת המלומדת</w:t>
      </w:r>
      <w:r>
        <w:rPr>
          <w:rFonts w:hint="cs"/>
          <w:rtl/>
        </w:rPr>
        <w:t xml:space="preserve"> עמדה על נסיבות ביצוע העבירות, ציוד המעבדה וכמות הסמים, הערכים המוגנים, הפנתה לעברו הפלילי של הנאשם ולתמונות המעבדה שהקים הנאשם בביתו, ועתרה בתוך כך למתחם עונש הולם הנע בין 8-24 חודשי מאסר בפועל. התובעת </w:t>
      </w:r>
      <w:r>
        <w:rPr>
          <w:rFonts w:hint="cs"/>
          <w:rtl/>
        </w:rPr>
        <w:lastRenderedPageBreak/>
        <w:t>עתרה למקם את הנאשם באמצע המתחם לצד מאסר על תנאי, קנס ופסילת רישיון נהיגה. בנוסף עתרה להכריז על הנאשם כסוחר סמים ולחלט את קטנועו ואת הכסף שנתפס בסך של 1850 ₪.</w:t>
      </w:r>
    </w:p>
    <w:p w14:paraId="39FE4842" w14:textId="77777777" w:rsidR="008D3AB4" w:rsidRDefault="008D3AB4" w:rsidP="008D3AB4">
      <w:pPr>
        <w:pStyle w:val="a9"/>
        <w:jc w:val="both"/>
      </w:pPr>
    </w:p>
    <w:p w14:paraId="6B26D45B" w14:textId="77777777" w:rsidR="008D3AB4" w:rsidRDefault="008D3AB4" w:rsidP="008D3AB4">
      <w:pPr>
        <w:pStyle w:val="a9"/>
        <w:numPr>
          <w:ilvl w:val="0"/>
          <w:numId w:val="1"/>
        </w:numPr>
        <w:spacing w:line="360" w:lineRule="auto"/>
        <w:jc w:val="both"/>
      </w:pPr>
      <w:r w:rsidRPr="006E2476">
        <w:rPr>
          <w:rFonts w:hint="cs"/>
          <w:b/>
          <w:bCs/>
          <w:rtl/>
        </w:rPr>
        <w:t>הסנגור המלומד</w:t>
      </w:r>
      <w:r>
        <w:rPr>
          <w:rFonts w:hint="cs"/>
          <w:rtl/>
        </w:rPr>
        <w:t xml:space="preserve"> עשה ככל שניתן לטובת מרשו, תוך שלימד עליו סנגוריה רהוטה.</w:t>
      </w:r>
    </w:p>
    <w:p w14:paraId="4BAD92BB" w14:textId="77777777" w:rsidR="008D3AB4" w:rsidRDefault="008D3AB4" w:rsidP="008D3AB4">
      <w:pPr>
        <w:pStyle w:val="a9"/>
        <w:spacing w:line="360" w:lineRule="auto"/>
        <w:jc w:val="both"/>
        <w:rPr>
          <w:rtl/>
        </w:rPr>
      </w:pPr>
      <w:r>
        <w:rPr>
          <w:rFonts w:hint="cs"/>
          <w:rtl/>
        </w:rPr>
        <w:t>הסנגור עמד על נסיבותיו האישיות והרפואיות של הנאשם, החולה במחלת הקרוהן וקיבל מאז הדיון האחרון היתר ממשרד הבריאות להחזקה ושימוש בקנביס רפואי.</w:t>
      </w:r>
    </w:p>
    <w:p w14:paraId="5CE2EA85" w14:textId="77777777" w:rsidR="008D3AB4" w:rsidRDefault="008D3AB4" w:rsidP="008D3AB4">
      <w:pPr>
        <w:pStyle w:val="a9"/>
        <w:spacing w:line="360" w:lineRule="auto"/>
        <w:jc w:val="both"/>
        <w:rPr>
          <w:rtl/>
        </w:rPr>
      </w:pPr>
      <w:r>
        <w:rPr>
          <w:rFonts w:hint="cs"/>
          <w:rtl/>
        </w:rPr>
        <w:t>הסנגור הסביר כי מהשתילים שנתפסו, במשקל של 200 גרם,  ניתן להפיק כמות תפרחת שהיא פחות מ- 20 גרם, שכן לא מעשנים את העלים, הגבעול והשורש אלא רק את התפרחת. הנאשם קיבל היתר לקנביס רפואי בשיעור של 20 גרם תפרחת.</w:t>
      </w:r>
    </w:p>
    <w:p w14:paraId="084BE150" w14:textId="77777777" w:rsidR="008D3AB4" w:rsidRDefault="008D3AB4" w:rsidP="008D3AB4">
      <w:pPr>
        <w:pStyle w:val="a9"/>
        <w:spacing w:line="360" w:lineRule="auto"/>
        <w:jc w:val="both"/>
        <w:rPr>
          <w:rtl/>
        </w:rPr>
      </w:pPr>
      <w:r>
        <w:rPr>
          <w:rFonts w:hint="cs"/>
          <w:rtl/>
        </w:rPr>
        <w:t>הנאשם הודה בהזדמנות הראשונה וחסך בזמן שיפוטי, לא ביקש את תיקונו של כתב האישום ונטל אחריות מלאה על מעשיו. הנאשם סובל מכאבים קשים, ומשכך קיבל את ההיתר לקנביס הרפואי.</w:t>
      </w:r>
    </w:p>
    <w:p w14:paraId="620F6A3D" w14:textId="77777777" w:rsidR="008D3AB4" w:rsidRDefault="008D3AB4" w:rsidP="008D3AB4">
      <w:pPr>
        <w:pStyle w:val="a9"/>
        <w:spacing w:line="360" w:lineRule="auto"/>
        <w:jc w:val="both"/>
      </w:pPr>
      <w:r>
        <w:rPr>
          <w:rFonts w:hint="cs"/>
          <w:rtl/>
        </w:rPr>
        <w:t>הנאשם עובד ומפרנס את משפחתו, נשוי ואב לשניים. הסנגור התנגד לחילוט הקטנוע והכסף שנתפס ועתר להסתפק בענישה הצופה פני עתיד.</w:t>
      </w:r>
    </w:p>
    <w:p w14:paraId="046B9E80" w14:textId="77777777" w:rsidR="008D3AB4" w:rsidRPr="00CA0027" w:rsidRDefault="008D3AB4" w:rsidP="008D3AB4">
      <w:pPr>
        <w:pStyle w:val="a9"/>
        <w:rPr>
          <w:rtl/>
        </w:rPr>
      </w:pPr>
    </w:p>
    <w:p w14:paraId="2FAC3D0A" w14:textId="77777777" w:rsidR="008D3AB4" w:rsidRPr="00B05847" w:rsidRDefault="008D3AB4" w:rsidP="008D3AB4">
      <w:pPr>
        <w:pStyle w:val="a9"/>
        <w:numPr>
          <w:ilvl w:val="0"/>
          <w:numId w:val="1"/>
        </w:numPr>
        <w:spacing w:line="360" w:lineRule="auto"/>
        <w:jc w:val="both"/>
        <w:rPr>
          <w:rtl/>
        </w:rPr>
      </w:pPr>
      <w:r w:rsidRPr="006E2476">
        <w:rPr>
          <w:rFonts w:hint="cs"/>
          <w:b/>
          <w:bCs/>
          <w:rtl/>
        </w:rPr>
        <w:t>הנאשם בדבר האחרון</w:t>
      </w:r>
      <w:r>
        <w:rPr>
          <w:rFonts w:hint="cs"/>
          <w:rtl/>
        </w:rPr>
        <w:t xml:space="preserve"> הביע חרטה על מעשיו. הנאשם הסביר כי הוא חולה במחלת הקרוהן מזה 14 שנים ומזה 3.5 שנים נלחם לקבלת ההיתר לקנביס רפואי, נמצא בהשגחה במסגרת ביה"ח איכילוב.</w:t>
      </w:r>
    </w:p>
    <w:p w14:paraId="7DAE665F" w14:textId="77777777" w:rsidR="008D3AB4" w:rsidRPr="00B05847" w:rsidRDefault="008D3AB4" w:rsidP="008D3AB4">
      <w:pPr>
        <w:jc w:val="both"/>
        <w:rPr>
          <w:rtl/>
        </w:rPr>
      </w:pPr>
    </w:p>
    <w:p w14:paraId="269A3E21" w14:textId="77777777" w:rsidR="008D3AB4" w:rsidRPr="00495991" w:rsidRDefault="008D3AB4" w:rsidP="008D3AB4">
      <w:pPr>
        <w:spacing w:line="360" w:lineRule="auto"/>
        <w:jc w:val="both"/>
        <w:rPr>
          <w:b/>
          <w:bCs/>
          <w:u w:val="single"/>
          <w:rtl/>
        </w:rPr>
      </w:pPr>
      <w:r w:rsidRPr="00495991">
        <w:rPr>
          <w:rFonts w:hint="cs"/>
          <w:b/>
          <w:bCs/>
          <w:u w:val="single"/>
          <w:rtl/>
        </w:rPr>
        <w:t>דיון והכרעה</w:t>
      </w:r>
    </w:p>
    <w:p w14:paraId="064E35F5" w14:textId="77777777" w:rsidR="008D3AB4" w:rsidRDefault="008D3AB4" w:rsidP="008D3AB4">
      <w:pPr>
        <w:jc w:val="both"/>
        <w:rPr>
          <w:rtl/>
        </w:rPr>
      </w:pPr>
    </w:p>
    <w:p w14:paraId="0178B3CD" w14:textId="77777777" w:rsidR="008D3AB4" w:rsidRPr="004346A1" w:rsidRDefault="008D3AB4" w:rsidP="008D3AB4">
      <w:pPr>
        <w:pStyle w:val="a9"/>
        <w:numPr>
          <w:ilvl w:val="0"/>
          <w:numId w:val="1"/>
        </w:numPr>
        <w:spacing w:line="360" w:lineRule="auto"/>
        <w:jc w:val="both"/>
        <w:rPr>
          <w:rFonts w:ascii="David" w:hAnsi="David"/>
        </w:rPr>
      </w:pPr>
      <w:r w:rsidRPr="004346A1">
        <w:rPr>
          <w:rFonts w:ascii="David" w:hAnsi="David"/>
          <w:rtl/>
        </w:rPr>
        <w:t>על פי תיקון 113 ל</w:t>
      </w:r>
      <w:hyperlink r:id="rId23" w:history="1">
        <w:r w:rsidR="00F12C3A" w:rsidRPr="00F12C3A">
          <w:rPr>
            <w:rFonts w:ascii="David" w:hAnsi="David"/>
            <w:color w:val="0000FF"/>
            <w:u w:val="single"/>
            <w:rtl/>
          </w:rPr>
          <w:t>חוק העונשין</w:t>
        </w:r>
      </w:hyperlink>
      <w:r w:rsidRPr="004346A1">
        <w:rPr>
          <w:rFonts w:ascii="David" w:hAnsi="David"/>
          <w:rtl/>
        </w:rPr>
        <w:t>, העיקרון המנחה בענישה הוא עיקרון ההלימה, אשר מכוון ליצירת יחס הולם בין חומרת מעשי העבירה בנסיבותיה ומידת אשמו של הנאשם, ובין סוג ומידת העונש שיוטל עליו.</w:t>
      </w:r>
    </w:p>
    <w:p w14:paraId="0E967101" w14:textId="77777777" w:rsidR="008D3AB4" w:rsidRDefault="008D3AB4" w:rsidP="008D3AB4">
      <w:pPr>
        <w:spacing w:line="360" w:lineRule="auto"/>
        <w:ind w:left="720"/>
        <w:jc w:val="both"/>
        <w:rPr>
          <w:rFonts w:ascii="David" w:hAnsi="David"/>
          <w:rtl/>
        </w:rPr>
      </w:pPr>
      <w:r w:rsidRPr="000D77A7">
        <w:rPr>
          <w:rFonts w:ascii="David" w:hAnsi="David"/>
          <w:rtl/>
        </w:rPr>
        <w:t>על בית המשפט, בקביעת מתחם העונש ההולם, להתייחס לנסיבות ביצוע העבירה, הערך המוגן שבבסיס העבירה ומידת הפגיעה בו, ובמדיניות הענישה הנוהגת.</w:t>
      </w:r>
    </w:p>
    <w:p w14:paraId="3C79E950" w14:textId="77777777" w:rsidR="008D3AB4" w:rsidRPr="000D77A7" w:rsidRDefault="008D3AB4" w:rsidP="008D3AB4">
      <w:pPr>
        <w:ind w:left="720"/>
        <w:jc w:val="both"/>
        <w:rPr>
          <w:rFonts w:ascii="David" w:hAnsi="David"/>
        </w:rPr>
      </w:pPr>
    </w:p>
    <w:p w14:paraId="2BF87F03" w14:textId="77777777" w:rsidR="008D3AB4" w:rsidRDefault="008D3AB4" w:rsidP="008D3AB4">
      <w:pPr>
        <w:pStyle w:val="a9"/>
        <w:numPr>
          <w:ilvl w:val="0"/>
          <w:numId w:val="1"/>
        </w:numPr>
        <w:spacing w:line="360" w:lineRule="auto"/>
        <w:jc w:val="both"/>
      </w:pPr>
      <w:r>
        <w:rPr>
          <w:rFonts w:hint="cs"/>
          <w:rtl/>
        </w:rPr>
        <w:t xml:space="preserve">בחינת נסיבות ביצוע העבירות מעלה כי הרקע לביצוען נבע ממחלתו של הנאשם, מחלת הקרוהן. הנאשם החזיק סמים מסוג קנביס בביתו בהיקף כולל של כ- 135 גרם, והקים מעבדת סמים </w:t>
      </w:r>
      <w:r w:rsidRPr="002509D5">
        <w:rPr>
          <w:rFonts w:hint="cs"/>
          <w:b/>
          <w:bCs/>
          <w:rtl/>
        </w:rPr>
        <w:t>(ת/2)</w:t>
      </w:r>
      <w:r>
        <w:rPr>
          <w:rFonts w:hint="cs"/>
          <w:rtl/>
        </w:rPr>
        <w:t xml:space="preserve"> ובה 46 שתילי קנביס במשקל כולל של 257 גרם, לצד ציוד להכנת סמים.</w:t>
      </w:r>
    </w:p>
    <w:p w14:paraId="772D6942" w14:textId="77777777" w:rsidR="008D3AB4" w:rsidRDefault="008D3AB4" w:rsidP="008D3AB4">
      <w:pPr>
        <w:pStyle w:val="a9"/>
        <w:spacing w:line="360" w:lineRule="auto"/>
        <w:jc w:val="both"/>
        <w:rPr>
          <w:rtl/>
        </w:rPr>
      </w:pPr>
      <w:r>
        <w:rPr>
          <w:rFonts w:hint="cs"/>
          <w:rtl/>
        </w:rPr>
        <w:t>אין להקל ראש בדברים, וכבר אמרתי כי פקודת הסמים אינה מבחינה בין "סם קל" ל"סם קשה", כולם סמים ואסורים בשימוש ללא היתר.</w:t>
      </w:r>
    </w:p>
    <w:p w14:paraId="242BFAA5" w14:textId="77777777" w:rsidR="008D3AB4" w:rsidRDefault="008D3AB4" w:rsidP="008D3AB4">
      <w:pPr>
        <w:pStyle w:val="a9"/>
        <w:spacing w:line="360" w:lineRule="auto"/>
        <w:jc w:val="both"/>
      </w:pPr>
      <w:r>
        <w:rPr>
          <w:rFonts w:hint="cs"/>
          <w:rtl/>
        </w:rPr>
        <w:t>עם זאת, לא ניתן להתעלם מהעובדה כי המדובר במעבדה בהיקף מצומצם, ללא אינדקציה לסחר או הפצת הסמים בדרך כזו או אחרת.</w:t>
      </w:r>
    </w:p>
    <w:p w14:paraId="463B548C" w14:textId="77777777" w:rsidR="008D3AB4" w:rsidRPr="00E2584A" w:rsidRDefault="008D3AB4" w:rsidP="008D3AB4">
      <w:pPr>
        <w:pStyle w:val="a9"/>
        <w:jc w:val="both"/>
      </w:pPr>
    </w:p>
    <w:p w14:paraId="6D275912" w14:textId="77777777" w:rsidR="008D3AB4" w:rsidRDefault="008D3AB4" w:rsidP="008D3AB4">
      <w:pPr>
        <w:pStyle w:val="a9"/>
        <w:numPr>
          <w:ilvl w:val="0"/>
          <w:numId w:val="1"/>
        </w:numPr>
        <w:spacing w:line="360" w:lineRule="auto"/>
        <w:jc w:val="both"/>
      </w:pPr>
      <w:r>
        <w:rPr>
          <w:rtl/>
        </w:rPr>
        <w:t>לעניין הערכים המוגנים,</w:t>
      </w:r>
      <w:r>
        <w:rPr>
          <w:rFonts w:hint="cs"/>
          <w:rtl/>
        </w:rPr>
        <w:t xml:space="preserve"> </w:t>
      </w:r>
      <w:r>
        <w:rPr>
          <w:rtl/>
        </w:rPr>
        <w:t xml:space="preserve">כידוע נזקי הסמים ופגיעתם בחברה, משתרעים על מרחבים </w:t>
      </w:r>
      <w:r>
        <w:rPr>
          <w:rFonts w:hint="cs"/>
          <w:rtl/>
        </w:rPr>
        <w:t>ניכרים</w:t>
      </w:r>
      <w:r>
        <w:rPr>
          <w:rtl/>
        </w:rPr>
        <w:t xml:space="preserve">. </w:t>
      </w:r>
    </w:p>
    <w:p w14:paraId="1990FC0E" w14:textId="77777777" w:rsidR="008D3AB4" w:rsidRDefault="008D3AB4" w:rsidP="008D3AB4">
      <w:pPr>
        <w:spacing w:line="360" w:lineRule="auto"/>
        <w:ind w:left="720"/>
        <w:jc w:val="both"/>
        <w:rPr>
          <w:rtl/>
        </w:rPr>
      </w:pPr>
      <w:r>
        <w:rPr>
          <w:rtl/>
        </w:rPr>
        <w:lastRenderedPageBreak/>
        <w:t>פגיעתם של הסמים בחברה רחב היקף, הן באשר למשתמש הבודד, משפחתו והמעגל הקרוב והן באשר לחברה כולה לאור הפעילות הפלילית של הצרכן המבקש לספק את הדחף לסם ומבצע על הדרך עבירות נוספות, בעיקר מתחום הרכוש. בנוסף – מעגלי הייצור והשיווק של הסם, מייצרים כשלעצמם פעילות עבריינית נרחבת, כאשר הרווחים העצומים מגיעים לעיתים לארגוני פשיעה וטרור ומאפשרים את פעילותם הפוגענית.</w:t>
      </w:r>
    </w:p>
    <w:p w14:paraId="6A2269F1" w14:textId="77777777" w:rsidR="008D3AB4" w:rsidRDefault="008D3AB4" w:rsidP="008D3AB4">
      <w:pPr>
        <w:pStyle w:val="a9"/>
        <w:spacing w:line="360" w:lineRule="auto"/>
        <w:jc w:val="both"/>
        <w:rPr>
          <w:rtl/>
        </w:rPr>
      </w:pPr>
    </w:p>
    <w:p w14:paraId="45473FFB" w14:textId="77777777" w:rsidR="008D3AB4" w:rsidRPr="007945FC" w:rsidRDefault="008D3AB4" w:rsidP="008D3AB4">
      <w:pPr>
        <w:pStyle w:val="a9"/>
        <w:numPr>
          <w:ilvl w:val="0"/>
          <w:numId w:val="1"/>
        </w:numPr>
        <w:spacing w:line="360" w:lineRule="auto"/>
        <w:jc w:val="both"/>
        <w:rPr>
          <w:b/>
          <w:bCs/>
        </w:rPr>
      </w:pPr>
      <w:r>
        <w:rPr>
          <w:rFonts w:hint="cs"/>
          <w:rtl/>
        </w:rPr>
        <w:t>לאחר ששמעתי ברוב קשב טיעוני הצדדים, עמדתי על נסיבות ביצוע העבירות, הערכים המוגנים והפגיעה בהם, בשים לב למדיניות הפסיקה הנוהגת, מצאתי לקבוע מתחם עונש הולם, ביחס לסוג הסם, שאינו סם קשה, מבלי להקל בכך ראש, היקפו והרקע שהוביל את הנאשם לבצע את העבירה, בנסיבות מחלתו הקשה (40ט(5) ל</w:t>
      </w:r>
      <w:hyperlink r:id="rId24" w:history="1">
        <w:r w:rsidR="00F12C3A" w:rsidRPr="00F12C3A">
          <w:rPr>
            <w:color w:val="0000FF"/>
            <w:u w:val="single"/>
            <w:rtl/>
          </w:rPr>
          <w:t>חוק העונשין</w:t>
        </w:r>
      </w:hyperlink>
      <w:r>
        <w:rPr>
          <w:rFonts w:hint="cs"/>
          <w:rtl/>
        </w:rPr>
        <w:t xml:space="preserve">) </w:t>
      </w:r>
      <w:r>
        <w:rPr>
          <w:rtl/>
        </w:rPr>
        <w:t>–</w:t>
      </w:r>
      <w:r>
        <w:rPr>
          <w:rFonts w:hint="cs"/>
          <w:rtl/>
        </w:rPr>
        <w:t xml:space="preserve"> </w:t>
      </w:r>
      <w:r w:rsidRPr="007945FC">
        <w:rPr>
          <w:rFonts w:hint="cs"/>
          <w:b/>
          <w:bCs/>
          <w:rtl/>
        </w:rPr>
        <w:t>כנע בין מספר חודשי מאסר שיכול וירוצו בעבודות שירות ועד ל- 12 חודשי מאסר לצד ענישה נלווית.</w:t>
      </w:r>
    </w:p>
    <w:p w14:paraId="596E5C92" w14:textId="77777777" w:rsidR="008D3AB4" w:rsidRDefault="008D3AB4" w:rsidP="008D3AB4">
      <w:pPr>
        <w:pStyle w:val="a9"/>
        <w:spacing w:line="360" w:lineRule="auto"/>
        <w:jc w:val="both"/>
        <w:rPr>
          <w:rtl/>
        </w:rPr>
      </w:pPr>
    </w:p>
    <w:p w14:paraId="79E22574" w14:textId="77777777" w:rsidR="008D3AB4" w:rsidRPr="00111326" w:rsidRDefault="008D3AB4" w:rsidP="008D3AB4">
      <w:pPr>
        <w:pStyle w:val="a9"/>
        <w:spacing w:line="360" w:lineRule="auto"/>
        <w:jc w:val="both"/>
        <w:rPr>
          <w:rtl/>
        </w:rPr>
      </w:pPr>
      <w:r>
        <w:rPr>
          <w:rFonts w:hint="cs"/>
          <w:rtl/>
        </w:rPr>
        <w:t>ראו בין היתר:</w:t>
      </w:r>
    </w:p>
    <w:p w14:paraId="73C3B9DD" w14:textId="77777777" w:rsidR="008D3AB4" w:rsidRDefault="00F12C3A" w:rsidP="008D3AB4">
      <w:pPr>
        <w:pStyle w:val="a9"/>
        <w:spacing w:line="360" w:lineRule="auto"/>
        <w:jc w:val="both"/>
        <w:rPr>
          <w:rtl/>
        </w:rPr>
      </w:pPr>
      <w:hyperlink r:id="rId25" w:history="1">
        <w:r w:rsidRPr="00F12C3A">
          <w:rPr>
            <w:b/>
            <w:bCs/>
            <w:color w:val="0000FF"/>
            <w:u w:val="single"/>
            <w:rtl/>
          </w:rPr>
          <w:t>עפ"ג (חיפה) 28110-10-15</w:t>
        </w:r>
      </w:hyperlink>
      <w:r w:rsidR="008D3AB4" w:rsidRPr="00346B2F">
        <w:rPr>
          <w:rFonts w:hint="cs"/>
          <w:b/>
          <w:bCs/>
          <w:rtl/>
        </w:rPr>
        <w:t xml:space="preserve"> מדינת ישראל נ' עידן דוד (17.12.15):</w:t>
      </w:r>
      <w:r w:rsidR="008D3AB4">
        <w:rPr>
          <w:rFonts w:hint="cs"/>
          <w:rtl/>
        </w:rPr>
        <w:t xml:space="preserve"> הנאשם גידל ביחד עם אחר בדירתו, 21 שתילים של סם הקנביס במשקל כולל של 3.6 ק"ג, לצד ציוד למעבדת סמים. נקבע מתחם עונשי הולם כנע בין 6-12 חודשי מאסר.</w:t>
      </w:r>
    </w:p>
    <w:p w14:paraId="36BE54B0" w14:textId="77777777" w:rsidR="008D3AB4" w:rsidRDefault="008D3AB4" w:rsidP="008D3AB4">
      <w:pPr>
        <w:pStyle w:val="a9"/>
        <w:spacing w:line="360" w:lineRule="auto"/>
        <w:jc w:val="both"/>
        <w:rPr>
          <w:rtl/>
        </w:rPr>
      </w:pPr>
      <w:r>
        <w:rPr>
          <w:rFonts w:hint="cs"/>
          <w:rtl/>
        </w:rPr>
        <w:t>ללא עבר פלילי, לאור ההליך הטיפול אותו עבר במסגרת שירות המבחן וסיכויי שיקומו הוטל צו של"צ, ללא הרשעה, בהיקף של 180 שעות לצד ענישה נלווית. בית המשפט המחוזי דחה את ערעור המדינה, ובתוך כך הגדיל את תקופת המבחן והפיצוי הכספי שנפסקו.</w:t>
      </w:r>
    </w:p>
    <w:p w14:paraId="3EC3B217" w14:textId="77777777" w:rsidR="008D3AB4" w:rsidRDefault="008D3AB4" w:rsidP="008D3AB4">
      <w:pPr>
        <w:pStyle w:val="a9"/>
        <w:spacing w:line="360" w:lineRule="auto"/>
        <w:jc w:val="both"/>
        <w:rPr>
          <w:rtl/>
        </w:rPr>
      </w:pPr>
    </w:p>
    <w:p w14:paraId="7493E123" w14:textId="77777777" w:rsidR="008D3AB4" w:rsidRDefault="00F12C3A" w:rsidP="008D3AB4">
      <w:pPr>
        <w:pStyle w:val="a9"/>
        <w:spacing w:line="360" w:lineRule="auto"/>
        <w:jc w:val="both"/>
      </w:pPr>
      <w:hyperlink r:id="rId26" w:history="1">
        <w:r w:rsidRPr="00F12C3A">
          <w:rPr>
            <w:b/>
            <w:bCs/>
            <w:color w:val="0000FF"/>
            <w:u w:val="single"/>
            <w:rtl/>
          </w:rPr>
          <w:t>רע"פ 4816/13</w:t>
        </w:r>
      </w:hyperlink>
      <w:r w:rsidR="008D3AB4" w:rsidRPr="003921BA">
        <w:rPr>
          <w:rFonts w:hint="cs"/>
          <w:b/>
          <w:bCs/>
          <w:rtl/>
        </w:rPr>
        <w:t xml:space="preserve"> שלום מרדכי נ' מדינת ישראל (9.7.13)</w:t>
      </w:r>
      <w:r w:rsidR="008D3AB4">
        <w:rPr>
          <w:rFonts w:hint="cs"/>
          <w:rtl/>
        </w:rPr>
        <w:t xml:space="preserve"> - גידול של 210 שתילי קנביס במשקל של 902 גרם. 4 חודשי מאסר בפועל. הערעורים לבית המשפט המחוזי ולבית המשפט העליון נדחו.</w:t>
      </w:r>
    </w:p>
    <w:p w14:paraId="6830F22D" w14:textId="77777777" w:rsidR="008D3AB4" w:rsidRDefault="008D3AB4" w:rsidP="008D3AB4">
      <w:pPr>
        <w:spacing w:line="360" w:lineRule="auto"/>
        <w:jc w:val="both"/>
        <w:rPr>
          <w:rtl/>
        </w:rPr>
      </w:pPr>
    </w:p>
    <w:p w14:paraId="38C788EE" w14:textId="77777777" w:rsidR="008D3AB4" w:rsidRDefault="00F12C3A" w:rsidP="008D3AB4">
      <w:pPr>
        <w:spacing w:line="360" w:lineRule="auto"/>
        <w:ind w:left="720"/>
        <w:jc w:val="both"/>
        <w:rPr>
          <w:rtl/>
        </w:rPr>
      </w:pPr>
      <w:hyperlink r:id="rId27" w:history="1">
        <w:r w:rsidRPr="00F12C3A">
          <w:rPr>
            <w:b/>
            <w:bCs/>
            <w:color w:val="0000FF"/>
            <w:u w:val="single"/>
            <w:rtl/>
          </w:rPr>
          <w:t>ת"פ 29523-10-15</w:t>
        </w:r>
      </w:hyperlink>
      <w:r w:rsidR="008D3AB4" w:rsidRPr="003E0AC3">
        <w:rPr>
          <w:rFonts w:hint="cs"/>
          <w:b/>
          <w:bCs/>
          <w:rtl/>
        </w:rPr>
        <w:t xml:space="preserve"> מדינת ישראל נ' פרץ (14.2.17) </w:t>
      </w:r>
      <w:r w:rsidR="008D3AB4">
        <w:rPr>
          <w:rtl/>
        </w:rPr>
        <w:t>–</w:t>
      </w:r>
      <w:r w:rsidR="008D3AB4">
        <w:rPr>
          <w:rFonts w:hint="cs"/>
          <w:rtl/>
        </w:rPr>
        <w:t xml:space="preserve"> גידול סמים, 3 שתילים בהיקף של 491 גרם ועוד 28 שתילים קטנים של קנביס. 3 חודשי מאסר בעבודות שירות לצד ענישה נלווית.</w:t>
      </w:r>
    </w:p>
    <w:p w14:paraId="59DCF178" w14:textId="77777777" w:rsidR="008D3AB4" w:rsidRDefault="008D3AB4" w:rsidP="008D3AB4">
      <w:pPr>
        <w:spacing w:line="360" w:lineRule="auto"/>
        <w:ind w:left="720"/>
        <w:jc w:val="both"/>
        <w:rPr>
          <w:rtl/>
        </w:rPr>
      </w:pPr>
    </w:p>
    <w:p w14:paraId="0C286EB9" w14:textId="77777777" w:rsidR="008D3AB4" w:rsidRDefault="00F12C3A" w:rsidP="008D3AB4">
      <w:pPr>
        <w:spacing w:line="360" w:lineRule="auto"/>
        <w:ind w:left="720"/>
        <w:jc w:val="both"/>
        <w:rPr>
          <w:rtl/>
        </w:rPr>
      </w:pPr>
      <w:hyperlink r:id="rId28" w:history="1">
        <w:r w:rsidRPr="00F12C3A">
          <w:rPr>
            <w:b/>
            <w:bCs/>
            <w:color w:val="0000FF"/>
            <w:u w:val="single"/>
            <w:rtl/>
          </w:rPr>
          <w:t>ת"פ 57680-10-15</w:t>
        </w:r>
      </w:hyperlink>
      <w:r w:rsidR="008D3AB4" w:rsidRPr="000E24CA">
        <w:rPr>
          <w:rFonts w:hint="cs"/>
          <w:b/>
          <w:bCs/>
          <w:rtl/>
        </w:rPr>
        <w:t xml:space="preserve"> מדינת ישראל נ' הוד יזרעאלי (22.2.17)</w:t>
      </w:r>
      <w:r w:rsidR="008D3AB4">
        <w:rPr>
          <w:rFonts w:hint="cs"/>
          <w:rtl/>
        </w:rPr>
        <w:t xml:space="preserve"> </w:t>
      </w:r>
      <w:r w:rsidR="008D3AB4">
        <w:rPr>
          <w:rtl/>
        </w:rPr>
        <w:t>–</w:t>
      </w:r>
      <w:r w:rsidR="008D3AB4">
        <w:rPr>
          <w:rFonts w:hint="cs"/>
          <w:rtl/>
        </w:rPr>
        <w:t xml:space="preserve"> בנה מחסן ובו הקים מעבדה לגידול קנביס, 25 שתילים בהיקף של 526 גרם וכן 99 שתילים נוספים בהיקף של 99 גרם. לאחר ניהול הוכחות, נדון ל- 6 חודשי מאסר בעבודות שירות לצד ענישה נלווית. </w:t>
      </w:r>
    </w:p>
    <w:p w14:paraId="062C78CA" w14:textId="77777777" w:rsidR="008D3AB4" w:rsidRDefault="008D3AB4" w:rsidP="008D3AB4">
      <w:pPr>
        <w:spacing w:line="360" w:lineRule="auto"/>
        <w:ind w:left="720"/>
        <w:jc w:val="both"/>
        <w:rPr>
          <w:rtl/>
        </w:rPr>
      </w:pPr>
    </w:p>
    <w:p w14:paraId="73229F18" w14:textId="77777777" w:rsidR="008D3AB4" w:rsidRDefault="00F12C3A" w:rsidP="008D3AB4">
      <w:pPr>
        <w:spacing w:line="360" w:lineRule="auto"/>
        <w:ind w:left="720"/>
        <w:jc w:val="both"/>
        <w:rPr>
          <w:rtl/>
        </w:rPr>
      </w:pPr>
      <w:hyperlink r:id="rId29" w:history="1">
        <w:r w:rsidRPr="00F12C3A">
          <w:rPr>
            <w:b/>
            <w:bCs/>
            <w:color w:val="0000FF"/>
            <w:u w:val="single"/>
            <w:rtl/>
          </w:rPr>
          <w:t>ת"פ 55104-12-15</w:t>
        </w:r>
      </w:hyperlink>
      <w:r w:rsidR="008D3AB4" w:rsidRPr="00C83BD8">
        <w:rPr>
          <w:rFonts w:hint="cs"/>
          <w:b/>
          <w:bCs/>
          <w:rtl/>
        </w:rPr>
        <w:t xml:space="preserve"> מדינת ישראל נ' אורן אבוטבול (27.6.17)</w:t>
      </w:r>
      <w:r w:rsidR="008D3AB4">
        <w:rPr>
          <w:rFonts w:hint="cs"/>
          <w:rtl/>
        </w:rPr>
        <w:t xml:space="preserve"> </w:t>
      </w:r>
      <w:r w:rsidR="008D3AB4">
        <w:rPr>
          <w:rtl/>
        </w:rPr>
        <w:t>–</w:t>
      </w:r>
      <w:r w:rsidR="008D3AB4">
        <w:rPr>
          <w:rFonts w:hint="cs"/>
          <w:rtl/>
        </w:rPr>
        <w:t xml:space="preserve"> גידול סמים לצד החזקת כלים להכנת סם. החזיק קנביס בהיקף של 1.5 ק"ג וגידל סמים בתוך אוהל ששימש כמעבדה מאולתרת 28 שתילים במשקלים נמוכים. נדון ל- 3 חודשי מאסר בעבודות שירות  לצד ענישה נלווית.</w:t>
      </w:r>
    </w:p>
    <w:p w14:paraId="123E4106" w14:textId="77777777" w:rsidR="008D3AB4" w:rsidRDefault="008D3AB4" w:rsidP="008D3AB4">
      <w:pPr>
        <w:spacing w:line="360" w:lineRule="auto"/>
        <w:ind w:left="720"/>
        <w:jc w:val="both"/>
        <w:rPr>
          <w:rtl/>
        </w:rPr>
      </w:pPr>
    </w:p>
    <w:p w14:paraId="79514CD5" w14:textId="77777777" w:rsidR="008D3AB4" w:rsidRPr="00AF3F21" w:rsidRDefault="00F12C3A" w:rsidP="008D3AB4">
      <w:pPr>
        <w:spacing w:line="360" w:lineRule="auto"/>
        <w:ind w:left="720"/>
        <w:jc w:val="both"/>
        <w:rPr>
          <w:rtl/>
        </w:rPr>
      </w:pPr>
      <w:hyperlink r:id="rId30" w:history="1">
        <w:r w:rsidRPr="00F12C3A">
          <w:rPr>
            <w:b/>
            <w:bCs/>
            <w:color w:val="0000FF"/>
            <w:u w:val="single"/>
            <w:rtl/>
          </w:rPr>
          <w:t>ת"פ 29879-10-16</w:t>
        </w:r>
      </w:hyperlink>
      <w:r w:rsidR="008D3AB4" w:rsidRPr="00C83BD8">
        <w:rPr>
          <w:rFonts w:hint="cs"/>
          <w:b/>
          <w:bCs/>
          <w:rtl/>
        </w:rPr>
        <w:t xml:space="preserve"> מדינת ישראל נ' תומר מנחן בנין (11.9.17)</w:t>
      </w:r>
      <w:r w:rsidR="008D3AB4">
        <w:rPr>
          <w:rFonts w:hint="cs"/>
          <w:b/>
          <w:bCs/>
          <w:rtl/>
        </w:rPr>
        <w:t xml:space="preserve"> </w:t>
      </w:r>
      <w:r w:rsidR="008D3AB4">
        <w:rPr>
          <w:rtl/>
        </w:rPr>
        <w:t>–</w:t>
      </w:r>
      <w:r w:rsidR="008D3AB4">
        <w:rPr>
          <w:rFonts w:hint="cs"/>
          <w:b/>
          <w:bCs/>
          <w:rtl/>
        </w:rPr>
        <w:t xml:space="preserve"> </w:t>
      </w:r>
      <w:r w:rsidR="008D3AB4" w:rsidRPr="00AF3F21">
        <w:rPr>
          <w:rFonts w:hint="cs"/>
          <w:rtl/>
        </w:rPr>
        <w:t>גידל שני שתילים של קנביס בדירתו במשקל כולל של 1.2 ק"ג לצד אוהל ובו מנורות ומאוורר.</w:t>
      </w:r>
    </w:p>
    <w:p w14:paraId="3EFD766C" w14:textId="77777777" w:rsidR="008D3AB4" w:rsidRDefault="008D3AB4" w:rsidP="008D3AB4">
      <w:pPr>
        <w:spacing w:line="360" w:lineRule="auto"/>
        <w:ind w:left="720"/>
        <w:jc w:val="both"/>
        <w:rPr>
          <w:rtl/>
        </w:rPr>
      </w:pPr>
      <w:r w:rsidRPr="00AF3F21">
        <w:rPr>
          <w:rFonts w:hint="cs"/>
          <w:rtl/>
        </w:rPr>
        <w:t>5 חודשי מאסר בעבודות שירות לצד ענישה נלווית.</w:t>
      </w:r>
    </w:p>
    <w:p w14:paraId="1CB4EE92" w14:textId="77777777" w:rsidR="008D3AB4" w:rsidRDefault="008D3AB4" w:rsidP="008D3AB4">
      <w:pPr>
        <w:spacing w:line="360" w:lineRule="auto"/>
        <w:ind w:left="720"/>
        <w:jc w:val="both"/>
        <w:rPr>
          <w:rtl/>
        </w:rPr>
      </w:pPr>
    </w:p>
    <w:p w14:paraId="643108A4" w14:textId="77777777" w:rsidR="008D3AB4" w:rsidRPr="00AF3F21" w:rsidRDefault="00F12C3A" w:rsidP="008D3AB4">
      <w:pPr>
        <w:spacing w:line="360" w:lineRule="auto"/>
        <w:ind w:left="720"/>
        <w:jc w:val="both"/>
        <w:rPr>
          <w:rtl/>
        </w:rPr>
      </w:pPr>
      <w:hyperlink r:id="rId31" w:history="1">
        <w:r w:rsidRPr="00F12C3A">
          <w:rPr>
            <w:b/>
            <w:bCs/>
            <w:color w:val="0000FF"/>
            <w:u w:val="single"/>
            <w:rtl/>
          </w:rPr>
          <w:t>ת"פ 53546-06-18</w:t>
        </w:r>
      </w:hyperlink>
      <w:r w:rsidR="008D3AB4" w:rsidRPr="00492F6D">
        <w:rPr>
          <w:rFonts w:hint="cs"/>
          <w:b/>
          <w:bCs/>
          <w:rtl/>
        </w:rPr>
        <w:t xml:space="preserve"> מדינת ישראל נ' גיא אלוני (28.8.19)</w:t>
      </w:r>
      <w:r w:rsidR="008D3AB4">
        <w:rPr>
          <w:rFonts w:hint="cs"/>
          <w:rtl/>
        </w:rPr>
        <w:t xml:space="preserve"> </w:t>
      </w:r>
      <w:r w:rsidR="008D3AB4">
        <w:rPr>
          <w:rtl/>
        </w:rPr>
        <w:t>–</w:t>
      </w:r>
      <w:r w:rsidR="008D3AB4">
        <w:rPr>
          <w:rFonts w:hint="cs"/>
          <w:rtl/>
        </w:rPr>
        <w:t xml:space="preserve"> החזקת סם מסוג קנביס בהיקף של 691 גרם, גידול 35 עציצים של סם הקנביס במשקל של 86 גרם ושתי עבירות של הספקת סם. נקבע מתחם שנע בין מספר חודשים, שיכול וירוצו בעבודות שירות ועד ל- 12 חודשי מאסר בפועל. משיקולי שיקום נגזר צו של"צ בהיקף 340 שעות לצד ענישה נלוות.</w:t>
      </w:r>
    </w:p>
    <w:p w14:paraId="48255EDC" w14:textId="77777777" w:rsidR="008D3AB4" w:rsidRDefault="008D3AB4" w:rsidP="008D3AB4">
      <w:pPr>
        <w:spacing w:line="360" w:lineRule="auto"/>
        <w:jc w:val="both"/>
        <w:rPr>
          <w:b/>
          <w:bCs/>
          <w:u w:val="single"/>
          <w:rtl/>
        </w:rPr>
      </w:pPr>
    </w:p>
    <w:p w14:paraId="5CB4EB3F" w14:textId="77777777" w:rsidR="008D3AB4" w:rsidRDefault="008D3AB4" w:rsidP="008D3AB4">
      <w:pPr>
        <w:spacing w:line="360" w:lineRule="auto"/>
        <w:jc w:val="both"/>
        <w:rPr>
          <w:b/>
          <w:bCs/>
          <w:u w:val="single"/>
          <w:rtl/>
        </w:rPr>
      </w:pPr>
    </w:p>
    <w:p w14:paraId="23B1BB1C" w14:textId="77777777" w:rsidR="008D3AB4" w:rsidRPr="00495991" w:rsidRDefault="008D3AB4" w:rsidP="008D3AB4">
      <w:pPr>
        <w:spacing w:line="360" w:lineRule="auto"/>
        <w:jc w:val="both"/>
        <w:rPr>
          <w:b/>
          <w:bCs/>
          <w:u w:val="single"/>
          <w:rtl/>
        </w:rPr>
      </w:pPr>
      <w:r w:rsidRPr="00495991">
        <w:rPr>
          <w:rFonts w:hint="cs"/>
          <w:b/>
          <w:bCs/>
          <w:u w:val="single"/>
          <w:rtl/>
        </w:rPr>
        <w:t>מיקומו של הנאשם בתוך המתחם</w:t>
      </w:r>
    </w:p>
    <w:p w14:paraId="7463F83C" w14:textId="77777777" w:rsidR="008D3AB4" w:rsidRDefault="008D3AB4" w:rsidP="008D3AB4">
      <w:pPr>
        <w:spacing w:line="360" w:lineRule="auto"/>
        <w:jc w:val="both"/>
        <w:rPr>
          <w:rtl/>
        </w:rPr>
      </w:pPr>
    </w:p>
    <w:p w14:paraId="3A37188C" w14:textId="77777777" w:rsidR="008D3AB4" w:rsidRDefault="008D3AB4" w:rsidP="008D3AB4">
      <w:pPr>
        <w:pStyle w:val="a9"/>
        <w:numPr>
          <w:ilvl w:val="0"/>
          <w:numId w:val="1"/>
        </w:numPr>
        <w:spacing w:line="360" w:lineRule="auto"/>
        <w:jc w:val="both"/>
      </w:pPr>
      <w:r>
        <w:rPr>
          <w:rFonts w:hint="cs"/>
          <w:rtl/>
        </w:rPr>
        <w:t>הנאשם כבן 35, עובד בתחום האינסטלציה, נשוי ואב לשתי בנות קטינות, הודה בפתח משפטו וחסך בזמן שיפוטי ניכר, כמו גם בזמנה של התביעה הכללית ובזמנם של עדי התביעה.</w:t>
      </w:r>
    </w:p>
    <w:p w14:paraId="6EB58B59" w14:textId="77777777" w:rsidR="008D3AB4" w:rsidRDefault="008D3AB4" w:rsidP="008D3AB4">
      <w:pPr>
        <w:pStyle w:val="a9"/>
        <w:spacing w:line="360" w:lineRule="auto"/>
        <w:jc w:val="both"/>
        <w:rPr>
          <w:rtl/>
        </w:rPr>
      </w:pPr>
      <w:r>
        <w:rPr>
          <w:rFonts w:hint="cs"/>
          <w:rtl/>
        </w:rPr>
        <w:t>לנאשם עבר פלילי הכולל שתי הרשעות מתחום האלימות, ללא עבירות סמים בעברו. הרשעתו האחרונה משנת 2017. ריצה בעברו של"צ ועבודות שירות.</w:t>
      </w:r>
    </w:p>
    <w:p w14:paraId="45AFC307" w14:textId="77777777" w:rsidR="008D3AB4" w:rsidRDefault="008D3AB4" w:rsidP="008D3AB4">
      <w:pPr>
        <w:spacing w:line="360" w:lineRule="auto"/>
        <w:jc w:val="both"/>
        <w:rPr>
          <w:rtl/>
        </w:rPr>
      </w:pPr>
    </w:p>
    <w:p w14:paraId="02D9BA64" w14:textId="77777777" w:rsidR="008D3AB4" w:rsidRDefault="008D3AB4" w:rsidP="008D3AB4">
      <w:pPr>
        <w:spacing w:line="360" w:lineRule="auto"/>
        <w:jc w:val="both"/>
        <w:rPr>
          <w:rtl/>
        </w:rPr>
      </w:pPr>
      <w:r>
        <w:rPr>
          <w:rtl/>
        </w:rPr>
        <w:tab/>
      </w:r>
      <w:r>
        <w:rPr>
          <w:rFonts w:hint="cs"/>
          <w:rtl/>
        </w:rPr>
        <w:t>לתיק הוגשו שני תסקירים מאת שירות המבחן.</w:t>
      </w:r>
    </w:p>
    <w:p w14:paraId="75D02F72" w14:textId="77777777" w:rsidR="008D3AB4" w:rsidRDefault="008D3AB4" w:rsidP="008D3AB4">
      <w:pPr>
        <w:spacing w:line="360" w:lineRule="auto"/>
        <w:ind w:left="720"/>
        <w:jc w:val="both"/>
        <w:rPr>
          <w:rtl/>
        </w:rPr>
      </w:pPr>
      <w:r>
        <w:rPr>
          <w:rFonts w:hint="cs"/>
          <w:rtl/>
        </w:rPr>
        <w:t>שירות המבחן סקר את נסיבותיו האישיות והרפואיות של הנאשם, תוך שהתרשם כי הנאשם משקיע מאמצים בתפקוד תעסוקתי תקין.</w:t>
      </w:r>
    </w:p>
    <w:p w14:paraId="4EB90D32" w14:textId="77777777" w:rsidR="008D3AB4" w:rsidRDefault="008D3AB4" w:rsidP="008D3AB4">
      <w:pPr>
        <w:spacing w:line="360" w:lineRule="auto"/>
        <w:jc w:val="both"/>
        <w:rPr>
          <w:rtl/>
        </w:rPr>
      </w:pPr>
      <w:r>
        <w:rPr>
          <w:rtl/>
        </w:rPr>
        <w:tab/>
      </w:r>
      <w:r>
        <w:rPr>
          <w:rFonts w:hint="cs"/>
          <w:rtl/>
        </w:rPr>
        <w:t>שירות המבחן התרשם מאדם בעל דפוסי חשיבה והתנהגות שוליים.</w:t>
      </w:r>
    </w:p>
    <w:p w14:paraId="2C3C0D68" w14:textId="77777777" w:rsidR="008D3AB4" w:rsidRDefault="008D3AB4" w:rsidP="008D3AB4">
      <w:pPr>
        <w:spacing w:line="360" w:lineRule="auto"/>
        <w:ind w:left="720"/>
        <w:jc w:val="both"/>
        <w:rPr>
          <w:rtl/>
        </w:rPr>
      </w:pPr>
      <w:r>
        <w:rPr>
          <w:rFonts w:hint="cs"/>
          <w:rtl/>
        </w:rPr>
        <w:t>בתסקיר העדכני והמשלים, מציין שירות המבחן כי הנאשם ביצע את העבירות מושא תיקנו כחלק מהתמודדות שלו עם מחלתו והכאבים מהם סובל בגינה.</w:t>
      </w:r>
    </w:p>
    <w:p w14:paraId="16DB2B3F" w14:textId="77777777" w:rsidR="008D3AB4" w:rsidRDefault="008D3AB4" w:rsidP="008D3AB4">
      <w:pPr>
        <w:spacing w:line="360" w:lineRule="auto"/>
        <w:ind w:left="720"/>
        <w:jc w:val="both"/>
        <w:rPr>
          <w:rtl/>
        </w:rPr>
      </w:pPr>
      <w:r>
        <w:rPr>
          <w:rFonts w:hint="cs"/>
          <w:rtl/>
        </w:rPr>
        <w:t>בדיקות השתן שנערכו לנאשם הצביעו על  שרידי קנביס בלבד.</w:t>
      </w:r>
    </w:p>
    <w:p w14:paraId="7116C8E8" w14:textId="77777777" w:rsidR="008D3AB4" w:rsidRDefault="008D3AB4" w:rsidP="008D3AB4">
      <w:pPr>
        <w:spacing w:line="360" w:lineRule="auto"/>
        <w:ind w:left="720"/>
        <w:jc w:val="both"/>
        <w:rPr>
          <w:rtl/>
        </w:rPr>
      </w:pPr>
      <w:r>
        <w:rPr>
          <w:rFonts w:hint="cs"/>
          <w:rtl/>
        </w:rPr>
        <w:t>שירות המבחן ממליץ לאור מצבו הרפואי של הנאשם , קבלת ההיתר לקנביס רפואי ושיתוף הפעולה שלו עם השירות להשית עליו צו של"צ בהיקף של 150 שעות, לצד מאסר מותנה מרתיע ומצבי גבול.</w:t>
      </w:r>
    </w:p>
    <w:p w14:paraId="12264EE4" w14:textId="77777777" w:rsidR="008D3AB4" w:rsidRDefault="008D3AB4" w:rsidP="008D3AB4">
      <w:pPr>
        <w:spacing w:line="360" w:lineRule="auto"/>
        <w:ind w:left="720"/>
        <w:jc w:val="both"/>
        <w:rPr>
          <w:rtl/>
        </w:rPr>
      </w:pPr>
    </w:p>
    <w:p w14:paraId="62AD35CD" w14:textId="77777777" w:rsidR="008D3AB4" w:rsidRDefault="008D3AB4" w:rsidP="008D3AB4">
      <w:pPr>
        <w:spacing w:line="360" w:lineRule="auto"/>
        <w:ind w:left="720"/>
        <w:jc w:val="both"/>
        <w:rPr>
          <w:rtl/>
        </w:rPr>
      </w:pPr>
      <w:r>
        <w:rPr>
          <w:rFonts w:hint="cs"/>
          <w:rtl/>
        </w:rPr>
        <w:t xml:space="preserve">התקבלה חוו"ד ממונה על עבודות השירות לתיק, לפיה הנאשם מתאים לריצוי עבודות שירות במגבלות, לפי 6.5 שעות עבודה יומיות. </w:t>
      </w:r>
    </w:p>
    <w:p w14:paraId="29F5E36C" w14:textId="77777777" w:rsidR="008D3AB4" w:rsidRDefault="008D3AB4" w:rsidP="008D3AB4">
      <w:pPr>
        <w:spacing w:line="360" w:lineRule="auto"/>
        <w:ind w:left="720"/>
        <w:jc w:val="both"/>
        <w:rPr>
          <w:rtl/>
        </w:rPr>
      </w:pPr>
    </w:p>
    <w:p w14:paraId="592279EE" w14:textId="77777777" w:rsidR="008D3AB4" w:rsidRDefault="008D3AB4" w:rsidP="008D3AB4">
      <w:pPr>
        <w:spacing w:line="360" w:lineRule="auto"/>
        <w:ind w:left="720"/>
        <w:jc w:val="both"/>
        <w:rPr>
          <w:rtl/>
        </w:rPr>
      </w:pPr>
      <w:r>
        <w:rPr>
          <w:rFonts w:hint="cs"/>
          <w:rtl/>
        </w:rPr>
        <w:t xml:space="preserve">הנאשם כאמור סובל מזה שנים ממחלת הקרוהן, וקיבל לפני מספר חודשים היתר להחזקה ושימוש בקנביס רפואי </w:t>
      </w:r>
      <w:r w:rsidRPr="0032033F">
        <w:rPr>
          <w:rFonts w:hint="cs"/>
          <w:b/>
          <w:bCs/>
          <w:rtl/>
        </w:rPr>
        <w:t>(ראו ס/1, ס/2</w:t>
      </w:r>
      <w:r>
        <w:rPr>
          <w:rFonts w:hint="cs"/>
          <w:rtl/>
        </w:rPr>
        <w:t>).</w:t>
      </w:r>
    </w:p>
    <w:p w14:paraId="1AAC752E" w14:textId="77777777" w:rsidR="008D3AB4" w:rsidRDefault="008D3AB4" w:rsidP="008D3AB4">
      <w:pPr>
        <w:spacing w:line="360" w:lineRule="auto"/>
        <w:ind w:left="720"/>
        <w:jc w:val="both"/>
        <w:rPr>
          <w:rtl/>
        </w:rPr>
      </w:pPr>
    </w:p>
    <w:p w14:paraId="651837C1" w14:textId="77777777" w:rsidR="008D3AB4" w:rsidRDefault="008D3AB4" w:rsidP="008D3AB4">
      <w:pPr>
        <w:spacing w:line="360" w:lineRule="auto"/>
        <w:ind w:left="720"/>
        <w:jc w:val="both"/>
        <w:rPr>
          <w:rtl/>
        </w:rPr>
      </w:pPr>
      <w:r>
        <w:rPr>
          <w:rFonts w:hint="cs"/>
          <w:rtl/>
        </w:rPr>
        <w:t>מאז ביצוע העבירות עברו חלפו שנתיים וחצי במהלכם לא נפתחו תיקים חדשים כנגד הנאשם, הנאשם קיבל כאמור באחרונה היתר לקנביס רפואי,  מקפיד על יציבות תעסוקתית, כשהוא עובד עם אביו בעסק האינסטלציה. לנאשם ולבת זוגו נולדה תינוקת בעת האחרונה.</w:t>
      </w:r>
    </w:p>
    <w:p w14:paraId="6D1FE358" w14:textId="77777777" w:rsidR="008D3AB4" w:rsidRDefault="008D3AB4" w:rsidP="008D3AB4">
      <w:pPr>
        <w:spacing w:line="360" w:lineRule="auto"/>
        <w:ind w:left="720"/>
        <w:jc w:val="both"/>
        <w:rPr>
          <w:rtl/>
        </w:rPr>
      </w:pPr>
    </w:p>
    <w:p w14:paraId="7B6186F3" w14:textId="77777777" w:rsidR="008D3AB4" w:rsidRDefault="008D3AB4" w:rsidP="008D3AB4">
      <w:pPr>
        <w:pStyle w:val="a9"/>
        <w:numPr>
          <w:ilvl w:val="0"/>
          <w:numId w:val="1"/>
        </w:numPr>
        <w:spacing w:line="360" w:lineRule="auto"/>
        <w:jc w:val="both"/>
      </w:pPr>
      <w:r>
        <w:rPr>
          <w:rFonts w:hint="cs"/>
          <w:rtl/>
        </w:rPr>
        <w:t xml:space="preserve">מכלל הטעמים דלעיל, ובתוך כך הנסיבות שאינן קשורות לביצוע העבירות, </w:t>
      </w:r>
      <w:r w:rsidRPr="00986B17">
        <w:rPr>
          <w:rFonts w:hint="cs"/>
          <w:b/>
          <w:bCs/>
          <w:rtl/>
        </w:rPr>
        <w:t>מצאתי למקם את הנאשם ברף התחתון של מתחם העונש ההולם</w:t>
      </w:r>
      <w:r>
        <w:rPr>
          <w:rFonts w:hint="cs"/>
          <w:rtl/>
        </w:rPr>
        <w:t>, לאור העובדה כי עברו אינו כולל עבירות סמים, מצבו הבריאותי שאינו פשוט והעובדה כי הנאשם למעשה "ריפא" את הפגם, עת הוציא היתר לשימוש בקנביס רפואי, לצד שיתוף הפעולה שהפגין מול שירות המבחן, אליבא דתסקירו העדכני.</w:t>
      </w:r>
    </w:p>
    <w:p w14:paraId="67830C57" w14:textId="77777777" w:rsidR="008D3AB4" w:rsidRDefault="008D3AB4" w:rsidP="008D3AB4">
      <w:pPr>
        <w:pStyle w:val="a9"/>
        <w:spacing w:line="360" w:lineRule="auto"/>
        <w:jc w:val="both"/>
        <w:rPr>
          <w:rtl/>
        </w:rPr>
      </w:pPr>
    </w:p>
    <w:p w14:paraId="297D4D62" w14:textId="77777777" w:rsidR="008D3AB4" w:rsidRDefault="008D3AB4" w:rsidP="008D3AB4">
      <w:pPr>
        <w:pStyle w:val="a9"/>
        <w:spacing w:line="360" w:lineRule="auto"/>
        <w:jc w:val="both"/>
        <w:rPr>
          <w:rtl/>
        </w:rPr>
      </w:pPr>
      <w:r>
        <w:rPr>
          <w:rFonts w:hint="cs"/>
          <w:rtl/>
        </w:rPr>
        <w:t xml:space="preserve">לא מצאתי מקום בתיק זה, לחרוג ממתחם העונש ההולם, הנאשם לא שולב בהליך טיפולי ואין המלצה שיקומית לגביו, מעבר להמלצה להטלת צו של"צ, ומכאן אינו עומד בתנאים הקבועים </w:t>
      </w:r>
      <w:hyperlink r:id="rId32" w:history="1">
        <w:r w:rsidR="00086D58" w:rsidRPr="00086D58">
          <w:rPr>
            <w:color w:val="0000FF"/>
            <w:u w:val="single"/>
            <w:rtl/>
          </w:rPr>
          <w:t>בסעיף 40ד</w:t>
        </w:r>
      </w:hyperlink>
      <w:r>
        <w:rPr>
          <w:rFonts w:hint="cs"/>
          <w:rtl/>
        </w:rPr>
        <w:t xml:space="preserve"> ל</w:t>
      </w:r>
      <w:hyperlink r:id="rId33" w:history="1">
        <w:r w:rsidR="00F12C3A" w:rsidRPr="00F12C3A">
          <w:rPr>
            <w:color w:val="0000FF"/>
            <w:u w:val="single"/>
            <w:rtl/>
          </w:rPr>
          <w:t>חוק  העונשין</w:t>
        </w:r>
      </w:hyperlink>
      <w:r>
        <w:rPr>
          <w:rFonts w:hint="cs"/>
          <w:rtl/>
        </w:rPr>
        <w:t>.</w:t>
      </w:r>
    </w:p>
    <w:p w14:paraId="470E7208" w14:textId="77777777" w:rsidR="008D3AB4" w:rsidRDefault="008D3AB4" w:rsidP="008D3AB4">
      <w:pPr>
        <w:pStyle w:val="a9"/>
        <w:spacing w:line="360" w:lineRule="auto"/>
        <w:jc w:val="both"/>
        <w:rPr>
          <w:rtl/>
        </w:rPr>
      </w:pPr>
    </w:p>
    <w:p w14:paraId="1039770C" w14:textId="77777777" w:rsidR="008D3AB4" w:rsidRDefault="008D3AB4" w:rsidP="008D3AB4">
      <w:pPr>
        <w:pStyle w:val="a9"/>
        <w:spacing w:line="360" w:lineRule="auto"/>
        <w:jc w:val="both"/>
        <w:rPr>
          <w:rtl/>
        </w:rPr>
      </w:pPr>
      <w:r>
        <w:rPr>
          <w:rFonts w:hint="cs"/>
          <w:rtl/>
        </w:rPr>
        <w:t>הנאשם עשה דין לעצמו, עת הקים מעבדה לגידול סמים בביתו, ובתוך כך גידל שתילי קנביס לצד החזקה של הסם וכלים המשמשים להכנה וגידול סמים.</w:t>
      </w:r>
    </w:p>
    <w:p w14:paraId="0798CE8C" w14:textId="77777777" w:rsidR="008D3AB4" w:rsidRDefault="008D3AB4" w:rsidP="008D3AB4">
      <w:pPr>
        <w:pStyle w:val="a9"/>
        <w:spacing w:line="360" w:lineRule="auto"/>
        <w:jc w:val="both"/>
        <w:rPr>
          <w:rtl/>
        </w:rPr>
      </w:pPr>
    </w:p>
    <w:p w14:paraId="0C387368" w14:textId="77777777" w:rsidR="008D3AB4" w:rsidRDefault="008D3AB4" w:rsidP="008D3AB4">
      <w:pPr>
        <w:spacing w:line="360" w:lineRule="auto"/>
        <w:ind w:left="720"/>
        <w:jc w:val="both"/>
      </w:pPr>
      <w:r>
        <w:rPr>
          <w:rtl/>
        </w:rPr>
        <w:t xml:space="preserve">אכן כבר נקבע כי האינטרס הנוגע לשיקומו של הנאשם אינו מהווה אינטרס שלו בלבד, אלא משרת גם את החברה בכללותה. יחד עם זאת אינטרס זה מהווה שיקול אחד מבין מכלול השיקולים העומדים בפני בית המשפט בבואו לגזור את עונשו של הנאשם - ראו והשוו </w:t>
      </w:r>
      <w:hyperlink r:id="rId34" w:history="1">
        <w:r w:rsidR="00F12C3A" w:rsidRPr="00F12C3A">
          <w:rPr>
            <w:b/>
            <w:bCs/>
            <w:color w:val="0000FF"/>
            <w:u w:val="single"/>
            <w:rtl/>
          </w:rPr>
          <w:t>רע"פ 1787/15</w:t>
        </w:r>
      </w:hyperlink>
      <w:r>
        <w:rPr>
          <w:b/>
          <w:bCs/>
          <w:rtl/>
        </w:rPr>
        <w:t xml:space="preserve"> עמר נ' מדינת ישראל (24.3.15)</w:t>
      </w:r>
      <w:r>
        <w:rPr>
          <w:rtl/>
        </w:rPr>
        <w:t>.</w:t>
      </w:r>
    </w:p>
    <w:p w14:paraId="6CB00624" w14:textId="77777777" w:rsidR="008D3AB4" w:rsidRDefault="008D3AB4" w:rsidP="008D3AB4">
      <w:pPr>
        <w:pStyle w:val="a9"/>
        <w:spacing w:line="360" w:lineRule="auto"/>
        <w:jc w:val="both"/>
        <w:rPr>
          <w:rtl/>
        </w:rPr>
      </w:pPr>
    </w:p>
    <w:p w14:paraId="37E8771C" w14:textId="77777777" w:rsidR="008D3AB4" w:rsidRDefault="008D3AB4" w:rsidP="008D3AB4">
      <w:pPr>
        <w:spacing w:line="360" w:lineRule="auto"/>
        <w:jc w:val="both"/>
        <w:rPr>
          <w:b/>
          <w:bCs/>
          <w:u w:val="single"/>
          <w:rtl/>
        </w:rPr>
      </w:pPr>
    </w:p>
    <w:p w14:paraId="6C2E3387" w14:textId="77777777" w:rsidR="008D3AB4" w:rsidRPr="00495991" w:rsidRDefault="008D3AB4" w:rsidP="008D3AB4">
      <w:pPr>
        <w:spacing w:line="360" w:lineRule="auto"/>
        <w:jc w:val="both"/>
        <w:rPr>
          <w:b/>
          <w:bCs/>
          <w:u w:val="single"/>
          <w:rtl/>
        </w:rPr>
      </w:pPr>
      <w:r w:rsidRPr="00495991">
        <w:rPr>
          <w:rFonts w:hint="cs"/>
          <w:b/>
          <w:bCs/>
          <w:u w:val="single"/>
          <w:rtl/>
        </w:rPr>
        <w:t>סוף דבר</w:t>
      </w:r>
    </w:p>
    <w:p w14:paraId="437BB163" w14:textId="77777777" w:rsidR="008D3AB4" w:rsidRPr="00986B17" w:rsidRDefault="008D3AB4" w:rsidP="008D3AB4">
      <w:pPr>
        <w:pStyle w:val="a9"/>
        <w:numPr>
          <w:ilvl w:val="0"/>
          <w:numId w:val="1"/>
        </w:numPr>
        <w:spacing w:line="360" w:lineRule="auto"/>
        <w:jc w:val="both"/>
        <w:rPr>
          <w:b/>
          <w:bCs/>
        </w:rPr>
      </w:pPr>
      <w:r w:rsidRPr="00986B17">
        <w:rPr>
          <w:rFonts w:hint="cs"/>
          <w:b/>
          <w:bCs/>
          <w:rtl/>
        </w:rPr>
        <w:t>מכלל הטעמים דלעיל מצאתי לגזור על הנאשם את העונשים הבאים:</w:t>
      </w:r>
    </w:p>
    <w:p w14:paraId="7B50F9CE" w14:textId="77777777" w:rsidR="008D3AB4" w:rsidRDefault="008D3AB4" w:rsidP="008D3AB4">
      <w:pPr>
        <w:spacing w:line="360" w:lineRule="auto"/>
        <w:jc w:val="both"/>
        <w:rPr>
          <w:rtl/>
        </w:rPr>
      </w:pPr>
    </w:p>
    <w:p w14:paraId="6C8C41AE" w14:textId="77777777" w:rsidR="008D3AB4" w:rsidRDefault="008D3AB4" w:rsidP="008D3AB4">
      <w:pPr>
        <w:spacing w:line="360" w:lineRule="auto"/>
        <w:ind w:left="1440" w:hanging="720"/>
        <w:jc w:val="both"/>
        <w:rPr>
          <w:rtl/>
        </w:rPr>
      </w:pPr>
      <w:r>
        <w:rPr>
          <w:rFonts w:hint="cs"/>
          <w:rtl/>
        </w:rPr>
        <w:t>1.</w:t>
      </w:r>
      <w:r>
        <w:rPr>
          <w:rtl/>
        </w:rPr>
        <w:tab/>
      </w:r>
      <w:r>
        <w:rPr>
          <w:rFonts w:hint="cs"/>
          <w:rtl/>
        </w:rPr>
        <w:t>60 ימי מאסר שירוצו בעבודות שירות בהתאם לחוות דעת הממונה שהוגשה לתיק.</w:t>
      </w:r>
    </w:p>
    <w:p w14:paraId="5BC09523" w14:textId="77777777" w:rsidR="008D3AB4" w:rsidRDefault="008D3AB4" w:rsidP="008D3AB4">
      <w:pPr>
        <w:spacing w:line="360" w:lineRule="auto"/>
        <w:ind w:left="1440" w:hanging="720"/>
        <w:jc w:val="both"/>
        <w:rPr>
          <w:rtl/>
        </w:rPr>
      </w:pPr>
    </w:p>
    <w:p w14:paraId="06265355" w14:textId="77777777" w:rsidR="008D3AB4" w:rsidRDefault="008D3AB4" w:rsidP="008D3AB4">
      <w:pPr>
        <w:spacing w:line="360" w:lineRule="auto"/>
        <w:ind w:left="1440" w:hanging="720"/>
        <w:jc w:val="both"/>
        <w:rPr>
          <w:rtl/>
        </w:rPr>
      </w:pPr>
      <w:r>
        <w:rPr>
          <w:rtl/>
        </w:rPr>
        <w:tab/>
      </w:r>
      <w:r>
        <w:rPr>
          <w:rFonts w:hint="cs"/>
          <w:rtl/>
        </w:rPr>
        <w:t>על הנאשם להתייצב במפקד שב"ס, מחוז המרכז, יחידת עבודות השירות רמלה, ביום 27.2.20, עד השעה 08:30, כשהוא מצויד בתעודת זהות, לצורך תחילת ריצוי עבודות השירות.</w:t>
      </w:r>
    </w:p>
    <w:p w14:paraId="0757A1C6" w14:textId="77777777" w:rsidR="008D3AB4" w:rsidRDefault="008D3AB4" w:rsidP="008D3AB4">
      <w:pPr>
        <w:spacing w:line="360" w:lineRule="auto"/>
        <w:ind w:left="1440" w:hanging="720"/>
        <w:jc w:val="both"/>
        <w:rPr>
          <w:rtl/>
        </w:rPr>
      </w:pPr>
      <w:r>
        <w:rPr>
          <w:rtl/>
        </w:rPr>
        <w:tab/>
      </w:r>
      <w:r>
        <w:rPr>
          <w:rFonts w:hint="cs"/>
          <w:rtl/>
        </w:rPr>
        <w:t>אני מזהיר את הנאשם כי אי מילוי תנאי עבודות השירות עלולה להוביל להפסקת העבודות ולריצוי יתרת התקופה מאחורי סורג ובריח.</w:t>
      </w:r>
    </w:p>
    <w:p w14:paraId="47E5DDC1" w14:textId="77777777" w:rsidR="008D3AB4" w:rsidRDefault="008D3AB4" w:rsidP="008D3AB4">
      <w:pPr>
        <w:spacing w:line="360" w:lineRule="auto"/>
        <w:ind w:left="1440" w:hanging="720"/>
        <w:jc w:val="both"/>
        <w:rPr>
          <w:rtl/>
        </w:rPr>
      </w:pPr>
    </w:p>
    <w:p w14:paraId="58791120" w14:textId="77777777" w:rsidR="008D3AB4" w:rsidRDefault="008D3AB4" w:rsidP="008D3AB4">
      <w:pPr>
        <w:spacing w:line="360" w:lineRule="auto"/>
        <w:ind w:left="1440" w:hanging="720"/>
        <w:jc w:val="both"/>
        <w:rPr>
          <w:rtl/>
        </w:rPr>
      </w:pPr>
      <w:r>
        <w:rPr>
          <w:rFonts w:hint="cs"/>
          <w:rtl/>
        </w:rPr>
        <w:t>2.</w:t>
      </w:r>
      <w:r>
        <w:rPr>
          <w:rtl/>
        </w:rPr>
        <w:tab/>
      </w:r>
      <w:r>
        <w:rPr>
          <w:rFonts w:hint="cs"/>
          <w:rtl/>
        </w:rPr>
        <w:t>מאסר על תנאי בן 6 חודשים למשך 3 שנים, והתנאי שהנאשם לא יעבור בתקופה זו כל עבירה על פקודת הסמים מסוג פשע.</w:t>
      </w:r>
    </w:p>
    <w:p w14:paraId="3792D490" w14:textId="77777777" w:rsidR="008D3AB4" w:rsidRDefault="008D3AB4" w:rsidP="008D3AB4">
      <w:pPr>
        <w:spacing w:line="360" w:lineRule="auto"/>
        <w:ind w:left="1440" w:hanging="720"/>
        <w:jc w:val="both"/>
        <w:rPr>
          <w:rtl/>
        </w:rPr>
      </w:pPr>
    </w:p>
    <w:p w14:paraId="16F16D49" w14:textId="77777777" w:rsidR="008D3AB4" w:rsidRDefault="008D3AB4" w:rsidP="008D3AB4">
      <w:pPr>
        <w:spacing w:line="360" w:lineRule="auto"/>
        <w:ind w:left="1440" w:hanging="720"/>
        <w:jc w:val="both"/>
        <w:rPr>
          <w:rtl/>
        </w:rPr>
      </w:pPr>
      <w:r>
        <w:rPr>
          <w:rFonts w:hint="cs"/>
          <w:rtl/>
        </w:rPr>
        <w:t>3.</w:t>
      </w:r>
      <w:r>
        <w:rPr>
          <w:rtl/>
        </w:rPr>
        <w:tab/>
      </w:r>
      <w:r>
        <w:rPr>
          <w:rFonts w:hint="cs"/>
          <w:rtl/>
        </w:rPr>
        <w:t xml:space="preserve">לאור נסיבות ביצוע העבירות והיקף הסם שנתפס, אני מכריז על הנאשם סוחר סמים, ומחלט לפי </w:t>
      </w:r>
      <w:hyperlink r:id="rId35" w:history="1">
        <w:r w:rsidR="00086D58" w:rsidRPr="00086D58">
          <w:rPr>
            <w:color w:val="0000FF"/>
            <w:u w:val="single"/>
            <w:rtl/>
          </w:rPr>
          <w:t>סעיפים 36א(א)</w:t>
        </w:r>
      </w:hyperlink>
      <w:r>
        <w:rPr>
          <w:rFonts w:hint="cs"/>
          <w:rtl/>
        </w:rPr>
        <w:t xml:space="preserve"> ו-</w:t>
      </w:r>
      <w:hyperlink r:id="rId36" w:history="1">
        <w:r w:rsidR="00086D58" w:rsidRPr="00086D58">
          <w:rPr>
            <w:color w:val="0000FF"/>
            <w:u w:val="single"/>
            <w:rtl/>
          </w:rPr>
          <w:t>36א(ב)</w:t>
        </w:r>
      </w:hyperlink>
      <w:r>
        <w:rPr>
          <w:rFonts w:hint="cs"/>
          <w:rtl/>
        </w:rPr>
        <w:t xml:space="preserve"> לפקודת הסמים, לטובת קרן הסמים, סכום כסף בסך של 1850 ₪ וקטנוע מסוג הונדה, מ.ר. 4606908.</w:t>
      </w:r>
    </w:p>
    <w:p w14:paraId="46FA3C3F" w14:textId="77777777" w:rsidR="008D3AB4" w:rsidRDefault="008D3AB4" w:rsidP="008D3AB4">
      <w:pPr>
        <w:spacing w:line="360" w:lineRule="auto"/>
        <w:ind w:left="1440"/>
        <w:jc w:val="both"/>
        <w:rPr>
          <w:rtl/>
        </w:rPr>
      </w:pPr>
      <w:r>
        <w:rPr>
          <w:rFonts w:hint="cs"/>
          <w:rtl/>
        </w:rPr>
        <w:t>לאור נסיבותיו הרפואיות של הנאשם לא מצאתי להטיל רכיב כספי נוסף.</w:t>
      </w:r>
    </w:p>
    <w:p w14:paraId="08E6159B" w14:textId="77777777" w:rsidR="008D3AB4" w:rsidRDefault="008D3AB4" w:rsidP="008D3AB4">
      <w:pPr>
        <w:spacing w:line="360" w:lineRule="auto"/>
        <w:ind w:left="1440"/>
        <w:jc w:val="both"/>
        <w:rPr>
          <w:rtl/>
        </w:rPr>
      </w:pPr>
    </w:p>
    <w:p w14:paraId="7DD7912E" w14:textId="77777777" w:rsidR="008D3AB4" w:rsidRDefault="008D3AB4" w:rsidP="008D3AB4">
      <w:pPr>
        <w:spacing w:line="360" w:lineRule="auto"/>
        <w:ind w:left="1440" w:hanging="720"/>
        <w:jc w:val="both"/>
        <w:rPr>
          <w:rtl/>
        </w:rPr>
      </w:pPr>
      <w:r>
        <w:rPr>
          <w:rFonts w:hint="cs"/>
          <w:rtl/>
        </w:rPr>
        <w:t>4.</w:t>
      </w:r>
      <w:r>
        <w:rPr>
          <w:rtl/>
        </w:rPr>
        <w:tab/>
      </w:r>
      <w:r>
        <w:rPr>
          <w:rFonts w:hint="cs"/>
          <w:rtl/>
        </w:rPr>
        <w:t>אני פוסל את הנאשם מלקבל או מלהחזיק רישיון נהיגה למשך 6 חודשים וזאת על תנאי למשך שנתיים מהיום, והתנאי  שלא יעבור בתקופה זו כל עבירת סמים מסוג פשע או נהיגה בשכרות או נהיגה בזמן פסילה.</w:t>
      </w:r>
    </w:p>
    <w:p w14:paraId="51E9828D" w14:textId="77777777" w:rsidR="008D3AB4" w:rsidRDefault="008D3AB4" w:rsidP="008D3AB4">
      <w:pPr>
        <w:spacing w:line="360" w:lineRule="auto"/>
        <w:jc w:val="both"/>
        <w:rPr>
          <w:rtl/>
        </w:rPr>
      </w:pPr>
    </w:p>
    <w:p w14:paraId="06424A58" w14:textId="77777777" w:rsidR="008D3AB4" w:rsidRDefault="008D3AB4" w:rsidP="008D3AB4">
      <w:pPr>
        <w:spacing w:line="360" w:lineRule="auto"/>
        <w:jc w:val="both"/>
        <w:rPr>
          <w:rtl/>
        </w:rPr>
      </w:pPr>
    </w:p>
    <w:p w14:paraId="382AD3C2" w14:textId="77777777" w:rsidR="008D3AB4" w:rsidRDefault="008D3AB4" w:rsidP="008D3AB4">
      <w:pPr>
        <w:spacing w:line="360" w:lineRule="auto"/>
        <w:jc w:val="both"/>
        <w:rPr>
          <w:rtl/>
        </w:rPr>
      </w:pPr>
    </w:p>
    <w:p w14:paraId="5E0A7F62" w14:textId="77777777" w:rsidR="008D3AB4" w:rsidRPr="007A4819" w:rsidRDefault="008D3AB4" w:rsidP="008D3AB4">
      <w:pPr>
        <w:spacing w:line="360" w:lineRule="auto"/>
        <w:jc w:val="both"/>
        <w:rPr>
          <w:rFonts w:ascii="Arial" w:hAnsi="Arial"/>
          <w:rtl/>
        </w:rPr>
      </w:pPr>
      <w:r w:rsidRPr="007A4819">
        <w:rPr>
          <w:rFonts w:ascii="Arial" w:hAnsi="Arial"/>
          <w:rtl/>
        </w:rPr>
        <w:t xml:space="preserve">צו כללי למוצגים – </w:t>
      </w:r>
      <w:r>
        <w:rPr>
          <w:rFonts w:ascii="Arial" w:hAnsi="Arial" w:hint="cs"/>
          <w:rtl/>
        </w:rPr>
        <w:t xml:space="preserve">סמים וכלים יושמדו. </w:t>
      </w:r>
      <w:r w:rsidRPr="007A4819">
        <w:rPr>
          <w:rFonts w:ascii="Arial" w:hAnsi="Arial"/>
          <w:rtl/>
        </w:rPr>
        <w:t>ככל שישנם מוצגים בתיק זה יטופלו בהתאם להחלטת קצין משטרה מוסמך.</w:t>
      </w:r>
    </w:p>
    <w:p w14:paraId="53C5BE7F" w14:textId="77777777" w:rsidR="008D3AB4" w:rsidRPr="007A4819" w:rsidRDefault="008D3AB4" w:rsidP="008D3AB4">
      <w:pPr>
        <w:spacing w:line="360" w:lineRule="auto"/>
        <w:jc w:val="both"/>
        <w:rPr>
          <w:rFonts w:ascii="Arial" w:hAnsi="Arial"/>
          <w:rtl/>
        </w:rPr>
      </w:pPr>
    </w:p>
    <w:p w14:paraId="6429FD8E" w14:textId="77777777" w:rsidR="008D3AB4" w:rsidRDefault="008D3AB4" w:rsidP="008D3AB4">
      <w:pPr>
        <w:spacing w:line="360" w:lineRule="auto"/>
        <w:jc w:val="both"/>
        <w:rPr>
          <w:rFonts w:ascii="Arial" w:hAnsi="Arial"/>
          <w:rtl/>
        </w:rPr>
      </w:pPr>
      <w:r w:rsidRPr="007A4819">
        <w:rPr>
          <w:rFonts w:ascii="Arial" w:hAnsi="Arial"/>
          <w:rtl/>
        </w:rPr>
        <w:t>ככל שקיימים פיקדונות בתיק זה או בתיקים קשורים – מ"י/מ"ת – יוחזרו לנאשם או למי מטעמו בכפוף לכל דין או החלטה אחרת.</w:t>
      </w:r>
    </w:p>
    <w:p w14:paraId="39F10E3F" w14:textId="77777777" w:rsidR="008D3AB4" w:rsidRPr="007A4819" w:rsidRDefault="008D3AB4" w:rsidP="008D3AB4">
      <w:pPr>
        <w:spacing w:line="360" w:lineRule="auto"/>
        <w:jc w:val="both"/>
        <w:rPr>
          <w:rFonts w:ascii="Calibri" w:hAnsi="Calibri"/>
        </w:rPr>
      </w:pPr>
    </w:p>
    <w:p w14:paraId="6FBC62AC" w14:textId="77777777" w:rsidR="008D3AB4" w:rsidRPr="007A4819" w:rsidRDefault="008D3AB4" w:rsidP="008D3AB4">
      <w:pPr>
        <w:spacing w:line="360" w:lineRule="auto"/>
        <w:jc w:val="both"/>
        <w:rPr>
          <w:rFonts w:ascii="Arial" w:hAnsi="Arial"/>
          <w:sz w:val="22"/>
          <w:szCs w:val="22"/>
        </w:rPr>
      </w:pPr>
      <w:r w:rsidRPr="007A4819">
        <w:rPr>
          <w:rFonts w:ascii="Arial" w:hAnsi="Arial"/>
          <w:b/>
          <w:bCs/>
          <w:rtl/>
        </w:rPr>
        <w:t>זכות ערעור לבית המשפט המחוזי בתל אביב בתוך 45 ימים מהיום</w:t>
      </w:r>
      <w:r w:rsidRPr="007A4819">
        <w:rPr>
          <w:rFonts w:ascii="Arial" w:hAnsi="Arial"/>
          <w:rtl/>
        </w:rPr>
        <w:t>.</w:t>
      </w:r>
    </w:p>
    <w:p w14:paraId="29224DE2" w14:textId="77777777" w:rsidR="008D3AB4" w:rsidRDefault="008D3AB4" w:rsidP="008D3AB4">
      <w:pPr>
        <w:spacing w:line="360" w:lineRule="auto"/>
        <w:ind w:left="720"/>
        <w:jc w:val="both"/>
        <w:rPr>
          <w:rtl/>
        </w:rPr>
      </w:pPr>
    </w:p>
    <w:p w14:paraId="24129212" w14:textId="77777777" w:rsidR="008D3AB4" w:rsidRPr="00B05847" w:rsidRDefault="008D3AB4" w:rsidP="008D3AB4">
      <w:pPr>
        <w:spacing w:line="360" w:lineRule="auto"/>
        <w:jc w:val="both"/>
        <w:rPr>
          <w:rtl/>
        </w:rPr>
      </w:pPr>
      <w:r>
        <w:rPr>
          <w:rFonts w:hint="cs"/>
          <w:rtl/>
        </w:rPr>
        <w:t>המזכירות תעביר העתק מגזר הדין לשירות המבחן ולממונה על עבודות השירות.</w:t>
      </w:r>
    </w:p>
    <w:p w14:paraId="777A9480" w14:textId="77777777" w:rsidR="008D3AB4" w:rsidRPr="00B05847" w:rsidRDefault="008D3AB4" w:rsidP="008D3AB4">
      <w:pPr>
        <w:jc w:val="both"/>
        <w:rPr>
          <w:rtl/>
        </w:rPr>
      </w:pPr>
    </w:p>
    <w:p w14:paraId="349FFC25" w14:textId="77777777" w:rsidR="008D3AB4" w:rsidRPr="00B05847" w:rsidRDefault="008D3AB4" w:rsidP="008D3AB4">
      <w:pPr>
        <w:jc w:val="both"/>
        <w:rPr>
          <w:rtl/>
        </w:rPr>
      </w:pPr>
    </w:p>
    <w:p w14:paraId="7898E4D7" w14:textId="77777777" w:rsidR="008D3AB4" w:rsidRPr="00B05847" w:rsidRDefault="008D3AB4" w:rsidP="008D3AB4">
      <w:pPr>
        <w:jc w:val="both"/>
        <w:rPr>
          <w:rtl/>
        </w:rPr>
      </w:pPr>
    </w:p>
    <w:p w14:paraId="1C8FFE4C" w14:textId="77777777" w:rsidR="008D3AB4" w:rsidRDefault="00F12C3A" w:rsidP="008D3AB4">
      <w:pPr>
        <w:spacing w:line="360" w:lineRule="auto"/>
        <w:jc w:val="both"/>
        <w:rPr>
          <w:rtl/>
        </w:rPr>
      </w:pPr>
      <w:bookmarkStart w:id="8" w:name="Nitan"/>
      <w:r>
        <w:rPr>
          <w:rFonts w:ascii="Arial" w:hAnsi="Arial"/>
          <w:rtl/>
        </w:rPr>
        <w:t xml:space="preserve">ניתן היום,  ב' טבת תש"פ, 30 דצמבר 2019, במעמד הצדדים. </w:t>
      </w:r>
      <w:bookmarkEnd w:id="8"/>
    </w:p>
    <w:p w14:paraId="5B1B7C8E" w14:textId="77777777" w:rsidR="008D3AB4" w:rsidRDefault="008D3AB4" w:rsidP="008D3AB4">
      <w:pPr>
        <w:spacing w:line="360" w:lineRule="auto"/>
        <w:jc w:val="both"/>
        <w:rPr>
          <w:rtl/>
        </w:rPr>
      </w:pPr>
    </w:p>
    <w:p w14:paraId="48863059" w14:textId="77777777" w:rsidR="00F12C3A" w:rsidRDefault="00F12C3A" w:rsidP="00F12C3A">
      <w:pPr>
        <w:rPr>
          <w:rtl/>
        </w:rPr>
      </w:pPr>
    </w:p>
    <w:p w14:paraId="5EF99B39" w14:textId="77777777" w:rsidR="00F12C3A" w:rsidRDefault="00F12C3A" w:rsidP="00F12C3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28C4D232" w14:textId="77777777" w:rsidR="00086D58" w:rsidRPr="00086D58" w:rsidRDefault="00086D58" w:rsidP="00086D58">
      <w:pPr>
        <w:keepNext/>
        <w:rPr>
          <w:rFonts w:ascii="David" w:hAnsi="David"/>
          <w:color w:val="000000"/>
          <w:sz w:val="22"/>
          <w:szCs w:val="22"/>
          <w:rtl/>
        </w:rPr>
      </w:pPr>
    </w:p>
    <w:p w14:paraId="21C07EA4" w14:textId="77777777" w:rsidR="00086D58" w:rsidRPr="00086D58" w:rsidRDefault="00086D58" w:rsidP="00086D58">
      <w:pPr>
        <w:keepNext/>
        <w:rPr>
          <w:rFonts w:ascii="David" w:hAnsi="David"/>
          <w:color w:val="000000"/>
          <w:sz w:val="22"/>
          <w:szCs w:val="22"/>
          <w:rtl/>
        </w:rPr>
      </w:pPr>
      <w:r w:rsidRPr="00086D58">
        <w:rPr>
          <w:rFonts w:ascii="David" w:hAnsi="David"/>
          <w:color w:val="000000"/>
          <w:sz w:val="22"/>
          <w:szCs w:val="22"/>
          <w:rtl/>
        </w:rPr>
        <w:t>רועי פרי 54678313-/</w:t>
      </w:r>
    </w:p>
    <w:p w14:paraId="70C70F13" w14:textId="77777777" w:rsidR="00F12C3A" w:rsidRPr="00F12C3A" w:rsidRDefault="00086D58" w:rsidP="00086D58">
      <w:pPr>
        <w:rPr>
          <w:color w:val="0000FF"/>
          <w:u w:val="single"/>
        </w:rPr>
      </w:pPr>
      <w:r w:rsidRPr="00086D58">
        <w:rPr>
          <w:color w:val="000000"/>
          <w:u w:val="single"/>
          <w:rtl/>
        </w:rPr>
        <w:t>נוסח מסמך זה כפוף לשינויי ניסוח ועריכה</w:t>
      </w:r>
    </w:p>
    <w:sectPr w:rsidR="00F12C3A" w:rsidRPr="00F12C3A" w:rsidSect="00086D58">
      <w:headerReference w:type="even" r:id="rId38"/>
      <w:headerReference w:type="default" r:id="rId39"/>
      <w:footerReference w:type="even" r:id="rId40"/>
      <w:footerReference w:type="default" r:id="rId4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5CA27" w14:textId="77777777" w:rsidR="0051528C" w:rsidRDefault="0051528C" w:rsidP="00496120">
      <w:r>
        <w:separator/>
      </w:r>
    </w:p>
  </w:endnote>
  <w:endnote w:type="continuationSeparator" w:id="0">
    <w:p w14:paraId="16FCC6ED" w14:textId="77777777" w:rsidR="0051528C" w:rsidRDefault="0051528C" w:rsidP="0049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5AE93" w14:textId="77777777" w:rsidR="00086D58" w:rsidRDefault="00086D58" w:rsidP="00086D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470DA7" w14:textId="77777777" w:rsidR="00123D09" w:rsidRPr="00086D58" w:rsidRDefault="00086D58" w:rsidP="00086D58">
    <w:pPr>
      <w:pStyle w:val="a5"/>
      <w:pBdr>
        <w:top w:val="single" w:sz="4" w:space="1" w:color="auto"/>
        <w:between w:val="single" w:sz="4" w:space="0" w:color="auto"/>
      </w:pBdr>
      <w:spacing w:after="60"/>
      <w:jc w:val="center"/>
      <w:rPr>
        <w:rFonts w:ascii="FrankRuehl" w:hAnsi="FrankRuehl" w:cs="FrankRuehl"/>
        <w:color w:val="000000"/>
      </w:rPr>
    </w:pPr>
    <w:r w:rsidRPr="00086D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BA08D" w14:textId="77777777" w:rsidR="00086D58" w:rsidRDefault="00086D58" w:rsidP="00086D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3C7E">
      <w:rPr>
        <w:rFonts w:ascii="FrankRuehl" w:hAnsi="FrankRuehl" w:cs="FrankRuehl"/>
        <w:noProof/>
        <w:rtl/>
      </w:rPr>
      <w:t>1</w:t>
    </w:r>
    <w:r>
      <w:rPr>
        <w:rFonts w:ascii="FrankRuehl" w:hAnsi="FrankRuehl" w:cs="FrankRuehl"/>
        <w:rtl/>
      </w:rPr>
      <w:fldChar w:fldCharType="end"/>
    </w:r>
  </w:p>
  <w:p w14:paraId="2FAB05DC" w14:textId="77777777" w:rsidR="00123D09" w:rsidRPr="00086D58" w:rsidRDefault="00086D58" w:rsidP="00086D58">
    <w:pPr>
      <w:pStyle w:val="a5"/>
      <w:pBdr>
        <w:top w:val="single" w:sz="4" w:space="1" w:color="auto"/>
        <w:between w:val="single" w:sz="4" w:space="0" w:color="auto"/>
      </w:pBdr>
      <w:spacing w:after="60"/>
      <w:jc w:val="center"/>
      <w:rPr>
        <w:rFonts w:ascii="FrankRuehl" w:hAnsi="FrankRuehl" w:cs="FrankRuehl"/>
        <w:color w:val="000000"/>
      </w:rPr>
    </w:pPr>
    <w:r w:rsidRPr="00086D58">
      <w:rPr>
        <w:rFonts w:ascii="FrankRuehl" w:hAnsi="FrankRuehl" w:cs="FrankRuehl"/>
        <w:color w:val="000000"/>
      </w:rPr>
      <w:pict w14:anchorId="5A7C9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04DFC" w14:textId="77777777" w:rsidR="0051528C" w:rsidRDefault="0051528C" w:rsidP="00496120">
      <w:r>
        <w:separator/>
      </w:r>
    </w:p>
  </w:footnote>
  <w:footnote w:type="continuationSeparator" w:id="0">
    <w:p w14:paraId="6313B9FB" w14:textId="77777777" w:rsidR="0051528C" w:rsidRDefault="0051528C" w:rsidP="00496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6186B" w14:textId="77777777" w:rsidR="00F12C3A" w:rsidRPr="00086D58" w:rsidRDefault="00086D58" w:rsidP="00086D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21232-01-18</w:t>
    </w:r>
    <w:r>
      <w:rPr>
        <w:rFonts w:ascii="David" w:hAnsi="David"/>
        <w:color w:val="000000"/>
        <w:sz w:val="22"/>
        <w:szCs w:val="22"/>
        <w:rtl/>
      </w:rPr>
      <w:tab/>
      <w:t xml:space="preserve"> מדינת ישראל תביעות תל אביב נ' ליאור עגיב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7DD13" w14:textId="77777777" w:rsidR="00F12C3A" w:rsidRPr="00086D58" w:rsidRDefault="00086D58" w:rsidP="00086D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21232-01-18</w:t>
    </w:r>
    <w:r>
      <w:rPr>
        <w:rFonts w:ascii="David" w:hAnsi="David"/>
        <w:color w:val="000000"/>
        <w:sz w:val="22"/>
        <w:szCs w:val="22"/>
        <w:rtl/>
      </w:rPr>
      <w:tab/>
      <w:t xml:space="preserve"> מדינת ישראל תביעות תל אביב נ' ליאור עגיב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F31162"/>
    <w:multiLevelType w:val="hybridMultilevel"/>
    <w:tmpl w:val="5FEC5788"/>
    <w:lvl w:ilvl="0" w:tplc="7488E80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1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3AB4"/>
    <w:rsid w:val="00086D58"/>
    <w:rsid w:val="00123D09"/>
    <w:rsid w:val="00346F10"/>
    <w:rsid w:val="00496120"/>
    <w:rsid w:val="004C7D70"/>
    <w:rsid w:val="0051528C"/>
    <w:rsid w:val="008D3AB4"/>
    <w:rsid w:val="009D5EAF"/>
    <w:rsid w:val="00B03C7E"/>
    <w:rsid w:val="00CB63BD"/>
    <w:rsid w:val="00F12C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77CC4C"/>
  <w15:chartTrackingRefBased/>
  <w15:docId w15:val="{E6C7E76A-7AC2-4436-A170-373FB23C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3AB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3AB4"/>
    <w:pPr>
      <w:tabs>
        <w:tab w:val="center" w:pos="4153"/>
        <w:tab w:val="right" w:pos="8306"/>
      </w:tabs>
    </w:pPr>
  </w:style>
  <w:style w:type="character" w:customStyle="1" w:styleId="a4">
    <w:name w:val="כותרת עליונה תו"/>
    <w:link w:val="a3"/>
    <w:rsid w:val="008D3AB4"/>
    <w:rPr>
      <w:rFonts w:ascii="Times New Roman" w:eastAsia="Times New Roman" w:hAnsi="Times New Roman" w:cs="David"/>
      <w:sz w:val="24"/>
      <w:szCs w:val="24"/>
    </w:rPr>
  </w:style>
  <w:style w:type="paragraph" w:styleId="a5">
    <w:name w:val="footer"/>
    <w:basedOn w:val="a"/>
    <w:link w:val="a6"/>
    <w:rsid w:val="008D3AB4"/>
    <w:pPr>
      <w:tabs>
        <w:tab w:val="center" w:pos="4153"/>
        <w:tab w:val="right" w:pos="8306"/>
      </w:tabs>
    </w:pPr>
  </w:style>
  <w:style w:type="character" w:customStyle="1" w:styleId="a6">
    <w:name w:val="כותרת תחתונה תו"/>
    <w:link w:val="a5"/>
    <w:rsid w:val="008D3AB4"/>
    <w:rPr>
      <w:rFonts w:ascii="Times New Roman" w:eastAsia="Times New Roman" w:hAnsi="Times New Roman" w:cs="David"/>
      <w:sz w:val="24"/>
      <w:szCs w:val="24"/>
    </w:rPr>
  </w:style>
  <w:style w:type="table" w:styleId="a7">
    <w:name w:val="Table Grid"/>
    <w:basedOn w:val="a1"/>
    <w:rsid w:val="008D3A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3AB4"/>
  </w:style>
  <w:style w:type="paragraph" w:styleId="a9">
    <w:name w:val="List Paragraph"/>
    <w:basedOn w:val="a"/>
    <w:qFormat/>
    <w:rsid w:val="008D3AB4"/>
    <w:pPr>
      <w:ind w:left="720"/>
      <w:contextualSpacing/>
    </w:pPr>
  </w:style>
  <w:style w:type="character" w:styleId="Hyperlink">
    <w:name w:val="Hyperlink"/>
    <w:rsid w:val="00F12C3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7765855" TargetMode="External"/><Relationship Id="rId39" Type="http://schemas.openxmlformats.org/officeDocument/2006/relationships/header" Target="header2.xml"/><Relationship Id="rId21" Type="http://schemas.openxmlformats.org/officeDocument/2006/relationships/hyperlink" Target="http://www.nevo.co.il/law/4216/7.a" TargetMode="External"/><Relationship Id="rId34" Type="http://schemas.openxmlformats.org/officeDocument/2006/relationships/hyperlink" Target="http://www.nevo.co.il/case/20111708"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4216/10" TargetMode="External"/><Relationship Id="rId29" Type="http://schemas.openxmlformats.org/officeDocument/2006/relationships/hyperlink" Target="http://www.nevo.co.il/case/2082703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d"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667609" TargetMode="External"/><Relationship Id="rId36" Type="http://schemas.openxmlformats.org/officeDocument/2006/relationships/hyperlink" Target="http://www.nevo.co.il/law/4216/36a.b"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4327841"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0634187" TargetMode="External"/><Relationship Id="rId30" Type="http://schemas.openxmlformats.org/officeDocument/2006/relationships/hyperlink" Target="http://www.nevo.co.il/case/21939622" TargetMode="External"/><Relationship Id="rId35" Type="http://schemas.openxmlformats.org/officeDocument/2006/relationships/hyperlink" Target="http://www.nevo.co.il/law/4216/36a.a"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632055"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1875</Words>
  <Characters>9376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11229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5111890</vt:i4>
      </vt:variant>
      <vt:variant>
        <vt:i4>87</vt:i4>
      </vt:variant>
      <vt:variant>
        <vt:i4>0</vt:i4>
      </vt:variant>
      <vt:variant>
        <vt:i4>5</vt:i4>
      </vt:variant>
      <vt:variant>
        <vt:lpwstr>http://www.nevo.co.il/law/4216/36a.b</vt:lpwstr>
      </vt:variant>
      <vt:variant>
        <vt:lpwstr/>
      </vt:variant>
      <vt:variant>
        <vt:i4>5046354</vt:i4>
      </vt:variant>
      <vt:variant>
        <vt:i4>84</vt:i4>
      </vt:variant>
      <vt:variant>
        <vt:i4>0</vt:i4>
      </vt:variant>
      <vt:variant>
        <vt:i4>5</vt:i4>
      </vt:variant>
      <vt:variant>
        <vt:lpwstr>http://www.nevo.co.il/law/4216/36a.a</vt:lpwstr>
      </vt:variant>
      <vt:variant>
        <vt:lpwstr/>
      </vt:variant>
      <vt:variant>
        <vt:i4>3276914</vt:i4>
      </vt:variant>
      <vt:variant>
        <vt:i4>81</vt:i4>
      </vt:variant>
      <vt:variant>
        <vt:i4>0</vt:i4>
      </vt:variant>
      <vt:variant>
        <vt:i4>5</vt:i4>
      </vt:variant>
      <vt:variant>
        <vt:lpwstr>http://www.nevo.co.il/case/20111708</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3276922</vt:i4>
      </vt:variant>
      <vt:variant>
        <vt:i4>72</vt:i4>
      </vt:variant>
      <vt:variant>
        <vt:i4>0</vt:i4>
      </vt:variant>
      <vt:variant>
        <vt:i4>5</vt:i4>
      </vt:variant>
      <vt:variant>
        <vt:lpwstr>http://www.nevo.co.il/case/24327841</vt:lpwstr>
      </vt:variant>
      <vt:variant>
        <vt:lpwstr/>
      </vt:variant>
      <vt:variant>
        <vt:i4>3145840</vt:i4>
      </vt:variant>
      <vt:variant>
        <vt:i4>69</vt:i4>
      </vt:variant>
      <vt:variant>
        <vt:i4>0</vt:i4>
      </vt:variant>
      <vt:variant>
        <vt:i4>5</vt:i4>
      </vt:variant>
      <vt:variant>
        <vt:lpwstr>http://www.nevo.co.il/case/21939622</vt:lpwstr>
      </vt:variant>
      <vt:variant>
        <vt:lpwstr/>
      </vt:variant>
      <vt:variant>
        <vt:i4>4063350</vt:i4>
      </vt:variant>
      <vt:variant>
        <vt:i4>66</vt:i4>
      </vt:variant>
      <vt:variant>
        <vt:i4>0</vt:i4>
      </vt:variant>
      <vt:variant>
        <vt:i4>5</vt:i4>
      </vt:variant>
      <vt:variant>
        <vt:lpwstr>http://www.nevo.co.il/case/20827031</vt:lpwstr>
      </vt:variant>
      <vt:variant>
        <vt:lpwstr/>
      </vt:variant>
      <vt:variant>
        <vt:i4>3342452</vt:i4>
      </vt:variant>
      <vt:variant>
        <vt:i4>63</vt:i4>
      </vt:variant>
      <vt:variant>
        <vt:i4>0</vt:i4>
      </vt:variant>
      <vt:variant>
        <vt:i4>5</vt:i4>
      </vt:variant>
      <vt:variant>
        <vt:lpwstr>http://www.nevo.co.il/case/20667609</vt:lpwstr>
      </vt:variant>
      <vt:variant>
        <vt:lpwstr/>
      </vt:variant>
      <vt:variant>
        <vt:i4>3670134</vt:i4>
      </vt:variant>
      <vt:variant>
        <vt:i4>60</vt:i4>
      </vt:variant>
      <vt:variant>
        <vt:i4>0</vt:i4>
      </vt:variant>
      <vt:variant>
        <vt:i4>5</vt:i4>
      </vt:variant>
      <vt:variant>
        <vt:lpwstr>http://www.nevo.co.il/case/20634187</vt:lpwstr>
      </vt:variant>
      <vt:variant>
        <vt:lpwstr/>
      </vt:variant>
      <vt:variant>
        <vt:i4>3932275</vt:i4>
      </vt:variant>
      <vt:variant>
        <vt:i4>57</vt:i4>
      </vt:variant>
      <vt:variant>
        <vt:i4>0</vt:i4>
      </vt:variant>
      <vt:variant>
        <vt:i4>5</vt:i4>
      </vt:variant>
      <vt:variant>
        <vt:lpwstr>http://www.nevo.co.il/case/7765855</vt:lpwstr>
      </vt:variant>
      <vt:variant>
        <vt:lpwstr/>
      </vt:variant>
      <vt:variant>
        <vt:i4>3342455</vt:i4>
      </vt:variant>
      <vt:variant>
        <vt:i4>54</vt:i4>
      </vt:variant>
      <vt:variant>
        <vt:i4>0</vt:i4>
      </vt:variant>
      <vt:variant>
        <vt:i4>5</vt:i4>
      </vt:variant>
      <vt:variant>
        <vt:lpwstr>http://www.nevo.co.il/case/20632055</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2025-04-22T23:38:00Z</dcterms:created>
  <dcterms:modified xsi:type="dcterms:W3CDTF">2025-04-22T23:38:00Z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21232</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 תביעות תל אביב</vt:lpwstr>
  </property>
  <property fmtid="{D5CDD505-2E9C-101B-9397-08002B2CF9AE}" pid="9" name="APPELLEE">
    <vt:lpwstr>ליאור עגיב</vt:lpwstr>
  </property>
  <property fmtid="{D5CDD505-2E9C-101B-9397-08002B2CF9AE}" pid="10" name="LAWYER">
    <vt:lpwstr>ליאור פרי;בן משה;שיראל כהן</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20191230</vt:lpwstr>
  </property>
  <property fmtid="{D5CDD505-2E9C-101B-9397-08002B2CF9AE}" pid="14" name="TYPE_N_DATE">
    <vt:lpwstr>38020191230</vt:lpwstr>
  </property>
  <property fmtid="{D5CDD505-2E9C-101B-9397-08002B2CF9AE}" pid="15" name="CASESLISTTMP1">
    <vt:lpwstr>20632055;7765855;20634187;20667609;20827031;21939622;24327841;20111708</vt:lpwstr>
  </property>
  <property fmtid="{D5CDD505-2E9C-101B-9397-08002B2CF9AE}" pid="16" name="WORDNUMPAGES">
    <vt:lpwstr>6</vt:lpwstr>
  </property>
  <property fmtid="{D5CDD505-2E9C-101B-9397-08002B2CF9AE}" pid="17" name="TYPE_ABS_DATE">
    <vt:lpwstr>380020191230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4216/006;007.a:2;007.c:2;010;036a.a;036a.b</vt:lpwstr>
  </property>
  <property fmtid="{D5CDD505-2E9C-101B-9397-08002B2CF9AE}" pid="37" name="LAWLISTTMP2">
    <vt:lpwstr>70301/040d</vt:lpwstr>
  </property>
</Properties>
</file>