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1785B" w:rsidRPr="00F33D1E" w14:paraId="3EC64468" w14:textId="77777777" w:rsidTr="00930072">
        <w:trPr>
          <w:trHeight w:hRule="exact" w:val="1622"/>
          <w:jc w:val="center"/>
        </w:trPr>
        <w:tc>
          <w:tcPr>
            <w:tcW w:w="8721" w:type="dxa"/>
            <w:gridSpan w:val="2"/>
          </w:tcPr>
          <w:p w14:paraId="76A74237" w14:textId="77777777" w:rsidR="00930072" w:rsidRDefault="00930072" w:rsidP="00E95EBA">
            <w:pPr>
              <w:pStyle w:val="a3"/>
              <w:jc w:val="center"/>
              <w:rPr>
                <w:rFonts w:ascii="Tahoma" w:hAnsi="Tahoma" w:cs="Tahoma"/>
                <w:b/>
                <w:bCs/>
                <w:color w:val="000080"/>
                <w:rtl/>
              </w:rPr>
            </w:pPr>
          </w:p>
          <w:p w14:paraId="09A423E1" w14:textId="77777777" w:rsidR="00930072" w:rsidRPr="00930072" w:rsidRDefault="00930072" w:rsidP="00930072">
            <w:pPr>
              <w:pStyle w:val="a3"/>
              <w:rPr>
                <w:rFonts w:ascii="Tahoma" w:hAnsi="Tahoma" w:cs="Tahoma" w:hint="cs"/>
                <w:rtl/>
              </w:rPr>
            </w:pPr>
            <w:bookmarkStart w:id="0" w:name="LawTable"/>
            <w:bookmarkStart w:id="1" w:name="LawTable_End"/>
            <w:bookmarkEnd w:id="0"/>
            <w:bookmarkEnd w:id="1"/>
          </w:p>
          <w:p w14:paraId="790137CA" w14:textId="77777777" w:rsidR="00F1785B" w:rsidRPr="00F33D1E" w:rsidRDefault="00F1785B" w:rsidP="00E95EBA">
            <w:pPr>
              <w:pStyle w:val="a3"/>
              <w:jc w:val="center"/>
              <w:rPr>
                <w:rFonts w:ascii="Tahoma" w:hAnsi="Tahoma" w:cs="Tahoma"/>
                <w:color w:val="000080"/>
                <w:rtl/>
              </w:rPr>
            </w:pPr>
            <w:r w:rsidRPr="00F33D1E">
              <w:rPr>
                <w:rFonts w:ascii="Tahoma" w:hAnsi="Tahoma" w:cs="Tahoma"/>
                <w:b/>
                <w:bCs/>
                <w:color w:val="000080"/>
                <w:rtl/>
              </w:rPr>
              <w:t>בית משפט השלום בראשון לציון</w:t>
            </w:r>
          </w:p>
        </w:tc>
      </w:tr>
      <w:tr w:rsidR="00F1785B" w:rsidRPr="00F33D1E" w14:paraId="6A8EEB61" w14:textId="77777777" w:rsidTr="00930072">
        <w:trPr>
          <w:trHeight w:val="337"/>
          <w:jc w:val="center"/>
        </w:trPr>
        <w:tc>
          <w:tcPr>
            <w:tcW w:w="5054" w:type="dxa"/>
          </w:tcPr>
          <w:p w14:paraId="573B25B8" w14:textId="77777777" w:rsidR="00F1785B" w:rsidRPr="00F33D1E" w:rsidRDefault="00F1785B" w:rsidP="00E95EBA">
            <w:pPr>
              <w:rPr>
                <w:rFonts w:cs="FrankRuehl"/>
                <w:sz w:val="28"/>
                <w:szCs w:val="28"/>
                <w:rtl/>
              </w:rPr>
            </w:pPr>
            <w:r w:rsidRPr="00F33D1E">
              <w:rPr>
                <w:rFonts w:cs="FrankRuehl"/>
                <w:sz w:val="28"/>
                <w:szCs w:val="28"/>
                <w:rtl/>
              </w:rPr>
              <w:t>ת"פ</w:t>
            </w:r>
            <w:r w:rsidRPr="00F33D1E">
              <w:rPr>
                <w:rFonts w:cs="FrankRuehl" w:hint="cs"/>
                <w:sz w:val="28"/>
                <w:szCs w:val="28"/>
                <w:rtl/>
              </w:rPr>
              <w:t xml:space="preserve"> </w:t>
            </w:r>
            <w:r w:rsidRPr="00F33D1E">
              <w:rPr>
                <w:rFonts w:cs="FrankRuehl"/>
                <w:sz w:val="28"/>
                <w:szCs w:val="28"/>
                <w:rtl/>
              </w:rPr>
              <w:t>31006-01-18</w:t>
            </w:r>
            <w:r w:rsidRPr="00F33D1E">
              <w:rPr>
                <w:rFonts w:cs="FrankRuehl" w:hint="cs"/>
                <w:sz w:val="28"/>
                <w:szCs w:val="28"/>
                <w:rtl/>
              </w:rPr>
              <w:t xml:space="preserve"> </w:t>
            </w:r>
            <w:r w:rsidRPr="00F33D1E">
              <w:rPr>
                <w:rFonts w:cs="FrankRuehl"/>
                <w:sz w:val="28"/>
                <w:szCs w:val="28"/>
                <w:rtl/>
              </w:rPr>
              <w:t>ישראל נ' בלעיש</w:t>
            </w:r>
          </w:p>
          <w:p w14:paraId="1322D8D1" w14:textId="77777777" w:rsidR="00F1785B" w:rsidRPr="00F33D1E" w:rsidRDefault="00F1785B" w:rsidP="00E95EBA">
            <w:pPr>
              <w:pStyle w:val="a3"/>
              <w:rPr>
                <w:rFonts w:cs="FrankRuehl"/>
                <w:sz w:val="28"/>
                <w:szCs w:val="28"/>
                <w:rtl/>
              </w:rPr>
            </w:pPr>
          </w:p>
        </w:tc>
        <w:tc>
          <w:tcPr>
            <w:tcW w:w="3667" w:type="dxa"/>
          </w:tcPr>
          <w:p w14:paraId="3AE47CA7" w14:textId="77777777" w:rsidR="00F1785B" w:rsidRPr="00F33D1E" w:rsidRDefault="00F1785B" w:rsidP="00E95EBA">
            <w:pPr>
              <w:pStyle w:val="a3"/>
              <w:jc w:val="right"/>
              <w:rPr>
                <w:rFonts w:cs="FrankRuehl"/>
                <w:sz w:val="28"/>
                <w:szCs w:val="28"/>
                <w:rtl/>
              </w:rPr>
            </w:pPr>
          </w:p>
        </w:tc>
      </w:tr>
    </w:tbl>
    <w:p w14:paraId="07E8EAD8" w14:textId="77777777" w:rsidR="00F1785B" w:rsidRPr="00F33D1E" w:rsidRDefault="00F1785B" w:rsidP="00F1785B">
      <w:pPr>
        <w:pStyle w:val="a3"/>
        <w:rPr>
          <w:rtl/>
        </w:rPr>
      </w:pPr>
      <w:r w:rsidRPr="00F33D1E">
        <w:rPr>
          <w:rFonts w:hint="cs"/>
          <w:rtl/>
        </w:rPr>
        <w:t xml:space="preserve"> </w:t>
      </w:r>
    </w:p>
    <w:p w14:paraId="0D860496" w14:textId="77777777" w:rsidR="00F1785B" w:rsidRPr="00F33D1E" w:rsidRDefault="00F1785B" w:rsidP="00F1785B">
      <w:pPr>
        <w:rPr>
          <w:rtl/>
        </w:rPr>
      </w:pPr>
    </w:p>
    <w:p w14:paraId="696AB718" w14:textId="77777777" w:rsidR="00F1785B" w:rsidRPr="00F33D1E" w:rsidRDefault="00F1785B" w:rsidP="00F1785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785B" w:rsidRPr="00F33D1E" w14:paraId="13417B09" w14:textId="77777777" w:rsidTr="00F1785B">
        <w:trPr>
          <w:trHeight w:val="295"/>
          <w:jc w:val="center"/>
        </w:trPr>
        <w:tc>
          <w:tcPr>
            <w:tcW w:w="923" w:type="dxa"/>
            <w:tcBorders>
              <w:top w:val="nil"/>
              <w:left w:val="nil"/>
              <w:bottom w:val="nil"/>
              <w:right w:val="nil"/>
            </w:tcBorders>
            <w:shd w:val="clear" w:color="auto" w:fill="auto"/>
          </w:tcPr>
          <w:p w14:paraId="3DFF144C" w14:textId="77777777" w:rsidR="00F1785B" w:rsidRPr="00F33D1E" w:rsidRDefault="00F1785B" w:rsidP="00F1785B">
            <w:pPr>
              <w:jc w:val="both"/>
              <w:rPr>
                <w:rFonts w:ascii="Arial" w:hAnsi="Arial" w:cs="FrankRuehl"/>
                <w:sz w:val="28"/>
                <w:szCs w:val="28"/>
              </w:rPr>
            </w:pPr>
            <w:r w:rsidRPr="00F33D1E">
              <w:rPr>
                <w:rFonts w:ascii="Arial" w:hAnsi="Arial" w:cs="FrankRuehl" w:hint="cs"/>
                <w:sz w:val="28"/>
                <w:szCs w:val="28"/>
                <w:rtl/>
              </w:rPr>
              <w:t>ב</w:t>
            </w:r>
            <w:r w:rsidRPr="00F33D1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DBA75C2" w14:textId="77777777" w:rsidR="00F1785B" w:rsidRPr="00F33D1E" w:rsidRDefault="00F1785B" w:rsidP="00E95EBA">
            <w:pPr>
              <w:rPr>
                <w:rFonts w:ascii="Arial" w:hAnsi="Arial"/>
                <w:b/>
                <w:bCs/>
                <w:rtl/>
              </w:rPr>
            </w:pPr>
            <w:r w:rsidRPr="00F33D1E">
              <w:rPr>
                <w:rFonts w:ascii="Arial" w:hAnsi="Arial" w:hint="cs"/>
                <w:b/>
                <w:bCs/>
                <w:rtl/>
              </w:rPr>
              <w:t>כבוד ה</w:t>
            </w:r>
            <w:r w:rsidRPr="00F33D1E">
              <w:rPr>
                <w:rFonts w:ascii="Arial" w:hAnsi="Arial"/>
                <w:b/>
                <w:bCs/>
                <w:rtl/>
              </w:rPr>
              <w:t>שופטת - נשיאה</w:t>
            </w:r>
            <w:r w:rsidRPr="00F33D1E">
              <w:rPr>
                <w:rFonts w:ascii="Arial" w:hAnsi="Arial" w:hint="cs"/>
                <w:b/>
                <w:bCs/>
                <w:rtl/>
              </w:rPr>
              <w:t xml:space="preserve">  </w:t>
            </w:r>
            <w:r w:rsidRPr="00F33D1E">
              <w:rPr>
                <w:rFonts w:ascii="Arial" w:hAnsi="Arial"/>
                <w:b/>
                <w:bCs/>
                <w:rtl/>
              </w:rPr>
              <w:t>עינת רון</w:t>
            </w:r>
          </w:p>
          <w:p w14:paraId="75447E9F" w14:textId="77777777" w:rsidR="00F1785B" w:rsidRPr="00F33D1E" w:rsidRDefault="00F1785B" w:rsidP="00E95EBA">
            <w:pPr>
              <w:rPr>
                <w:rtl/>
              </w:rPr>
            </w:pPr>
          </w:p>
          <w:p w14:paraId="5FBA905F" w14:textId="77777777" w:rsidR="00F1785B" w:rsidRPr="00F33D1E" w:rsidRDefault="00F1785B" w:rsidP="00F1785B">
            <w:pPr>
              <w:jc w:val="both"/>
              <w:rPr>
                <w:rFonts w:ascii="Arial" w:hAnsi="Arial" w:cs="FrankRuehl"/>
                <w:sz w:val="28"/>
                <w:szCs w:val="28"/>
              </w:rPr>
            </w:pPr>
          </w:p>
        </w:tc>
      </w:tr>
      <w:tr w:rsidR="00F1785B" w:rsidRPr="00F33D1E" w14:paraId="368F4605" w14:textId="77777777" w:rsidTr="00F1785B">
        <w:trPr>
          <w:trHeight w:val="355"/>
          <w:jc w:val="center"/>
        </w:trPr>
        <w:tc>
          <w:tcPr>
            <w:tcW w:w="923" w:type="dxa"/>
            <w:tcBorders>
              <w:top w:val="nil"/>
              <w:left w:val="nil"/>
              <w:bottom w:val="nil"/>
              <w:right w:val="nil"/>
            </w:tcBorders>
            <w:shd w:val="clear" w:color="auto" w:fill="auto"/>
          </w:tcPr>
          <w:p w14:paraId="5219B8AC" w14:textId="77777777" w:rsidR="00F1785B" w:rsidRPr="00F33D1E" w:rsidRDefault="00F1785B" w:rsidP="00F1785B">
            <w:pPr>
              <w:jc w:val="both"/>
              <w:rPr>
                <w:rFonts w:ascii="Arial" w:hAnsi="Arial" w:cs="FrankRuehl"/>
                <w:sz w:val="28"/>
                <w:szCs w:val="28"/>
              </w:rPr>
            </w:pPr>
            <w:bookmarkStart w:id="2" w:name="FirstAppellant"/>
            <w:bookmarkStart w:id="3" w:name="LastJudge"/>
            <w:bookmarkEnd w:id="3"/>
            <w:r w:rsidRPr="00F33D1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FCE855C" w14:textId="77777777" w:rsidR="00F1785B" w:rsidRPr="00F33D1E" w:rsidRDefault="00F1785B" w:rsidP="00E95EBA">
            <w:r w:rsidRPr="00F33D1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0DF0352" w14:textId="77777777" w:rsidR="00F1785B" w:rsidRPr="00F33D1E" w:rsidRDefault="00F1785B" w:rsidP="00F1785B">
            <w:pPr>
              <w:jc w:val="both"/>
              <w:rPr>
                <w:rFonts w:ascii="Arial" w:hAnsi="Arial" w:cs="FrankRuehl"/>
                <w:sz w:val="28"/>
                <w:szCs w:val="28"/>
              </w:rPr>
            </w:pPr>
          </w:p>
        </w:tc>
      </w:tr>
      <w:bookmarkEnd w:id="2"/>
      <w:tr w:rsidR="00F1785B" w:rsidRPr="00F33D1E" w14:paraId="7B46236D" w14:textId="77777777" w:rsidTr="00F1785B">
        <w:trPr>
          <w:trHeight w:val="355"/>
          <w:jc w:val="center"/>
        </w:trPr>
        <w:tc>
          <w:tcPr>
            <w:tcW w:w="923" w:type="dxa"/>
            <w:tcBorders>
              <w:top w:val="nil"/>
              <w:left w:val="nil"/>
              <w:bottom w:val="nil"/>
              <w:right w:val="nil"/>
            </w:tcBorders>
            <w:shd w:val="clear" w:color="auto" w:fill="auto"/>
          </w:tcPr>
          <w:p w14:paraId="317DF094" w14:textId="77777777" w:rsidR="00F1785B" w:rsidRPr="00F33D1E" w:rsidRDefault="00F1785B" w:rsidP="00F1785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7833189" w14:textId="77777777" w:rsidR="00F1785B" w:rsidRPr="00F33D1E" w:rsidRDefault="00F1785B" w:rsidP="00F1785B">
            <w:pPr>
              <w:jc w:val="both"/>
              <w:rPr>
                <w:rtl/>
              </w:rPr>
            </w:pPr>
          </w:p>
        </w:tc>
        <w:tc>
          <w:tcPr>
            <w:tcW w:w="3771" w:type="dxa"/>
            <w:tcBorders>
              <w:top w:val="nil"/>
              <w:left w:val="nil"/>
              <w:bottom w:val="nil"/>
              <w:right w:val="nil"/>
            </w:tcBorders>
            <w:shd w:val="clear" w:color="auto" w:fill="auto"/>
          </w:tcPr>
          <w:p w14:paraId="0F103176" w14:textId="77777777" w:rsidR="00F1785B" w:rsidRPr="00F33D1E" w:rsidRDefault="00F1785B" w:rsidP="00F1785B">
            <w:pPr>
              <w:jc w:val="right"/>
              <w:rPr>
                <w:rFonts w:ascii="Arial" w:hAnsi="Arial" w:cs="FrankRuehl"/>
                <w:sz w:val="28"/>
                <w:szCs w:val="28"/>
                <w:rtl/>
              </w:rPr>
            </w:pPr>
            <w:r w:rsidRPr="00F33D1E">
              <w:rPr>
                <w:rFonts w:ascii="Arial" w:hAnsi="Arial" w:cs="FrankRuehl" w:hint="cs"/>
                <w:sz w:val="28"/>
                <w:szCs w:val="28"/>
                <w:rtl/>
              </w:rPr>
              <w:t>ה</w:t>
            </w:r>
            <w:r w:rsidRPr="00F33D1E">
              <w:rPr>
                <w:rFonts w:ascii="Arial" w:hAnsi="Arial" w:cs="FrankRuehl"/>
                <w:sz w:val="28"/>
                <w:szCs w:val="28"/>
                <w:rtl/>
              </w:rPr>
              <w:t>מאשימה</w:t>
            </w:r>
          </w:p>
        </w:tc>
      </w:tr>
      <w:tr w:rsidR="00F1785B" w:rsidRPr="00F33D1E" w14:paraId="19B8EB4C" w14:textId="77777777" w:rsidTr="00F1785B">
        <w:trPr>
          <w:trHeight w:val="355"/>
          <w:jc w:val="center"/>
        </w:trPr>
        <w:tc>
          <w:tcPr>
            <w:tcW w:w="923" w:type="dxa"/>
            <w:tcBorders>
              <w:top w:val="nil"/>
              <w:left w:val="nil"/>
              <w:bottom w:val="nil"/>
              <w:right w:val="nil"/>
            </w:tcBorders>
            <w:shd w:val="clear" w:color="auto" w:fill="auto"/>
          </w:tcPr>
          <w:p w14:paraId="4CCA0934" w14:textId="77777777" w:rsidR="00F1785B" w:rsidRPr="00F33D1E" w:rsidRDefault="00F1785B" w:rsidP="00F1785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DCFEC6C" w14:textId="77777777" w:rsidR="00F1785B" w:rsidRPr="00F33D1E" w:rsidRDefault="00F1785B" w:rsidP="00F1785B">
            <w:pPr>
              <w:jc w:val="center"/>
              <w:rPr>
                <w:rFonts w:ascii="Arial" w:hAnsi="Arial" w:cs="FrankRuehl"/>
                <w:b/>
                <w:bCs/>
                <w:sz w:val="28"/>
                <w:szCs w:val="28"/>
                <w:rtl/>
              </w:rPr>
            </w:pPr>
          </w:p>
          <w:p w14:paraId="2CADF7F4" w14:textId="77777777" w:rsidR="00F1785B" w:rsidRPr="00F33D1E" w:rsidRDefault="00F1785B" w:rsidP="00F1785B">
            <w:pPr>
              <w:jc w:val="center"/>
              <w:rPr>
                <w:rFonts w:ascii="Arial" w:hAnsi="Arial" w:cs="FrankRuehl"/>
                <w:b/>
                <w:bCs/>
                <w:sz w:val="28"/>
                <w:szCs w:val="28"/>
                <w:rtl/>
              </w:rPr>
            </w:pPr>
            <w:r w:rsidRPr="00F33D1E">
              <w:rPr>
                <w:rFonts w:ascii="Arial" w:hAnsi="Arial" w:cs="FrankRuehl"/>
                <w:b/>
                <w:bCs/>
                <w:sz w:val="28"/>
                <w:szCs w:val="28"/>
                <w:rtl/>
              </w:rPr>
              <w:t>נגד</w:t>
            </w:r>
          </w:p>
          <w:p w14:paraId="290E03EA" w14:textId="77777777" w:rsidR="00F1785B" w:rsidRPr="00F33D1E" w:rsidRDefault="00F1785B" w:rsidP="00F1785B">
            <w:pPr>
              <w:jc w:val="both"/>
              <w:rPr>
                <w:rFonts w:ascii="Arial" w:hAnsi="Arial" w:cs="FrankRuehl"/>
                <w:sz w:val="28"/>
                <w:szCs w:val="28"/>
              </w:rPr>
            </w:pPr>
          </w:p>
        </w:tc>
      </w:tr>
      <w:tr w:rsidR="00F1785B" w:rsidRPr="00F33D1E" w14:paraId="449FE5CA" w14:textId="77777777" w:rsidTr="00F1785B">
        <w:trPr>
          <w:trHeight w:val="355"/>
          <w:jc w:val="center"/>
        </w:trPr>
        <w:tc>
          <w:tcPr>
            <w:tcW w:w="923" w:type="dxa"/>
            <w:tcBorders>
              <w:top w:val="nil"/>
              <w:left w:val="nil"/>
              <w:bottom w:val="nil"/>
              <w:right w:val="nil"/>
            </w:tcBorders>
            <w:shd w:val="clear" w:color="auto" w:fill="auto"/>
          </w:tcPr>
          <w:p w14:paraId="66277A6E" w14:textId="77777777" w:rsidR="00F1785B" w:rsidRPr="00F33D1E" w:rsidRDefault="00F1785B" w:rsidP="00E95EBA">
            <w:pPr>
              <w:rPr>
                <w:rFonts w:ascii="Arial" w:hAnsi="Arial" w:cs="FrankRuehl"/>
                <w:sz w:val="28"/>
                <w:szCs w:val="28"/>
                <w:rtl/>
              </w:rPr>
            </w:pPr>
          </w:p>
        </w:tc>
        <w:tc>
          <w:tcPr>
            <w:tcW w:w="4126" w:type="dxa"/>
            <w:tcBorders>
              <w:top w:val="nil"/>
              <w:left w:val="nil"/>
              <w:bottom w:val="nil"/>
              <w:right w:val="nil"/>
            </w:tcBorders>
            <w:shd w:val="clear" w:color="auto" w:fill="auto"/>
          </w:tcPr>
          <w:p w14:paraId="1390B42B" w14:textId="77777777" w:rsidR="00F1785B" w:rsidRPr="00F33D1E" w:rsidRDefault="00F1785B" w:rsidP="00E95EBA">
            <w:pPr>
              <w:rPr>
                <w:rtl/>
              </w:rPr>
            </w:pPr>
            <w:r w:rsidRPr="00F33D1E">
              <w:rPr>
                <w:rFonts w:ascii="Arial" w:hAnsi="Arial" w:cs="FrankRuehl"/>
                <w:sz w:val="28"/>
                <w:szCs w:val="28"/>
                <w:rtl/>
              </w:rPr>
              <w:t>מאיר בלעיש</w:t>
            </w:r>
          </w:p>
        </w:tc>
        <w:tc>
          <w:tcPr>
            <w:tcW w:w="3771" w:type="dxa"/>
            <w:tcBorders>
              <w:top w:val="nil"/>
              <w:left w:val="nil"/>
              <w:bottom w:val="nil"/>
              <w:right w:val="nil"/>
            </w:tcBorders>
            <w:shd w:val="clear" w:color="auto" w:fill="auto"/>
          </w:tcPr>
          <w:p w14:paraId="315C7FCF" w14:textId="77777777" w:rsidR="00F1785B" w:rsidRPr="00F33D1E" w:rsidRDefault="00F1785B" w:rsidP="00F1785B">
            <w:pPr>
              <w:jc w:val="right"/>
              <w:rPr>
                <w:rFonts w:ascii="Arial" w:hAnsi="Arial" w:cs="FrankRuehl"/>
                <w:sz w:val="28"/>
                <w:szCs w:val="28"/>
              </w:rPr>
            </w:pPr>
          </w:p>
        </w:tc>
      </w:tr>
      <w:tr w:rsidR="00F1785B" w:rsidRPr="00F33D1E" w14:paraId="7B2AD4BF" w14:textId="77777777" w:rsidTr="00F1785B">
        <w:trPr>
          <w:trHeight w:val="355"/>
          <w:jc w:val="center"/>
        </w:trPr>
        <w:tc>
          <w:tcPr>
            <w:tcW w:w="923" w:type="dxa"/>
            <w:tcBorders>
              <w:top w:val="nil"/>
              <w:left w:val="nil"/>
              <w:bottom w:val="nil"/>
              <w:right w:val="nil"/>
            </w:tcBorders>
            <w:shd w:val="clear" w:color="auto" w:fill="auto"/>
          </w:tcPr>
          <w:p w14:paraId="453F5C0F" w14:textId="77777777" w:rsidR="00F1785B" w:rsidRPr="00F33D1E" w:rsidRDefault="00F1785B" w:rsidP="00F1785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ABB97F2" w14:textId="77777777" w:rsidR="00F1785B" w:rsidRPr="00F33D1E" w:rsidRDefault="00F1785B" w:rsidP="00F1785B">
            <w:pPr>
              <w:jc w:val="both"/>
              <w:rPr>
                <w:rtl/>
              </w:rPr>
            </w:pPr>
          </w:p>
        </w:tc>
        <w:tc>
          <w:tcPr>
            <w:tcW w:w="3771" w:type="dxa"/>
            <w:tcBorders>
              <w:top w:val="nil"/>
              <w:left w:val="nil"/>
              <w:bottom w:val="nil"/>
              <w:right w:val="nil"/>
            </w:tcBorders>
            <w:shd w:val="clear" w:color="auto" w:fill="auto"/>
          </w:tcPr>
          <w:p w14:paraId="79C0F959" w14:textId="77777777" w:rsidR="00F1785B" w:rsidRPr="00F33D1E" w:rsidRDefault="00F1785B" w:rsidP="00F1785B">
            <w:pPr>
              <w:jc w:val="right"/>
              <w:rPr>
                <w:rFonts w:ascii="Arial" w:hAnsi="Arial" w:cs="FrankRuehl"/>
                <w:sz w:val="28"/>
                <w:szCs w:val="28"/>
              </w:rPr>
            </w:pPr>
            <w:r w:rsidRPr="00F33D1E">
              <w:rPr>
                <w:rFonts w:ascii="Arial" w:hAnsi="Arial" w:cs="FrankRuehl" w:hint="cs"/>
                <w:sz w:val="28"/>
                <w:szCs w:val="28"/>
                <w:rtl/>
              </w:rPr>
              <w:t>ה</w:t>
            </w:r>
            <w:r w:rsidRPr="00F33D1E">
              <w:rPr>
                <w:rFonts w:ascii="Arial" w:hAnsi="Arial" w:cs="FrankRuehl"/>
                <w:sz w:val="28"/>
                <w:szCs w:val="28"/>
                <w:rtl/>
              </w:rPr>
              <w:t>נאשם</w:t>
            </w:r>
          </w:p>
        </w:tc>
      </w:tr>
    </w:tbl>
    <w:p w14:paraId="3530A8AF" w14:textId="77777777" w:rsidR="00F1785B" w:rsidRPr="00F33D1E" w:rsidRDefault="00F1785B" w:rsidP="00F1785B"/>
    <w:p w14:paraId="26C420CF" w14:textId="77777777" w:rsidR="00930072" w:rsidRPr="00F33D1E" w:rsidRDefault="00930072" w:rsidP="00E95EBA">
      <w:pPr>
        <w:rPr>
          <w:rFonts w:ascii="David" w:hAnsi="David"/>
          <w:b/>
          <w:bCs/>
          <w:rtl/>
        </w:rPr>
      </w:pPr>
      <w:bookmarkStart w:id="4" w:name="FirstLawyer"/>
      <w:r w:rsidRPr="00F33D1E">
        <w:rPr>
          <w:rFonts w:ascii="David" w:hAnsi="David"/>
          <w:b/>
          <w:bCs/>
          <w:rtl/>
        </w:rPr>
        <w:t xml:space="preserve">נוכחים: </w:t>
      </w:r>
    </w:p>
    <w:p w14:paraId="4D2B79DE" w14:textId="77777777" w:rsidR="00930072" w:rsidRPr="00F33D1E" w:rsidRDefault="00930072" w:rsidP="00E95EBA">
      <w:pPr>
        <w:rPr>
          <w:rFonts w:ascii="David" w:hAnsi="David"/>
          <w:rtl/>
        </w:rPr>
      </w:pPr>
      <w:r w:rsidRPr="00F33D1E">
        <w:rPr>
          <w:rFonts w:ascii="David" w:hAnsi="David"/>
          <w:rtl/>
        </w:rPr>
        <w:t xml:space="preserve">ב"כ המאשימה: עו"ד אלירן אשכנזי </w:t>
      </w:r>
    </w:p>
    <w:p w14:paraId="17EF1D3B" w14:textId="77777777" w:rsidR="00930072" w:rsidRPr="00F33D1E" w:rsidRDefault="00930072" w:rsidP="00E95EBA">
      <w:pPr>
        <w:rPr>
          <w:rFonts w:ascii="David" w:hAnsi="David"/>
          <w:rtl/>
        </w:rPr>
      </w:pPr>
      <w:r w:rsidRPr="00F33D1E">
        <w:rPr>
          <w:rFonts w:ascii="David" w:hAnsi="David"/>
          <w:rtl/>
        </w:rPr>
        <w:t xml:space="preserve">ב"כ הנאשם: עו"ד גיל עשת </w:t>
      </w:r>
    </w:p>
    <w:p w14:paraId="4B412345" w14:textId="77777777" w:rsidR="00930072" w:rsidRPr="00F33D1E" w:rsidRDefault="00930072" w:rsidP="00E95EBA">
      <w:pPr>
        <w:rPr>
          <w:rFonts w:ascii="David" w:hAnsi="David"/>
          <w:rtl/>
        </w:rPr>
      </w:pPr>
      <w:r w:rsidRPr="00F33D1E">
        <w:rPr>
          <w:rFonts w:ascii="David" w:hAnsi="David"/>
          <w:rtl/>
        </w:rPr>
        <w:t>הנאשם בעצמו</w:t>
      </w:r>
    </w:p>
    <w:p w14:paraId="1CF2E8CF" w14:textId="77777777" w:rsidR="00930072" w:rsidRPr="00F33D1E" w:rsidRDefault="00930072" w:rsidP="00930072">
      <w:pPr>
        <w:pStyle w:val="a3"/>
        <w:spacing w:before="120" w:after="120" w:line="240" w:lineRule="exact"/>
        <w:ind w:left="283" w:hanging="283"/>
        <w:jc w:val="both"/>
        <w:rPr>
          <w:rFonts w:ascii="FrankRuehl" w:hAnsi="FrankRuehl" w:cs="FrankRuehl"/>
          <w:rtl/>
        </w:rPr>
      </w:pPr>
    </w:p>
    <w:p w14:paraId="2DD9FF67" w14:textId="77777777" w:rsidR="00930072" w:rsidRPr="00930072" w:rsidRDefault="00930072" w:rsidP="00930072">
      <w:pPr>
        <w:pStyle w:val="a3"/>
        <w:spacing w:after="120" w:line="240" w:lineRule="exact"/>
        <w:ind w:left="283" w:hanging="283"/>
        <w:jc w:val="both"/>
        <w:rPr>
          <w:rFonts w:ascii="FrankRuehl" w:hAnsi="FrankRuehl" w:cs="FrankRuehl"/>
          <w:color w:val="000080"/>
          <w:rtl/>
        </w:rPr>
      </w:pPr>
      <w:bookmarkStart w:id="5" w:name="PsakDin"/>
    </w:p>
    <w:p w14:paraId="1F27E0B8" w14:textId="77777777" w:rsidR="00930072" w:rsidRPr="00930072" w:rsidRDefault="00930072" w:rsidP="00930072">
      <w:pPr>
        <w:pStyle w:val="a3"/>
        <w:spacing w:after="120" w:line="240" w:lineRule="exact"/>
        <w:ind w:left="283" w:hanging="283"/>
        <w:jc w:val="both"/>
        <w:rPr>
          <w:rFonts w:ascii="FrankRuehl" w:hAnsi="FrankRuehl" w:cs="FrankRuehl"/>
          <w:color w:val="000080"/>
          <w:rtl/>
        </w:rPr>
      </w:pPr>
      <w:r w:rsidRPr="00930072">
        <w:rPr>
          <w:rFonts w:ascii="FrankRuehl" w:hAnsi="FrankRuehl" w:cs="FrankRuehl"/>
          <w:color w:val="000080"/>
          <w:rtl/>
        </w:rPr>
        <w:t xml:space="preserve">חקיקה שאוזכרה: </w:t>
      </w:r>
    </w:p>
    <w:p w14:paraId="57E4C590" w14:textId="77777777" w:rsidR="00930072" w:rsidRPr="00930072" w:rsidRDefault="00930072" w:rsidP="00930072">
      <w:pPr>
        <w:pStyle w:val="a3"/>
        <w:spacing w:after="120" w:line="240" w:lineRule="exact"/>
        <w:ind w:left="283" w:hanging="283"/>
        <w:jc w:val="both"/>
        <w:rPr>
          <w:rFonts w:ascii="FrankRuehl" w:hAnsi="FrankRuehl" w:cs="FrankRuehl"/>
          <w:color w:val="0000FF"/>
          <w:u w:val="single"/>
          <w:rtl/>
        </w:rPr>
      </w:pPr>
      <w:hyperlink r:id="rId7" w:history="1">
        <w:r w:rsidRPr="00930072">
          <w:rPr>
            <w:rStyle w:val="Hyperlink"/>
            <w:rFonts w:ascii="FrankRuehl" w:hAnsi="FrankRuehl" w:cs="FrankRuehl"/>
            <w:rtl/>
          </w:rPr>
          <w:t>חוק העונשין, תשל"ז-1977</w:t>
        </w:r>
      </w:hyperlink>
      <w:r w:rsidRPr="00930072">
        <w:rPr>
          <w:rFonts w:ascii="FrankRuehl" w:hAnsi="FrankRuehl" w:cs="FrankRuehl"/>
          <w:color w:val="0000FF"/>
          <w:u w:val="single"/>
          <w:rtl/>
        </w:rPr>
        <w:t xml:space="preserve">: סע'  </w:t>
      </w:r>
      <w:hyperlink r:id="rId8" w:history="1">
        <w:r w:rsidRPr="00930072">
          <w:rPr>
            <w:rStyle w:val="Hyperlink"/>
            <w:rFonts w:ascii="FrankRuehl" w:hAnsi="FrankRuehl" w:cs="FrankRuehl"/>
          </w:rPr>
          <w:t>25</w:t>
        </w:r>
      </w:hyperlink>
      <w:r w:rsidRPr="00930072">
        <w:rPr>
          <w:rFonts w:ascii="FrankRuehl" w:hAnsi="FrankRuehl" w:cs="FrankRuehl"/>
          <w:color w:val="0000FF"/>
          <w:u w:val="single"/>
          <w:rtl/>
        </w:rPr>
        <w:t xml:space="preserve">, </w:t>
      </w:r>
      <w:hyperlink r:id="rId9" w:history="1">
        <w:r w:rsidRPr="00930072">
          <w:rPr>
            <w:rStyle w:val="Hyperlink"/>
            <w:rFonts w:ascii="FrankRuehl" w:hAnsi="FrankRuehl" w:cs="FrankRuehl"/>
          </w:rPr>
          <w:t xml:space="preserve">40 </w:t>
        </w:r>
        <w:r w:rsidRPr="00930072">
          <w:rPr>
            <w:rStyle w:val="Hyperlink"/>
            <w:rFonts w:ascii="FrankRuehl" w:hAnsi="FrankRuehl" w:cs="FrankRuehl"/>
            <w:rtl/>
          </w:rPr>
          <w:t>ג(א</w:t>
        </w:r>
        <w:r w:rsidRPr="00930072">
          <w:rPr>
            <w:rStyle w:val="Hyperlink"/>
            <w:rFonts w:ascii="FrankRuehl" w:hAnsi="FrankRuehl" w:cs="FrankRuehl"/>
          </w:rPr>
          <w:t>)</w:t>
        </w:r>
      </w:hyperlink>
      <w:r w:rsidRPr="00930072">
        <w:rPr>
          <w:rFonts w:ascii="FrankRuehl" w:hAnsi="FrankRuehl" w:cs="FrankRuehl"/>
          <w:color w:val="0000FF"/>
          <w:u w:val="single"/>
          <w:rtl/>
        </w:rPr>
        <w:t xml:space="preserve">, </w:t>
      </w:r>
      <w:hyperlink r:id="rId10" w:history="1">
        <w:r w:rsidRPr="00930072">
          <w:rPr>
            <w:rStyle w:val="Hyperlink"/>
            <w:rFonts w:ascii="FrankRuehl" w:hAnsi="FrankRuehl" w:cs="FrankRuehl"/>
          </w:rPr>
          <w:t>40</w:t>
        </w:r>
        <w:r w:rsidRPr="00930072">
          <w:rPr>
            <w:rStyle w:val="Hyperlink"/>
            <w:rFonts w:ascii="FrankRuehl" w:hAnsi="FrankRuehl" w:cs="FrankRuehl"/>
            <w:rtl/>
          </w:rPr>
          <w:t>ט</w:t>
        </w:r>
        <w:r w:rsidRPr="00930072">
          <w:rPr>
            <w:rStyle w:val="Hyperlink"/>
            <w:rFonts w:ascii="FrankRuehl" w:hAnsi="FrankRuehl" w:cs="FrankRuehl"/>
          </w:rPr>
          <w:t>'</w:t>
        </w:r>
      </w:hyperlink>
      <w:r w:rsidRPr="00930072">
        <w:rPr>
          <w:rFonts w:ascii="FrankRuehl" w:hAnsi="FrankRuehl" w:cs="FrankRuehl"/>
          <w:color w:val="0000FF"/>
          <w:u w:val="single"/>
          <w:rtl/>
        </w:rPr>
        <w:t xml:space="preserve">, </w:t>
      </w:r>
      <w:hyperlink r:id="rId11" w:history="1">
        <w:r w:rsidRPr="00930072">
          <w:rPr>
            <w:rStyle w:val="Hyperlink"/>
            <w:rFonts w:ascii="FrankRuehl" w:hAnsi="FrankRuehl" w:cs="FrankRuehl"/>
          </w:rPr>
          <w:t>415</w:t>
        </w:r>
      </w:hyperlink>
      <w:r w:rsidRPr="00930072">
        <w:rPr>
          <w:rFonts w:ascii="FrankRuehl" w:hAnsi="FrankRuehl" w:cs="FrankRuehl"/>
          <w:color w:val="0000FF"/>
          <w:u w:val="single"/>
          <w:rtl/>
        </w:rPr>
        <w:t xml:space="preserve">, </w:t>
      </w:r>
      <w:hyperlink r:id="rId12" w:history="1">
        <w:r w:rsidRPr="00930072">
          <w:rPr>
            <w:rStyle w:val="Hyperlink"/>
            <w:rFonts w:ascii="FrankRuehl" w:hAnsi="FrankRuehl" w:cs="FrankRuehl"/>
          </w:rPr>
          <w:t>418</w:t>
        </w:r>
      </w:hyperlink>
      <w:r w:rsidRPr="00930072">
        <w:rPr>
          <w:rFonts w:ascii="FrankRuehl" w:hAnsi="FrankRuehl" w:cs="FrankRuehl"/>
          <w:color w:val="0000FF"/>
          <w:u w:val="single"/>
          <w:rtl/>
        </w:rPr>
        <w:t xml:space="preserve">, </w:t>
      </w:r>
      <w:hyperlink r:id="rId13" w:history="1">
        <w:r w:rsidRPr="00930072">
          <w:rPr>
            <w:rStyle w:val="Hyperlink"/>
            <w:rFonts w:ascii="FrankRuehl" w:hAnsi="FrankRuehl" w:cs="FrankRuehl"/>
          </w:rPr>
          <w:t>420</w:t>
        </w:r>
      </w:hyperlink>
      <w:r w:rsidRPr="00930072">
        <w:rPr>
          <w:rFonts w:ascii="FrankRuehl" w:hAnsi="FrankRuehl" w:cs="FrankRuehl"/>
          <w:color w:val="0000FF"/>
          <w:u w:val="single"/>
          <w:rtl/>
        </w:rPr>
        <w:t xml:space="preserve">, </w:t>
      </w:r>
      <w:hyperlink r:id="rId14" w:history="1">
        <w:r w:rsidRPr="00930072">
          <w:rPr>
            <w:rStyle w:val="Hyperlink"/>
            <w:rFonts w:ascii="FrankRuehl" w:hAnsi="FrankRuehl" w:cs="FrankRuehl"/>
          </w:rPr>
          <w:t>441</w:t>
        </w:r>
      </w:hyperlink>
    </w:p>
    <w:p w14:paraId="7E7C1387" w14:textId="77777777" w:rsidR="00930072" w:rsidRPr="00930072" w:rsidRDefault="00930072" w:rsidP="00930072">
      <w:pPr>
        <w:pStyle w:val="a3"/>
        <w:spacing w:after="120" w:line="240" w:lineRule="exact"/>
        <w:ind w:left="283" w:hanging="283"/>
        <w:jc w:val="both"/>
        <w:rPr>
          <w:rFonts w:ascii="FrankRuehl" w:hAnsi="FrankRuehl" w:cs="FrankRuehl"/>
          <w:rtl/>
        </w:rPr>
      </w:pPr>
    </w:p>
    <w:p w14:paraId="790629A9" w14:textId="77777777" w:rsidR="00930072" w:rsidRDefault="00930072" w:rsidP="00F1785B">
      <w:pPr>
        <w:jc w:val="center"/>
        <w:rPr>
          <w:rFonts w:ascii="Arial" w:hAnsi="Arial" w:cs="FrankRuehl" w:hint="cs"/>
          <w:b/>
          <w:bCs/>
          <w:sz w:val="32"/>
          <w:szCs w:val="32"/>
          <w:rtl/>
        </w:rPr>
      </w:pPr>
    </w:p>
    <w:p w14:paraId="7C792FE7" w14:textId="77777777" w:rsidR="00930072" w:rsidRPr="00F33D1E" w:rsidRDefault="00930072" w:rsidP="00F1785B">
      <w:pPr>
        <w:jc w:val="center"/>
        <w:rPr>
          <w:rFonts w:ascii="Arial" w:hAnsi="Arial" w:cs="FrankRuehl"/>
          <w:sz w:val="32"/>
          <w:szCs w:val="32"/>
          <w:rtl/>
        </w:rPr>
      </w:pPr>
      <w:r w:rsidRPr="00F33D1E">
        <w:rPr>
          <w:rFonts w:ascii="Arial" w:hAnsi="Arial" w:cs="FrankRuehl" w:hint="cs"/>
          <w:b/>
          <w:bCs/>
          <w:sz w:val="32"/>
          <w:szCs w:val="32"/>
          <w:rtl/>
        </w:rPr>
        <w:t xml:space="preserve">גזר </w:t>
      </w:r>
      <w:bookmarkEnd w:id="5"/>
      <w:r w:rsidRPr="00F33D1E">
        <w:rPr>
          <w:rFonts w:ascii="Arial" w:hAnsi="Arial" w:cs="FrankRuehl" w:hint="cs"/>
          <w:b/>
          <w:bCs/>
          <w:sz w:val="32"/>
          <w:szCs w:val="32"/>
          <w:rtl/>
        </w:rPr>
        <w:t>דין</w:t>
      </w:r>
    </w:p>
    <w:bookmarkEnd w:id="4"/>
    <w:p w14:paraId="502FA654" w14:textId="77777777" w:rsidR="00F1785B" w:rsidRPr="00F33D1E" w:rsidRDefault="00F1785B" w:rsidP="00F1785B">
      <w:pPr>
        <w:rPr>
          <w:rFonts w:ascii="Arial" w:hAnsi="Arial"/>
          <w:rtl/>
        </w:rPr>
      </w:pPr>
    </w:p>
    <w:p w14:paraId="4F0CD6A1" w14:textId="77777777" w:rsidR="00F1785B" w:rsidRPr="00F33D1E" w:rsidRDefault="00F1785B" w:rsidP="00F1785B">
      <w:pPr>
        <w:rPr>
          <w:rFonts w:ascii="Arial" w:hAnsi="Arial"/>
          <w:rtl/>
        </w:rPr>
      </w:pPr>
    </w:p>
    <w:p w14:paraId="3A92D0D4" w14:textId="77777777" w:rsidR="00F1785B" w:rsidRPr="00F33D1E" w:rsidRDefault="00F1785B" w:rsidP="00F1785B">
      <w:pPr>
        <w:rPr>
          <w:rtl/>
        </w:rPr>
      </w:pPr>
      <w:bookmarkStart w:id="6" w:name="ABSTRACT_START"/>
      <w:bookmarkEnd w:id="6"/>
    </w:p>
    <w:p w14:paraId="2D6235E6" w14:textId="77777777" w:rsidR="00F1785B" w:rsidRPr="00F33D1E" w:rsidRDefault="00F1785B" w:rsidP="00F1785B">
      <w:pPr>
        <w:spacing w:line="360" w:lineRule="auto"/>
        <w:jc w:val="both"/>
        <w:rPr>
          <w:rtl/>
        </w:rPr>
      </w:pPr>
      <w:r w:rsidRPr="00F33D1E">
        <w:rPr>
          <w:rtl/>
        </w:rPr>
        <w:t xml:space="preserve">הנאשם הודה והורשע בעובדות כתב אישום בעבירות של שימוש במסמך מזוייף, בכוונה לקבל דבר, עבירה לפי </w:t>
      </w:r>
      <w:hyperlink r:id="rId15" w:history="1">
        <w:r w:rsidR="00930072" w:rsidRPr="00930072">
          <w:rPr>
            <w:rStyle w:val="Hyperlink"/>
            <w:color w:val="0000FF"/>
            <w:rtl/>
          </w:rPr>
          <w:t>סעיף 420</w:t>
        </w:r>
      </w:hyperlink>
      <w:r w:rsidRPr="00F33D1E">
        <w:rPr>
          <w:rtl/>
        </w:rPr>
        <w:t xml:space="preserve"> בנסיבות </w:t>
      </w:r>
      <w:hyperlink r:id="rId16" w:history="1">
        <w:r w:rsidR="00930072" w:rsidRPr="00930072">
          <w:rPr>
            <w:rStyle w:val="Hyperlink"/>
            <w:color w:val="0000FF"/>
            <w:rtl/>
          </w:rPr>
          <w:t>סעיף 418</w:t>
        </w:r>
      </w:hyperlink>
      <w:r w:rsidRPr="00F33D1E">
        <w:rPr>
          <w:rtl/>
        </w:rPr>
        <w:t xml:space="preserve"> אמצע ל</w:t>
      </w:r>
      <w:hyperlink r:id="rId17" w:history="1">
        <w:r w:rsidR="00F33D1E" w:rsidRPr="00F33D1E">
          <w:rPr>
            <w:color w:val="0000FF"/>
            <w:u w:val="single"/>
            <w:rtl/>
          </w:rPr>
          <w:t>חוק העונשין</w:t>
        </w:r>
      </w:hyperlink>
      <w:r w:rsidRPr="00F33D1E">
        <w:rPr>
          <w:rtl/>
        </w:rPr>
        <w:t xml:space="preserve">,  ניסיון לקבלת דבר במרמה - עבירה לפי </w:t>
      </w:r>
      <w:hyperlink r:id="rId18" w:history="1">
        <w:r w:rsidR="00930072" w:rsidRPr="00930072">
          <w:rPr>
            <w:rStyle w:val="Hyperlink"/>
            <w:color w:val="0000FF"/>
            <w:rtl/>
          </w:rPr>
          <w:t>סעיף 415</w:t>
        </w:r>
      </w:hyperlink>
      <w:r w:rsidRPr="00F33D1E">
        <w:rPr>
          <w:rtl/>
        </w:rPr>
        <w:t xml:space="preserve"> רישא לחוק העונשין + </w:t>
      </w:r>
      <w:hyperlink r:id="rId19" w:history="1">
        <w:r w:rsidR="00930072" w:rsidRPr="00930072">
          <w:rPr>
            <w:rStyle w:val="Hyperlink"/>
            <w:color w:val="0000FF"/>
            <w:rtl/>
          </w:rPr>
          <w:t>סעיף 25</w:t>
        </w:r>
      </w:hyperlink>
      <w:r w:rsidRPr="00F33D1E">
        <w:rPr>
          <w:rtl/>
        </w:rPr>
        <w:t xml:space="preserve"> לחוק העונשין, התחזות כאדם אחר - עבירה לפי </w:t>
      </w:r>
      <w:hyperlink r:id="rId20" w:history="1">
        <w:r w:rsidR="00930072" w:rsidRPr="00930072">
          <w:rPr>
            <w:rStyle w:val="Hyperlink"/>
            <w:color w:val="0000FF"/>
            <w:rtl/>
          </w:rPr>
          <w:t>סעיף 441</w:t>
        </w:r>
      </w:hyperlink>
      <w:r w:rsidRPr="00F33D1E">
        <w:rPr>
          <w:rtl/>
        </w:rPr>
        <w:t xml:space="preserve"> רישא לחוק העונשין. </w:t>
      </w:r>
    </w:p>
    <w:p w14:paraId="2BBA8D13" w14:textId="77777777" w:rsidR="00F1785B" w:rsidRPr="00F33D1E" w:rsidRDefault="00F1785B" w:rsidP="00F1785B">
      <w:pPr>
        <w:spacing w:line="360" w:lineRule="auto"/>
        <w:jc w:val="both"/>
        <w:rPr>
          <w:rtl/>
        </w:rPr>
      </w:pPr>
      <w:r w:rsidRPr="00F33D1E">
        <w:rPr>
          <w:rtl/>
        </w:rPr>
        <w:t xml:space="preserve">כעולה מהסדר הטיעון, הוסכם כי המאשימה תעתור לעונש שלא יעלה על 4 חודשי מאסר שניתן לרצות בעבודות שירות, ההגנה תטען באופן פתוח והמאשימה לא תבקש פיצוי או קנס. </w:t>
      </w:r>
    </w:p>
    <w:p w14:paraId="2EC2E78C" w14:textId="77777777" w:rsidR="00F1785B" w:rsidRDefault="00F1785B" w:rsidP="00F1785B">
      <w:pPr>
        <w:spacing w:line="360" w:lineRule="auto"/>
        <w:jc w:val="both"/>
        <w:rPr>
          <w:rtl/>
        </w:rPr>
      </w:pPr>
      <w:bookmarkStart w:id="7" w:name="ABSTRACT_END"/>
      <w:bookmarkEnd w:id="7"/>
    </w:p>
    <w:p w14:paraId="0639B0F1" w14:textId="77777777" w:rsidR="00F1785B" w:rsidRDefault="00F1785B" w:rsidP="00F1785B">
      <w:pPr>
        <w:spacing w:line="360" w:lineRule="auto"/>
        <w:jc w:val="both"/>
        <w:rPr>
          <w:rtl/>
        </w:rPr>
      </w:pPr>
      <w:r>
        <w:rPr>
          <w:rtl/>
        </w:rPr>
        <w:t xml:space="preserve">הנאשם הודה בעובדות כתב האישום ביום 12/12/2018, כאשר הטיעונים לעונש נשמעו ביום 8/7/2020, בין היתר בשל העובדה כי למעלה משנה וחצי, לא שיתף הנאשם פעולה בין אם באופן של אי התייצבות אצל הממונה על עבודות השירות ו/או אי שיתוף פעולה עם הממונה, כמו גם לדיונים שנקבעו בענייננו. </w:t>
      </w:r>
    </w:p>
    <w:p w14:paraId="6E45C12D" w14:textId="77777777" w:rsidR="00F1785B" w:rsidRDefault="00F1785B" w:rsidP="00F1785B">
      <w:pPr>
        <w:spacing w:line="360" w:lineRule="auto"/>
        <w:jc w:val="both"/>
        <w:rPr>
          <w:rtl/>
        </w:rPr>
      </w:pPr>
      <w:r>
        <w:rPr>
          <w:rtl/>
        </w:rPr>
        <w:t xml:space="preserve">עתירת הנאשם, במועד הטיעונים לעונש, להפנותו שוב אל הממונה על עבודות השירות נדחתה. </w:t>
      </w:r>
    </w:p>
    <w:p w14:paraId="0510BAF6" w14:textId="77777777" w:rsidR="00F1785B" w:rsidRDefault="00F1785B" w:rsidP="00F1785B">
      <w:pPr>
        <w:spacing w:line="360" w:lineRule="auto"/>
        <w:jc w:val="both"/>
        <w:rPr>
          <w:b/>
          <w:bCs/>
          <w:u w:val="single"/>
          <w:rtl/>
        </w:rPr>
      </w:pPr>
    </w:p>
    <w:p w14:paraId="6DE11A26" w14:textId="77777777" w:rsidR="00F1785B" w:rsidRDefault="00F1785B" w:rsidP="00F1785B">
      <w:pPr>
        <w:spacing w:line="360" w:lineRule="auto"/>
        <w:jc w:val="both"/>
        <w:rPr>
          <w:b/>
          <w:bCs/>
          <w:u w:val="single"/>
          <w:rtl/>
        </w:rPr>
      </w:pPr>
      <w:r>
        <w:rPr>
          <w:b/>
          <w:bCs/>
          <w:u w:val="single"/>
          <w:rtl/>
        </w:rPr>
        <w:t>עובדות כתב האישום</w:t>
      </w:r>
    </w:p>
    <w:p w14:paraId="6FB51924" w14:textId="77777777" w:rsidR="00F1785B" w:rsidRDefault="00F1785B" w:rsidP="00F1785B">
      <w:pPr>
        <w:spacing w:line="360" w:lineRule="auto"/>
        <w:jc w:val="both"/>
        <w:rPr>
          <w:rtl/>
        </w:rPr>
      </w:pPr>
      <w:r>
        <w:rPr>
          <w:rtl/>
        </w:rPr>
        <w:t xml:space="preserve">כעולה מעובדות כתב האישום בין הנאשם לבין יעקב יצחק אין הכרות מוקדמת. </w:t>
      </w:r>
    </w:p>
    <w:p w14:paraId="1192654E" w14:textId="77777777" w:rsidR="00F1785B" w:rsidRDefault="00F1785B" w:rsidP="00F1785B">
      <w:pPr>
        <w:spacing w:line="360" w:lineRule="auto"/>
        <w:jc w:val="both"/>
        <w:rPr>
          <w:rtl/>
        </w:rPr>
      </w:pPr>
      <w:r>
        <w:rPr>
          <w:rtl/>
        </w:rPr>
        <w:t xml:space="preserve">ביום 29.12.16, נכנס הנאשם לסניף בנק אוצר החיל  בראשון לציון, התייצג בפני הפקידה שם  באמצעות תעודת זהות מזויפת המכילה את תמונתו שלו ופרטיו של יעקב, וביקש למשוך 5,000 ₪ במזומן מחשבונו של יעקב, אשר בסניף בנק אוצר החיל בירושלים. </w:t>
      </w:r>
    </w:p>
    <w:p w14:paraId="3845121D" w14:textId="77777777" w:rsidR="00F1785B" w:rsidRDefault="00F1785B" w:rsidP="00F1785B">
      <w:pPr>
        <w:spacing w:line="360" w:lineRule="auto"/>
        <w:jc w:val="both"/>
        <w:rPr>
          <w:rtl/>
        </w:rPr>
      </w:pPr>
      <w:r>
        <w:rPr>
          <w:rtl/>
        </w:rPr>
        <w:t xml:space="preserve">כחלק מביצוע הפעולות הנדרשות ביקשה הפקידה מהנאשם לחתום את חתימתו על טופס אישור הפעולה, והנאשם עשה כן. משהבחינה הפקידה כי הנאשם חתם בחתימה אשר אינה תואמת את חתימת בעל החשבון הנמצאת במאגר הממוחשב, ביקשה היא מהנאשם לחתום את חתימתו בשנית, והנאשם עשה כן. משהבחינה שוב כי הנאשם חתם בחתימה אשר אינה תואמת את חתימת בעל החשבון עצרה היא את הפעולה הבנקאית, עזבה את מקומה ופנתה לאחראית עליה. </w:t>
      </w:r>
    </w:p>
    <w:p w14:paraId="4CD4C5E4" w14:textId="77777777" w:rsidR="00F1785B" w:rsidRDefault="00F1785B" w:rsidP="00F1785B">
      <w:pPr>
        <w:spacing w:line="360" w:lineRule="auto"/>
        <w:jc w:val="both"/>
        <w:rPr>
          <w:rtl/>
        </w:rPr>
      </w:pPr>
      <w:r>
        <w:rPr>
          <w:rtl/>
        </w:rPr>
        <w:t xml:space="preserve">הנאשם הבין כי נתפס בכף, ניצל את ההזדמנות עת עזבה הפקידה את מקומה ויצא במהירות מהבנק. </w:t>
      </w:r>
    </w:p>
    <w:p w14:paraId="19B89020" w14:textId="77777777" w:rsidR="00F1785B" w:rsidRDefault="00F1785B" w:rsidP="00F1785B">
      <w:pPr>
        <w:spacing w:line="360" w:lineRule="auto"/>
        <w:jc w:val="both"/>
        <w:rPr>
          <w:rtl/>
        </w:rPr>
      </w:pPr>
      <w:r>
        <w:rPr>
          <w:rtl/>
        </w:rPr>
        <w:t xml:space="preserve">במעשיו האמורים לעיל, השתמש הנאשם במסמך מזויף ביודעו שהוא מזויף, על מנת לקבל באמצעותו דבר, התייצג בכזב כאדם  אחר, בכוונה להונות וניסה לקבל דבר במרמה. </w:t>
      </w:r>
    </w:p>
    <w:p w14:paraId="587DDC5D" w14:textId="77777777" w:rsidR="00F1785B" w:rsidRDefault="00F1785B" w:rsidP="00F1785B">
      <w:pPr>
        <w:spacing w:line="360" w:lineRule="auto"/>
        <w:jc w:val="both"/>
        <w:rPr>
          <w:b/>
          <w:bCs/>
          <w:u w:val="single"/>
          <w:rtl/>
        </w:rPr>
      </w:pPr>
    </w:p>
    <w:p w14:paraId="6F7BB339" w14:textId="77777777" w:rsidR="00F1785B" w:rsidRDefault="00F1785B" w:rsidP="00F1785B">
      <w:pPr>
        <w:spacing w:line="360" w:lineRule="auto"/>
        <w:jc w:val="both"/>
        <w:rPr>
          <w:b/>
          <w:bCs/>
          <w:rtl/>
        </w:rPr>
      </w:pPr>
      <w:r>
        <w:rPr>
          <w:b/>
          <w:bCs/>
          <w:u w:val="single"/>
          <w:rtl/>
        </w:rPr>
        <w:t>טיעוני המאשימה לעונש</w:t>
      </w:r>
      <w:r>
        <w:rPr>
          <w:b/>
          <w:bCs/>
          <w:rtl/>
        </w:rPr>
        <w:t>:</w:t>
      </w:r>
    </w:p>
    <w:p w14:paraId="779790EF" w14:textId="77777777" w:rsidR="00F1785B" w:rsidRDefault="00F1785B" w:rsidP="00F1785B">
      <w:pPr>
        <w:spacing w:line="360" w:lineRule="auto"/>
        <w:jc w:val="both"/>
        <w:rPr>
          <w:rtl/>
        </w:rPr>
      </w:pPr>
      <w:r>
        <w:rPr>
          <w:rtl/>
        </w:rPr>
        <w:t>הנאשם הודה והורשע במסגרת הסדר טיעון בכתב אישום, בעבירות של שימוש במסמך מזויף בכוונה לקבל דבר, התחזות כאדם אחר וניסיון קבלת דבר במרמה. המאשימה הגבילה עצמה ל</w:t>
      </w:r>
      <w:r>
        <w:rPr>
          <w:rFonts w:hint="cs"/>
          <w:rtl/>
        </w:rPr>
        <w:t>עתירה ל</w:t>
      </w:r>
      <w:r>
        <w:rPr>
          <w:rtl/>
        </w:rPr>
        <w:t xml:space="preserve">ענישה של </w:t>
      </w:r>
      <w:r>
        <w:rPr>
          <w:rFonts w:hint="cs"/>
          <w:rtl/>
        </w:rPr>
        <w:t>ארבעה</w:t>
      </w:r>
      <w:r>
        <w:rPr>
          <w:rtl/>
        </w:rPr>
        <w:t xml:space="preserve"> חודשי מאסר בפועל, שיכול היה שירוצו על דרך של עבודות שירות, לו היה נמצא הנאשם מתאים לכך. </w:t>
      </w:r>
    </w:p>
    <w:p w14:paraId="0CA00B27" w14:textId="77777777" w:rsidR="00F1785B" w:rsidRDefault="00F1785B" w:rsidP="00F1785B">
      <w:pPr>
        <w:spacing w:line="360" w:lineRule="auto"/>
        <w:jc w:val="both"/>
        <w:rPr>
          <w:rtl/>
        </w:rPr>
      </w:pPr>
      <w:r>
        <w:rPr>
          <w:rtl/>
        </w:rPr>
        <w:t xml:space="preserve">מבחינת הערכים המוגנים, עבירת המרמה נועדה להגן על ערכים של חופש הרצון, חופש הפעולה והבחירה, לצד השמירה על יחסי האמון בשוק הפרטי והעסקי. </w:t>
      </w:r>
    </w:p>
    <w:p w14:paraId="72D8810D" w14:textId="77777777" w:rsidR="00F1785B" w:rsidRDefault="00F1785B" w:rsidP="00F1785B">
      <w:pPr>
        <w:spacing w:line="360" w:lineRule="auto"/>
        <w:jc w:val="both"/>
        <w:rPr>
          <w:rtl/>
        </w:rPr>
      </w:pPr>
      <w:r>
        <w:rPr>
          <w:rtl/>
        </w:rPr>
        <w:t xml:space="preserve">מעשיו של הנאשם נעשו תוך תכנון, אשר בא לידי ביטוי בהטעיית פקידת הבנק, על ידי יצירת מצג שווא והצטיידות במסמך לשם מטרה אחת והיא קבלת כספים במרמה. הנאשם אף חתם לפני פקידת הבנק כשהוא מתיימר להציג את חתימתו של אחר. </w:t>
      </w:r>
    </w:p>
    <w:p w14:paraId="76DBBE2A" w14:textId="77777777" w:rsidR="00F1785B" w:rsidRDefault="00F1785B" w:rsidP="00F1785B">
      <w:pPr>
        <w:spacing w:line="360" w:lineRule="auto"/>
        <w:jc w:val="both"/>
        <w:rPr>
          <w:rtl/>
        </w:rPr>
      </w:pPr>
      <w:r>
        <w:rPr>
          <w:rtl/>
        </w:rPr>
        <w:t xml:space="preserve">המאשימה סבורה שמידת הפגיעה בערכים המוגנים היא בינונית. </w:t>
      </w:r>
    </w:p>
    <w:p w14:paraId="671B4791" w14:textId="77777777" w:rsidR="00F1785B" w:rsidRDefault="00F1785B" w:rsidP="00F1785B">
      <w:pPr>
        <w:spacing w:line="360" w:lineRule="auto"/>
        <w:jc w:val="both"/>
        <w:rPr>
          <w:rtl/>
        </w:rPr>
      </w:pPr>
      <w:r>
        <w:rPr>
          <w:rtl/>
        </w:rPr>
        <w:lastRenderedPageBreak/>
        <w:t xml:space="preserve">בקביעת מתחם העונש ההולם יש להתחשב בתכנון שקדם למעשיו, הצטיידות במסמך מזויף, החלק הבלעדי של הנאשם בביצוע העבירה, והעובדה כי לא נגרם נזק אך בשל ערנותה של פקידת הבנק שחשדה בנאשם. </w:t>
      </w:r>
    </w:p>
    <w:p w14:paraId="1C957EB0" w14:textId="77777777" w:rsidR="00F1785B" w:rsidRDefault="00F1785B" w:rsidP="00F1785B">
      <w:pPr>
        <w:spacing w:line="360" w:lineRule="auto"/>
        <w:jc w:val="both"/>
        <w:rPr>
          <w:rtl/>
        </w:rPr>
      </w:pPr>
      <w:r>
        <w:rPr>
          <w:rtl/>
        </w:rPr>
        <w:t xml:space="preserve">המחוקק קבע לצד כל אחת מהעבירות בהן הורשע הנאשם עונש מקסימאלי של 3 שנות מאסר. </w:t>
      </w:r>
    </w:p>
    <w:p w14:paraId="2E29E6D4" w14:textId="77777777" w:rsidR="00F1785B" w:rsidRDefault="00F1785B" w:rsidP="00F1785B">
      <w:pPr>
        <w:spacing w:line="360" w:lineRule="auto"/>
        <w:jc w:val="both"/>
        <w:rPr>
          <w:rtl/>
        </w:rPr>
      </w:pPr>
      <w:r>
        <w:rPr>
          <w:rtl/>
        </w:rPr>
        <w:t xml:space="preserve">המאשימה עותרת כי בענייננו יקבע מתחם הענישה שנע בין מאסר מותנה ועד 10 חודשי מאסר בפועל, כאשר בענייננו, יש ליתן את הדעת למיקומו של הנאשם בתוך המתחם, לעברו הפלילי, אף אם אינו רלוונטי, הנאשם הספיק לרצות </w:t>
      </w:r>
      <w:r>
        <w:rPr>
          <w:rFonts w:hint="cs"/>
          <w:rtl/>
        </w:rPr>
        <w:t xml:space="preserve">שני עונשים של </w:t>
      </w:r>
      <w:r>
        <w:rPr>
          <w:rtl/>
        </w:rPr>
        <w:t xml:space="preserve"> מאסר בפועל ובתיק האחרון בגינו הורשע הופעל מאסר מותנה. </w:t>
      </w:r>
    </w:p>
    <w:p w14:paraId="18891208" w14:textId="77777777" w:rsidR="00F1785B" w:rsidRDefault="00F1785B" w:rsidP="00F1785B">
      <w:pPr>
        <w:spacing w:line="360" w:lineRule="auto"/>
        <w:jc w:val="both"/>
        <w:rPr>
          <w:rtl/>
        </w:rPr>
      </w:pPr>
      <w:r>
        <w:rPr>
          <w:rtl/>
        </w:rPr>
        <w:t xml:space="preserve">בתוך המתחם יש ליתן את הדעת להתנהלות הנאשם, לעובדה כי מספר לא מבוטל של פעמים נמנע מלהתייצב לדיונים בענייננו, הוצאו כנגדו מספר צווי הבאה, להתנהלותו מול הממונה על עבודות השירות. </w:t>
      </w:r>
    </w:p>
    <w:p w14:paraId="5D858D87" w14:textId="77777777" w:rsidR="00F1785B" w:rsidRDefault="00F1785B" w:rsidP="00F1785B">
      <w:pPr>
        <w:spacing w:line="360" w:lineRule="auto"/>
        <w:jc w:val="both"/>
        <w:rPr>
          <w:rtl/>
        </w:rPr>
      </w:pPr>
      <w:r>
        <w:rPr>
          <w:rtl/>
        </w:rPr>
        <w:t xml:space="preserve">אכן מדובר בעבירות שבוצעו ביוני 2017, ואולם השיהוי הוא לא בגלל התנהלות המאשימה כי אם </w:t>
      </w:r>
      <w:r>
        <w:rPr>
          <w:rFonts w:hint="cs"/>
          <w:rtl/>
        </w:rPr>
        <w:t xml:space="preserve">בשל </w:t>
      </w:r>
      <w:r>
        <w:rPr>
          <w:rtl/>
        </w:rPr>
        <w:t xml:space="preserve">התנהגות הנאשם. </w:t>
      </w:r>
    </w:p>
    <w:p w14:paraId="67935EF7" w14:textId="77777777" w:rsidR="00F1785B" w:rsidRDefault="00F1785B" w:rsidP="00F1785B">
      <w:pPr>
        <w:spacing w:line="360" w:lineRule="auto"/>
        <w:jc w:val="both"/>
        <w:rPr>
          <w:rtl/>
        </w:rPr>
      </w:pPr>
      <w:r>
        <w:rPr>
          <w:rtl/>
        </w:rPr>
        <w:t xml:space="preserve">המאשימה עותרת להשית על הנאשם 4 חודשי מאסר בפועל וכן מאסר מותנה. </w:t>
      </w:r>
    </w:p>
    <w:p w14:paraId="1BAF0B4A" w14:textId="77777777" w:rsidR="00F1785B" w:rsidRDefault="00F1785B" w:rsidP="00F1785B">
      <w:pPr>
        <w:spacing w:line="360" w:lineRule="auto"/>
        <w:jc w:val="both"/>
        <w:rPr>
          <w:b/>
          <w:bCs/>
          <w:u w:val="single"/>
          <w:rtl/>
        </w:rPr>
      </w:pPr>
    </w:p>
    <w:p w14:paraId="2550DC64" w14:textId="77777777" w:rsidR="00F1785B" w:rsidRDefault="00F1785B" w:rsidP="00F1785B">
      <w:pPr>
        <w:spacing w:line="360" w:lineRule="auto"/>
        <w:jc w:val="both"/>
        <w:rPr>
          <w:b/>
          <w:bCs/>
          <w:rtl/>
        </w:rPr>
      </w:pPr>
      <w:r>
        <w:rPr>
          <w:b/>
          <w:bCs/>
          <w:u w:val="single"/>
          <w:rtl/>
        </w:rPr>
        <w:t>טיעוני ב"כ הנאשם לעונש</w:t>
      </w:r>
      <w:r>
        <w:rPr>
          <w:b/>
          <w:bCs/>
          <w:rtl/>
        </w:rPr>
        <w:t xml:space="preserve">: </w:t>
      </w:r>
    </w:p>
    <w:p w14:paraId="2A23BF3F" w14:textId="77777777" w:rsidR="00F1785B" w:rsidRDefault="00F1785B" w:rsidP="00F1785B">
      <w:pPr>
        <w:spacing w:line="360" w:lineRule="auto"/>
        <w:jc w:val="both"/>
        <w:rPr>
          <w:rtl/>
        </w:rPr>
      </w:pPr>
      <w:r>
        <w:rPr>
          <w:rtl/>
        </w:rPr>
        <w:t xml:space="preserve">הנאשם הודה בעבירות המיוחסות לו בכתב האישום, לטענת ב"כ הנאשם יש להסתפק במאסר מותנה וניתן גם לחלט את הסכומים שהופקדו במסגרת התיק בין אם כקנס ובין אם כפיצוי. שכן, למרות שהמאשימה הסכימה כי לא תעתור לפיצוי או קנס, מאחר שתיק זה מתאים למאסר מותנה, יסכים הנאשם לחילוט הכספים. </w:t>
      </w:r>
    </w:p>
    <w:p w14:paraId="386CA256" w14:textId="77777777" w:rsidR="00F1785B" w:rsidRDefault="00F1785B" w:rsidP="00F1785B">
      <w:pPr>
        <w:spacing w:line="360" w:lineRule="auto"/>
        <w:jc w:val="both"/>
        <w:rPr>
          <w:rtl/>
        </w:rPr>
      </w:pPr>
      <w:r>
        <w:rPr>
          <w:rtl/>
        </w:rPr>
        <w:t xml:space="preserve">ב"כ הנאשם תיאר את מצבו האישי והמשפחתי של הנאשם, אשר גדל בנסיבות משפחתיות קשות, הוריו גרושים, אביו של הנאשם עזב את הבית ומתגורר באילת ולא מצוי בקשר עם הנאשם מזה שנים רבות, אמו מתגוררת בגפה ומצבה של המשפחה מבחינה כלכלית הוא קשה. </w:t>
      </w:r>
    </w:p>
    <w:p w14:paraId="3A9C9DE6" w14:textId="77777777" w:rsidR="00F1785B" w:rsidRDefault="00F1785B" w:rsidP="00F1785B">
      <w:pPr>
        <w:spacing w:line="360" w:lineRule="auto"/>
        <w:jc w:val="both"/>
        <w:rPr>
          <w:rtl/>
        </w:rPr>
      </w:pPr>
      <w:r>
        <w:rPr>
          <w:rtl/>
        </w:rPr>
        <w:t xml:space="preserve">הנאשם נתון בחובות שונים, מדובר בנאשם שגדל בחברה שולית באזור מגוריו ועל רקע זה בוצעו העבירות. </w:t>
      </w:r>
    </w:p>
    <w:p w14:paraId="25626689" w14:textId="77777777" w:rsidR="00F1785B" w:rsidRDefault="00F1785B" w:rsidP="00F1785B">
      <w:pPr>
        <w:spacing w:line="360" w:lineRule="auto"/>
        <w:jc w:val="both"/>
        <w:rPr>
          <w:rtl/>
        </w:rPr>
      </w:pPr>
      <w:r>
        <w:rPr>
          <w:rtl/>
        </w:rPr>
        <w:t xml:space="preserve">בסיכומו של דבר לא נגרם נזק לבנק, הניסיון לא הושלם. </w:t>
      </w:r>
    </w:p>
    <w:p w14:paraId="4B045169" w14:textId="77777777" w:rsidR="00F1785B" w:rsidRDefault="00F1785B" w:rsidP="00F1785B">
      <w:pPr>
        <w:spacing w:line="360" w:lineRule="auto"/>
        <w:jc w:val="both"/>
        <w:rPr>
          <w:rtl/>
        </w:rPr>
      </w:pPr>
      <w:r>
        <w:rPr>
          <w:rtl/>
        </w:rPr>
        <w:t xml:space="preserve">לנאשם אין עבר דומה בעבירות כלכליות, אין המדובר בעבריין מרמה שיטתי. </w:t>
      </w:r>
    </w:p>
    <w:p w14:paraId="7FB41975" w14:textId="77777777" w:rsidR="00F1785B" w:rsidRDefault="00F1785B" w:rsidP="00F1785B">
      <w:pPr>
        <w:spacing w:line="360" w:lineRule="auto"/>
        <w:jc w:val="both"/>
        <w:rPr>
          <w:rtl/>
        </w:rPr>
      </w:pPr>
      <w:r>
        <w:rPr>
          <w:rtl/>
        </w:rPr>
        <w:t xml:space="preserve">נכון אמנם כי קיימים קשיים בהתנהלות הנאשם אך הוא עבר תהליך שיקום עצמי ומשפחתי מאוד משמעותי, הוא נישא ונולד לו ילד, הוא חזר בתשובה ועובד לפרנסתו. קיים אינטרס ציבורי להרחיק את הנאשם מחברה שולית ולאפשר לו להמשיך את ההליך השיקומי. </w:t>
      </w:r>
    </w:p>
    <w:p w14:paraId="3B41A86C" w14:textId="77777777" w:rsidR="00F1785B" w:rsidRDefault="00F1785B" w:rsidP="00F1785B">
      <w:pPr>
        <w:spacing w:line="360" w:lineRule="auto"/>
        <w:jc w:val="both"/>
        <w:rPr>
          <w:b/>
          <w:bCs/>
          <w:u w:val="single"/>
          <w:rtl/>
        </w:rPr>
      </w:pPr>
    </w:p>
    <w:p w14:paraId="60E70815" w14:textId="77777777" w:rsidR="00F1785B" w:rsidRDefault="00F1785B" w:rsidP="00F1785B">
      <w:pPr>
        <w:spacing w:line="360" w:lineRule="auto"/>
        <w:jc w:val="both"/>
        <w:rPr>
          <w:b/>
          <w:bCs/>
          <w:rtl/>
        </w:rPr>
      </w:pPr>
      <w:r>
        <w:rPr>
          <w:b/>
          <w:bCs/>
          <w:u w:val="single"/>
          <w:rtl/>
        </w:rPr>
        <w:t>דברו האחרון של הנאשם</w:t>
      </w:r>
      <w:r>
        <w:rPr>
          <w:b/>
          <w:bCs/>
          <w:rtl/>
        </w:rPr>
        <w:t xml:space="preserve">: </w:t>
      </w:r>
    </w:p>
    <w:p w14:paraId="1A2DE719" w14:textId="77777777" w:rsidR="00F1785B" w:rsidRDefault="00F1785B" w:rsidP="00F1785B">
      <w:pPr>
        <w:spacing w:line="360" w:lineRule="auto"/>
        <w:jc w:val="both"/>
        <w:rPr>
          <w:rtl/>
        </w:rPr>
      </w:pPr>
      <w:r>
        <w:rPr>
          <w:rtl/>
        </w:rPr>
        <w:t xml:space="preserve">בדברו האחרון, טען הנאשם כי </w:t>
      </w:r>
      <w:r>
        <w:rPr>
          <w:rFonts w:hint="cs"/>
          <w:rtl/>
        </w:rPr>
        <w:t xml:space="preserve">הוא </w:t>
      </w:r>
      <w:r>
        <w:rPr>
          <w:rtl/>
        </w:rPr>
        <w:t xml:space="preserve">מבין את הבעייתיות בהתנהלותו, לטענתו היה טרוד בחובות. כיום מעביר הרצאות לילדים בסיכון על הליכה בדרך הישר, הוא חזר בתשובה וחי עם אשתו ומבקש להשתקם, עונש מאסר יכול לפרק את המשפחה והוא מבקש כי בית המשפט יתחשב בו. </w:t>
      </w:r>
    </w:p>
    <w:p w14:paraId="6E0758E9" w14:textId="77777777" w:rsidR="00F1785B" w:rsidRDefault="00F1785B" w:rsidP="00F1785B">
      <w:pPr>
        <w:spacing w:line="360" w:lineRule="auto"/>
        <w:jc w:val="both"/>
        <w:rPr>
          <w:b/>
          <w:bCs/>
          <w:rtl/>
        </w:rPr>
      </w:pPr>
      <w:r>
        <w:rPr>
          <w:b/>
          <w:bCs/>
          <w:rtl/>
        </w:rPr>
        <w:t xml:space="preserve"> </w:t>
      </w:r>
    </w:p>
    <w:p w14:paraId="2AEAD0A4" w14:textId="77777777" w:rsidR="00F1785B" w:rsidRDefault="00F1785B" w:rsidP="00F1785B">
      <w:pPr>
        <w:spacing w:line="360" w:lineRule="auto"/>
        <w:jc w:val="both"/>
        <w:rPr>
          <w:b/>
          <w:bCs/>
          <w:rtl/>
        </w:rPr>
      </w:pPr>
      <w:r>
        <w:rPr>
          <w:b/>
          <w:bCs/>
          <w:u w:val="single"/>
          <w:rtl/>
        </w:rPr>
        <w:t>דיון והכרעה</w:t>
      </w:r>
      <w:r>
        <w:rPr>
          <w:b/>
          <w:bCs/>
          <w:rtl/>
        </w:rPr>
        <w:t xml:space="preserve">: </w:t>
      </w:r>
    </w:p>
    <w:p w14:paraId="0D52EFEF" w14:textId="77777777" w:rsidR="00F1785B" w:rsidRDefault="00F1785B" w:rsidP="00F1785B">
      <w:pPr>
        <w:pStyle w:val="a9"/>
        <w:spacing w:before="120" w:after="120" w:line="360" w:lineRule="auto"/>
        <w:ind w:left="-62" w:firstLine="4"/>
        <w:jc w:val="both"/>
        <w:rPr>
          <w:rFonts w:ascii="Times New Roman" w:hAnsi="Times New Roman" w:cs="David"/>
          <w:sz w:val="24"/>
          <w:szCs w:val="24"/>
          <w:rtl/>
          <w:lang w:eastAsia="he-IL"/>
        </w:rPr>
      </w:pPr>
      <w:r>
        <w:rPr>
          <w:rFonts w:ascii="Times New Roman" w:hAnsi="Times New Roman" w:cs="David"/>
          <w:sz w:val="24"/>
          <w:szCs w:val="24"/>
          <w:rtl/>
          <w:lang w:eastAsia="he-IL"/>
        </w:rPr>
        <w:t>בהתאם לתיקון 113 ל</w:t>
      </w:r>
      <w:hyperlink r:id="rId21" w:history="1">
        <w:r w:rsidR="00F33D1E" w:rsidRPr="00F33D1E">
          <w:rPr>
            <w:rFonts w:ascii="Times New Roman" w:hAnsi="Times New Roman" w:cs="David"/>
            <w:color w:val="0000FF"/>
            <w:sz w:val="24"/>
            <w:szCs w:val="24"/>
            <w:u w:val="single"/>
            <w:rtl/>
            <w:lang w:eastAsia="he-IL"/>
          </w:rPr>
          <w:t>חוק העונשין</w:t>
        </w:r>
      </w:hyperlink>
      <w:r>
        <w:rPr>
          <w:rFonts w:ascii="Times New Roman" w:hAnsi="Times New Roman" w:cs="David"/>
          <w:sz w:val="24"/>
          <w:szCs w:val="24"/>
          <w:rtl/>
          <w:lang w:eastAsia="he-IL"/>
        </w:rPr>
        <w:t xml:space="preserve">, בבואו של בית המשפט לגזור את דינו של הנאשם, בשלב הראשון, עליו לקבוע את מתחם העונש ההולם. בהתאם לסעיף </w:t>
      </w:r>
      <w:hyperlink r:id="rId22" w:history="1">
        <w:r w:rsidR="00930072" w:rsidRPr="00930072">
          <w:rPr>
            <w:rStyle w:val="Hyperlink"/>
            <w:rFonts w:ascii="Times New Roman" w:hAnsi="Times New Roman" w:cs="David"/>
            <w:color w:val="0000FF"/>
            <w:sz w:val="24"/>
            <w:szCs w:val="24"/>
            <w:rtl/>
            <w:lang w:eastAsia="he-IL"/>
          </w:rPr>
          <w:t>40 ג(א)</w:t>
        </w:r>
      </w:hyperlink>
      <w:r>
        <w:rPr>
          <w:rFonts w:ascii="Times New Roman" w:hAnsi="Times New Roman" w:cs="David"/>
          <w:sz w:val="24"/>
          <w:szCs w:val="24"/>
          <w:rtl/>
          <w:lang w:eastAsia="he-IL"/>
        </w:rPr>
        <w:t xml:space="preserve"> ל</w:t>
      </w:r>
      <w:hyperlink r:id="rId23" w:history="1">
        <w:r w:rsidR="00F33D1E" w:rsidRPr="00F33D1E">
          <w:rPr>
            <w:rFonts w:ascii="Times New Roman" w:hAnsi="Times New Roman" w:cs="David"/>
            <w:color w:val="0000FF"/>
            <w:sz w:val="24"/>
            <w:szCs w:val="24"/>
            <w:u w:val="single"/>
            <w:rtl/>
            <w:lang w:eastAsia="he-IL"/>
          </w:rPr>
          <w:t>חוק העונשין</w:t>
        </w:r>
      </w:hyperlink>
      <w:r>
        <w:rPr>
          <w:rFonts w:ascii="Times New Roman" w:hAnsi="Times New Roman" w:cs="David"/>
          <w:sz w:val="24"/>
          <w:szCs w:val="24"/>
          <w:rtl/>
          <w:lang w:eastAsia="he-IL"/>
        </w:rPr>
        <w:t xml:space="preserve">, מתחם העונש ההולם, נקבע בהתאם לעקרון ההלימה, תוך התחשבות בערך החברתי שנפגע, במידת הפגיעה בו, בנסיבות הקשורות בביצוע העבירה ובמדיניות הענישה הנהוגה. </w:t>
      </w:r>
    </w:p>
    <w:p w14:paraId="41CB5AD2" w14:textId="77777777" w:rsidR="00F1785B" w:rsidRPr="00F1785B" w:rsidRDefault="00F1785B" w:rsidP="00F1785B">
      <w:pPr>
        <w:spacing w:line="360" w:lineRule="auto"/>
        <w:ind w:left="-58" w:firstLine="4"/>
        <w:jc w:val="both"/>
        <w:rPr>
          <w:rFonts w:ascii="Calibri" w:hAnsi="Calibri"/>
          <w:rtl/>
        </w:rPr>
      </w:pPr>
      <w:r>
        <w:rPr>
          <w:rtl/>
        </w:rPr>
        <w:t xml:space="preserve">בשלב השני, על בית המשפט לשקול שיקולים ונסיבות אשר אינן חלק מביצוע העבירה בה הורשע הנאשם. </w:t>
      </w:r>
    </w:p>
    <w:p w14:paraId="31681091" w14:textId="77777777" w:rsidR="00F1785B" w:rsidRDefault="00F1785B" w:rsidP="00F1785B">
      <w:pPr>
        <w:spacing w:line="360" w:lineRule="auto"/>
        <w:ind w:left="-58" w:firstLine="4"/>
        <w:jc w:val="both"/>
        <w:rPr>
          <w:rtl/>
        </w:rPr>
      </w:pPr>
      <w:r>
        <w:rPr>
          <w:rtl/>
          <w:lang w:eastAsia="he-IL"/>
        </w:rPr>
        <w:t>בענייננו, הערכים החברתיים אשר נפגעו הינם הזכות לקניין, פגיעה בחיי מס</w:t>
      </w:r>
      <w:r>
        <w:rPr>
          <w:rFonts w:hint="cs"/>
          <w:rtl/>
          <w:lang w:eastAsia="he-IL"/>
        </w:rPr>
        <w:t>ח</w:t>
      </w:r>
      <w:r>
        <w:rPr>
          <w:rtl/>
          <w:lang w:eastAsia="he-IL"/>
        </w:rPr>
        <w:t xml:space="preserve">ר תקינים ושמירה על </w:t>
      </w:r>
      <w:r>
        <w:rPr>
          <w:rtl/>
        </w:rPr>
        <w:t xml:space="preserve">שלטון החוק, זאת ועוד, הנאשם השתמש בתעודת זהות מזויפת כאשר הפגיעה בערך החברתי המוגן בעבירה זו הינה הזכות לשמור על האוטונומיה של הפרטים וכן פגיעה בביטחון הציבור.  </w:t>
      </w:r>
    </w:p>
    <w:p w14:paraId="00506232" w14:textId="77777777" w:rsidR="00F1785B" w:rsidRDefault="00F1785B" w:rsidP="00F1785B">
      <w:pPr>
        <w:spacing w:line="360" w:lineRule="auto"/>
        <w:jc w:val="both"/>
        <w:rPr>
          <w:rFonts w:ascii="David" w:hAnsi="David"/>
          <w:rtl/>
        </w:rPr>
      </w:pPr>
      <w:r>
        <w:rPr>
          <w:rFonts w:ascii="David" w:hAnsi="David"/>
          <w:rtl/>
        </w:rPr>
        <w:t xml:space="preserve">עיון בפסיקה מעלה כי ניתנה ענישה מגוונת, בהתאם לנסיבותיו של כל מקרה ומקרה, שהתחילה ממאסר על תנאי ועד לעונשי מאסר בפועל לתקופות ממושכות, בתי המשפט רואים חומרה יתרה בעבירות זיוף ורמייה. </w:t>
      </w:r>
    </w:p>
    <w:p w14:paraId="26D3D1A3" w14:textId="77777777" w:rsidR="00F1785B" w:rsidRDefault="00F1785B" w:rsidP="00F1785B">
      <w:pPr>
        <w:spacing w:line="360" w:lineRule="auto"/>
        <w:jc w:val="both"/>
        <w:rPr>
          <w:rFonts w:ascii="David" w:hAnsi="David"/>
          <w:rtl/>
        </w:rPr>
      </w:pPr>
    </w:p>
    <w:p w14:paraId="271E19E8" w14:textId="77777777" w:rsidR="00F1785B" w:rsidRDefault="00F1785B" w:rsidP="00F1785B">
      <w:pPr>
        <w:spacing w:line="360" w:lineRule="auto"/>
        <w:ind w:firstLine="516"/>
        <w:jc w:val="both"/>
        <w:rPr>
          <w:rFonts w:ascii="David" w:hAnsi="David"/>
          <w:rtl/>
        </w:rPr>
      </w:pPr>
      <w:r>
        <w:rPr>
          <w:rFonts w:ascii="David" w:hAnsi="David"/>
          <w:rtl/>
        </w:rPr>
        <w:t>לעניין זה יפים הדברים שנקבעו ב</w:t>
      </w:r>
      <w:hyperlink r:id="rId24" w:history="1">
        <w:r w:rsidR="00F33D1E" w:rsidRPr="00F33D1E">
          <w:rPr>
            <w:rFonts w:ascii="David" w:hAnsi="David"/>
            <w:color w:val="0000FF"/>
            <w:u w:val="single"/>
            <w:rtl/>
          </w:rPr>
          <w:t>ע"פ 4980/07</w:t>
        </w:r>
      </w:hyperlink>
      <w:r>
        <w:rPr>
          <w:rFonts w:ascii="David" w:hAnsi="David"/>
          <w:rtl/>
        </w:rPr>
        <w:t xml:space="preserve"> </w:t>
      </w:r>
      <w:r>
        <w:rPr>
          <w:rFonts w:ascii="David" w:hAnsi="David"/>
          <w:b/>
          <w:bCs/>
          <w:rtl/>
        </w:rPr>
        <w:t>אלון כהן נגד מדינת ישראל (4.11.10)</w:t>
      </w:r>
      <w:r>
        <w:rPr>
          <w:rFonts w:ascii="David" w:hAnsi="David"/>
          <w:rtl/>
        </w:rPr>
        <w:t xml:space="preserve">: </w:t>
      </w:r>
    </w:p>
    <w:p w14:paraId="48D4AA47" w14:textId="77777777" w:rsidR="00F1785B" w:rsidRDefault="00F1785B" w:rsidP="00F1785B">
      <w:pPr>
        <w:spacing w:line="360" w:lineRule="auto"/>
        <w:jc w:val="both"/>
        <w:rPr>
          <w:rFonts w:ascii="David" w:hAnsi="David"/>
          <w:rtl/>
        </w:rPr>
      </w:pPr>
    </w:p>
    <w:p w14:paraId="21954D32" w14:textId="77777777" w:rsidR="00F1785B" w:rsidRDefault="00F1785B" w:rsidP="00F1785B">
      <w:pPr>
        <w:spacing w:line="360" w:lineRule="auto"/>
        <w:ind w:left="1440"/>
        <w:jc w:val="both"/>
        <w:rPr>
          <w:rFonts w:ascii="David" w:hAnsi="David"/>
          <w:b/>
          <w:bCs/>
          <w:rtl/>
        </w:rPr>
      </w:pPr>
      <w:r>
        <w:rPr>
          <w:rFonts w:ascii="David" w:hAnsi="David"/>
          <w:b/>
          <w:bCs/>
          <w:spacing w:val="10"/>
          <w:rtl/>
        </w:rPr>
        <w:t>"[...] אף אילו היה המערער מבצע עבירה אחת של זיוף, שימוש במסמך מזויף וקבלת דבר במרמה – כפי שהודה שעשה בקשר עם הנטען בכתב האישום הנוסף – די היה בכך כדי להצדיק את השמתו מאחורי סורג ובריח. במקרה דנן, ריבוי עבירות מסוג זה, מצדיק השתה של עונש מאסר משמעותי.."</w:t>
      </w:r>
    </w:p>
    <w:p w14:paraId="77BF441D" w14:textId="77777777" w:rsidR="00F1785B" w:rsidRPr="00F1785B" w:rsidRDefault="00F1785B" w:rsidP="00F1785B">
      <w:pPr>
        <w:ind w:left="-58" w:firstLine="4"/>
        <w:jc w:val="both"/>
        <w:rPr>
          <w:rFonts w:ascii="Calibri" w:hAnsi="Calibri"/>
          <w:rtl/>
        </w:rPr>
      </w:pPr>
    </w:p>
    <w:p w14:paraId="7FA4FB47" w14:textId="77777777" w:rsidR="00F1785B" w:rsidRDefault="00F1785B" w:rsidP="00F1785B">
      <w:pPr>
        <w:spacing w:line="360" w:lineRule="auto"/>
        <w:ind w:left="-58" w:firstLine="4"/>
        <w:jc w:val="both"/>
        <w:rPr>
          <w:rtl/>
        </w:rPr>
      </w:pPr>
      <w:r>
        <w:rPr>
          <w:rtl/>
        </w:rPr>
        <w:t xml:space="preserve">בחינת מידת הפגיעה בערכים המוגנים מובילה למסקנה כי מדובר בפגיעה ברף הבינוני, הנאשם נכנס </w:t>
      </w:r>
      <w:r>
        <w:rPr>
          <w:rFonts w:hint="cs"/>
          <w:rtl/>
        </w:rPr>
        <w:t>ל</w:t>
      </w:r>
      <w:r>
        <w:rPr>
          <w:rtl/>
        </w:rPr>
        <w:t xml:space="preserve">בנק אוצר החיל, התייצג בפני פקידת הבנק באמצעות תעודת זהות מזויפת וביקש למשוך 5,000 ₪ במזומן. הנאשם חתם בחתימה אשר אינה תואמת את חתימת בעל החשבון, משהבין הנאשם כי התעורר חשדה של פקידת הבנק, עזב את הבנק. </w:t>
      </w:r>
    </w:p>
    <w:p w14:paraId="7748BE9D" w14:textId="77777777" w:rsidR="00F1785B" w:rsidRDefault="00F1785B" w:rsidP="00F1785B">
      <w:pPr>
        <w:spacing w:line="360" w:lineRule="auto"/>
        <w:ind w:left="-58" w:firstLine="4"/>
        <w:jc w:val="both"/>
        <w:rPr>
          <w:rtl/>
        </w:rPr>
      </w:pPr>
      <w:r>
        <w:rPr>
          <w:rtl/>
        </w:rPr>
        <w:t xml:space="preserve">בחינת מדיניות הענישה הנוהגת מעלה </w:t>
      </w:r>
      <w:r>
        <w:rPr>
          <w:rFonts w:hint="cs"/>
          <w:rtl/>
        </w:rPr>
        <w:t xml:space="preserve">כי </w:t>
      </w:r>
      <w:r>
        <w:rPr>
          <w:rtl/>
        </w:rPr>
        <w:t xml:space="preserve">במקרים דומים הוטלו על נאשמים עונשים במנעד רחב, כך למשל: </w:t>
      </w:r>
    </w:p>
    <w:p w14:paraId="3CC57590" w14:textId="77777777" w:rsidR="00F1785B" w:rsidRDefault="00F1785B" w:rsidP="00F1785B">
      <w:pPr>
        <w:pStyle w:val="a9"/>
        <w:numPr>
          <w:ilvl w:val="0"/>
          <w:numId w:val="1"/>
        </w:numPr>
        <w:spacing w:line="360" w:lineRule="auto"/>
        <w:jc w:val="both"/>
        <w:rPr>
          <w:rFonts w:cs="David"/>
          <w:b/>
          <w:bCs/>
          <w:sz w:val="24"/>
          <w:szCs w:val="24"/>
          <w:rtl/>
        </w:rPr>
      </w:pPr>
      <w:r>
        <w:rPr>
          <w:rFonts w:cs="David"/>
          <w:sz w:val="24"/>
          <w:szCs w:val="24"/>
          <w:rtl/>
        </w:rPr>
        <w:t>ב</w:t>
      </w:r>
      <w:hyperlink r:id="rId25" w:history="1">
        <w:r w:rsidR="00F33D1E" w:rsidRPr="00F33D1E">
          <w:rPr>
            <w:rFonts w:cs="David" w:hint="cs"/>
            <w:color w:val="0000FF"/>
            <w:sz w:val="24"/>
            <w:szCs w:val="24"/>
            <w:u w:val="single"/>
            <w:rtl/>
          </w:rPr>
          <w:t>רע</w:t>
        </w:r>
        <w:r w:rsidR="00F33D1E" w:rsidRPr="00F33D1E">
          <w:rPr>
            <w:rFonts w:cs="David"/>
            <w:color w:val="0000FF"/>
            <w:sz w:val="24"/>
            <w:szCs w:val="24"/>
            <w:u w:val="single"/>
            <w:rtl/>
          </w:rPr>
          <w:t>"</w:t>
        </w:r>
        <w:r w:rsidR="00F33D1E" w:rsidRPr="00F33D1E">
          <w:rPr>
            <w:rFonts w:cs="David" w:hint="cs"/>
            <w:color w:val="0000FF"/>
            <w:sz w:val="24"/>
            <w:szCs w:val="24"/>
            <w:u w:val="single"/>
            <w:rtl/>
          </w:rPr>
          <w:t>פ</w:t>
        </w:r>
        <w:r w:rsidR="00F33D1E" w:rsidRPr="00F33D1E">
          <w:rPr>
            <w:rFonts w:cs="David"/>
            <w:color w:val="0000FF"/>
            <w:sz w:val="24"/>
            <w:szCs w:val="24"/>
            <w:u w:val="single"/>
            <w:rtl/>
          </w:rPr>
          <w:t xml:space="preserve"> 7912/13</w:t>
        </w:r>
      </w:hyperlink>
      <w:r>
        <w:rPr>
          <w:rFonts w:cs="David"/>
          <w:sz w:val="24"/>
          <w:szCs w:val="24"/>
          <w:rtl/>
        </w:rPr>
        <w:t xml:space="preserve"> </w:t>
      </w:r>
      <w:r>
        <w:rPr>
          <w:rFonts w:cs="David"/>
          <w:b/>
          <w:bCs/>
          <w:sz w:val="24"/>
          <w:szCs w:val="24"/>
          <w:rtl/>
        </w:rPr>
        <w:t xml:space="preserve">חליפה נ' מדינת ישראל </w:t>
      </w:r>
      <w:r>
        <w:rPr>
          <w:rFonts w:cs="David"/>
          <w:sz w:val="24"/>
          <w:szCs w:val="24"/>
          <w:rtl/>
        </w:rPr>
        <w:t xml:space="preserve">[פורסם בנבו] (ניתן ביום 27.1.14 - נדחתה בקשת רשות ערעור פלילי של נאשם, אשר הורשע בעבירות של שימוש במסמך מזויף, קבלת דבר במרמה וזיוף, קשירת קשר לעוון וסיוע להתחזות לאחר, נדון ל- 9 חודשי מאסר בפועל ועונשים נלווים. </w:t>
      </w:r>
    </w:p>
    <w:p w14:paraId="7E3BD7C5" w14:textId="77777777" w:rsidR="00F1785B" w:rsidRDefault="00F33D1E" w:rsidP="00F1785B">
      <w:pPr>
        <w:pStyle w:val="a9"/>
        <w:numPr>
          <w:ilvl w:val="0"/>
          <w:numId w:val="1"/>
        </w:numPr>
        <w:spacing w:line="360" w:lineRule="auto"/>
        <w:jc w:val="both"/>
        <w:rPr>
          <w:rFonts w:cs="David"/>
          <w:b/>
          <w:bCs/>
          <w:sz w:val="24"/>
          <w:szCs w:val="24"/>
        </w:rPr>
      </w:pPr>
      <w:hyperlink r:id="rId26" w:history="1">
        <w:r w:rsidRPr="00F33D1E">
          <w:rPr>
            <w:rFonts w:cs="David" w:hint="cs"/>
            <w:color w:val="0000FF"/>
            <w:sz w:val="24"/>
            <w:szCs w:val="24"/>
            <w:u w:val="single"/>
            <w:rtl/>
          </w:rPr>
          <w:t>רע</w:t>
        </w:r>
        <w:r w:rsidRPr="00F33D1E">
          <w:rPr>
            <w:rFonts w:cs="David"/>
            <w:color w:val="0000FF"/>
            <w:sz w:val="24"/>
            <w:szCs w:val="24"/>
            <w:u w:val="single"/>
            <w:rtl/>
          </w:rPr>
          <w:t>"</w:t>
        </w:r>
        <w:r w:rsidRPr="00F33D1E">
          <w:rPr>
            <w:rFonts w:cs="David" w:hint="cs"/>
            <w:color w:val="0000FF"/>
            <w:sz w:val="24"/>
            <w:szCs w:val="24"/>
            <w:u w:val="single"/>
            <w:rtl/>
          </w:rPr>
          <w:t>פ</w:t>
        </w:r>
        <w:r w:rsidRPr="00F33D1E">
          <w:rPr>
            <w:rFonts w:cs="David"/>
            <w:color w:val="0000FF"/>
            <w:sz w:val="24"/>
            <w:szCs w:val="24"/>
            <w:u w:val="single"/>
            <w:rtl/>
          </w:rPr>
          <w:t xml:space="preserve"> 6435/09</w:t>
        </w:r>
      </w:hyperlink>
      <w:r w:rsidR="00F1785B">
        <w:rPr>
          <w:rFonts w:cs="David"/>
          <w:sz w:val="24"/>
          <w:szCs w:val="24"/>
          <w:rtl/>
        </w:rPr>
        <w:t xml:space="preserve"> </w:t>
      </w:r>
      <w:r w:rsidR="00F1785B">
        <w:rPr>
          <w:rFonts w:cs="David"/>
          <w:b/>
          <w:bCs/>
          <w:sz w:val="24"/>
          <w:szCs w:val="24"/>
          <w:rtl/>
        </w:rPr>
        <w:t>אוסקר נ' מדינת ישראל</w:t>
      </w:r>
      <w:r w:rsidR="00F1785B">
        <w:rPr>
          <w:rFonts w:cs="David"/>
          <w:sz w:val="24"/>
          <w:szCs w:val="24"/>
          <w:rtl/>
        </w:rPr>
        <w:t xml:space="preserve"> [פורסם בנבו] (ניתן ביום 11.8.09) - נדחתה בקשת רשות ערעור פלילי של נאשם אשר הורשע בביצוע עבירות של קבלת דבר במרמה, זיוף מסמך בכוונה לקבל באמצעותו דבר ושימוש במסמך מזויף. כך שבמשך תקופה של כשנה זייף חתימתה של בת זוגו, ללא רשותה, על 8 שקים בסכום כולל של 287,176 ₪ לכיסוי חובותיו. הנאשם נדון ל-6 חודשי מאסר לריצוי בדרך של עבודות שירות ועונשים נלווים. </w:t>
      </w:r>
    </w:p>
    <w:p w14:paraId="58D1A530" w14:textId="77777777" w:rsidR="00F1785B" w:rsidRDefault="00F33D1E" w:rsidP="00F1785B">
      <w:pPr>
        <w:pStyle w:val="a9"/>
        <w:numPr>
          <w:ilvl w:val="0"/>
          <w:numId w:val="1"/>
        </w:numPr>
        <w:spacing w:line="360" w:lineRule="auto"/>
        <w:jc w:val="both"/>
        <w:rPr>
          <w:rFonts w:cs="David"/>
          <w:sz w:val="24"/>
          <w:szCs w:val="24"/>
        </w:rPr>
      </w:pPr>
      <w:hyperlink r:id="rId27" w:history="1">
        <w:r w:rsidRPr="00F33D1E">
          <w:rPr>
            <w:rFonts w:cs="David" w:hint="cs"/>
            <w:color w:val="0000FF"/>
            <w:sz w:val="24"/>
            <w:szCs w:val="24"/>
            <w:u w:val="single"/>
            <w:rtl/>
          </w:rPr>
          <w:t>ת</w:t>
        </w:r>
        <w:r w:rsidRPr="00F33D1E">
          <w:rPr>
            <w:rFonts w:cs="David"/>
            <w:color w:val="0000FF"/>
            <w:sz w:val="24"/>
            <w:szCs w:val="24"/>
            <w:u w:val="single"/>
            <w:rtl/>
          </w:rPr>
          <w:t>.</w:t>
        </w:r>
        <w:r w:rsidRPr="00F33D1E">
          <w:rPr>
            <w:rFonts w:cs="David" w:hint="cs"/>
            <w:color w:val="0000FF"/>
            <w:sz w:val="24"/>
            <w:szCs w:val="24"/>
            <w:u w:val="single"/>
            <w:rtl/>
          </w:rPr>
          <w:t>פ</w:t>
        </w:r>
        <w:r w:rsidRPr="00F33D1E">
          <w:rPr>
            <w:rFonts w:cs="David"/>
            <w:color w:val="0000FF"/>
            <w:sz w:val="24"/>
            <w:szCs w:val="24"/>
            <w:u w:val="single"/>
            <w:rtl/>
          </w:rPr>
          <w:t>. (</w:t>
        </w:r>
        <w:r w:rsidRPr="00F33D1E">
          <w:rPr>
            <w:rFonts w:cs="David" w:hint="cs"/>
            <w:color w:val="0000FF"/>
            <w:sz w:val="24"/>
            <w:szCs w:val="24"/>
            <w:u w:val="single"/>
            <w:rtl/>
          </w:rPr>
          <w:t>שלום</w:t>
        </w:r>
        <w:r w:rsidRPr="00F33D1E">
          <w:rPr>
            <w:rFonts w:cs="David"/>
            <w:color w:val="0000FF"/>
            <w:sz w:val="24"/>
            <w:szCs w:val="24"/>
            <w:u w:val="single"/>
            <w:rtl/>
          </w:rPr>
          <w:t xml:space="preserve"> </w:t>
        </w:r>
        <w:r w:rsidRPr="00F33D1E">
          <w:rPr>
            <w:rFonts w:cs="David" w:hint="cs"/>
            <w:color w:val="0000FF"/>
            <w:sz w:val="24"/>
            <w:szCs w:val="24"/>
            <w:u w:val="single"/>
            <w:rtl/>
          </w:rPr>
          <w:t>ראשל</w:t>
        </w:r>
        <w:r w:rsidRPr="00F33D1E">
          <w:rPr>
            <w:rFonts w:cs="David"/>
            <w:color w:val="0000FF"/>
            <w:sz w:val="24"/>
            <w:szCs w:val="24"/>
            <w:u w:val="single"/>
            <w:rtl/>
          </w:rPr>
          <w:t>"</w:t>
        </w:r>
        <w:r w:rsidRPr="00F33D1E">
          <w:rPr>
            <w:rFonts w:cs="David" w:hint="cs"/>
            <w:color w:val="0000FF"/>
            <w:sz w:val="24"/>
            <w:szCs w:val="24"/>
            <w:u w:val="single"/>
            <w:rtl/>
          </w:rPr>
          <w:t>צ</w:t>
        </w:r>
        <w:r w:rsidRPr="00F33D1E">
          <w:rPr>
            <w:rFonts w:cs="David"/>
            <w:color w:val="0000FF"/>
            <w:sz w:val="24"/>
            <w:szCs w:val="24"/>
            <w:u w:val="single"/>
            <w:rtl/>
          </w:rPr>
          <w:t>) 29164-12-17</w:t>
        </w:r>
      </w:hyperlink>
      <w:r w:rsidR="00F1785B">
        <w:rPr>
          <w:rFonts w:cs="David"/>
          <w:sz w:val="24"/>
          <w:szCs w:val="24"/>
          <w:rtl/>
        </w:rPr>
        <w:t xml:space="preserve"> </w:t>
      </w:r>
      <w:r w:rsidR="00F1785B">
        <w:rPr>
          <w:rFonts w:cs="David"/>
          <w:b/>
          <w:bCs/>
          <w:sz w:val="24"/>
          <w:szCs w:val="24"/>
          <w:rtl/>
        </w:rPr>
        <w:t>מדינת ישראל נ' יוסי מלולו</w:t>
      </w:r>
      <w:r w:rsidR="00F1785B">
        <w:rPr>
          <w:rFonts w:cs="David"/>
          <w:sz w:val="24"/>
          <w:szCs w:val="24"/>
          <w:rtl/>
        </w:rPr>
        <w:t xml:space="preserve"> (ניתן ביום 12.9.18), הנאשם הורשע בעבירות של שימוש במסמך מזויף וקבלת דבר במרמה. כך שהגיע לבנק הפועלים עם המחאה על סך 3,325 ₪ למוטב בלבד, הנאשם מחק את הכיתוב "למוטב בלבד" והסב בחתימתו את ההמחאה על שמו. הזדהה באמצעות תעודת זהות שלו וחתם על גב ההמחאה המזויפת שהופקדה בחשבון ומשך את סכום ההמחאה. בהתאם להסדר הטיעון בין הצדדים נגזר על הנאשם עונש מאסר מותנה וקנס בסך 750 ₪. </w:t>
      </w:r>
    </w:p>
    <w:p w14:paraId="7DBB0FC1" w14:textId="77777777" w:rsidR="00F1785B" w:rsidRDefault="00F33D1E" w:rsidP="00F1785B">
      <w:pPr>
        <w:pStyle w:val="a9"/>
        <w:numPr>
          <w:ilvl w:val="0"/>
          <w:numId w:val="1"/>
        </w:numPr>
        <w:spacing w:line="360" w:lineRule="auto"/>
        <w:jc w:val="both"/>
        <w:rPr>
          <w:rFonts w:cs="David"/>
          <w:sz w:val="24"/>
          <w:szCs w:val="24"/>
        </w:rPr>
      </w:pPr>
      <w:hyperlink r:id="rId28" w:history="1">
        <w:r w:rsidRPr="00F33D1E">
          <w:rPr>
            <w:rFonts w:cs="David" w:hint="cs"/>
            <w:color w:val="0000FF"/>
            <w:sz w:val="24"/>
            <w:szCs w:val="24"/>
            <w:u w:val="single"/>
            <w:rtl/>
          </w:rPr>
          <w:t>ת</w:t>
        </w:r>
        <w:r w:rsidRPr="00F33D1E">
          <w:rPr>
            <w:rFonts w:cs="David"/>
            <w:color w:val="0000FF"/>
            <w:sz w:val="24"/>
            <w:szCs w:val="24"/>
            <w:u w:val="single"/>
            <w:rtl/>
          </w:rPr>
          <w:t>.</w:t>
        </w:r>
        <w:r w:rsidRPr="00F33D1E">
          <w:rPr>
            <w:rFonts w:cs="David" w:hint="cs"/>
            <w:color w:val="0000FF"/>
            <w:sz w:val="24"/>
            <w:szCs w:val="24"/>
            <w:u w:val="single"/>
            <w:rtl/>
          </w:rPr>
          <w:t>פ</w:t>
        </w:r>
        <w:r w:rsidRPr="00F33D1E">
          <w:rPr>
            <w:rFonts w:cs="David"/>
            <w:color w:val="0000FF"/>
            <w:sz w:val="24"/>
            <w:szCs w:val="24"/>
            <w:u w:val="single"/>
            <w:rtl/>
          </w:rPr>
          <w:t>. (</w:t>
        </w:r>
        <w:r w:rsidRPr="00F33D1E">
          <w:rPr>
            <w:rFonts w:cs="David" w:hint="cs"/>
            <w:color w:val="0000FF"/>
            <w:sz w:val="24"/>
            <w:szCs w:val="24"/>
            <w:u w:val="single"/>
            <w:rtl/>
          </w:rPr>
          <w:t>קריות</w:t>
        </w:r>
        <w:r w:rsidRPr="00F33D1E">
          <w:rPr>
            <w:rFonts w:cs="David"/>
            <w:color w:val="0000FF"/>
            <w:sz w:val="24"/>
            <w:szCs w:val="24"/>
            <w:u w:val="single"/>
            <w:rtl/>
          </w:rPr>
          <w:t>) 3234-01-14</w:t>
        </w:r>
      </w:hyperlink>
      <w:r w:rsidR="00F1785B">
        <w:rPr>
          <w:rFonts w:cs="David"/>
          <w:sz w:val="24"/>
          <w:szCs w:val="24"/>
          <w:rtl/>
        </w:rPr>
        <w:t xml:space="preserve"> </w:t>
      </w:r>
      <w:r w:rsidR="00F1785B">
        <w:rPr>
          <w:rFonts w:cs="David"/>
          <w:b/>
          <w:bCs/>
          <w:sz w:val="24"/>
          <w:szCs w:val="24"/>
          <w:rtl/>
        </w:rPr>
        <w:t xml:space="preserve">מדינת ישראל נ' אכרם אלנבארי </w:t>
      </w:r>
      <w:r w:rsidR="00F1785B">
        <w:rPr>
          <w:rFonts w:cs="David"/>
          <w:sz w:val="24"/>
          <w:szCs w:val="24"/>
          <w:rtl/>
        </w:rPr>
        <w:t xml:space="preserve">[פורסם בנבו] (ניתן ביום 28.1.15), הנאשם הורשע בחמישה אישומים של קבלת דבר במרמה בנסיבות מחמירות, ניסיון קבלת דבר במרמה בנסיבות מחמירות, זיוף בכוונה לקבל דבר בנסיבות מחמירות, שימוש במסמך מזויף והתחזות לאדם אחר במטרה להונות. הנאשם הגיע במספר הזדמנויות עם תעודת זהות מזויפת ורכש במרמה באמצעות הוראת קבע מכשירים סלולאריים. נגזרו על הנאשם 6 חודשי מאסר לריצוי בפועל בדרך של עבודות שירות. </w:t>
      </w:r>
    </w:p>
    <w:p w14:paraId="0C585FD8" w14:textId="77777777" w:rsidR="00F1785B" w:rsidRDefault="00F33D1E" w:rsidP="00F1785B">
      <w:pPr>
        <w:pStyle w:val="a9"/>
        <w:numPr>
          <w:ilvl w:val="0"/>
          <w:numId w:val="1"/>
        </w:numPr>
        <w:spacing w:line="360" w:lineRule="auto"/>
        <w:jc w:val="both"/>
        <w:rPr>
          <w:rFonts w:cs="David"/>
          <w:sz w:val="24"/>
          <w:szCs w:val="24"/>
        </w:rPr>
      </w:pPr>
      <w:hyperlink r:id="rId29" w:history="1">
        <w:r w:rsidRPr="00F33D1E">
          <w:rPr>
            <w:rFonts w:cs="David" w:hint="cs"/>
            <w:color w:val="0000FF"/>
            <w:sz w:val="24"/>
            <w:szCs w:val="24"/>
            <w:u w:val="single"/>
            <w:rtl/>
          </w:rPr>
          <w:t>ת</w:t>
        </w:r>
        <w:r w:rsidRPr="00F33D1E">
          <w:rPr>
            <w:rFonts w:cs="David"/>
            <w:color w:val="0000FF"/>
            <w:sz w:val="24"/>
            <w:szCs w:val="24"/>
            <w:u w:val="single"/>
            <w:rtl/>
          </w:rPr>
          <w:t>.</w:t>
        </w:r>
        <w:r w:rsidRPr="00F33D1E">
          <w:rPr>
            <w:rFonts w:cs="David" w:hint="cs"/>
            <w:color w:val="0000FF"/>
            <w:sz w:val="24"/>
            <w:szCs w:val="24"/>
            <w:u w:val="single"/>
            <w:rtl/>
          </w:rPr>
          <w:t>פ</w:t>
        </w:r>
        <w:r w:rsidRPr="00F33D1E">
          <w:rPr>
            <w:rFonts w:cs="David"/>
            <w:color w:val="0000FF"/>
            <w:sz w:val="24"/>
            <w:szCs w:val="24"/>
            <w:u w:val="single"/>
            <w:rtl/>
          </w:rPr>
          <w:t>. (</w:t>
        </w:r>
        <w:r w:rsidRPr="00F33D1E">
          <w:rPr>
            <w:rFonts w:cs="David" w:hint="cs"/>
            <w:color w:val="0000FF"/>
            <w:sz w:val="24"/>
            <w:szCs w:val="24"/>
            <w:u w:val="single"/>
            <w:rtl/>
          </w:rPr>
          <w:t>פ</w:t>
        </w:r>
        <w:r w:rsidRPr="00F33D1E">
          <w:rPr>
            <w:rFonts w:cs="David"/>
            <w:color w:val="0000FF"/>
            <w:sz w:val="24"/>
            <w:szCs w:val="24"/>
            <w:u w:val="single"/>
            <w:rtl/>
          </w:rPr>
          <w:t>"</w:t>
        </w:r>
        <w:r w:rsidRPr="00F33D1E">
          <w:rPr>
            <w:rFonts w:cs="David" w:hint="cs"/>
            <w:color w:val="0000FF"/>
            <w:sz w:val="24"/>
            <w:szCs w:val="24"/>
            <w:u w:val="single"/>
            <w:rtl/>
          </w:rPr>
          <w:t>ת</w:t>
        </w:r>
        <w:r w:rsidRPr="00F33D1E">
          <w:rPr>
            <w:rFonts w:cs="David"/>
            <w:color w:val="0000FF"/>
            <w:sz w:val="24"/>
            <w:szCs w:val="24"/>
            <w:u w:val="single"/>
            <w:rtl/>
          </w:rPr>
          <w:t>) 2689/02</w:t>
        </w:r>
      </w:hyperlink>
      <w:r w:rsidR="00F1785B">
        <w:rPr>
          <w:rFonts w:cs="David"/>
          <w:sz w:val="24"/>
          <w:szCs w:val="24"/>
          <w:rtl/>
        </w:rPr>
        <w:t xml:space="preserve"> </w:t>
      </w:r>
      <w:r w:rsidR="00F1785B">
        <w:rPr>
          <w:rFonts w:cs="David"/>
          <w:b/>
          <w:bCs/>
          <w:sz w:val="24"/>
          <w:szCs w:val="24"/>
          <w:rtl/>
        </w:rPr>
        <w:t>מדינת ישראל נ' חיים</w:t>
      </w:r>
      <w:r w:rsidR="00F1785B">
        <w:rPr>
          <w:rFonts w:cs="David"/>
          <w:sz w:val="24"/>
          <w:szCs w:val="24"/>
          <w:rtl/>
        </w:rPr>
        <w:t xml:space="preserve"> [פורסם בנבו] (ניתן ביום 15.12.03), הנאשם הורשע בביצוע עבירות של הונאה בכרטיס חיוב, זיוף בכוונה לקבל באמצעותו דבר, שימוש במסמך מזויף וקבלת דבר במרמה. כאשר הנאשם, עובד בחברה למשכנתאות, נחשף במסגרת עבודתו לפרטי זיהוי ופרטי כרטיסי אשראי של לקוחות החברה, ובמשך חודש וחצי ביצע רכישות מקוונות באמצעות הנתונים אותם אסף. הוא נדון ל-6 חודשי מאסר על תנאי ועונשים נלווים. </w:t>
      </w:r>
    </w:p>
    <w:p w14:paraId="35619758" w14:textId="77777777" w:rsidR="00F1785B" w:rsidRDefault="00F1785B" w:rsidP="00F1785B">
      <w:pPr>
        <w:pStyle w:val="a9"/>
        <w:numPr>
          <w:ilvl w:val="0"/>
          <w:numId w:val="1"/>
        </w:numPr>
        <w:spacing w:line="360" w:lineRule="auto"/>
        <w:jc w:val="both"/>
        <w:rPr>
          <w:rFonts w:cs="David"/>
          <w:sz w:val="24"/>
          <w:szCs w:val="24"/>
        </w:rPr>
      </w:pPr>
      <w:r>
        <w:rPr>
          <w:rFonts w:cs="David"/>
          <w:sz w:val="24"/>
          <w:szCs w:val="24"/>
          <w:rtl/>
        </w:rPr>
        <w:t xml:space="preserve">ת.פ. (אילת) 1721/10 </w:t>
      </w:r>
      <w:r>
        <w:rPr>
          <w:rFonts w:cs="David"/>
          <w:b/>
          <w:bCs/>
          <w:sz w:val="24"/>
          <w:szCs w:val="24"/>
          <w:rtl/>
        </w:rPr>
        <w:t xml:space="preserve">מדינת ישראל נ' שיפרין </w:t>
      </w:r>
      <w:r>
        <w:rPr>
          <w:rFonts w:cs="David"/>
          <w:sz w:val="24"/>
          <w:szCs w:val="24"/>
          <w:rtl/>
        </w:rPr>
        <w:t xml:space="preserve">[פורסם בנבו] (ניתן ביום 6.7.10), הנאשם הורשע בביצוע עבירות של הונאה בכרטיס חיוב, גניבה, קבלת דבר במרמה ועבירות נלוות. נדון ל- 6 חודשי מאסר על תנאי ועונשים נלווים. </w:t>
      </w:r>
    </w:p>
    <w:p w14:paraId="7BF7D572" w14:textId="77777777" w:rsidR="00F1785B" w:rsidRDefault="00F1785B" w:rsidP="00F1785B">
      <w:pPr>
        <w:spacing w:line="360" w:lineRule="auto"/>
        <w:jc w:val="both"/>
        <w:rPr>
          <w:b/>
          <w:bCs/>
          <w:rtl/>
        </w:rPr>
      </w:pPr>
    </w:p>
    <w:p w14:paraId="6DC46561" w14:textId="77777777" w:rsidR="00F1785B" w:rsidRDefault="00F1785B" w:rsidP="00F1785B">
      <w:pPr>
        <w:spacing w:line="360" w:lineRule="auto"/>
        <w:ind w:left="-58" w:firstLine="4"/>
        <w:jc w:val="both"/>
        <w:rPr>
          <w:rtl/>
        </w:rPr>
      </w:pPr>
      <w:r>
        <w:rPr>
          <w:rtl/>
        </w:rPr>
        <w:t xml:space="preserve">בנסיבות האמורות אני מוצאת כי מתחם העונש ההולם הינו החל מעונש של"צ וכלה בשנת מאסר בפועל. </w:t>
      </w:r>
    </w:p>
    <w:p w14:paraId="22723AE4" w14:textId="77777777" w:rsidR="00F1785B" w:rsidRDefault="00F1785B" w:rsidP="00F1785B">
      <w:pPr>
        <w:spacing w:line="360" w:lineRule="auto"/>
        <w:ind w:left="-58" w:firstLine="4"/>
        <w:jc w:val="both"/>
        <w:rPr>
          <w:rtl/>
        </w:rPr>
      </w:pPr>
      <w:r>
        <w:rPr>
          <w:rtl/>
        </w:rPr>
        <w:t>במסגרת הנסיבות הקשורות בביצוע העבירה (</w:t>
      </w:r>
      <w:hyperlink r:id="rId30" w:history="1">
        <w:r w:rsidR="00930072" w:rsidRPr="00930072">
          <w:rPr>
            <w:rStyle w:val="Hyperlink"/>
            <w:color w:val="0000FF"/>
            <w:rtl/>
          </w:rPr>
          <w:t>סעיף 40ט'</w:t>
        </w:r>
      </w:hyperlink>
      <w:r>
        <w:rPr>
          <w:rtl/>
        </w:rPr>
        <w:t xml:space="preserve"> ל</w:t>
      </w:r>
      <w:hyperlink r:id="rId31" w:history="1">
        <w:r w:rsidR="00F33D1E" w:rsidRPr="00F33D1E">
          <w:rPr>
            <w:color w:val="0000FF"/>
            <w:u w:val="single"/>
            <w:rtl/>
          </w:rPr>
          <w:t>חוק העונשין</w:t>
        </w:r>
      </w:hyperlink>
      <w:r>
        <w:rPr>
          <w:rtl/>
        </w:rPr>
        <w:t xml:space="preserve">) נתתי את הדעת לכך שהנאשם ביצע את העבירות בגפו, את סכום הכסף אותו ניסה למשוך (5,000 </w:t>
      </w:r>
      <w:r>
        <w:rPr>
          <w:rFonts w:hint="cs"/>
          <w:rtl/>
        </w:rPr>
        <w:t>₪</w:t>
      </w:r>
      <w:r>
        <w:rPr>
          <w:rtl/>
        </w:rPr>
        <w:t xml:space="preserve">) שאינו גבוה במיוחד, את הנזק שהיה צפוי להיגרם מביצוע העבירה, ככל שהנאשם היה מצליח לבצע את הפעולה כמו גם את העובדה כי בסופו של דבר לא נגרם נזק ישיר מהניסיון לבצע את העבירה. </w:t>
      </w:r>
    </w:p>
    <w:p w14:paraId="134A1206" w14:textId="77777777" w:rsidR="00F1785B" w:rsidRDefault="00F1785B" w:rsidP="00F1785B">
      <w:pPr>
        <w:spacing w:line="360" w:lineRule="auto"/>
        <w:ind w:left="-58" w:firstLine="4"/>
        <w:jc w:val="both"/>
        <w:rPr>
          <w:rtl/>
        </w:rPr>
      </w:pPr>
      <w:r>
        <w:rPr>
          <w:rtl/>
        </w:rPr>
        <w:t>עוד לקחתי בחשבון את הודאת הנאשם</w:t>
      </w:r>
      <w:r>
        <w:rPr>
          <w:rFonts w:hint="cs"/>
          <w:rtl/>
        </w:rPr>
        <w:t>,</w:t>
      </w:r>
      <w:r>
        <w:rPr>
          <w:rtl/>
        </w:rPr>
        <w:t xml:space="preserve"> יש לראות בהודאתו זו משום קבלת אחריות למעשיו וכן את החסכון בזמן שיפוטי יקר. לצד זה לא יכולתי להתעלם מהתנהגות הנאשם לאורך התקופה שחלפה מעת הודאתו של הנאשם בעובדות כתב האישום, את היעדר שיתוף הפעולה עם הממונה ואת חוסר רצונו </w:t>
      </w:r>
      <w:r>
        <w:rPr>
          <w:rFonts w:hint="cs"/>
          <w:rtl/>
        </w:rPr>
        <w:t>לנצל</w:t>
      </w:r>
      <w:r>
        <w:rPr>
          <w:rtl/>
        </w:rPr>
        <w:t xml:space="preserve"> את ההזדמנות שניתנה לו. </w:t>
      </w:r>
    </w:p>
    <w:p w14:paraId="1BA237D0" w14:textId="77777777" w:rsidR="00F1785B" w:rsidRDefault="00F1785B" w:rsidP="00F1785B">
      <w:pPr>
        <w:spacing w:line="360" w:lineRule="auto"/>
        <w:ind w:left="-58" w:firstLine="4"/>
        <w:jc w:val="both"/>
        <w:rPr>
          <w:rtl/>
        </w:rPr>
      </w:pPr>
    </w:p>
    <w:p w14:paraId="3943F2EA" w14:textId="77777777" w:rsidR="00F1785B" w:rsidRDefault="00F1785B" w:rsidP="00F1785B">
      <w:pPr>
        <w:spacing w:line="360" w:lineRule="auto"/>
        <w:ind w:left="-58" w:firstLine="4"/>
        <w:jc w:val="both"/>
        <w:rPr>
          <w:rtl/>
        </w:rPr>
      </w:pPr>
      <w:r>
        <w:rPr>
          <w:rFonts w:hint="cs"/>
          <w:rtl/>
        </w:rPr>
        <w:t>לנאשם עבר פלילי. לחובת הנאשם שלוש הרשעות קודמות. הראשונה בהן משנת 2014 בגין עבירות על פקודת הסמים, בשלהן נגזר על הנאשם, ביו היתר עונש מאסר לריצוי בפועל. השניה משנת 2015 בגין עבירה של שוד, בשלה נגזר עליו, בין היתר, עונש מאסר בפועל לתקופה של שנה, ממנו השתחרר בשנת 2016.</w:t>
      </w:r>
    </w:p>
    <w:p w14:paraId="7ECAD85D" w14:textId="77777777" w:rsidR="00F1785B" w:rsidRDefault="00F1785B" w:rsidP="00F1785B">
      <w:pPr>
        <w:spacing w:line="360" w:lineRule="auto"/>
        <w:ind w:left="-58" w:firstLine="4"/>
        <w:jc w:val="both"/>
        <w:rPr>
          <w:rtl/>
        </w:rPr>
      </w:pPr>
      <w:r>
        <w:rPr>
          <w:rFonts w:hint="cs"/>
          <w:rtl/>
        </w:rPr>
        <w:t xml:space="preserve">האחרונה שבהן מיום 29.12.19 בשל עבירה לפי פקודת הסמים אשר בוצעה ביום 6.1.17 ובגינה נגזר על הנאשם עונש מאסר בפועל וכן הופעל עונש מאסר מותנה ובסה"כ על הנאשם לרצות שישה חודשי מאסר בפועל. </w:t>
      </w:r>
    </w:p>
    <w:p w14:paraId="46DB746D" w14:textId="77777777" w:rsidR="00F1785B" w:rsidRDefault="00F1785B" w:rsidP="00F1785B">
      <w:pPr>
        <w:spacing w:line="360" w:lineRule="auto"/>
        <w:ind w:left="-58" w:firstLine="4"/>
        <w:jc w:val="both"/>
        <w:rPr>
          <w:rtl/>
        </w:rPr>
      </w:pPr>
      <w:r>
        <w:rPr>
          <w:rFonts w:hint="cs"/>
          <w:rtl/>
        </w:rPr>
        <w:t xml:space="preserve">בשל הליך זה תלוי ועומד ערעור מטעמו של הנאשם בבית המשפט המחוזי  בלוד. </w:t>
      </w:r>
    </w:p>
    <w:p w14:paraId="6C0E5130" w14:textId="77777777" w:rsidR="00F1785B" w:rsidRDefault="00F1785B" w:rsidP="00F1785B">
      <w:pPr>
        <w:spacing w:line="360" w:lineRule="auto"/>
        <w:ind w:left="-58" w:firstLine="4"/>
        <w:jc w:val="both"/>
        <w:rPr>
          <w:rtl/>
        </w:rPr>
      </w:pPr>
    </w:p>
    <w:p w14:paraId="7C4D853C" w14:textId="77777777" w:rsidR="00F1785B" w:rsidRDefault="00F1785B" w:rsidP="00F1785B">
      <w:pPr>
        <w:spacing w:line="360" w:lineRule="auto"/>
        <w:ind w:left="-58" w:firstLine="4"/>
        <w:jc w:val="both"/>
        <w:rPr>
          <w:rtl/>
        </w:rPr>
      </w:pPr>
      <w:r>
        <w:rPr>
          <w:rFonts w:hint="cs"/>
          <w:rtl/>
        </w:rPr>
        <w:t xml:space="preserve">הנה כי כן, נראה כי גם בעבר, עונשי מאסר בפועל לא הרתיעו את הנאשם ואף את העבירה הנוכחית, כמו גם את הרשעתו האחרונה בדין, ביצע זמן קצר לאחר שחרורו מעונש מאסר בפועל ובעוד עונש מאסר מותנה תלוי ועומד נגדו. </w:t>
      </w:r>
    </w:p>
    <w:p w14:paraId="44FD5717" w14:textId="77777777" w:rsidR="00F1785B" w:rsidRDefault="00F1785B" w:rsidP="00F1785B">
      <w:pPr>
        <w:spacing w:line="360" w:lineRule="auto"/>
        <w:ind w:left="-58" w:firstLine="4"/>
        <w:jc w:val="both"/>
        <w:rPr>
          <w:rtl/>
        </w:rPr>
      </w:pPr>
    </w:p>
    <w:p w14:paraId="4602F6C8" w14:textId="77777777" w:rsidR="00F1785B" w:rsidRDefault="00F1785B" w:rsidP="00F1785B">
      <w:pPr>
        <w:spacing w:line="360" w:lineRule="auto"/>
        <w:ind w:left="-58" w:firstLine="4"/>
        <w:jc w:val="both"/>
        <w:rPr>
          <w:rtl/>
        </w:rPr>
      </w:pPr>
      <w:r>
        <w:rPr>
          <w:rtl/>
        </w:rPr>
        <w:t xml:space="preserve">באיזון בין השיקולים השונים, סבורתני כי במסגרת תיק זה, אין מקום להיעתר לבקשת ב"כ הנאשם ולגזור על הנאשם עונש מאסר מותנה, וכי יש לגזור על הנאשם עונש מאסר בפועל. </w:t>
      </w:r>
    </w:p>
    <w:p w14:paraId="7AC21FEF" w14:textId="77777777" w:rsidR="00F1785B" w:rsidRDefault="00F1785B" w:rsidP="00F1785B">
      <w:pPr>
        <w:spacing w:line="360" w:lineRule="auto"/>
        <w:ind w:left="-58" w:firstLine="4"/>
        <w:jc w:val="both"/>
        <w:rPr>
          <w:rtl/>
        </w:rPr>
      </w:pPr>
    </w:p>
    <w:p w14:paraId="04500665" w14:textId="77777777" w:rsidR="00F1785B" w:rsidRDefault="00F1785B" w:rsidP="00F1785B">
      <w:pPr>
        <w:spacing w:line="360" w:lineRule="auto"/>
        <w:ind w:left="-58" w:firstLine="4"/>
        <w:jc w:val="both"/>
        <w:rPr>
          <w:rtl/>
        </w:rPr>
      </w:pPr>
      <w:r>
        <w:rPr>
          <w:rFonts w:hint="cs"/>
          <w:rtl/>
        </w:rPr>
        <w:t>יושם אל לב וכפי שנזכר לעיל, כי  תחילה הופנה הנאשם אל הממונה על עבודות השירות על מנת שישקול את אפשרות  השמתו של הנאשם בעבודות שירות.</w:t>
      </w:r>
    </w:p>
    <w:p w14:paraId="0D11F9D5" w14:textId="77777777" w:rsidR="00F1785B" w:rsidRDefault="00F1785B" w:rsidP="00F1785B">
      <w:pPr>
        <w:spacing w:line="360" w:lineRule="auto"/>
        <w:ind w:left="-58" w:firstLine="4"/>
        <w:jc w:val="both"/>
        <w:rPr>
          <w:rtl/>
        </w:rPr>
      </w:pPr>
      <w:r>
        <w:rPr>
          <w:rFonts w:hint="cs"/>
          <w:rtl/>
        </w:rPr>
        <w:t xml:space="preserve">הנאשם זומן חמש פעמים אל הממונה. בחלק מן הפעמים לא התייצב. בהזדמנות אחת הגיע ללא תעודת זהות ופעם נוספת ללא אישור רפואי מתאים. </w:t>
      </w:r>
    </w:p>
    <w:p w14:paraId="05AA0925" w14:textId="77777777" w:rsidR="00F1785B" w:rsidRDefault="00F1785B" w:rsidP="00F1785B">
      <w:pPr>
        <w:spacing w:line="360" w:lineRule="auto"/>
        <w:ind w:left="-58" w:firstLine="4"/>
        <w:jc w:val="both"/>
        <w:rPr>
          <w:rtl/>
        </w:rPr>
      </w:pPr>
      <w:r>
        <w:rPr>
          <w:rFonts w:hint="cs"/>
          <w:rtl/>
        </w:rPr>
        <w:t xml:space="preserve">משהגיע אל הממונה לצורך התהליך התנהג באופן לא ראוי ולא השלים את התהליכים הנדרשים ממנו. הוא אף ציין כי אינו מעוניין כלל ועיקר לבצע עבודות שירות והכל כמפורט בהרחבה בחוות דעתו של הממונה. </w:t>
      </w:r>
    </w:p>
    <w:p w14:paraId="672D7CB9" w14:textId="77777777" w:rsidR="00F1785B" w:rsidRDefault="00F1785B" w:rsidP="00F1785B">
      <w:pPr>
        <w:spacing w:line="360" w:lineRule="auto"/>
        <w:ind w:left="-58" w:firstLine="4"/>
        <w:jc w:val="both"/>
        <w:rPr>
          <w:rtl/>
        </w:rPr>
      </w:pPr>
    </w:p>
    <w:p w14:paraId="5716AC75" w14:textId="77777777" w:rsidR="00F1785B" w:rsidRDefault="00F1785B" w:rsidP="00F1785B">
      <w:pPr>
        <w:spacing w:line="360" w:lineRule="auto"/>
        <w:jc w:val="both"/>
        <w:rPr>
          <w:b/>
          <w:bCs/>
          <w:sz w:val="28"/>
          <w:szCs w:val="28"/>
          <w:u w:val="single"/>
          <w:rtl/>
        </w:rPr>
      </w:pPr>
      <w:r>
        <w:rPr>
          <w:b/>
          <w:bCs/>
          <w:sz w:val="28"/>
          <w:szCs w:val="28"/>
          <w:u w:val="single"/>
          <w:rtl/>
        </w:rPr>
        <w:t>סוף דבר</w:t>
      </w:r>
    </w:p>
    <w:p w14:paraId="1BE2E9E2" w14:textId="77777777" w:rsidR="00F1785B" w:rsidRDefault="00F1785B" w:rsidP="00F1785B">
      <w:pPr>
        <w:ind w:left="-58" w:firstLine="4"/>
        <w:jc w:val="both"/>
        <w:rPr>
          <w:sz w:val="22"/>
          <w:szCs w:val="22"/>
          <w:rtl/>
        </w:rPr>
      </w:pPr>
    </w:p>
    <w:p w14:paraId="6B3353B9" w14:textId="77777777" w:rsidR="00F1785B" w:rsidRDefault="00F1785B" w:rsidP="00F1785B">
      <w:pPr>
        <w:spacing w:line="360" w:lineRule="auto"/>
        <w:ind w:left="-58" w:firstLine="4"/>
        <w:jc w:val="both"/>
        <w:rPr>
          <w:rtl/>
        </w:rPr>
      </w:pPr>
      <w:r>
        <w:rPr>
          <w:rFonts w:hint="cs"/>
          <w:rtl/>
        </w:rPr>
        <w:t xml:space="preserve">  </w:t>
      </w:r>
      <w:r>
        <w:rPr>
          <w:rtl/>
        </w:rPr>
        <w:t xml:space="preserve">לאור האמור לעיל, בשים לב למתחם העונש שקבעתי לעיל והשיקולים לגזירת עונשו של הנאשם, אני גוזרת על הנאשם את העונשים הבאים: </w:t>
      </w:r>
    </w:p>
    <w:p w14:paraId="2B1FCB22" w14:textId="77777777" w:rsidR="00F1785B" w:rsidRDefault="00F1785B" w:rsidP="00F1785B">
      <w:pPr>
        <w:spacing w:line="360" w:lineRule="auto"/>
        <w:ind w:left="-58" w:firstLine="4"/>
        <w:jc w:val="both"/>
        <w:rPr>
          <w:rtl/>
        </w:rPr>
      </w:pPr>
    </w:p>
    <w:p w14:paraId="7DC0929E" w14:textId="77777777" w:rsidR="00F1785B" w:rsidRDefault="00F1785B" w:rsidP="00F1785B">
      <w:pPr>
        <w:pStyle w:val="a9"/>
        <w:numPr>
          <w:ilvl w:val="0"/>
          <w:numId w:val="2"/>
        </w:numPr>
        <w:spacing w:after="120" w:line="360" w:lineRule="auto"/>
        <w:ind w:left="300" w:hanging="357"/>
        <w:jc w:val="both"/>
        <w:rPr>
          <w:rFonts w:ascii="Times New Roman" w:eastAsia="Times New Roman" w:hAnsi="Times New Roman" w:cs="David"/>
          <w:sz w:val="24"/>
          <w:szCs w:val="24"/>
          <w:rtl/>
        </w:rPr>
      </w:pPr>
      <w:r>
        <w:rPr>
          <w:rFonts w:ascii="Times New Roman" w:eastAsia="Times New Roman" w:hAnsi="Times New Roman" w:cs="David"/>
          <w:sz w:val="24"/>
          <w:szCs w:val="24"/>
          <w:rtl/>
        </w:rPr>
        <w:t>עונש מאסר בפועל בן 4 חודשים מאחורי סורג ובריח.</w:t>
      </w:r>
    </w:p>
    <w:p w14:paraId="5FC5AB3C" w14:textId="77777777" w:rsidR="00F1785B" w:rsidRDefault="00F1785B" w:rsidP="00F1785B">
      <w:pPr>
        <w:pStyle w:val="a9"/>
        <w:spacing w:before="120" w:after="120" w:line="240" w:lineRule="auto"/>
        <w:ind w:left="300"/>
        <w:jc w:val="both"/>
        <w:rPr>
          <w:rFonts w:ascii="Times New Roman" w:eastAsia="Times New Roman" w:hAnsi="Times New Roman" w:cs="David"/>
          <w:sz w:val="24"/>
          <w:szCs w:val="24"/>
        </w:rPr>
      </w:pPr>
    </w:p>
    <w:p w14:paraId="3D47161B" w14:textId="77777777" w:rsidR="00F1785B" w:rsidRDefault="00F1785B" w:rsidP="00F1785B">
      <w:pPr>
        <w:pStyle w:val="a9"/>
        <w:numPr>
          <w:ilvl w:val="0"/>
          <w:numId w:val="2"/>
        </w:numPr>
        <w:spacing w:before="120" w:after="120" w:line="360" w:lineRule="auto"/>
        <w:ind w:left="300" w:hanging="357"/>
        <w:jc w:val="both"/>
        <w:rPr>
          <w:rFonts w:ascii="Times New Roman" w:eastAsia="Times New Roman" w:hAnsi="Times New Roman" w:cs="David"/>
          <w:sz w:val="24"/>
          <w:szCs w:val="24"/>
          <w:rtl/>
        </w:rPr>
      </w:pPr>
      <w:r>
        <w:rPr>
          <w:rFonts w:ascii="Times New Roman" w:eastAsia="Times New Roman" w:hAnsi="Times New Roman" w:cs="David"/>
          <w:sz w:val="24"/>
          <w:szCs w:val="24"/>
          <w:rtl/>
        </w:rPr>
        <w:t xml:space="preserve">6 חודשי מאסר על תנאי, לבל יעבור הנאשם במשך שלוש שנים מהיום, אחת מהעבירות בהן הורשע במסגרת תיק זה. </w:t>
      </w:r>
    </w:p>
    <w:p w14:paraId="6B27E691" w14:textId="77777777" w:rsidR="00F1785B" w:rsidRDefault="00F1785B" w:rsidP="00F1785B">
      <w:pPr>
        <w:spacing w:before="120" w:after="120" w:line="360" w:lineRule="auto"/>
        <w:jc w:val="both"/>
      </w:pPr>
      <w:r>
        <w:rPr>
          <w:rtl/>
        </w:rPr>
        <w:t>נוכח ההסכמות אליהן הגיעו הצדדים לא מצאתי לפסוק לנאשם קנס כספי ו/או פיצוי.</w:t>
      </w:r>
    </w:p>
    <w:p w14:paraId="74C543EE" w14:textId="77777777" w:rsidR="00F1785B" w:rsidRPr="003641B8" w:rsidRDefault="00F1785B" w:rsidP="00F1785B">
      <w:pPr>
        <w:pStyle w:val="a9"/>
        <w:spacing w:after="0"/>
        <w:rPr>
          <w:rFonts w:ascii="Arial" w:hAnsi="Arial"/>
        </w:rPr>
      </w:pPr>
    </w:p>
    <w:p w14:paraId="4ECBFA05" w14:textId="77777777" w:rsidR="00F1785B" w:rsidRDefault="00F1785B" w:rsidP="00F1785B">
      <w:pPr>
        <w:pStyle w:val="David"/>
        <w:spacing w:after="120"/>
        <w:ind w:left="-483"/>
        <w:rPr>
          <w:rFonts w:ascii="Arial" w:hAnsi="Arial"/>
          <w:rtl/>
        </w:rPr>
      </w:pPr>
      <w:r>
        <w:rPr>
          <w:rFonts w:ascii="Arial" w:hAnsi="Arial"/>
          <w:rtl/>
        </w:rPr>
        <w:t xml:space="preserve">ניתן בזאת צו כללי למוצגים; חילוט, השמדה, השבה לבעלים וזאת על פי החלטת קצין חקירות ממונה. </w:t>
      </w:r>
    </w:p>
    <w:p w14:paraId="024375B3" w14:textId="77777777" w:rsidR="00F1785B" w:rsidRDefault="00F33D1E" w:rsidP="00F1785B">
      <w:pPr>
        <w:pStyle w:val="David"/>
        <w:ind w:left="-483"/>
        <w:rPr>
          <w:rtl/>
        </w:rPr>
      </w:pPr>
      <w:r w:rsidRPr="00F33D1E">
        <w:rPr>
          <w:rFonts w:ascii="Arial" w:hAnsi="Arial"/>
          <w:b/>
          <w:bCs/>
          <w:color w:val="FFFFFF"/>
          <w:sz w:val="2"/>
          <w:szCs w:val="2"/>
          <w:rtl/>
        </w:rPr>
        <w:t>5129371</w:t>
      </w:r>
      <w:r w:rsidR="00F1785B">
        <w:rPr>
          <w:rFonts w:ascii="Arial" w:hAnsi="Arial"/>
          <w:b/>
          <w:bCs/>
          <w:rtl/>
        </w:rPr>
        <w:t xml:space="preserve">זכות ערעור כחוק. </w:t>
      </w:r>
    </w:p>
    <w:p w14:paraId="71070C5F" w14:textId="77777777" w:rsidR="00F1785B" w:rsidRPr="00F33D1E" w:rsidRDefault="00F33D1E" w:rsidP="00F1785B">
      <w:pPr>
        <w:rPr>
          <w:color w:val="FFFFFF"/>
          <w:sz w:val="2"/>
          <w:szCs w:val="2"/>
          <w:rtl/>
        </w:rPr>
      </w:pPr>
      <w:r w:rsidRPr="00F33D1E">
        <w:rPr>
          <w:color w:val="FFFFFF"/>
          <w:sz w:val="2"/>
          <w:szCs w:val="2"/>
          <w:rtl/>
        </w:rPr>
        <w:t>54678313</w:t>
      </w:r>
    </w:p>
    <w:p w14:paraId="36728922" w14:textId="77777777" w:rsidR="00F1785B" w:rsidRDefault="00F33D1E" w:rsidP="00F33D1E">
      <w:pPr>
        <w:jc w:val="center"/>
      </w:pPr>
      <w:bookmarkStart w:id="8" w:name="Nitan"/>
      <w:r>
        <w:rPr>
          <w:rFonts w:ascii="Arial" w:hAnsi="Arial"/>
          <w:rtl/>
        </w:rPr>
        <w:t xml:space="preserve">ניתן היום,  ט"ו אב תש"פ, 05 אוגוסט 2020, בהעדר הצדדים. </w:t>
      </w:r>
      <w:bookmarkEnd w:id="8"/>
      <w:r w:rsidR="00F1785B">
        <w:rPr>
          <w:rFonts w:hint="cs"/>
          <w:rtl/>
        </w:rPr>
        <w:t xml:space="preserve">   </w:t>
      </w:r>
      <w:r w:rsidR="00F1785B">
        <w:rPr>
          <w:rFonts w:hint="cs"/>
          <w:rtl/>
        </w:rPr>
        <w:tab/>
      </w:r>
      <w:r w:rsidR="00F1785B">
        <w:rPr>
          <w:rFonts w:hint="cs"/>
          <w:rtl/>
        </w:rPr>
        <w:tab/>
      </w:r>
      <w:r w:rsidR="00F1785B">
        <w:rPr>
          <w:rFonts w:hint="cs"/>
          <w:rtl/>
        </w:rPr>
        <w:tab/>
      </w:r>
      <w:r w:rsidR="00F1785B">
        <w:rPr>
          <w:rFonts w:hint="cs"/>
          <w:rtl/>
        </w:rPr>
        <w:tab/>
      </w:r>
      <w:r w:rsidR="00F1785B">
        <w:rPr>
          <w:rFonts w:hint="cs"/>
          <w:rtl/>
        </w:rPr>
        <w:tab/>
      </w:r>
    </w:p>
    <w:p w14:paraId="6303A80E" w14:textId="77777777" w:rsidR="00F1785B" w:rsidRDefault="00F1785B" w:rsidP="00F1785B">
      <w:pPr>
        <w:jc w:val="center"/>
        <w:rPr>
          <w:rFonts w:ascii="Arial" w:hAnsi="Arial" w:cs="FrankRuehl"/>
          <w:sz w:val="28"/>
          <w:szCs w:val="28"/>
          <w:rtl/>
        </w:rPr>
      </w:pPr>
    </w:p>
    <w:p w14:paraId="1E52FE99" w14:textId="77777777" w:rsidR="00F33D1E" w:rsidRDefault="00F33D1E" w:rsidP="00F33D1E">
      <w:pPr>
        <w:rPr>
          <w:rtl/>
        </w:rPr>
      </w:pPr>
    </w:p>
    <w:p w14:paraId="70FE016E" w14:textId="77777777" w:rsidR="00F33D1E" w:rsidRDefault="00F33D1E" w:rsidP="00F33D1E">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B89CE99" w14:textId="77777777" w:rsidR="00930072" w:rsidRPr="00930072" w:rsidRDefault="00930072" w:rsidP="00930072">
      <w:pPr>
        <w:keepNext/>
        <w:rPr>
          <w:rFonts w:ascii="David" w:hAnsi="David"/>
          <w:color w:val="000000"/>
          <w:sz w:val="22"/>
          <w:szCs w:val="22"/>
          <w:rtl/>
        </w:rPr>
      </w:pPr>
    </w:p>
    <w:p w14:paraId="50C7A450" w14:textId="77777777" w:rsidR="00930072" w:rsidRPr="00930072" w:rsidRDefault="00930072" w:rsidP="00930072">
      <w:pPr>
        <w:keepNext/>
        <w:rPr>
          <w:rFonts w:ascii="David" w:hAnsi="David"/>
          <w:color w:val="000000"/>
          <w:sz w:val="22"/>
          <w:szCs w:val="22"/>
          <w:rtl/>
        </w:rPr>
      </w:pPr>
      <w:r w:rsidRPr="00930072">
        <w:rPr>
          <w:rFonts w:ascii="David" w:hAnsi="David"/>
          <w:color w:val="000000"/>
          <w:sz w:val="22"/>
          <w:szCs w:val="22"/>
          <w:rtl/>
        </w:rPr>
        <w:t>עינת רון 54678313-/</w:t>
      </w:r>
    </w:p>
    <w:p w14:paraId="15F77E03" w14:textId="77777777" w:rsidR="00F33D1E" w:rsidRPr="00F33D1E" w:rsidRDefault="00930072" w:rsidP="00930072">
      <w:pPr>
        <w:rPr>
          <w:color w:val="0000FF"/>
          <w:u w:val="single"/>
        </w:rPr>
      </w:pPr>
      <w:r w:rsidRPr="00930072">
        <w:rPr>
          <w:color w:val="000000"/>
          <w:u w:val="single"/>
          <w:rtl/>
        </w:rPr>
        <w:t>נוסח מסמך זה כפוף לשינויי ניסוח ועריכה</w:t>
      </w:r>
    </w:p>
    <w:sectPr w:rsidR="00F33D1E" w:rsidRPr="00F33D1E" w:rsidSect="00930072">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69032" w14:textId="77777777" w:rsidR="003A7AE8" w:rsidRDefault="003A7AE8" w:rsidP="00272066">
      <w:r>
        <w:separator/>
      </w:r>
    </w:p>
  </w:endnote>
  <w:endnote w:type="continuationSeparator" w:id="0">
    <w:p w14:paraId="68AFCE25" w14:textId="77777777" w:rsidR="003A7AE8" w:rsidRDefault="003A7AE8" w:rsidP="0027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E06AD" w14:textId="77777777" w:rsidR="00930072" w:rsidRDefault="00930072" w:rsidP="0093007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02EAF2" w14:textId="77777777" w:rsidR="00E95EBA" w:rsidRPr="00930072" w:rsidRDefault="00930072" w:rsidP="00930072">
    <w:pPr>
      <w:pStyle w:val="a5"/>
      <w:pBdr>
        <w:top w:val="single" w:sz="4" w:space="1" w:color="auto"/>
        <w:between w:val="single" w:sz="4" w:space="0" w:color="auto"/>
      </w:pBdr>
      <w:spacing w:after="60"/>
      <w:jc w:val="center"/>
      <w:rPr>
        <w:rFonts w:ascii="FrankRuehl" w:hAnsi="FrankRuehl" w:cs="FrankRuehl"/>
        <w:color w:val="000000"/>
      </w:rPr>
    </w:pPr>
    <w:r w:rsidRPr="009300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AD546" w14:textId="77777777" w:rsidR="00930072" w:rsidRDefault="00930072" w:rsidP="0093007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6ADC">
      <w:rPr>
        <w:rFonts w:ascii="FrankRuehl" w:hAnsi="FrankRuehl" w:cs="FrankRuehl"/>
        <w:noProof/>
        <w:rtl/>
      </w:rPr>
      <w:t>1</w:t>
    </w:r>
    <w:r>
      <w:rPr>
        <w:rFonts w:ascii="FrankRuehl" w:hAnsi="FrankRuehl" w:cs="FrankRuehl"/>
        <w:rtl/>
      </w:rPr>
      <w:fldChar w:fldCharType="end"/>
    </w:r>
  </w:p>
  <w:p w14:paraId="54B4C8AE" w14:textId="77777777" w:rsidR="00E95EBA" w:rsidRPr="00930072" w:rsidRDefault="00930072" w:rsidP="00930072">
    <w:pPr>
      <w:pStyle w:val="a5"/>
      <w:pBdr>
        <w:top w:val="single" w:sz="4" w:space="1" w:color="auto"/>
        <w:between w:val="single" w:sz="4" w:space="0" w:color="auto"/>
      </w:pBdr>
      <w:spacing w:after="60"/>
      <w:jc w:val="center"/>
      <w:rPr>
        <w:rFonts w:ascii="FrankRuehl" w:hAnsi="FrankRuehl" w:cs="FrankRuehl"/>
        <w:color w:val="000000"/>
      </w:rPr>
    </w:pPr>
    <w:r w:rsidRPr="00930072">
      <w:rPr>
        <w:rFonts w:ascii="FrankRuehl" w:hAnsi="FrankRuehl" w:cs="FrankRuehl"/>
        <w:color w:val="000000"/>
      </w:rPr>
      <w:pict w14:anchorId="5B435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0815D" w14:textId="77777777" w:rsidR="003A7AE8" w:rsidRDefault="003A7AE8" w:rsidP="00272066">
      <w:r>
        <w:separator/>
      </w:r>
    </w:p>
  </w:footnote>
  <w:footnote w:type="continuationSeparator" w:id="0">
    <w:p w14:paraId="2DEC0D62" w14:textId="77777777" w:rsidR="003A7AE8" w:rsidRDefault="003A7AE8" w:rsidP="00272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1126" w14:textId="77777777" w:rsidR="00F33D1E" w:rsidRPr="00930072" w:rsidRDefault="00930072" w:rsidP="009300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31006-01-18</w:t>
    </w:r>
    <w:r>
      <w:rPr>
        <w:rFonts w:ascii="David" w:hAnsi="David"/>
        <w:color w:val="000000"/>
        <w:sz w:val="22"/>
        <w:szCs w:val="22"/>
        <w:rtl/>
      </w:rPr>
      <w:tab/>
      <w:t xml:space="preserve"> מדינת ישראל נ' מאיר בלעיש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E5E71" w14:textId="77777777" w:rsidR="00F33D1E" w:rsidRPr="00930072" w:rsidRDefault="00930072" w:rsidP="009300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31006-01-18</w:t>
    </w:r>
    <w:r>
      <w:rPr>
        <w:rFonts w:ascii="David" w:hAnsi="David"/>
        <w:color w:val="000000"/>
        <w:sz w:val="22"/>
        <w:szCs w:val="22"/>
        <w:rtl/>
      </w:rPr>
      <w:tab/>
      <w:t xml:space="preserve"> מדינת ישראל נ' מאיר בלעיש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5874"/>
    <w:multiLevelType w:val="hybridMultilevel"/>
    <w:tmpl w:val="E26E25A4"/>
    <w:lvl w:ilvl="0" w:tplc="7DEADA8C">
      <w:start w:val="1"/>
      <w:numFmt w:val="hebrew1"/>
      <w:lvlText w:val="%1."/>
      <w:lvlJc w:val="left"/>
      <w:pPr>
        <w:ind w:left="306" w:hanging="360"/>
      </w:pPr>
      <w:rPr>
        <w:b/>
        <w:bCs w:val="0"/>
      </w:rPr>
    </w:lvl>
    <w:lvl w:ilvl="1" w:tplc="04090019">
      <w:start w:val="1"/>
      <w:numFmt w:val="lowerLetter"/>
      <w:lvlText w:val="%2."/>
      <w:lvlJc w:val="left"/>
      <w:pPr>
        <w:ind w:left="1026" w:hanging="360"/>
      </w:pPr>
    </w:lvl>
    <w:lvl w:ilvl="2" w:tplc="0409001B">
      <w:start w:val="1"/>
      <w:numFmt w:val="lowerRoman"/>
      <w:lvlText w:val="%3."/>
      <w:lvlJc w:val="right"/>
      <w:pPr>
        <w:ind w:left="1746" w:hanging="180"/>
      </w:pPr>
    </w:lvl>
    <w:lvl w:ilvl="3" w:tplc="0409000F">
      <w:start w:val="1"/>
      <w:numFmt w:val="decimal"/>
      <w:lvlText w:val="%4."/>
      <w:lvlJc w:val="left"/>
      <w:pPr>
        <w:ind w:left="2466" w:hanging="360"/>
      </w:pPr>
    </w:lvl>
    <w:lvl w:ilvl="4" w:tplc="04090019">
      <w:start w:val="1"/>
      <w:numFmt w:val="lowerLetter"/>
      <w:lvlText w:val="%5."/>
      <w:lvlJc w:val="left"/>
      <w:pPr>
        <w:ind w:left="3186" w:hanging="360"/>
      </w:pPr>
    </w:lvl>
    <w:lvl w:ilvl="5" w:tplc="0409001B">
      <w:start w:val="1"/>
      <w:numFmt w:val="lowerRoman"/>
      <w:lvlText w:val="%6."/>
      <w:lvlJc w:val="right"/>
      <w:pPr>
        <w:ind w:left="3906" w:hanging="180"/>
      </w:pPr>
    </w:lvl>
    <w:lvl w:ilvl="6" w:tplc="0409000F">
      <w:start w:val="1"/>
      <w:numFmt w:val="decimal"/>
      <w:lvlText w:val="%7."/>
      <w:lvlJc w:val="left"/>
      <w:pPr>
        <w:ind w:left="4626" w:hanging="360"/>
      </w:pPr>
    </w:lvl>
    <w:lvl w:ilvl="7" w:tplc="04090019">
      <w:start w:val="1"/>
      <w:numFmt w:val="lowerLetter"/>
      <w:lvlText w:val="%8."/>
      <w:lvlJc w:val="left"/>
      <w:pPr>
        <w:ind w:left="5346" w:hanging="360"/>
      </w:pPr>
    </w:lvl>
    <w:lvl w:ilvl="8" w:tplc="0409001B">
      <w:start w:val="1"/>
      <w:numFmt w:val="lowerRoman"/>
      <w:lvlText w:val="%9."/>
      <w:lvlJc w:val="right"/>
      <w:pPr>
        <w:ind w:left="6066" w:hanging="180"/>
      </w:pPr>
    </w:lvl>
  </w:abstractNum>
  <w:abstractNum w:abstractNumId="1" w15:restartNumberingAfterBreak="0">
    <w:nsid w:val="412E53A1"/>
    <w:multiLevelType w:val="hybridMultilevel"/>
    <w:tmpl w:val="CA304AEE"/>
    <w:lvl w:ilvl="0" w:tplc="74403F74">
      <w:start w:val="1"/>
      <w:numFmt w:val="hebrew1"/>
      <w:lvlText w:val="%1."/>
      <w:lvlJc w:val="left"/>
      <w:pPr>
        <w:ind w:left="302" w:hanging="360"/>
      </w:pPr>
    </w:lvl>
    <w:lvl w:ilvl="1" w:tplc="04090019">
      <w:start w:val="1"/>
      <w:numFmt w:val="lowerLetter"/>
      <w:lvlText w:val="%2."/>
      <w:lvlJc w:val="left"/>
      <w:pPr>
        <w:ind w:left="1022" w:hanging="360"/>
      </w:pPr>
    </w:lvl>
    <w:lvl w:ilvl="2" w:tplc="0409001B">
      <w:start w:val="1"/>
      <w:numFmt w:val="lowerRoman"/>
      <w:lvlText w:val="%3."/>
      <w:lvlJc w:val="right"/>
      <w:pPr>
        <w:ind w:left="1742" w:hanging="180"/>
      </w:pPr>
    </w:lvl>
    <w:lvl w:ilvl="3" w:tplc="0409000F">
      <w:start w:val="1"/>
      <w:numFmt w:val="decimal"/>
      <w:lvlText w:val="%4."/>
      <w:lvlJc w:val="left"/>
      <w:pPr>
        <w:ind w:left="2462" w:hanging="360"/>
      </w:pPr>
    </w:lvl>
    <w:lvl w:ilvl="4" w:tplc="04090019">
      <w:start w:val="1"/>
      <w:numFmt w:val="lowerLetter"/>
      <w:lvlText w:val="%5."/>
      <w:lvlJc w:val="left"/>
      <w:pPr>
        <w:ind w:left="3182" w:hanging="360"/>
      </w:pPr>
    </w:lvl>
    <w:lvl w:ilvl="5" w:tplc="0409001B">
      <w:start w:val="1"/>
      <w:numFmt w:val="lowerRoman"/>
      <w:lvlText w:val="%6."/>
      <w:lvlJc w:val="right"/>
      <w:pPr>
        <w:ind w:left="3902" w:hanging="180"/>
      </w:pPr>
    </w:lvl>
    <w:lvl w:ilvl="6" w:tplc="0409000F">
      <w:start w:val="1"/>
      <w:numFmt w:val="decimal"/>
      <w:lvlText w:val="%7."/>
      <w:lvlJc w:val="left"/>
      <w:pPr>
        <w:ind w:left="4622" w:hanging="360"/>
      </w:pPr>
    </w:lvl>
    <w:lvl w:ilvl="7" w:tplc="04090019">
      <w:start w:val="1"/>
      <w:numFmt w:val="lowerLetter"/>
      <w:lvlText w:val="%8."/>
      <w:lvlJc w:val="left"/>
      <w:pPr>
        <w:ind w:left="5342" w:hanging="360"/>
      </w:pPr>
    </w:lvl>
    <w:lvl w:ilvl="8" w:tplc="0409001B">
      <w:start w:val="1"/>
      <w:numFmt w:val="lowerRoman"/>
      <w:lvlText w:val="%9."/>
      <w:lvlJc w:val="right"/>
      <w:pPr>
        <w:ind w:left="6062" w:hanging="180"/>
      </w:pPr>
    </w:lvl>
  </w:abstractNum>
  <w:num w:numId="1" w16cid:durableId="760444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573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785B"/>
    <w:rsid w:val="001B5A3B"/>
    <w:rsid w:val="00272066"/>
    <w:rsid w:val="003A7AE8"/>
    <w:rsid w:val="00663988"/>
    <w:rsid w:val="00930072"/>
    <w:rsid w:val="009966FE"/>
    <w:rsid w:val="00B10898"/>
    <w:rsid w:val="00D36ADC"/>
    <w:rsid w:val="00E95EBA"/>
    <w:rsid w:val="00F1785B"/>
    <w:rsid w:val="00F33D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467B6B"/>
  <w15:chartTrackingRefBased/>
  <w15:docId w15:val="{A1A497CF-91E4-453D-85D1-A05A8629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78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785B"/>
    <w:pPr>
      <w:tabs>
        <w:tab w:val="center" w:pos="4153"/>
        <w:tab w:val="right" w:pos="8306"/>
      </w:tabs>
    </w:pPr>
  </w:style>
  <w:style w:type="character" w:customStyle="1" w:styleId="a4">
    <w:name w:val="כותרת עליונה תו"/>
    <w:link w:val="a3"/>
    <w:rsid w:val="00F1785B"/>
    <w:rPr>
      <w:rFonts w:ascii="Times New Roman" w:eastAsia="Times New Roman" w:hAnsi="Times New Roman" w:cs="David"/>
      <w:sz w:val="24"/>
      <w:szCs w:val="24"/>
    </w:rPr>
  </w:style>
  <w:style w:type="paragraph" w:styleId="a5">
    <w:name w:val="footer"/>
    <w:basedOn w:val="a"/>
    <w:link w:val="a6"/>
    <w:rsid w:val="00F1785B"/>
    <w:pPr>
      <w:tabs>
        <w:tab w:val="center" w:pos="4153"/>
        <w:tab w:val="right" w:pos="8306"/>
      </w:tabs>
    </w:pPr>
  </w:style>
  <w:style w:type="character" w:customStyle="1" w:styleId="a6">
    <w:name w:val="כותרת תחתונה תו"/>
    <w:link w:val="a5"/>
    <w:rsid w:val="00F1785B"/>
    <w:rPr>
      <w:rFonts w:ascii="Times New Roman" w:eastAsia="Times New Roman" w:hAnsi="Times New Roman" w:cs="David"/>
      <w:sz w:val="24"/>
      <w:szCs w:val="24"/>
    </w:rPr>
  </w:style>
  <w:style w:type="table" w:styleId="a7">
    <w:name w:val="Table Grid"/>
    <w:basedOn w:val="a1"/>
    <w:rsid w:val="00F178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785B"/>
  </w:style>
  <w:style w:type="paragraph" w:styleId="a9">
    <w:name w:val="List Paragraph"/>
    <w:basedOn w:val="a"/>
    <w:qFormat/>
    <w:rsid w:val="00F1785B"/>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F1785B"/>
    <w:pPr>
      <w:spacing w:line="360" w:lineRule="auto"/>
      <w:jc w:val="both"/>
    </w:pPr>
  </w:style>
  <w:style w:type="character" w:styleId="Hyperlink">
    <w:name w:val="Hyperlink"/>
    <w:rsid w:val="00F33D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20" TargetMode="External"/><Relationship Id="rId18" Type="http://schemas.openxmlformats.org/officeDocument/2006/relationships/hyperlink" Target="http://www.nevo.co.il/law/70301/415" TargetMode="External"/><Relationship Id="rId26" Type="http://schemas.openxmlformats.org/officeDocument/2006/relationships/hyperlink" Target="http://www.nevo.co.il/case/6066149" TargetMode="External"/><Relationship Id="rId21" Type="http://schemas.openxmlformats.org/officeDocument/2006/relationships/hyperlink" Target="http://www.nevo.co.il/law/7030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418"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048653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18" TargetMode="External"/><Relationship Id="rId20" Type="http://schemas.openxmlformats.org/officeDocument/2006/relationships/hyperlink" Target="http://www.nevo.co.il/law/70301/441" TargetMode="External"/><Relationship Id="rId29" Type="http://schemas.openxmlformats.org/officeDocument/2006/relationships/hyperlink" Target="http://www.nevo.co.il/case/9992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5" TargetMode="External"/><Relationship Id="rId24" Type="http://schemas.openxmlformats.org/officeDocument/2006/relationships/hyperlink" Target="http://www.nevo.co.il/case/573855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20"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1216562" TargetMode="External"/><Relationship Id="rId36" Type="http://schemas.openxmlformats.org/officeDocument/2006/relationships/footer" Target="footer2.xml"/><Relationship Id="rId10" Type="http://schemas.openxmlformats.org/officeDocument/2006/relationships/hyperlink" Target="http://www.nevo.co.il/law/70301/40i"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441"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3412404" TargetMode="External"/><Relationship Id="rId30" Type="http://schemas.openxmlformats.org/officeDocument/2006/relationships/hyperlink" Target="http://www.nevo.co.il/law/70301/40i" TargetMode="External"/><Relationship Id="rId35" Type="http://schemas.openxmlformats.org/officeDocument/2006/relationships/footer" Target="footer1.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2095</Words>
  <Characters>10475</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12545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393295</vt:i4>
      </vt:variant>
      <vt:variant>
        <vt:i4>66</vt:i4>
      </vt:variant>
      <vt:variant>
        <vt:i4>0</vt:i4>
      </vt:variant>
      <vt:variant>
        <vt:i4>5</vt:i4>
      </vt:variant>
      <vt:variant>
        <vt:lpwstr>http://www.nevo.co.il/case/999263</vt:lpwstr>
      </vt:variant>
      <vt:variant>
        <vt:lpwstr/>
      </vt:variant>
      <vt:variant>
        <vt:i4>3342449</vt:i4>
      </vt:variant>
      <vt:variant>
        <vt:i4>63</vt:i4>
      </vt:variant>
      <vt:variant>
        <vt:i4>0</vt:i4>
      </vt:variant>
      <vt:variant>
        <vt:i4>5</vt:i4>
      </vt:variant>
      <vt:variant>
        <vt:lpwstr>http://www.nevo.co.il/case/11216562</vt:lpwstr>
      </vt:variant>
      <vt:variant>
        <vt:lpwstr/>
      </vt:variant>
      <vt:variant>
        <vt:i4>3407986</vt:i4>
      </vt:variant>
      <vt:variant>
        <vt:i4>60</vt:i4>
      </vt:variant>
      <vt:variant>
        <vt:i4>0</vt:i4>
      </vt:variant>
      <vt:variant>
        <vt:i4>5</vt:i4>
      </vt:variant>
      <vt:variant>
        <vt:lpwstr>http://www.nevo.co.il/case/23412404</vt:lpwstr>
      </vt:variant>
      <vt:variant>
        <vt:lpwstr/>
      </vt:variant>
      <vt:variant>
        <vt:i4>3670134</vt:i4>
      </vt:variant>
      <vt:variant>
        <vt:i4>57</vt:i4>
      </vt:variant>
      <vt:variant>
        <vt:i4>0</vt:i4>
      </vt:variant>
      <vt:variant>
        <vt:i4>5</vt:i4>
      </vt:variant>
      <vt:variant>
        <vt:lpwstr>http://www.nevo.co.il/case/6066149</vt:lpwstr>
      </vt:variant>
      <vt:variant>
        <vt:lpwstr/>
      </vt:variant>
      <vt:variant>
        <vt:i4>3145849</vt:i4>
      </vt:variant>
      <vt:variant>
        <vt:i4>54</vt:i4>
      </vt:variant>
      <vt:variant>
        <vt:i4>0</vt:i4>
      </vt:variant>
      <vt:variant>
        <vt:i4>5</vt:i4>
      </vt:variant>
      <vt:variant>
        <vt:lpwstr>http://www.nevo.co.il/case/10486531</vt:lpwstr>
      </vt:variant>
      <vt:variant>
        <vt:lpwstr/>
      </vt:variant>
      <vt:variant>
        <vt:i4>3145854</vt:i4>
      </vt:variant>
      <vt:variant>
        <vt:i4>51</vt:i4>
      </vt:variant>
      <vt:variant>
        <vt:i4>0</vt:i4>
      </vt:variant>
      <vt:variant>
        <vt:i4>5</vt:i4>
      </vt:variant>
      <vt:variant>
        <vt:lpwstr>http://www.nevo.co.il/case/5738553</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6357089</vt:i4>
      </vt:variant>
      <vt:variant>
        <vt:i4>39</vt:i4>
      </vt:variant>
      <vt:variant>
        <vt:i4>0</vt:i4>
      </vt:variant>
      <vt:variant>
        <vt:i4>5</vt:i4>
      </vt:variant>
      <vt:variant>
        <vt:lpwstr>http://www.nevo.co.il/law/70301/441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6553697</vt:i4>
      </vt:variant>
      <vt:variant>
        <vt:i4>33</vt:i4>
      </vt:variant>
      <vt:variant>
        <vt:i4>0</vt:i4>
      </vt:variant>
      <vt:variant>
        <vt:i4>5</vt:i4>
      </vt:variant>
      <vt:variant>
        <vt:lpwstr>http://www.nevo.co.il/law/70301/415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6553697</vt:i4>
      </vt:variant>
      <vt:variant>
        <vt:i4>27</vt:i4>
      </vt:variant>
      <vt:variant>
        <vt:i4>0</vt:i4>
      </vt:variant>
      <vt:variant>
        <vt:i4>5</vt:i4>
      </vt:variant>
      <vt:variant>
        <vt:lpwstr>http://www.nevo.co.il/law/70301/418</vt:lpwstr>
      </vt:variant>
      <vt:variant>
        <vt:lpwstr/>
      </vt:variant>
      <vt:variant>
        <vt:i4>6750305</vt:i4>
      </vt:variant>
      <vt:variant>
        <vt:i4>24</vt:i4>
      </vt:variant>
      <vt:variant>
        <vt:i4>0</vt:i4>
      </vt:variant>
      <vt:variant>
        <vt:i4>5</vt:i4>
      </vt:variant>
      <vt:variant>
        <vt:lpwstr>http://www.nevo.co.il/law/70301/420</vt:lpwstr>
      </vt:variant>
      <vt:variant>
        <vt:lpwstr/>
      </vt:variant>
      <vt:variant>
        <vt:i4>6357089</vt:i4>
      </vt:variant>
      <vt:variant>
        <vt:i4>21</vt:i4>
      </vt:variant>
      <vt:variant>
        <vt:i4>0</vt:i4>
      </vt:variant>
      <vt:variant>
        <vt:i4>5</vt:i4>
      </vt:variant>
      <vt:variant>
        <vt:lpwstr>http://www.nevo.co.il/law/70301/441</vt:lpwstr>
      </vt:variant>
      <vt:variant>
        <vt:lpwstr/>
      </vt:variant>
      <vt:variant>
        <vt:i4>6750305</vt:i4>
      </vt:variant>
      <vt:variant>
        <vt:i4>18</vt:i4>
      </vt:variant>
      <vt:variant>
        <vt:i4>0</vt:i4>
      </vt:variant>
      <vt:variant>
        <vt:i4>5</vt:i4>
      </vt:variant>
      <vt:variant>
        <vt:lpwstr>http://www.nevo.co.il/law/70301/420</vt:lpwstr>
      </vt:variant>
      <vt:variant>
        <vt:lpwstr/>
      </vt:variant>
      <vt:variant>
        <vt:i4>6553697</vt:i4>
      </vt:variant>
      <vt:variant>
        <vt:i4>15</vt:i4>
      </vt:variant>
      <vt:variant>
        <vt:i4>0</vt:i4>
      </vt:variant>
      <vt:variant>
        <vt:i4>5</vt:i4>
      </vt:variant>
      <vt:variant>
        <vt:lpwstr>http://www.nevo.co.il/law/70301/418</vt:lpwstr>
      </vt:variant>
      <vt:variant>
        <vt:lpwstr/>
      </vt:variant>
      <vt:variant>
        <vt:i4>6553697</vt:i4>
      </vt:variant>
      <vt:variant>
        <vt:i4>12</vt:i4>
      </vt:variant>
      <vt:variant>
        <vt:i4>0</vt:i4>
      </vt:variant>
      <vt:variant>
        <vt:i4>5</vt:i4>
      </vt:variant>
      <vt:variant>
        <vt:lpwstr>http://www.nevo.co.il/law/70301/415</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31006</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מאיר בלעיש</vt:lpwstr>
  </property>
  <property fmtid="{D5CDD505-2E9C-101B-9397-08002B2CF9AE}" pid="10" name="LAWYER">
    <vt:lpwstr>אלירן אשכנזי;גיל עשת</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20200805</vt:lpwstr>
  </property>
  <property fmtid="{D5CDD505-2E9C-101B-9397-08002B2CF9AE}" pid="14" name="TYPE_N_DATE">
    <vt:lpwstr>38020200805</vt:lpwstr>
  </property>
  <property fmtid="{D5CDD505-2E9C-101B-9397-08002B2CF9AE}" pid="15" name="CASESLISTTMP1">
    <vt:lpwstr>5738553;10486531;6066149;23412404;11216562;999263</vt:lpwstr>
  </property>
  <property fmtid="{D5CDD505-2E9C-101B-9397-08002B2CF9AE}" pid="16" name="CASENOTES1">
    <vt:lpwstr>ProcID=209&amp;PartA=1721&amp;PartC=10</vt:lpwstr>
  </property>
  <property fmtid="{D5CDD505-2E9C-101B-9397-08002B2CF9AE}" pid="17" name="WORDNUMPAGES">
    <vt:lpwstr>7</vt:lpwstr>
  </property>
  <property fmtid="{D5CDD505-2E9C-101B-9397-08002B2CF9AE}" pid="18" name="TYPE_ABS_DATE">
    <vt:lpwstr>380020200805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70301/420;418;415;025;441;040c.a;040i</vt:lpwstr>
  </property>
</Properties>
</file>