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2E1A9F" w:rsidRPr="00066430" w14:paraId="01E939FF" w14:textId="77777777" w:rsidTr="00797A2E">
        <w:trPr>
          <w:trHeight w:hRule="exact" w:val="418"/>
          <w:jc w:val="center"/>
        </w:trPr>
        <w:tc>
          <w:tcPr>
            <w:tcW w:w="8721" w:type="dxa"/>
            <w:gridSpan w:val="2"/>
          </w:tcPr>
          <w:p w14:paraId="709792D7" w14:textId="77777777" w:rsidR="002E1A9F" w:rsidRPr="00066430" w:rsidRDefault="002E1A9F" w:rsidP="00B4379F">
            <w:pPr>
              <w:pStyle w:val="a3"/>
              <w:jc w:val="center"/>
              <w:rPr>
                <w:rFonts w:ascii="Tahoma" w:hAnsi="Tahoma" w:cs="Tahoma"/>
                <w:color w:val="000080"/>
                <w:rtl/>
              </w:rPr>
            </w:pPr>
            <w:bookmarkStart w:id="0" w:name="LastJudge"/>
            <w:r w:rsidRPr="00066430">
              <w:rPr>
                <w:rFonts w:ascii="Tahoma" w:hAnsi="Tahoma" w:cs="Tahoma"/>
                <w:b/>
                <w:bCs/>
                <w:color w:val="000080"/>
                <w:rtl/>
              </w:rPr>
              <w:t>בית משפט השלום בכפר סבא</w:t>
            </w:r>
          </w:p>
        </w:tc>
      </w:tr>
      <w:tr w:rsidR="002E1A9F" w:rsidRPr="00066430" w14:paraId="088F8FB8" w14:textId="77777777" w:rsidTr="00797A2E">
        <w:trPr>
          <w:trHeight w:val="337"/>
          <w:jc w:val="center"/>
        </w:trPr>
        <w:tc>
          <w:tcPr>
            <w:tcW w:w="5057" w:type="dxa"/>
          </w:tcPr>
          <w:p w14:paraId="6B6290B9" w14:textId="77777777" w:rsidR="002E1A9F" w:rsidRPr="00066430" w:rsidRDefault="002E1A9F" w:rsidP="00B4379F">
            <w:pPr>
              <w:rPr>
                <w:rFonts w:cs="FrankRuehl"/>
                <w:sz w:val="28"/>
                <w:szCs w:val="28"/>
                <w:rtl/>
              </w:rPr>
            </w:pPr>
            <w:r w:rsidRPr="00066430">
              <w:rPr>
                <w:rFonts w:cs="FrankRuehl"/>
                <w:sz w:val="28"/>
                <w:szCs w:val="28"/>
                <w:rtl/>
              </w:rPr>
              <w:t>ת"פ</w:t>
            </w:r>
            <w:r w:rsidRPr="00066430">
              <w:rPr>
                <w:rFonts w:cs="FrankRuehl" w:hint="cs"/>
                <w:sz w:val="28"/>
                <w:szCs w:val="28"/>
                <w:rtl/>
              </w:rPr>
              <w:t xml:space="preserve"> </w:t>
            </w:r>
            <w:hyperlink r:id="rId6" w:history="1">
              <w:r w:rsidR="004B50DF" w:rsidRPr="004B50DF">
                <w:rPr>
                  <w:rFonts w:cs="FrankRuehl"/>
                  <w:color w:val="0000FF"/>
                  <w:sz w:val="28"/>
                  <w:szCs w:val="28"/>
                  <w:u w:val="single"/>
                  <w:rtl/>
                </w:rPr>
                <w:t>33024-01-18</w:t>
              </w:r>
            </w:hyperlink>
            <w:r w:rsidRPr="00066430">
              <w:rPr>
                <w:rFonts w:cs="FrankRuehl" w:hint="cs"/>
                <w:sz w:val="28"/>
                <w:szCs w:val="28"/>
                <w:rtl/>
              </w:rPr>
              <w:t xml:space="preserve"> </w:t>
            </w:r>
            <w:r w:rsidRPr="00066430">
              <w:rPr>
                <w:rFonts w:ascii="FrankRuehl" w:hAnsi="FrankRuehl" w:cs="FrankRuehl"/>
                <w:sz w:val="28"/>
                <w:szCs w:val="28"/>
                <w:rtl/>
              </w:rPr>
              <w:t>מדינת ישראל נ' בדיר(עציר)</w:t>
            </w:r>
            <w:r w:rsidRPr="00066430">
              <w:rPr>
                <w:rFonts w:ascii="FrankRuehl" w:hAnsi="FrankRuehl" w:cs="FrankRuehl"/>
                <w:sz w:val="28"/>
                <w:szCs w:val="28"/>
                <w:rtl/>
              </w:rPr>
              <w:br/>
              <w:t xml:space="preserve">פ"ל </w:t>
            </w:r>
            <w:hyperlink r:id="rId7" w:history="1">
              <w:r w:rsidR="004B50DF" w:rsidRPr="004B50DF">
                <w:rPr>
                  <w:rFonts w:ascii="FrankRuehl" w:hAnsi="FrankRuehl" w:cs="FrankRuehl"/>
                  <w:color w:val="0000FF"/>
                  <w:sz w:val="28"/>
                  <w:szCs w:val="28"/>
                  <w:u w:val="single"/>
                  <w:rtl/>
                </w:rPr>
                <w:t>1292-08-20</w:t>
              </w:r>
            </w:hyperlink>
            <w:r w:rsidRPr="00066430">
              <w:rPr>
                <w:rFonts w:ascii="FrankRuehl" w:hAnsi="FrankRuehl" w:cs="FrankRuehl"/>
                <w:sz w:val="28"/>
                <w:szCs w:val="28"/>
                <w:rtl/>
              </w:rPr>
              <w:t xml:space="preserve"> מדינת ישראל נ' בדיר (עציר)</w:t>
            </w:r>
          </w:p>
        </w:tc>
        <w:tc>
          <w:tcPr>
            <w:tcW w:w="3664" w:type="dxa"/>
          </w:tcPr>
          <w:p w14:paraId="3F57060A" w14:textId="77777777" w:rsidR="002E1A9F" w:rsidRPr="00066430" w:rsidRDefault="002E1A9F" w:rsidP="00B4379F">
            <w:pPr>
              <w:pStyle w:val="a3"/>
              <w:jc w:val="right"/>
              <w:rPr>
                <w:rFonts w:cs="FrankRuehl"/>
                <w:sz w:val="28"/>
                <w:szCs w:val="28"/>
                <w:rtl/>
              </w:rPr>
            </w:pPr>
          </w:p>
        </w:tc>
      </w:tr>
    </w:tbl>
    <w:p w14:paraId="06893068" w14:textId="77777777" w:rsidR="002E1A9F" w:rsidRPr="00066430" w:rsidRDefault="002E1A9F" w:rsidP="002E1A9F">
      <w:pPr>
        <w:pStyle w:val="a3"/>
        <w:jc w:val="right"/>
        <w:rPr>
          <w:b/>
          <w:bCs/>
          <w:rtl/>
        </w:rPr>
      </w:pPr>
      <w:r w:rsidRPr="00066430">
        <w:rPr>
          <w:rFonts w:hint="cs"/>
          <w:rtl/>
        </w:rPr>
        <w:t xml:space="preserve"> </w:t>
      </w:r>
      <w:r w:rsidRPr="00066430">
        <w:rPr>
          <w:rFonts w:hint="cs"/>
          <w:b/>
          <w:bCs/>
          <w:rtl/>
        </w:rPr>
        <w:t>7.4.21</w:t>
      </w:r>
    </w:p>
    <w:p w14:paraId="5812BFD9" w14:textId="77777777" w:rsidR="002E1A9F" w:rsidRPr="00066430" w:rsidRDefault="002E1A9F" w:rsidP="002E1A9F">
      <w:pPr>
        <w:spacing w:line="360" w:lineRule="auto"/>
        <w:jc w:val="both"/>
        <w:rPr>
          <w:rFonts w:ascii="David" w:hAnsi="David"/>
          <w:rtl/>
        </w:rPr>
      </w:pPr>
    </w:p>
    <w:p w14:paraId="6256DF44" w14:textId="77777777" w:rsidR="002E1A9F" w:rsidRPr="00066430" w:rsidRDefault="002E1A9F" w:rsidP="002E1A9F">
      <w:pPr>
        <w:spacing w:line="360" w:lineRule="auto"/>
        <w:jc w:val="both"/>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2E1A9F" w:rsidRPr="00066430" w14:paraId="36C0EEE0" w14:textId="77777777" w:rsidTr="002E1A9F">
        <w:trPr>
          <w:trHeight w:val="295"/>
          <w:jc w:val="center"/>
        </w:trPr>
        <w:tc>
          <w:tcPr>
            <w:tcW w:w="923" w:type="dxa"/>
            <w:tcBorders>
              <w:top w:val="nil"/>
              <w:left w:val="nil"/>
              <w:bottom w:val="nil"/>
              <w:right w:val="nil"/>
            </w:tcBorders>
            <w:shd w:val="clear" w:color="auto" w:fill="auto"/>
          </w:tcPr>
          <w:p w14:paraId="39C02213" w14:textId="77777777" w:rsidR="002E1A9F" w:rsidRPr="00066430" w:rsidRDefault="002E1A9F" w:rsidP="002E1A9F">
            <w:pPr>
              <w:spacing w:line="360" w:lineRule="auto"/>
              <w:jc w:val="both"/>
              <w:rPr>
                <w:rFonts w:ascii="David" w:hAnsi="David"/>
                <w:b/>
                <w:bCs/>
                <w:sz w:val="28"/>
                <w:szCs w:val="28"/>
              </w:rPr>
            </w:pPr>
            <w:r w:rsidRPr="00066430">
              <w:rPr>
                <w:rFonts w:ascii="David" w:hAnsi="David"/>
                <w:b/>
                <w:bCs/>
                <w:sz w:val="28"/>
                <w:szCs w:val="28"/>
                <w:rtl/>
              </w:rPr>
              <w:t xml:space="preserve">לפני </w:t>
            </w:r>
          </w:p>
        </w:tc>
        <w:tc>
          <w:tcPr>
            <w:tcW w:w="7897" w:type="dxa"/>
            <w:tcBorders>
              <w:top w:val="nil"/>
              <w:left w:val="nil"/>
              <w:bottom w:val="nil"/>
              <w:right w:val="nil"/>
            </w:tcBorders>
            <w:shd w:val="clear" w:color="auto" w:fill="auto"/>
          </w:tcPr>
          <w:p w14:paraId="1AE7FBBC" w14:textId="77777777" w:rsidR="002E1A9F" w:rsidRPr="00066430" w:rsidRDefault="002E1A9F" w:rsidP="002E1A9F">
            <w:pPr>
              <w:spacing w:line="360" w:lineRule="auto"/>
              <w:jc w:val="both"/>
              <w:rPr>
                <w:rFonts w:ascii="David" w:hAnsi="David"/>
                <w:b/>
                <w:bCs/>
                <w:sz w:val="28"/>
                <w:szCs w:val="28"/>
                <w:rtl/>
              </w:rPr>
            </w:pPr>
            <w:r w:rsidRPr="00066430">
              <w:rPr>
                <w:rFonts w:ascii="David" w:hAnsi="David"/>
                <w:b/>
                <w:bCs/>
                <w:sz w:val="28"/>
                <w:szCs w:val="28"/>
                <w:rtl/>
              </w:rPr>
              <w:t>כבוד השופט אביב שרון</w:t>
            </w:r>
          </w:p>
          <w:p w14:paraId="50B1240D" w14:textId="77777777" w:rsidR="002E1A9F" w:rsidRPr="00066430" w:rsidRDefault="002E1A9F" w:rsidP="002E1A9F">
            <w:pPr>
              <w:spacing w:line="360" w:lineRule="auto"/>
              <w:jc w:val="both"/>
              <w:rPr>
                <w:rFonts w:ascii="David" w:hAnsi="David"/>
                <w:b/>
                <w:bCs/>
                <w:sz w:val="28"/>
                <w:szCs w:val="28"/>
              </w:rPr>
            </w:pPr>
          </w:p>
        </w:tc>
      </w:tr>
    </w:tbl>
    <w:p w14:paraId="2298CD49" w14:textId="77777777" w:rsidR="002E1A9F" w:rsidRPr="00066430" w:rsidRDefault="002E1A9F" w:rsidP="002E1A9F">
      <w:pPr>
        <w:spacing w:line="360" w:lineRule="auto"/>
        <w:jc w:val="both"/>
        <w:rPr>
          <w:rFonts w:ascii="David" w:hAnsi="David"/>
          <w:b/>
          <w:bCs/>
          <w:rtl/>
        </w:rPr>
      </w:pPr>
      <w:bookmarkStart w:id="1" w:name="FirstAppellant"/>
      <w:r w:rsidRPr="00066430">
        <w:rPr>
          <w:rFonts w:ascii="David" w:hAnsi="David"/>
          <w:b/>
          <w:bCs/>
          <w:rtl/>
        </w:rPr>
        <w:t>בעניין</w:t>
      </w:r>
      <w:bookmarkEnd w:id="1"/>
      <w:r w:rsidRPr="00066430">
        <w:rPr>
          <w:rFonts w:ascii="David" w:hAnsi="David"/>
          <w:b/>
          <w:bCs/>
          <w:rtl/>
        </w:rPr>
        <w:t>:</w:t>
      </w:r>
      <w:r w:rsidRPr="00066430">
        <w:rPr>
          <w:rFonts w:ascii="David" w:hAnsi="David"/>
          <w:b/>
          <w:bCs/>
          <w:rtl/>
        </w:rPr>
        <w:tab/>
      </w:r>
      <w:r w:rsidRPr="00066430">
        <w:rPr>
          <w:rFonts w:ascii="David" w:hAnsi="David"/>
          <w:b/>
          <w:bCs/>
          <w:rtl/>
        </w:rPr>
        <w:tab/>
        <w:t>מדינת ישראל – פרקליטות מחוז מרכז (פלילי)</w:t>
      </w:r>
      <w:r w:rsidRPr="00066430">
        <w:rPr>
          <w:rFonts w:ascii="David" w:hAnsi="David"/>
          <w:b/>
          <w:bCs/>
          <w:rtl/>
        </w:rPr>
        <w:tab/>
      </w:r>
      <w:r w:rsidRPr="00066430">
        <w:rPr>
          <w:rFonts w:ascii="David" w:hAnsi="David"/>
          <w:b/>
          <w:bCs/>
          <w:rtl/>
        </w:rPr>
        <w:tab/>
        <w:t>המאשימה</w:t>
      </w:r>
    </w:p>
    <w:p w14:paraId="5B082F0D" w14:textId="77777777" w:rsidR="002E1A9F" w:rsidRPr="00066430" w:rsidRDefault="002E1A9F" w:rsidP="002E1A9F">
      <w:pPr>
        <w:spacing w:line="360" w:lineRule="auto"/>
        <w:jc w:val="both"/>
        <w:rPr>
          <w:rFonts w:ascii="David" w:hAnsi="David"/>
          <w:rtl/>
        </w:rPr>
      </w:pPr>
      <w:r w:rsidRPr="00066430">
        <w:rPr>
          <w:rFonts w:ascii="David" w:hAnsi="David"/>
          <w:rtl/>
        </w:rPr>
        <w:tab/>
      </w:r>
      <w:r w:rsidRPr="00066430">
        <w:rPr>
          <w:rFonts w:ascii="David" w:hAnsi="David"/>
          <w:rtl/>
        </w:rPr>
        <w:tab/>
        <w:t xml:space="preserve">ע"י </w:t>
      </w:r>
      <w:bookmarkStart w:id="2" w:name="FirstLawyer"/>
      <w:r w:rsidRPr="00066430">
        <w:rPr>
          <w:rFonts w:ascii="David" w:hAnsi="David"/>
          <w:rtl/>
        </w:rPr>
        <w:t>ב"כ</w:t>
      </w:r>
      <w:bookmarkEnd w:id="2"/>
      <w:r w:rsidRPr="00066430">
        <w:rPr>
          <w:rFonts w:ascii="David" w:hAnsi="David"/>
          <w:rtl/>
        </w:rPr>
        <w:t xml:space="preserve"> עו"ד דניאל איקן</w:t>
      </w:r>
    </w:p>
    <w:p w14:paraId="6401F524" w14:textId="77777777" w:rsidR="002E1A9F" w:rsidRPr="00066430" w:rsidRDefault="002E1A9F" w:rsidP="002E1A9F">
      <w:pPr>
        <w:spacing w:line="360" w:lineRule="auto"/>
        <w:jc w:val="both"/>
        <w:rPr>
          <w:rFonts w:ascii="David" w:hAnsi="David"/>
          <w:rtl/>
        </w:rPr>
      </w:pPr>
    </w:p>
    <w:p w14:paraId="3A2643BD" w14:textId="77777777" w:rsidR="002E1A9F" w:rsidRPr="00066430" w:rsidRDefault="002E1A9F" w:rsidP="002E1A9F">
      <w:pPr>
        <w:spacing w:line="360" w:lineRule="auto"/>
        <w:jc w:val="both"/>
        <w:rPr>
          <w:rFonts w:ascii="David" w:hAnsi="David"/>
          <w:b/>
          <w:bCs/>
          <w:rtl/>
        </w:rPr>
      </w:pPr>
      <w:r w:rsidRPr="00066430">
        <w:rPr>
          <w:rFonts w:ascii="David" w:hAnsi="David"/>
          <w:b/>
          <w:bCs/>
          <w:rtl/>
        </w:rPr>
        <w:tab/>
      </w:r>
      <w:r w:rsidRPr="00066430">
        <w:rPr>
          <w:rFonts w:ascii="David" w:hAnsi="David"/>
          <w:b/>
          <w:bCs/>
          <w:rtl/>
        </w:rPr>
        <w:tab/>
        <w:t>נ ג ד</w:t>
      </w:r>
    </w:p>
    <w:p w14:paraId="69018572" w14:textId="77777777" w:rsidR="002E1A9F" w:rsidRPr="00066430" w:rsidRDefault="002E1A9F" w:rsidP="002E1A9F">
      <w:pPr>
        <w:spacing w:line="360" w:lineRule="auto"/>
        <w:jc w:val="both"/>
        <w:rPr>
          <w:rFonts w:ascii="David" w:hAnsi="David"/>
          <w:rtl/>
        </w:rPr>
      </w:pPr>
    </w:p>
    <w:p w14:paraId="7A6953CE" w14:textId="77777777" w:rsidR="002E1A9F" w:rsidRPr="00066430" w:rsidRDefault="002E1A9F" w:rsidP="002E1A9F">
      <w:pPr>
        <w:spacing w:line="360" w:lineRule="auto"/>
        <w:jc w:val="both"/>
        <w:rPr>
          <w:rFonts w:ascii="David" w:hAnsi="David"/>
          <w:b/>
          <w:bCs/>
          <w:rtl/>
        </w:rPr>
      </w:pPr>
      <w:r w:rsidRPr="00066430">
        <w:rPr>
          <w:rFonts w:ascii="David" w:hAnsi="David"/>
          <w:b/>
          <w:bCs/>
          <w:rtl/>
        </w:rPr>
        <w:tab/>
      </w:r>
      <w:r w:rsidRPr="00066430">
        <w:rPr>
          <w:rFonts w:ascii="David" w:hAnsi="David"/>
          <w:b/>
          <w:bCs/>
          <w:rtl/>
        </w:rPr>
        <w:tab/>
        <w:t>ראמזי בדיר (עציר)</w:t>
      </w:r>
      <w:r w:rsidRPr="00066430">
        <w:rPr>
          <w:rFonts w:ascii="David" w:hAnsi="David"/>
          <w:b/>
          <w:bCs/>
          <w:rtl/>
        </w:rPr>
        <w:tab/>
      </w:r>
      <w:r w:rsidRPr="00066430">
        <w:rPr>
          <w:rFonts w:ascii="David" w:hAnsi="David"/>
          <w:b/>
          <w:bCs/>
          <w:rtl/>
        </w:rPr>
        <w:tab/>
      </w:r>
      <w:r w:rsidRPr="00066430">
        <w:rPr>
          <w:rFonts w:ascii="David" w:hAnsi="David"/>
          <w:b/>
          <w:bCs/>
          <w:rtl/>
        </w:rPr>
        <w:tab/>
      </w:r>
      <w:r w:rsidRPr="00066430">
        <w:rPr>
          <w:rFonts w:ascii="David" w:hAnsi="David"/>
          <w:b/>
          <w:bCs/>
          <w:rtl/>
        </w:rPr>
        <w:tab/>
      </w:r>
      <w:r w:rsidRPr="00066430">
        <w:rPr>
          <w:rFonts w:ascii="David" w:hAnsi="David"/>
          <w:b/>
          <w:bCs/>
          <w:rtl/>
        </w:rPr>
        <w:tab/>
        <w:t>הנאשם</w:t>
      </w:r>
    </w:p>
    <w:p w14:paraId="35C10D88" w14:textId="77777777" w:rsidR="002E1A9F" w:rsidRPr="00066430" w:rsidRDefault="002E1A9F" w:rsidP="002E1A9F">
      <w:pPr>
        <w:spacing w:line="360" w:lineRule="auto"/>
        <w:jc w:val="both"/>
        <w:rPr>
          <w:rFonts w:ascii="David" w:hAnsi="David"/>
          <w:rtl/>
        </w:rPr>
      </w:pPr>
      <w:r w:rsidRPr="00066430">
        <w:rPr>
          <w:rFonts w:ascii="David" w:hAnsi="David"/>
          <w:rtl/>
        </w:rPr>
        <w:tab/>
      </w:r>
      <w:r w:rsidRPr="00066430">
        <w:rPr>
          <w:rFonts w:ascii="David" w:hAnsi="David"/>
          <w:rtl/>
        </w:rPr>
        <w:tab/>
        <w:t>ע"י ב"כ עו"ד יזהר קונפורטי</w:t>
      </w:r>
    </w:p>
    <w:p w14:paraId="4A30F272" w14:textId="77777777" w:rsidR="004B50DF" w:rsidRPr="004B50DF" w:rsidRDefault="004B50DF" w:rsidP="004B50DF">
      <w:pPr>
        <w:spacing w:before="120" w:after="120" w:line="240" w:lineRule="exact"/>
        <w:ind w:left="283" w:hanging="283"/>
        <w:jc w:val="both"/>
        <w:rPr>
          <w:rFonts w:ascii="FrankRuehl" w:hAnsi="FrankRuehl" w:cs="FrankRuehl"/>
          <w:rtl/>
        </w:rPr>
      </w:pPr>
    </w:p>
    <w:p w14:paraId="52D1E9A9" w14:textId="77777777" w:rsidR="004B50DF" w:rsidRPr="004B50DF" w:rsidRDefault="004B50DF" w:rsidP="004B50DF">
      <w:pPr>
        <w:spacing w:before="120" w:after="120" w:line="240" w:lineRule="exact"/>
        <w:ind w:left="283" w:hanging="283"/>
        <w:jc w:val="both"/>
        <w:rPr>
          <w:rFonts w:ascii="FrankRuehl" w:hAnsi="FrankRuehl" w:cs="FrankRuehl"/>
          <w:rtl/>
        </w:rPr>
      </w:pPr>
    </w:p>
    <w:p w14:paraId="59FDE7F6" w14:textId="77777777" w:rsidR="00873350" w:rsidRDefault="00873350" w:rsidP="00873350">
      <w:pPr>
        <w:spacing w:line="360" w:lineRule="auto"/>
        <w:jc w:val="center"/>
        <w:rPr>
          <w:rFonts w:ascii="David" w:hAnsi="David"/>
          <w:sz w:val="28"/>
          <w:szCs w:val="28"/>
          <w:rtl/>
        </w:rPr>
      </w:pPr>
      <w:bookmarkStart w:id="3" w:name="LawTable"/>
      <w:bookmarkEnd w:id="3"/>
    </w:p>
    <w:p w14:paraId="7CB8B3F6" w14:textId="77777777" w:rsidR="00873350" w:rsidRPr="00873350" w:rsidRDefault="00873350" w:rsidP="00873350">
      <w:pPr>
        <w:spacing w:before="120" w:after="120" w:line="240" w:lineRule="exact"/>
        <w:ind w:left="283" w:hanging="283"/>
        <w:jc w:val="both"/>
        <w:rPr>
          <w:rFonts w:ascii="FrankRuehl" w:hAnsi="FrankRuehl" w:cs="FrankRuehl"/>
          <w:rtl/>
        </w:rPr>
      </w:pPr>
    </w:p>
    <w:p w14:paraId="54DCDE46" w14:textId="77777777" w:rsidR="00873350" w:rsidRPr="00873350" w:rsidRDefault="00873350" w:rsidP="00873350">
      <w:pPr>
        <w:spacing w:before="120" w:after="120" w:line="240" w:lineRule="exact"/>
        <w:ind w:left="283" w:hanging="283"/>
        <w:jc w:val="both"/>
        <w:rPr>
          <w:rFonts w:ascii="FrankRuehl" w:hAnsi="FrankRuehl" w:cs="FrankRuehl"/>
          <w:rtl/>
        </w:rPr>
      </w:pPr>
    </w:p>
    <w:p w14:paraId="384811A6" w14:textId="77777777" w:rsidR="00873350" w:rsidRPr="00873350" w:rsidRDefault="00873350" w:rsidP="00873350">
      <w:pPr>
        <w:spacing w:before="120" w:after="120" w:line="240" w:lineRule="exact"/>
        <w:ind w:left="283" w:hanging="283"/>
        <w:jc w:val="both"/>
        <w:rPr>
          <w:rFonts w:ascii="FrankRuehl" w:hAnsi="FrankRuehl" w:cs="FrankRuehl"/>
          <w:rtl/>
        </w:rPr>
      </w:pPr>
      <w:r w:rsidRPr="00873350">
        <w:rPr>
          <w:rFonts w:ascii="FrankRuehl" w:hAnsi="FrankRuehl" w:cs="FrankRuehl"/>
          <w:rtl/>
        </w:rPr>
        <w:t xml:space="preserve">חקיקה שאוזכרה: </w:t>
      </w:r>
    </w:p>
    <w:p w14:paraId="3FD9EE90" w14:textId="77777777" w:rsidR="00873350" w:rsidRPr="00873350" w:rsidRDefault="00873350" w:rsidP="00873350">
      <w:pPr>
        <w:spacing w:before="120" w:after="120" w:line="240" w:lineRule="exact"/>
        <w:ind w:left="283" w:hanging="283"/>
        <w:jc w:val="both"/>
        <w:rPr>
          <w:rFonts w:ascii="FrankRuehl" w:hAnsi="FrankRuehl" w:cs="FrankRuehl"/>
          <w:rtl/>
        </w:rPr>
      </w:pPr>
      <w:hyperlink r:id="rId8" w:history="1">
        <w:r w:rsidRPr="00873350">
          <w:rPr>
            <w:rFonts w:ascii="FrankRuehl" w:hAnsi="FrankRuehl" w:cs="FrankRuehl"/>
            <w:color w:val="0000FF"/>
            <w:rtl/>
          </w:rPr>
          <w:t>פקודת הסמים המסוכנים [נוסח חדש], תשל"ג-1973</w:t>
        </w:r>
      </w:hyperlink>
      <w:r w:rsidRPr="00873350">
        <w:rPr>
          <w:rFonts w:ascii="FrankRuehl" w:hAnsi="FrankRuehl" w:cs="FrankRuehl"/>
          <w:rtl/>
        </w:rPr>
        <w:t xml:space="preserve">: סע'  </w:t>
      </w:r>
      <w:hyperlink r:id="rId9" w:history="1">
        <w:r w:rsidRPr="00873350">
          <w:rPr>
            <w:rFonts w:ascii="FrankRuehl" w:hAnsi="FrankRuehl" w:cs="FrankRuehl"/>
            <w:color w:val="0000FF"/>
            <w:rtl/>
          </w:rPr>
          <w:t>7(א)</w:t>
        </w:r>
      </w:hyperlink>
      <w:r w:rsidRPr="00873350">
        <w:rPr>
          <w:rFonts w:ascii="FrankRuehl" w:hAnsi="FrankRuehl" w:cs="FrankRuehl"/>
          <w:rtl/>
        </w:rPr>
        <w:t xml:space="preserve">, </w:t>
      </w:r>
      <w:hyperlink r:id="rId10" w:history="1">
        <w:r w:rsidRPr="00873350">
          <w:rPr>
            <w:rFonts w:ascii="FrankRuehl" w:hAnsi="FrankRuehl" w:cs="FrankRuehl"/>
            <w:color w:val="0000FF"/>
            <w:rtl/>
          </w:rPr>
          <w:t>(ג)</w:t>
        </w:r>
      </w:hyperlink>
    </w:p>
    <w:p w14:paraId="26A1DB50" w14:textId="77777777" w:rsidR="00873350" w:rsidRPr="00873350" w:rsidRDefault="00873350" w:rsidP="00873350">
      <w:pPr>
        <w:spacing w:before="120" w:after="120" w:line="240" w:lineRule="exact"/>
        <w:ind w:left="283" w:hanging="283"/>
        <w:jc w:val="both"/>
        <w:rPr>
          <w:rFonts w:ascii="FrankRuehl" w:hAnsi="FrankRuehl" w:cs="FrankRuehl"/>
          <w:rtl/>
        </w:rPr>
      </w:pPr>
      <w:hyperlink r:id="rId11" w:history="1">
        <w:r w:rsidRPr="00873350">
          <w:rPr>
            <w:rFonts w:ascii="FrankRuehl" w:hAnsi="FrankRuehl" w:cs="FrankRuehl"/>
            <w:color w:val="0000FF"/>
            <w:rtl/>
          </w:rPr>
          <w:t>פקודת התעבורה [נוסח חדש]</w:t>
        </w:r>
      </w:hyperlink>
      <w:r w:rsidRPr="00873350">
        <w:rPr>
          <w:rFonts w:ascii="FrankRuehl" w:hAnsi="FrankRuehl" w:cs="FrankRuehl"/>
          <w:rtl/>
        </w:rPr>
        <w:t xml:space="preserve">: סע'  </w:t>
      </w:r>
      <w:hyperlink r:id="rId12" w:history="1">
        <w:r w:rsidRPr="00873350">
          <w:rPr>
            <w:rFonts w:ascii="FrankRuehl" w:hAnsi="FrankRuehl" w:cs="FrankRuehl"/>
            <w:color w:val="0000FF"/>
            <w:rtl/>
          </w:rPr>
          <w:t>2</w:t>
        </w:r>
      </w:hyperlink>
      <w:r w:rsidRPr="00873350">
        <w:rPr>
          <w:rFonts w:ascii="FrankRuehl" w:hAnsi="FrankRuehl" w:cs="FrankRuehl"/>
          <w:rtl/>
        </w:rPr>
        <w:t xml:space="preserve">, </w:t>
      </w:r>
      <w:hyperlink r:id="rId13" w:history="1">
        <w:r w:rsidRPr="00873350">
          <w:rPr>
            <w:rFonts w:ascii="FrankRuehl" w:hAnsi="FrankRuehl" w:cs="FrankRuehl"/>
            <w:color w:val="0000FF"/>
            <w:rtl/>
          </w:rPr>
          <w:t>10א'</w:t>
        </w:r>
      </w:hyperlink>
      <w:r w:rsidRPr="00873350">
        <w:rPr>
          <w:rFonts w:ascii="FrankRuehl" w:hAnsi="FrankRuehl" w:cs="FrankRuehl"/>
          <w:rtl/>
        </w:rPr>
        <w:t xml:space="preserve">, </w:t>
      </w:r>
      <w:hyperlink r:id="rId14" w:history="1">
        <w:r w:rsidRPr="00873350">
          <w:rPr>
            <w:rFonts w:ascii="FrankRuehl" w:hAnsi="FrankRuehl" w:cs="FrankRuehl"/>
            <w:color w:val="0000FF"/>
            <w:rtl/>
          </w:rPr>
          <w:t>67</w:t>
        </w:r>
      </w:hyperlink>
    </w:p>
    <w:p w14:paraId="2A674D1A" w14:textId="77777777" w:rsidR="00873350" w:rsidRPr="00873350" w:rsidRDefault="00873350" w:rsidP="00873350">
      <w:pPr>
        <w:spacing w:before="120" w:after="120" w:line="240" w:lineRule="exact"/>
        <w:ind w:left="283" w:hanging="283"/>
        <w:jc w:val="both"/>
        <w:rPr>
          <w:rFonts w:ascii="FrankRuehl" w:hAnsi="FrankRuehl" w:cs="FrankRuehl"/>
          <w:rtl/>
        </w:rPr>
      </w:pPr>
      <w:hyperlink r:id="rId15" w:history="1">
        <w:r w:rsidRPr="00873350">
          <w:rPr>
            <w:rFonts w:ascii="FrankRuehl" w:hAnsi="FrankRuehl" w:cs="FrankRuehl"/>
            <w:color w:val="0000FF"/>
            <w:rtl/>
          </w:rPr>
          <w:t>פקודת ביטוח רכב מנועי [נוסח חדש], תש"ל-1970</w:t>
        </w:r>
      </w:hyperlink>
      <w:r w:rsidRPr="00873350">
        <w:rPr>
          <w:rFonts w:ascii="FrankRuehl" w:hAnsi="FrankRuehl" w:cs="FrankRuehl"/>
          <w:rtl/>
        </w:rPr>
        <w:t xml:space="preserve">: סע'  </w:t>
      </w:r>
      <w:hyperlink r:id="rId16" w:history="1">
        <w:r w:rsidRPr="00873350">
          <w:rPr>
            <w:rFonts w:ascii="FrankRuehl" w:hAnsi="FrankRuehl" w:cs="FrankRuehl"/>
            <w:color w:val="0000FF"/>
            <w:rtl/>
          </w:rPr>
          <w:t>2א'</w:t>
        </w:r>
      </w:hyperlink>
    </w:p>
    <w:p w14:paraId="5805AB65" w14:textId="77777777" w:rsidR="00873350" w:rsidRPr="00873350" w:rsidRDefault="00873350" w:rsidP="00873350">
      <w:pPr>
        <w:spacing w:before="120" w:after="120" w:line="240" w:lineRule="exact"/>
        <w:ind w:left="283" w:hanging="283"/>
        <w:jc w:val="both"/>
        <w:rPr>
          <w:rFonts w:ascii="FrankRuehl" w:hAnsi="FrankRuehl" w:cs="FrankRuehl"/>
          <w:rtl/>
        </w:rPr>
      </w:pPr>
      <w:hyperlink r:id="rId17" w:history="1">
        <w:r w:rsidRPr="00873350">
          <w:rPr>
            <w:rFonts w:ascii="FrankRuehl" w:hAnsi="FrankRuehl" w:cs="FrankRuehl"/>
            <w:color w:val="0000FF"/>
            <w:rtl/>
          </w:rPr>
          <w:t>תקנות התעבורה, תשכ"א-1961 - לא מרובדות</w:t>
        </w:r>
      </w:hyperlink>
      <w:r w:rsidRPr="00873350">
        <w:rPr>
          <w:rFonts w:ascii="FrankRuehl" w:hAnsi="FrankRuehl" w:cs="FrankRuehl"/>
          <w:rtl/>
        </w:rPr>
        <w:t xml:space="preserve">: סע'  </w:t>
      </w:r>
      <w:hyperlink r:id="rId18" w:history="1">
        <w:r w:rsidRPr="00873350">
          <w:rPr>
            <w:rFonts w:ascii="FrankRuehl" w:hAnsi="FrankRuehl" w:cs="FrankRuehl"/>
            <w:color w:val="0000FF"/>
            <w:rtl/>
          </w:rPr>
          <w:t>28(ב)(1)(א)</w:t>
        </w:r>
      </w:hyperlink>
    </w:p>
    <w:p w14:paraId="6C8D306F" w14:textId="77777777" w:rsidR="00873350" w:rsidRPr="00873350" w:rsidRDefault="00873350" w:rsidP="00873350">
      <w:pPr>
        <w:spacing w:line="360" w:lineRule="auto"/>
        <w:jc w:val="center"/>
        <w:rPr>
          <w:rFonts w:ascii="David" w:hAnsi="David"/>
          <w:sz w:val="28"/>
          <w:szCs w:val="28"/>
          <w:rtl/>
        </w:rPr>
      </w:pPr>
      <w:bookmarkStart w:id="4" w:name="LawTable_End"/>
      <w:bookmarkEnd w:id="4"/>
    </w:p>
    <w:p w14:paraId="7F87FDFE" w14:textId="77777777" w:rsidR="00066430" w:rsidRPr="004B50DF" w:rsidRDefault="00066430" w:rsidP="004B50DF">
      <w:pPr>
        <w:spacing w:line="360" w:lineRule="auto"/>
        <w:jc w:val="center"/>
        <w:rPr>
          <w:rFonts w:ascii="David" w:hAnsi="David"/>
          <w:sz w:val="28"/>
          <w:szCs w:val="28"/>
          <w:rtl/>
        </w:rPr>
      </w:pPr>
    </w:p>
    <w:p w14:paraId="1F27FA3A" w14:textId="77777777" w:rsidR="00066430" w:rsidRPr="00066430" w:rsidRDefault="00066430" w:rsidP="00066430">
      <w:pPr>
        <w:spacing w:line="360" w:lineRule="auto"/>
        <w:jc w:val="center"/>
        <w:rPr>
          <w:rFonts w:ascii="David" w:hAnsi="David"/>
          <w:b/>
          <w:bCs/>
          <w:sz w:val="28"/>
          <w:szCs w:val="28"/>
          <w:u w:val="single"/>
          <w:rtl/>
        </w:rPr>
      </w:pPr>
      <w:bookmarkStart w:id="5" w:name="PsakDin"/>
      <w:bookmarkEnd w:id="0"/>
      <w:r w:rsidRPr="00066430">
        <w:rPr>
          <w:rFonts w:ascii="David" w:hAnsi="David"/>
          <w:b/>
          <w:bCs/>
          <w:sz w:val="28"/>
          <w:szCs w:val="28"/>
          <w:u w:val="single"/>
          <w:rtl/>
        </w:rPr>
        <w:t>גזר דין</w:t>
      </w:r>
    </w:p>
    <w:bookmarkEnd w:id="5"/>
    <w:p w14:paraId="5BB74DC6" w14:textId="77777777" w:rsidR="002E1A9F" w:rsidRPr="00366FB9" w:rsidRDefault="002E1A9F" w:rsidP="002E1A9F">
      <w:pPr>
        <w:spacing w:line="360" w:lineRule="auto"/>
        <w:jc w:val="both"/>
        <w:rPr>
          <w:rFonts w:ascii="David" w:hAnsi="David"/>
          <w:rtl/>
        </w:rPr>
      </w:pPr>
    </w:p>
    <w:p w14:paraId="222F8271" w14:textId="77777777" w:rsidR="002E1A9F" w:rsidRPr="00970636" w:rsidRDefault="002E1A9F" w:rsidP="002E1A9F">
      <w:pPr>
        <w:spacing w:line="360" w:lineRule="auto"/>
        <w:jc w:val="both"/>
        <w:rPr>
          <w:rFonts w:ascii="David" w:hAnsi="David"/>
          <w:b/>
          <w:bCs/>
          <w:u w:val="single"/>
          <w:rtl/>
        </w:rPr>
      </w:pPr>
      <w:r w:rsidRPr="00970636">
        <w:rPr>
          <w:rFonts w:ascii="David" w:hAnsi="David" w:hint="cs"/>
          <w:b/>
          <w:bCs/>
          <w:u w:val="single"/>
          <w:rtl/>
        </w:rPr>
        <w:t>השתלשלות העניינים</w:t>
      </w:r>
    </w:p>
    <w:p w14:paraId="13ABF6E8" w14:textId="77777777" w:rsidR="002E1A9F" w:rsidRDefault="002E1A9F" w:rsidP="002E1A9F">
      <w:pPr>
        <w:spacing w:line="360" w:lineRule="auto"/>
        <w:jc w:val="both"/>
        <w:rPr>
          <w:rFonts w:ascii="David" w:hAnsi="David"/>
          <w:rtl/>
        </w:rPr>
      </w:pPr>
      <w:r>
        <w:rPr>
          <w:rFonts w:ascii="David" w:hAnsi="David" w:hint="cs"/>
          <w:rtl/>
        </w:rPr>
        <w:t>1.</w:t>
      </w:r>
      <w:r>
        <w:rPr>
          <w:rFonts w:ascii="David" w:hAnsi="David" w:hint="cs"/>
          <w:rtl/>
        </w:rPr>
        <w:tab/>
      </w:r>
      <w:bookmarkStart w:id="6" w:name="ABSTRACT_START"/>
      <w:bookmarkEnd w:id="6"/>
      <w:r>
        <w:rPr>
          <w:rFonts w:ascii="David" w:hAnsi="David" w:hint="cs"/>
          <w:rtl/>
        </w:rPr>
        <w:t xml:space="preserve">לאחר שנשמעו שישה עדי תביעה, ביום 26.1.20, הודה הנאשם במיוחס לו בכתב האישום בתיק העיקרי, במסגרת הסדר טיעון, והורשע בעבירה של </w:t>
      </w:r>
      <w:r w:rsidRPr="00143697">
        <w:rPr>
          <w:rFonts w:ascii="David" w:hAnsi="David" w:hint="cs"/>
          <w:b/>
          <w:bCs/>
          <w:rtl/>
        </w:rPr>
        <w:t>החזקת סם שלא לצריכה עצמית</w:t>
      </w:r>
      <w:r>
        <w:rPr>
          <w:rFonts w:ascii="David" w:hAnsi="David" w:hint="cs"/>
          <w:rtl/>
        </w:rPr>
        <w:t xml:space="preserve">, בניגוד </w:t>
      </w:r>
      <w:hyperlink r:id="rId19" w:history="1">
        <w:r w:rsidR="00797A2E" w:rsidRPr="00797A2E">
          <w:rPr>
            <w:rStyle w:val="Hyperlink"/>
            <w:rFonts w:ascii="David" w:hAnsi="David" w:hint="eastAsia"/>
            <w:rtl/>
          </w:rPr>
          <w:t>לסעיף</w:t>
        </w:r>
        <w:r w:rsidR="00797A2E" w:rsidRPr="00797A2E">
          <w:rPr>
            <w:rStyle w:val="Hyperlink"/>
            <w:rFonts w:ascii="David" w:hAnsi="David"/>
            <w:rtl/>
          </w:rPr>
          <w:t xml:space="preserve"> 7(א)</w:t>
        </w:r>
      </w:hyperlink>
      <w:r>
        <w:rPr>
          <w:rFonts w:ascii="David" w:hAnsi="David" w:hint="cs"/>
          <w:rtl/>
        </w:rPr>
        <w:t xml:space="preserve"> ו-</w:t>
      </w:r>
      <w:hyperlink r:id="rId20" w:history="1">
        <w:r w:rsidR="00797A2E" w:rsidRPr="00797A2E">
          <w:rPr>
            <w:rStyle w:val="Hyperlink"/>
            <w:rFonts w:ascii="David" w:hAnsi="David"/>
            <w:rtl/>
          </w:rPr>
          <w:t>(ג)</w:t>
        </w:r>
      </w:hyperlink>
      <w:r>
        <w:rPr>
          <w:rFonts w:ascii="David" w:hAnsi="David" w:hint="cs"/>
          <w:rtl/>
        </w:rPr>
        <w:t xml:space="preserve"> רישא ל</w:t>
      </w:r>
      <w:hyperlink r:id="rId21" w:history="1">
        <w:r w:rsidR="00066430" w:rsidRPr="00066430">
          <w:rPr>
            <w:rFonts w:ascii="David" w:hAnsi="David"/>
            <w:color w:val="0000FF"/>
            <w:u w:val="single"/>
            <w:rtl/>
          </w:rPr>
          <w:t>פקודת הסמים המסוכנים</w:t>
        </w:r>
      </w:hyperlink>
      <w:r>
        <w:rPr>
          <w:rFonts w:ascii="David" w:hAnsi="David" w:hint="cs"/>
          <w:rtl/>
        </w:rPr>
        <w:t>.</w:t>
      </w:r>
    </w:p>
    <w:p w14:paraId="472BCB31" w14:textId="77777777" w:rsidR="002E1A9F" w:rsidRDefault="002E1A9F" w:rsidP="002E1A9F">
      <w:pPr>
        <w:spacing w:line="360" w:lineRule="auto"/>
        <w:jc w:val="both"/>
        <w:rPr>
          <w:rFonts w:ascii="David" w:hAnsi="David"/>
          <w:rtl/>
        </w:rPr>
      </w:pPr>
      <w:r>
        <w:rPr>
          <w:rFonts w:ascii="David" w:hAnsi="David" w:hint="cs"/>
          <w:rtl/>
        </w:rPr>
        <w:lastRenderedPageBreak/>
        <w:t xml:space="preserve">על פי עובדות כתב האישום, ביום 10.2.17 בשעה 18:30, החזיק הנאשם בביתו שבכפר קאסם סמים מסוכנים ללא היתר, כדלקמן </w:t>
      </w:r>
      <w:r>
        <w:rPr>
          <w:rFonts w:ascii="David" w:hAnsi="David"/>
          <w:rtl/>
        </w:rPr>
        <w:t>–</w:t>
      </w:r>
      <w:r>
        <w:rPr>
          <w:rFonts w:ascii="David" w:hAnsi="David" w:hint="cs"/>
          <w:rtl/>
        </w:rPr>
        <w:t xml:space="preserve"> סם מסוכן מסוג הרואין במשקל 31.6386 גרם נטו; 31 אריזות מפלסטיק סגורות בחום ובתוכן סם מסוכן מסוג הרואין במשקל כולל של 18.414 גרם נטו; סם מסוכן מסוג </w:t>
      </w:r>
      <w:r>
        <w:rPr>
          <w:rFonts w:ascii="David" w:hAnsi="David"/>
        </w:rPr>
        <w:t>fub-amb</w:t>
      </w:r>
      <w:r>
        <w:rPr>
          <w:rFonts w:ascii="David" w:hAnsi="David" w:hint="cs"/>
          <w:rtl/>
        </w:rPr>
        <w:t xml:space="preserve"> במשקל 0.6461 גרם נטו; וסם מסוכן מסוג חשיש במשקל 22.25 גרם נטו.</w:t>
      </w:r>
    </w:p>
    <w:p w14:paraId="761EF761" w14:textId="77777777" w:rsidR="002E1A9F" w:rsidRDefault="002E1A9F" w:rsidP="002E1A9F">
      <w:pPr>
        <w:spacing w:line="360" w:lineRule="auto"/>
        <w:jc w:val="both"/>
        <w:rPr>
          <w:rFonts w:ascii="David" w:hAnsi="David"/>
          <w:rtl/>
        </w:rPr>
      </w:pPr>
      <w:bookmarkStart w:id="7" w:name="ABSTRACT_END"/>
      <w:bookmarkEnd w:id="7"/>
    </w:p>
    <w:p w14:paraId="1D05499D" w14:textId="77777777" w:rsidR="002E1A9F" w:rsidRDefault="002E1A9F" w:rsidP="002E1A9F">
      <w:pPr>
        <w:spacing w:line="360" w:lineRule="auto"/>
        <w:jc w:val="both"/>
        <w:rPr>
          <w:rFonts w:ascii="David" w:hAnsi="David"/>
          <w:rtl/>
        </w:rPr>
      </w:pPr>
      <w:r>
        <w:rPr>
          <w:rFonts w:ascii="David" w:hAnsi="David" w:hint="cs"/>
          <w:rtl/>
        </w:rPr>
        <w:t xml:space="preserve">במסגרת הסדר הטיעון הוסכם כי הנאשם יישלח לשירות המבחן לצורך קבלת תסקיר בעניינו. הוסכם שבמידה והתסקיר ילמד על לקיחת אחריות על ביצוע העבירה, הירתמות להליך טיפולי, נקיון מסמים, היעדר פתיחת תיקים חדשים, ושבסופו תהיה המלצה שיקומית הכוללת צו מבחן למשך שנה </w:t>
      </w:r>
      <w:r>
        <w:rPr>
          <w:rFonts w:ascii="David" w:hAnsi="David"/>
          <w:rtl/>
        </w:rPr>
        <w:t>–</w:t>
      </w:r>
      <w:r>
        <w:rPr>
          <w:rFonts w:ascii="David" w:hAnsi="David" w:hint="cs"/>
          <w:rtl/>
        </w:rPr>
        <w:t xml:space="preserve"> יעתרו הצדדים במשותף לעונש של 6 חודשי מאסר בפועל שירוצו בעבודות שירות, בכפוף לחוות דעת הממונה על עבודות השירות, מאסר על תנאי, קנס כספי וצו מבחן למשך שנה. ככל שהתסקיר לא ילמד כאמור, ולא תהיה בו המלצה שיקומית, הצדדים יטענו באופן חופשי לעונש, כאשר מובהר שעמדת המאשימה תהיה למאסר בפועל ולענישה נלווית.</w:t>
      </w:r>
    </w:p>
    <w:p w14:paraId="6EE5CBCC" w14:textId="77777777" w:rsidR="002E1A9F" w:rsidRDefault="002E1A9F" w:rsidP="002E1A9F">
      <w:pPr>
        <w:spacing w:line="360" w:lineRule="auto"/>
        <w:jc w:val="both"/>
        <w:rPr>
          <w:rFonts w:ascii="David" w:hAnsi="David"/>
          <w:rtl/>
        </w:rPr>
      </w:pPr>
    </w:p>
    <w:p w14:paraId="00C8410E" w14:textId="77777777" w:rsidR="002E1A9F" w:rsidRDefault="002E1A9F" w:rsidP="002E1A9F">
      <w:pPr>
        <w:spacing w:line="360" w:lineRule="auto"/>
        <w:jc w:val="both"/>
        <w:rPr>
          <w:rFonts w:ascii="David" w:hAnsi="David"/>
          <w:rtl/>
        </w:rPr>
      </w:pPr>
      <w:r>
        <w:rPr>
          <w:rFonts w:ascii="David" w:hAnsi="David" w:hint="cs"/>
          <w:rtl/>
        </w:rPr>
        <w:t>2.</w:t>
      </w:r>
      <w:r>
        <w:rPr>
          <w:rFonts w:ascii="David" w:hAnsi="David" w:hint="cs"/>
          <w:rtl/>
        </w:rPr>
        <w:tab/>
        <w:t xml:space="preserve">ביום 14.9.20 התקבלה הודעה מטעם שירות המבחן בה נאמר שהנאשם נעצר ביום 5.8.20 בגין העבירות המיוחסות לו בתיק הצירוף, </w:t>
      </w:r>
      <w:hyperlink r:id="rId22" w:history="1">
        <w:r w:rsidR="00066430" w:rsidRPr="00066430">
          <w:rPr>
            <w:rFonts w:ascii="David" w:hAnsi="David"/>
            <w:color w:val="0000FF"/>
            <w:u w:val="single"/>
            <w:rtl/>
          </w:rPr>
          <w:t>פ"ל 1292-08-20</w:t>
        </w:r>
      </w:hyperlink>
      <w:r>
        <w:rPr>
          <w:rFonts w:ascii="David" w:hAnsi="David" w:hint="cs"/>
          <w:rtl/>
        </w:rPr>
        <w:t xml:space="preserve">, עבירות של </w:t>
      </w:r>
      <w:r>
        <w:rPr>
          <w:rFonts w:ascii="David" w:hAnsi="David" w:hint="cs"/>
          <w:b/>
          <w:bCs/>
          <w:rtl/>
        </w:rPr>
        <w:t>נהיגה בזמן פסילה</w:t>
      </w:r>
      <w:r>
        <w:rPr>
          <w:rFonts w:ascii="David" w:hAnsi="David" w:hint="cs"/>
          <w:rtl/>
        </w:rPr>
        <w:t xml:space="preserve">, בניגוד </w:t>
      </w:r>
      <w:hyperlink r:id="rId23" w:history="1">
        <w:r w:rsidR="00797A2E" w:rsidRPr="00797A2E">
          <w:rPr>
            <w:rStyle w:val="Hyperlink"/>
            <w:rFonts w:ascii="David" w:hAnsi="David" w:hint="eastAsia"/>
            <w:rtl/>
          </w:rPr>
          <w:t>לסעיף</w:t>
        </w:r>
        <w:r w:rsidR="00797A2E" w:rsidRPr="00797A2E">
          <w:rPr>
            <w:rStyle w:val="Hyperlink"/>
            <w:rFonts w:ascii="David" w:hAnsi="David"/>
            <w:rtl/>
          </w:rPr>
          <w:t xml:space="preserve"> 67</w:t>
        </w:r>
      </w:hyperlink>
      <w:r>
        <w:rPr>
          <w:rFonts w:ascii="David" w:hAnsi="David" w:hint="cs"/>
          <w:rtl/>
        </w:rPr>
        <w:t xml:space="preserve"> ל</w:t>
      </w:r>
      <w:hyperlink r:id="rId24" w:history="1">
        <w:r w:rsidR="00066430" w:rsidRPr="00066430">
          <w:rPr>
            <w:rFonts w:ascii="David" w:hAnsi="David"/>
            <w:color w:val="0000FF"/>
            <w:u w:val="single"/>
            <w:rtl/>
          </w:rPr>
          <w:t>פקודת התעבורה</w:t>
        </w:r>
      </w:hyperlink>
      <w:r>
        <w:rPr>
          <w:rFonts w:ascii="David" w:hAnsi="David" w:hint="cs"/>
          <w:rtl/>
        </w:rPr>
        <w:t xml:space="preserve"> [נוסח חדש], תשכ"א-1961; </w:t>
      </w:r>
      <w:r>
        <w:rPr>
          <w:rFonts w:ascii="David" w:hAnsi="David" w:hint="cs"/>
          <w:b/>
          <w:bCs/>
          <w:rtl/>
        </w:rPr>
        <w:t>רשיון נהיגה פקע יותר מ-12 חודשים</w:t>
      </w:r>
      <w:r>
        <w:rPr>
          <w:rFonts w:ascii="David" w:hAnsi="David" w:hint="cs"/>
          <w:rtl/>
        </w:rPr>
        <w:t xml:space="preserve">, בניגוד </w:t>
      </w:r>
      <w:hyperlink r:id="rId25" w:history="1">
        <w:r w:rsidR="00797A2E" w:rsidRPr="00797A2E">
          <w:rPr>
            <w:rStyle w:val="Hyperlink"/>
            <w:rFonts w:ascii="David" w:hAnsi="David" w:hint="eastAsia"/>
            <w:rtl/>
          </w:rPr>
          <w:t>לסעיף</w:t>
        </w:r>
        <w:r w:rsidR="00797A2E" w:rsidRPr="00797A2E">
          <w:rPr>
            <w:rStyle w:val="Hyperlink"/>
            <w:rFonts w:ascii="David" w:hAnsi="David"/>
            <w:rtl/>
          </w:rPr>
          <w:t xml:space="preserve"> 10א'</w:t>
        </w:r>
      </w:hyperlink>
      <w:r>
        <w:rPr>
          <w:rFonts w:ascii="David" w:hAnsi="David" w:hint="cs"/>
          <w:rtl/>
        </w:rPr>
        <w:t xml:space="preserve"> לפקודת התעבורה; </w:t>
      </w:r>
      <w:r>
        <w:rPr>
          <w:rFonts w:ascii="David" w:hAnsi="David" w:hint="cs"/>
          <w:b/>
          <w:bCs/>
          <w:rtl/>
        </w:rPr>
        <w:t>נהיגה ברכב ללא ביטוח</w:t>
      </w:r>
      <w:r>
        <w:rPr>
          <w:rFonts w:ascii="David" w:hAnsi="David" w:hint="cs"/>
          <w:rtl/>
        </w:rPr>
        <w:t xml:space="preserve">, בניגוד </w:t>
      </w:r>
      <w:hyperlink r:id="rId26" w:history="1">
        <w:r w:rsidR="00C016B5" w:rsidRPr="00C016B5">
          <w:rPr>
            <w:rStyle w:val="Hyperlink"/>
            <w:rFonts w:ascii="David" w:hAnsi="David" w:hint="eastAsia"/>
            <w:rtl/>
          </w:rPr>
          <w:t>לסעיף</w:t>
        </w:r>
        <w:r w:rsidR="00C016B5" w:rsidRPr="00C016B5">
          <w:rPr>
            <w:rStyle w:val="Hyperlink"/>
            <w:rFonts w:ascii="David" w:hAnsi="David"/>
            <w:rtl/>
          </w:rPr>
          <w:t xml:space="preserve"> 2א'</w:t>
        </w:r>
      </w:hyperlink>
      <w:r>
        <w:rPr>
          <w:rFonts w:ascii="David" w:hAnsi="David" w:hint="cs"/>
          <w:rtl/>
        </w:rPr>
        <w:t xml:space="preserve"> ל</w:t>
      </w:r>
      <w:hyperlink r:id="rId27" w:history="1">
        <w:r w:rsidR="00066430" w:rsidRPr="00066430">
          <w:rPr>
            <w:rFonts w:ascii="David" w:hAnsi="David"/>
            <w:color w:val="0000FF"/>
            <w:u w:val="single"/>
            <w:rtl/>
          </w:rPr>
          <w:t>פקודת ביטוח רכב מנועי</w:t>
        </w:r>
      </w:hyperlink>
      <w:r>
        <w:rPr>
          <w:rFonts w:ascii="David" w:hAnsi="David" w:hint="cs"/>
          <w:rtl/>
        </w:rPr>
        <w:t xml:space="preserve"> [נוסח חדש], תש"ל-1970; </w:t>
      </w:r>
      <w:r>
        <w:rPr>
          <w:rFonts w:ascii="David" w:hAnsi="David" w:hint="cs"/>
          <w:b/>
          <w:bCs/>
          <w:rtl/>
        </w:rPr>
        <w:t>שימוש בטלפון בעת שהרכב נע שלא באמצעות דיבורית</w:t>
      </w:r>
      <w:r>
        <w:rPr>
          <w:rFonts w:ascii="David" w:hAnsi="David" w:hint="cs"/>
          <w:rtl/>
        </w:rPr>
        <w:t xml:space="preserve">, בניגוד </w:t>
      </w:r>
      <w:hyperlink r:id="rId28" w:history="1">
        <w:r w:rsidR="00C016B5" w:rsidRPr="00C016B5">
          <w:rPr>
            <w:rStyle w:val="Hyperlink"/>
            <w:rFonts w:ascii="David" w:hAnsi="David" w:hint="eastAsia"/>
            <w:rtl/>
          </w:rPr>
          <w:t>תקנה</w:t>
        </w:r>
        <w:r w:rsidR="00C016B5" w:rsidRPr="00C016B5">
          <w:rPr>
            <w:rStyle w:val="Hyperlink"/>
            <w:rFonts w:ascii="David" w:hAnsi="David"/>
            <w:rtl/>
          </w:rPr>
          <w:t xml:space="preserve"> 28(ב)(1)(א)</w:t>
        </w:r>
      </w:hyperlink>
      <w:r>
        <w:rPr>
          <w:rFonts w:ascii="David" w:hAnsi="David" w:hint="cs"/>
          <w:rtl/>
        </w:rPr>
        <w:t xml:space="preserve"> ל</w:t>
      </w:r>
      <w:hyperlink r:id="rId29" w:history="1">
        <w:r w:rsidR="00066430" w:rsidRPr="00066430">
          <w:rPr>
            <w:rFonts w:ascii="David" w:hAnsi="David"/>
            <w:color w:val="0000FF"/>
            <w:u w:val="single"/>
            <w:rtl/>
          </w:rPr>
          <w:t>תקנות התעבורה</w:t>
        </w:r>
      </w:hyperlink>
      <w:r>
        <w:rPr>
          <w:rFonts w:ascii="David" w:hAnsi="David" w:hint="cs"/>
          <w:rtl/>
        </w:rPr>
        <w:t>, תשכ"א-1961; ו</w:t>
      </w:r>
      <w:r>
        <w:rPr>
          <w:rFonts w:ascii="David" w:hAnsi="David" w:hint="cs"/>
          <w:b/>
          <w:bCs/>
          <w:rtl/>
        </w:rPr>
        <w:t>רשיון הרכב פקע יותר מ-4 חודשים ועד שנה</w:t>
      </w:r>
      <w:r>
        <w:rPr>
          <w:rFonts w:ascii="David" w:hAnsi="David" w:hint="cs"/>
          <w:rtl/>
        </w:rPr>
        <w:t xml:space="preserve">, בניגוד </w:t>
      </w:r>
      <w:hyperlink r:id="rId30" w:history="1">
        <w:r w:rsidR="00C016B5" w:rsidRPr="00C016B5">
          <w:rPr>
            <w:rStyle w:val="Hyperlink"/>
            <w:rFonts w:ascii="David" w:hAnsi="David" w:hint="eastAsia"/>
            <w:rtl/>
          </w:rPr>
          <w:t>לסעיף</w:t>
        </w:r>
        <w:r w:rsidR="00C016B5" w:rsidRPr="00C016B5">
          <w:rPr>
            <w:rStyle w:val="Hyperlink"/>
            <w:rFonts w:ascii="David" w:hAnsi="David"/>
            <w:rtl/>
          </w:rPr>
          <w:t xml:space="preserve"> 2</w:t>
        </w:r>
      </w:hyperlink>
      <w:r>
        <w:rPr>
          <w:rFonts w:ascii="David" w:hAnsi="David" w:hint="cs"/>
          <w:rtl/>
        </w:rPr>
        <w:t xml:space="preserve"> לפקודת התעבורה.</w:t>
      </w:r>
    </w:p>
    <w:p w14:paraId="1D7477F3" w14:textId="77777777" w:rsidR="002E1A9F" w:rsidRDefault="002E1A9F" w:rsidP="002E1A9F">
      <w:pPr>
        <w:spacing w:line="360" w:lineRule="auto"/>
        <w:jc w:val="both"/>
        <w:rPr>
          <w:rFonts w:ascii="David" w:hAnsi="David"/>
          <w:rtl/>
        </w:rPr>
      </w:pPr>
      <w:r>
        <w:rPr>
          <w:rFonts w:ascii="David" w:hAnsi="David" w:hint="cs"/>
          <w:rtl/>
        </w:rPr>
        <w:t>על פי עובדות כתב האישום בתיק הצירוף, ביום 31.12.17 נדון הנאשם, בין היתר, ל-24 חודשי פסילה בפועל שמניינה מיום שחרורו ממאסר. הנאשם השתחרר ממאסר ביום 3.5.19. ביום 5.8.20 בשעה 11:43 נהג הנאשם ברכב בכפר קאסם, ביודעו שהוא פסול לנהיגה. הנאשם נהג ללא רשיון נהיגה תקף, אשר פקע ביום 10.9.00. הנאשם נהג ללא רשיון רכב תקף, אשר פקע ביום 24.1.20. כמו כן, לרכב לא היתה פוליסת ביטוח בת תוקף. הנאשם השתמש בטלפון נייד בעת שהרכב היה בתנועה שלא באמצעות דיבורית.</w:t>
      </w:r>
    </w:p>
    <w:p w14:paraId="182A7228" w14:textId="77777777" w:rsidR="002E1A9F" w:rsidRDefault="002E1A9F" w:rsidP="002E1A9F">
      <w:pPr>
        <w:spacing w:line="360" w:lineRule="auto"/>
        <w:jc w:val="both"/>
        <w:rPr>
          <w:rFonts w:ascii="David" w:hAnsi="David"/>
          <w:rtl/>
        </w:rPr>
      </w:pPr>
    </w:p>
    <w:p w14:paraId="2F6A3572" w14:textId="77777777" w:rsidR="002E1A9F" w:rsidRPr="00C663CD" w:rsidRDefault="002E1A9F" w:rsidP="002E1A9F">
      <w:pPr>
        <w:spacing w:line="360" w:lineRule="auto"/>
        <w:jc w:val="both"/>
        <w:rPr>
          <w:rFonts w:ascii="David" w:hAnsi="David"/>
          <w:b/>
          <w:bCs/>
          <w:u w:val="single"/>
          <w:rtl/>
        </w:rPr>
      </w:pPr>
      <w:r w:rsidRPr="00C663CD">
        <w:rPr>
          <w:rFonts w:ascii="David" w:hAnsi="David" w:hint="cs"/>
          <w:b/>
          <w:bCs/>
          <w:u w:val="single"/>
          <w:rtl/>
        </w:rPr>
        <w:t>תסקירי שירות המבחן</w:t>
      </w:r>
    </w:p>
    <w:p w14:paraId="18912E7F" w14:textId="77777777" w:rsidR="002E1A9F" w:rsidRDefault="002E1A9F" w:rsidP="002E1A9F">
      <w:pPr>
        <w:spacing w:line="360" w:lineRule="auto"/>
        <w:jc w:val="both"/>
        <w:rPr>
          <w:rFonts w:ascii="David" w:hAnsi="David"/>
          <w:rtl/>
        </w:rPr>
      </w:pPr>
      <w:r>
        <w:rPr>
          <w:rFonts w:ascii="David" w:hAnsi="David" w:hint="cs"/>
          <w:rtl/>
        </w:rPr>
        <w:t>3.</w:t>
      </w:r>
      <w:r>
        <w:rPr>
          <w:rFonts w:ascii="David" w:hAnsi="David" w:hint="cs"/>
          <w:rtl/>
        </w:rPr>
        <w:tab/>
        <w:t>נוכח העובדה שהנאשם נעצר בתיק הצירוף, התבקשו דחיות על מנת לבחון צירוף התיק לתיק העיקרי שנדון לפניי, ואכן, ביום 9.3.21 הורשע הנאשם על פי הודאתו בתיק הצירוף.</w:t>
      </w:r>
    </w:p>
    <w:p w14:paraId="14B17254" w14:textId="77777777" w:rsidR="002E1A9F" w:rsidRDefault="002E1A9F" w:rsidP="002E1A9F">
      <w:pPr>
        <w:spacing w:line="360" w:lineRule="auto"/>
        <w:jc w:val="both"/>
        <w:rPr>
          <w:rFonts w:ascii="David" w:hAnsi="David"/>
          <w:rtl/>
        </w:rPr>
      </w:pPr>
      <w:r>
        <w:rPr>
          <w:rFonts w:ascii="David" w:hAnsi="David" w:hint="cs"/>
          <w:rtl/>
        </w:rPr>
        <w:t xml:space="preserve">בעניינו של הנאשם התקבלו שני תסקירים </w:t>
      </w:r>
      <w:r>
        <w:rPr>
          <w:rFonts w:ascii="David" w:hAnsi="David"/>
          <w:rtl/>
        </w:rPr>
        <w:t>–</w:t>
      </w:r>
      <w:r>
        <w:rPr>
          <w:rFonts w:ascii="David" w:hAnsi="David" w:hint="cs"/>
          <w:rtl/>
        </w:rPr>
        <w:t xml:space="preserve"> האחד בתיק התעבורה והשני בתיק העיקרי.</w:t>
      </w:r>
    </w:p>
    <w:p w14:paraId="767BB47A" w14:textId="77777777" w:rsidR="002E1A9F" w:rsidRDefault="002E1A9F" w:rsidP="002E1A9F">
      <w:pPr>
        <w:spacing w:line="360" w:lineRule="auto"/>
        <w:jc w:val="both"/>
        <w:rPr>
          <w:rFonts w:ascii="David" w:hAnsi="David"/>
          <w:rtl/>
        </w:rPr>
      </w:pPr>
    </w:p>
    <w:p w14:paraId="02C7981C" w14:textId="77777777" w:rsidR="002E1A9F" w:rsidRDefault="002E1A9F" w:rsidP="002E1A9F">
      <w:pPr>
        <w:spacing w:line="360" w:lineRule="auto"/>
        <w:jc w:val="both"/>
        <w:rPr>
          <w:rFonts w:ascii="David" w:hAnsi="David"/>
          <w:rtl/>
        </w:rPr>
      </w:pPr>
      <w:r w:rsidRPr="00840BB5">
        <w:rPr>
          <w:rFonts w:ascii="David" w:hAnsi="David" w:hint="cs"/>
          <w:u w:val="single"/>
          <w:rtl/>
        </w:rPr>
        <w:t>מתסקיר מיום 16.12.20</w:t>
      </w:r>
      <w:r>
        <w:rPr>
          <w:rFonts w:ascii="David" w:hAnsi="David" w:hint="cs"/>
          <w:rtl/>
        </w:rPr>
        <w:t xml:space="preserve">, אשר הוגש ביחס לתיק הסמים העיקרי, עלה שהנאשם כבן 44, נשוי ואב ל-3 בנות, עובד בתחום הרתכות. במהלך חייו לא התמיד במסגרות תעסוקתיות, התנהל באופן שולי, חזר והסתבך עם החוק וריצה עונשי מאסר. מגיל 23 החל להשתמש בסמים מסוג חשיש ואקסטזי </w:t>
      </w:r>
      <w:r>
        <w:rPr>
          <w:rFonts w:ascii="David" w:hAnsi="David" w:hint="cs"/>
          <w:rtl/>
        </w:rPr>
        <w:lastRenderedPageBreak/>
        <w:t>באופן שבועי. בשנת 2011 הפסיק שימוש בסם באופן עצמאי. יחד עם זאת, טרם מעצרו השתמש בסמים מסוג קנאביס ואקסטזי והביע עמדות מקלות סביב השימוש בסמים. הוא שלל כי רואה בעייתיות באופי שימושו בסמים. לחובת הנאשם 7 הרשעות קודמות מהשנים 2013-1995 בגין עבירות סמים, רכוש ואלימות בגינן נדון, בין היתר, ל-4 עונשי מאסר ולפסילת רשיון נהיגה. לחובתו של הנאשם 21 הרשעות תעבורה קודמות בגין עבירות של נהיגה בזמן פסילה ונהיגה ללא רשיון נהיגה (מעולם לא הוצא). בשנת 2015, עת הופנה לשירות המבחן במסגרת תיק קודם, אובחן כמחזיק בדפוסים שוליים, תוקפניים והתמכרותיים. אז העריך השירות שקיימת נזקקות טיפולית והנאשם ביטא מוטיבציה ראשונית להשתלב בטיפול. לכששולב בקבוצה טיפולית, התנהל באופן מניפולטיבי, ניהל אורח חיים שולי והתמכרותי וההתרשמות שהוא נעדר כוחות להיגמל מסמים ולנהל אורח חיים תקין. הוא נדון לעונש מאסר ממנו השתחרר בחודש מאי 2019.</w:t>
      </w:r>
    </w:p>
    <w:p w14:paraId="3E2315B5" w14:textId="77777777" w:rsidR="002E1A9F" w:rsidRDefault="002E1A9F" w:rsidP="002E1A9F">
      <w:pPr>
        <w:spacing w:line="360" w:lineRule="auto"/>
        <w:jc w:val="both"/>
        <w:rPr>
          <w:rFonts w:ascii="David" w:hAnsi="David"/>
          <w:rtl/>
        </w:rPr>
      </w:pPr>
      <w:r>
        <w:rPr>
          <w:rFonts w:ascii="David" w:hAnsi="David" w:hint="cs"/>
          <w:rtl/>
        </w:rPr>
        <w:t>במסגרת הפגישה עמו התרשם שירות המבחן מגורמי סיכון רבים להישנות התנהגות עוברת חוק בתחום התעבורה וכן סיכון להישנות התנהגות עוברת חוק בכלל. הנאשם שלל נזקקות טיפולית בתחום ההתמכרויות ולפיכך, לא בא השירות בהמלצה טיפולית בעניינו.</w:t>
      </w:r>
    </w:p>
    <w:p w14:paraId="630488B0" w14:textId="77777777" w:rsidR="002E1A9F" w:rsidRDefault="002E1A9F" w:rsidP="002E1A9F">
      <w:pPr>
        <w:spacing w:line="360" w:lineRule="auto"/>
        <w:jc w:val="both"/>
        <w:rPr>
          <w:rFonts w:ascii="David" w:hAnsi="David"/>
          <w:rtl/>
        </w:rPr>
      </w:pPr>
      <w:r>
        <w:rPr>
          <w:rFonts w:ascii="David" w:hAnsi="David" w:hint="cs"/>
          <w:rtl/>
        </w:rPr>
        <w:t>בהתייחסותו לעבירת הסמים, טען שהתנהל מרדף משטרתי אחרי אחרים שהכיר, הם נכנסו לביתו השליכו את הסמים שנשאו עמם והמשיכו במרדף, הוצא צו חיפוש ונמצאו הסמים בביתו. הנאשם שלל כל קשר לביצוע העבירה, טען שהסמים לא שייכים לו, שלל תכנון לסחור בהם ואף לא התכוון להשתמש בהם לצריכתו העצמית. לדבריו, במאסרו האחרון השתתף בטיפול בתחום ההתמכרויות בכלא. במסגרת מעצרו הנוכחי ביקש להשתלב כחונך בפרויקט טיפולי, אך טרם שולב. הנאשם שלל צורך טיפולי בתחום ההתמכרויות.</w:t>
      </w:r>
    </w:p>
    <w:p w14:paraId="3FFCA0CE" w14:textId="77777777" w:rsidR="002E1A9F" w:rsidRDefault="002E1A9F" w:rsidP="002E1A9F">
      <w:pPr>
        <w:spacing w:line="360" w:lineRule="auto"/>
        <w:jc w:val="both"/>
        <w:rPr>
          <w:rFonts w:ascii="David" w:hAnsi="David"/>
          <w:rtl/>
        </w:rPr>
      </w:pPr>
      <w:r>
        <w:rPr>
          <w:rFonts w:ascii="David" w:hAnsi="David" w:hint="cs"/>
          <w:rtl/>
        </w:rPr>
        <w:t>לאחר ששקלל גורמי סיכון וסיכוי בעניינו של הנאשם, הגיע שירות המבחן למסקנה כי עלו גורמי סיכון רבים להישנות התנהגות עוברת חוק בתחום התעבורה וכן סיכון להישנות התנהגות עוברת חוק בכלל. נוכח גורמי הסיכון, ובהיעדר תכנית טיפולית, נמנע שירות המבחן מהמלצה שיקומית בעניינו.</w:t>
      </w:r>
    </w:p>
    <w:p w14:paraId="59B1C2A5" w14:textId="77777777" w:rsidR="002E1A9F" w:rsidRDefault="002E1A9F" w:rsidP="002E1A9F">
      <w:pPr>
        <w:spacing w:line="360" w:lineRule="auto"/>
        <w:jc w:val="both"/>
        <w:rPr>
          <w:rFonts w:ascii="David" w:hAnsi="David"/>
          <w:rtl/>
        </w:rPr>
      </w:pPr>
    </w:p>
    <w:p w14:paraId="13851C8B" w14:textId="77777777" w:rsidR="002E1A9F" w:rsidRDefault="002E1A9F" w:rsidP="002E1A9F">
      <w:pPr>
        <w:spacing w:line="360" w:lineRule="auto"/>
        <w:jc w:val="both"/>
        <w:rPr>
          <w:rFonts w:ascii="David" w:hAnsi="David"/>
          <w:rtl/>
        </w:rPr>
      </w:pPr>
      <w:r w:rsidRPr="00132A06">
        <w:rPr>
          <w:rFonts w:ascii="David" w:hAnsi="David" w:hint="cs"/>
          <w:u w:val="single"/>
          <w:rtl/>
        </w:rPr>
        <w:t>מתסקיר מיום 6.12.20</w:t>
      </w:r>
      <w:r>
        <w:rPr>
          <w:rFonts w:ascii="David" w:hAnsi="David" w:hint="cs"/>
          <w:rtl/>
        </w:rPr>
        <w:t>, אשר הוגש ביחס לתיק התעבורה, עלה שהנאשם מזער מחלקו בביצוע העבירות, טען שלאחר שחרורו ממאסר בשנת 2019 נהג ברכבו בעיקר מהחניה אל פתח הבית והתקשה לראות בעייתיות בהתנהלותו. הוא לא זכר שהשתמש בטלפון בעת הנהיגה. לאור חזרתיות בביצוע עבירות תעבורה הסיק שירות המבחן שהנאשם מתנהל באופן מקל ראש בכל הקשור לחוקי התעבורה וחוזר ונוהג כשהוא פסול לנהיגה. גם כאן, לאחר שקלול גורמי סיכון וסיכוי במצבו, ולאור חזרתיות בביצוע עבירות תעבורה תוך הקלת ראש בחוקי התעבורה, נמנע שירות המבחן מהמלצה שיקומית טיפולית בעניינו.</w:t>
      </w:r>
    </w:p>
    <w:p w14:paraId="74A4C9D9" w14:textId="77777777" w:rsidR="002E1A9F" w:rsidRDefault="002E1A9F" w:rsidP="002E1A9F">
      <w:pPr>
        <w:spacing w:line="360" w:lineRule="auto"/>
        <w:jc w:val="both"/>
        <w:rPr>
          <w:rFonts w:ascii="David" w:hAnsi="David"/>
          <w:rtl/>
        </w:rPr>
      </w:pPr>
    </w:p>
    <w:p w14:paraId="70E0835D" w14:textId="77777777" w:rsidR="002E1A9F" w:rsidRDefault="002E1A9F" w:rsidP="002E1A9F">
      <w:pPr>
        <w:spacing w:line="360" w:lineRule="auto"/>
        <w:jc w:val="both"/>
        <w:rPr>
          <w:rFonts w:ascii="David" w:hAnsi="David"/>
          <w:rtl/>
        </w:rPr>
      </w:pPr>
      <w:r w:rsidRPr="000D46D5">
        <w:rPr>
          <w:rFonts w:ascii="David" w:hAnsi="David" w:hint="cs"/>
          <w:u w:val="single"/>
          <w:rtl/>
        </w:rPr>
        <w:t>מהבהרה מיום 27.12.20</w:t>
      </w:r>
      <w:r>
        <w:rPr>
          <w:rFonts w:ascii="David" w:hAnsi="David" w:hint="cs"/>
          <w:rtl/>
        </w:rPr>
        <w:t xml:space="preserve"> אשר הוגשה מטעם מחלקת חינוך, טיפול ושיקום בשירות בתי הסוהר, נאמר שהנאשם נמצא בבית מעצר "הדרים" מיום 5.5.20. בתחילת מעצרו דיווח על נקיון מסמים לאחר שעבר טיפול גמילה במאסרו הקודם. לפני כחודש שינה דבריו ודיווח כי השתמש בסמים בכלא ובאותו המעמד ביקש להשתלב בתכנית הכנה לטיפול גמילה אולם עוד טרם נבדקה התאמתו דיווח כי לא השתמש בסמים. למרות הדיווחים הסותרים מדווח שעדיין ברצונו להשתלב בתכנית. השתלבותו בתכנית תיבחן בהמשך בכפוף למקום פנוי ולשיתוף פעולה מצדו.</w:t>
      </w:r>
    </w:p>
    <w:p w14:paraId="701C7899" w14:textId="77777777" w:rsidR="002E1A9F" w:rsidRDefault="002E1A9F" w:rsidP="002E1A9F">
      <w:pPr>
        <w:spacing w:line="360" w:lineRule="auto"/>
        <w:jc w:val="both"/>
        <w:rPr>
          <w:rFonts w:ascii="David" w:hAnsi="David"/>
          <w:rtl/>
        </w:rPr>
      </w:pPr>
    </w:p>
    <w:p w14:paraId="0F4B827E" w14:textId="77777777" w:rsidR="002E1A9F" w:rsidRPr="005B7B28" w:rsidRDefault="002E1A9F" w:rsidP="002E1A9F">
      <w:pPr>
        <w:spacing w:line="360" w:lineRule="auto"/>
        <w:jc w:val="both"/>
        <w:rPr>
          <w:rFonts w:ascii="David" w:hAnsi="David"/>
          <w:b/>
          <w:bCs/>
          <w:u w:val="single"/>
          <w:rtl/>
        </w:rPr>
      </w:pPr>
      <w:r w:rsidRPr="005B7B28">
        <w:rPr>
          <w:rFonts w:ascii="David" w:hAnsi="David" w:hint="cs"/>
          <w:b/>
          <w:bCs/>
          <w:u w:val="single"/>
          <w:rtl/>
        </w:rPr>
        <w:t>תמצית טיעוני ב"כ הצדדים</w:t>
      </w:r>
    </w:p>
    <w:p w14:paraId="5ED9C775" w14:textId="77777777" w:rsidR="002E1A9F" w:rsidRDefault="002E1A9F" w:rsidP="002E1A9F">
      <w:pPr>
        <w:spacing w:line="360" w:lineRule="auto"/>
        <w:jc w:val="both"/>
        <w:rPr>
          <w:rFonts w:ascii="David" w:hAnsi="David"/>
          <w:rtl/>
        </w:rPr>
      </w:pPr>
      <w:r>
        <w:rPr>
          <w:rFonts w:ascii="David" w:hAnsi="David" w:hint="cs"/>
          <w:rtl/>
        </w:rPr>
        <w:t>4.</w:t>
      </w:r>
      <w:r>
        <w:rPr>
          <w:rFonts w:ascii="David" w:hAnsi="David" w:hint="cs"/>
          <w:rtl/>
        </w:rPr>
        <w:tab/>
        <w:t xml:space="preserve">ב"כ המאשימה הפנה לערכים החברתיים המוגנים בעבירות העיקריות בהן הורשע הנאשם שעניינם שמירה על שלומו ובטחונו של הציבור מפני פגיעתם הרעה של הסמים המסוכנים ושמירה על שלומם ובטחונם של המשתמשים בדרך מפני מי שנוטלים את ההגה לידיהם ונוהגים ברכב מנועי כשהם נתונים בפסילה או כשרשיון הנהיגה שלהם פקע לפני שנים רבות. התובע הפנה לנסיבות המחמירות בכל תיק </w:t>
      </w:r>
      <w:r>
        <w:rPr>
          <w:rFonts w:ascii="David" w:hAnsi="David"/>
          <w:rtl/>
        </w:rPr>
        <w:t>–</w:t>
      </w:r>
      <w:r>
        <w:rPr>
          <w:rFonts w:ascii="David" w:hAnsi="David" w:hint="cs"/>
          <w:rtl/>
        </w:rPr>
        <w:t xml:space="preserve"> בתיק הסמים טען שהנאשם החזיק בסמים מסוכנים, מסוגים שונים, בכמויות גדולות, כאשר מדובר, בין היתר, בסמים "קשים" מסוג הרואין, בכמות שהיא בערך פי 166 מהכמות שמוגדרת לצריכה עצמית. כמו כן, הפנה לכך שהסמים היו מחולקים לאריזות; בתיק התעבורה טען שהנאשם נהג בזמן פסילה, זו הפעם השלישית, נהג כשרשיון הנהיגה שלו פקע, זו הפעם העשירית, וכשרשיון הרכב פקע, זו הפעם הרביעית </w:t>
      </w:r>
      <w:r>
        <w:rPr>
          <w:rFonts w:ascii="David" w:hAnsi="David"/>
          <w:rtl/>
        </w:rPr>
        <w:t>–</w:t>
      </w:r>
      <w:r>
        <w:rPr>
          <w:rFonts w:ascii="David" w:hAnsi="David" w:hint="cs"/>
          <w:rtl/>
        </w:rPr>
        <w:t xml:space="preserve"> כל זאת כאשר תלויים ועומדים נגדו שני מאסרים על תנאי בני הפעלה </w:t>
      </w:r>
      <w:r>
        <w:rPr>
          <w:rFonts w:ascii="David" w:hAnsi="David"/>
          <w:rtl/>
        </w:rPr>
        <w:t>–</w:t>
      </w:r>
      <w:r>
        <w:rPr>
          <w:rFonts w:ascii="David" w:hAnsi="David" w:hint="cs"/>
          <w:rtl/>
        </w:rPr>
        <w:t xml:space="preserve"> האחד לתקופה של 12 חודשים והשני לתקופה של 6 חודשים. לאור התנהלות חזרתית זו, טען התובע שהנאשם בנהיגתו מסכן חיים ממש.</w:t>
      </w:r>
    </w:p>
    <w:p w14:paraId="63C5A95F" w14:textId="77777777" w:rsidR="002E1A9F" w:rsidRDefault="002E1A9F" w:rsidP="002E1A9F">
      <w:pPr>
        <w:spacing w:line="360" w:lineRule="auto"/>
        <w:jc w:val="both"/>
        <w:rPr>
          <w:rFonts w:ascii="David" w:hAnsi="David"/>
          <w:rtl/>
        </w:rPr>
      </w:pPr>
      <w:r>
        <w:rPr>
          <w:rFonts w:ascii="David" w:hAnsi="David" w:hint="cs"/>
          <w:rtl/>
        </w:rPr>
        <w:t>בנסיבות אלה, טען התובע למתחם עונש הולם, בעבירת הסמים, הנע בין 24 ל-48 חודשי מאסר, לצד מאסר על תנאי וקנס; בגין עבירות התעבורה ביקש התובע לגזור על הנאשם עונש מאסר שלא יפחת מ-24 חודשים, הכולל בתוכו את הפעלת שני המאסרים המותנים התלויים ועומדים נגד הנאשם, לצד פסילה בפועל שתיקבע ברף עליון במתחם שבין 6 ל-60 חודשים.</w:t>
      </w:r>
    </w:p>
    <w:p w14:paraId="30FF817F" w14:textId="77777777" w:rsidR="002E1A9F" w:rsidRDefault="002E1A9F" w:rsidP="002E1A9F">
      <w:pPr>
        <w:spacing w:line="360" w:lineRule="auto"/>
        <w:jc w:val="both"/>
        <w:rPr>
          <w:rFonts w:ascii="David" w:hAnsi="David"/>
          <w:rtl/>
        </w:rPr>
      </w:pPr>
      <w:r>
        <w:rPr>
          <w:rFonts w:ascii="David" w:hAnsi="David" w:hint="cs"/>
          <w:rtl/>
        </w:rPr>
        <w:t>נוכח נסיבות שאינן קשורות בביצוע העבירות, וביניהן, נטילת אחריות חלקית, עבר פלילי הכולל ריצוי מאסרים בפועל, עבר תעבורתי הכולל עבירות זהות לאלה שביצע בתיק התעבורה ותסקירים שליליים של שירות המבחן, ביקש התובע לגזור על הנאשם עונש כולל של 66 חודשי מאסר (5.5 שנות מאסר), הכולל את הפעלת המאסרים על תנאי, לצד מאסר על תנאי, קנס כספי, פסילה בפועל ופסילה על תנאי.</w:t>
      </w:r>
    </w:p>
    <w:p w14:paraId="5517B2C3" w14:textId="77777777" w:rsidR="002E1A9F" w:rsidRDefault="002E1A9F" w:rsidP="002E1A9F">
      <w:pPr>
        <w:spacing w:line="360" w:lineRule="auto"/>
        <w:jc w:val="both"/>
        <w:rPr>
          <w:rFonts w:ascii="David" w:hAnsi="David"/>
          <w:rtl/>
        </w:rPr>
      </w:pPr>
      <w:r>
        <w:rPr>
          <w:rFonts w:ascii="David" w:hAnsi="David" w:hint="cs"/>
          <w:rtl/>
        </w:rPr>
        <w:t>התובע הפנה לפסיקה התומכת בעמדתו.</w:t>
      </w:r>
    </w:p>
    <w:p w14:paraId="0931C393" w14:textId="77777777" w:rsidR="002E1A9F" w:rsidRDefault="002E1A9F" w:rsidP="002E1A9F">
      <w:pPr>
        <w:spacing w:line="360" w:lineRule="auto"/>
        <w:jc w:val="both"/>
        <w:rPr>
          <w:rFonts w:ascii="David" w:hAnsi="David"/>
          <w:rtl/>
        </w:rPr>
      </w:pPr>
    </w:p>
    <w:p w14:paraId="5528A4FC" w14:textId="77777777" w:rsidR="002E1A9F" w:rsidRDefault="002E1A9F" w:rsidP="002E1A9F">
      <w:pPr>
        <w:spacing w:line="360" w:lineRule="auto"/>
        <w:jc w:val="both"/>
        <w:rPr>
          <w:rFonts w:ascii="David" w:hAnsi="David"/>
          <w:rtl/>
        </w:rPr>
      </w:pPr>
      <w:r>
        <w:rPr>
          <w:rFonts w:ascii="David" w:hAnsi="David" w:hint="cs"/>
          <w:rtl/>
        </w:rPr>
        <w:t>5.</w:t>
      </w:r>
      <w:r>
        <w:rPr>
          <w:rFonts w:ascii="David" w:hAnsi="David" w:hint="cs"/>
          <w:rtl/>
        </w:rPr>
        <w:tab/>
        <w:t xml:space="preserve">ב"כ הנאשם טען שמדובר בנאשם שהודה בשני התיקים, נטל אחריות וערך "ניקוי שולחן". נטען שההסדר בתיק העיקרי גובש לאור קושי ראייתי, ועל כן, הסכימה המאשימה להתקשר בהסדר מתון המסתפק בענישה מקלה, יחסית, של 6 חודשי מאסר לריצוי בעבודות שירות, בכפוף לתסקיר חיובי. נטען שקיימת סתירה חזיתית בין האמור בתסקירי שירות המבחן לפיו הנאשם שלל כל נזקקות טיפולית בתחום הסמים וההתמכרויות, בעוד שבהודעת ההבהרה משב"ס נאמר שהנאשם נכון להשתלב בטיפול כזה. נטען שלו היה הנאשם מצרף את תיק הסמים לתיק האחרון שהתנהל בעניינו, אשר פסק הדין בו ניתן בבית המשפט המחוזי בתל-אביב ביום 4.6.18, הרי שהיה זוכה להתחשבות מצד בית המשפט שם באופן שלא היה מכביד בעונשו. לענין עבירות התעבורה </w:t>
      </w:r>
      <w:r>
        <w:rPr>
          <w:rFonts w:ascii="David" w:hAnsi="David"/>
          <w:rtl/>
        </w:rPr>
        <w:t>–</w:t>
      </w:r>
      <w:r>
        <w:rPr>
          <w:rFonts w:ascii="David" w:hAnsi="David" w:hint="cs"/>
          <w:rtl/>
        </w:rPr>
        <w:t xml:space="preserve"> נטען שהנאשם "פעל בצורה שגויה ומטופשת". לענין עבירת הסמים </w:t>
      </w:r>
      <w:r>
        <w:rPr>
          <w:rFonts w:ascii="David" w:hAnsi="David"/>
          <w:rtl/>
        </w:rPr>
        <w:t>–</w:t>
      </w:r>
      <w:r>
        <w:rPr>
          <w:rFonts w:ascii="David" w:hAnsi="David" w:hint="cs"/>
          <w:rtl/>
        </w:rPr>
        <w:t xml:space="preserve"> נטען שהנאשם אמנם עומד בהודאתו, אך טוען ש"פלוני אלמוני הטמין במקום כזה והוא מצא אותם ולקח", ושלל כוונה לסחור בהם.</w:t>
      </w:r>
    </w:p>
    <w:p w14:paraId="134E356F" w14:textId="77777777" w:rsidR="002E1A9F" w:rsidRDefault="002E1A9F" w:rsidP="002E1A9F">
      <w:pPr>
        <w:spacing w:line="360" w:lineRule="auto"/>
        <w:jc w:val="both"/>
        <w:rPr>
          <w:rFonts w:ascii="David" w:hAnsi="David"/>
          <w:rtl/>
        </w:rPr>
      </w:pPr>
      <w:r>
        <w:rPr>
          <w:rFonts w:ascii="David" w:hAnsi="David" w:hint="cs"/>
          <w:rtl/>
        </w:rPr>
        <w:t>ב"כ הנאשם לא חלק על כך שבתי המשפט גוזרים עונשי מאסר בפועל לתקופה של 24 חודשים בגין החזקת סמים שלא לצריכה עצמית בכמויות דומות (עמ' 55, ש' 30-26), אך ביקש לקחת בחשבון את המניעים שעמדו מאחורי הסדר הטיעון המקורי ככאלה שראוי להטיל בגינם ענישה מקלה יותר.</w:t>
      </w:r>
    </w:p>
    <w:p w14:paraId="3A64ADA7" w14:textId="77777777" w:rsidR="002E1A9F" w:rsidRDefault="002E1A9F" w:rsidP="002E1A9F">
      <w:pPr>
        <w:spacing w:line="360" w:lineRule="auto"/>
        <w:jc w:val="both"/>
        <w:rPr>
          <w:rFonts w:ascii="David" w:hAnsi="David"/>
          <w:rtl/>
        </w:rPr>
      </w:pPr>
      <w:r>
        <w:rPr>
          <w:rFonts w:ascii="David" w:hAnsi="David" w:hint="cs"/>
          <w:rtl/>
        </w:rPr>
        <w:t xml:space="preserve">באשר לתיק התעבורה </w:t>
      </w:r>
      <w:r>
        <w:rPr>
          <w:rFonts w:ascii="David" w:hAnsi="David"/>
          <w:rtl/>
        </w:rPr>
        <w:t>–</w:t>
      </w:r>
      <w:r>
        <w:rPr>
          <w:rFonts w:ascii="David" w:hAnsi="David" w:hint="cs"/>
          <w:rtl/>
        </w:rPr>
        <w:t xml:space="preserve"> טען הסניגור שאמנם נגזרו על הנאשם עונשי פסילה, אך נהיגתו במקרה הנוכחי לא סיכנה חיים. בנסיבות אלה, טען ב"כ הנאשם כי ראוי לגזור על הנאשם מספר מצומצם של חודשי מאסר. הוא לא התעלם משני המאסרים על תנאי התלויים ועומדים נגד הנאשם, האחד למשך 12 חודשים והשני למשך 6 חודשים, אך ביקש ש"בית המשפט יפעל כחוכמתו" (עמ' 56, ש' 25). הוא הציע להטיל תקופת מאסר ולהפעיל את עונשי המאסר על תנאי בחופף לה.</w:t>
      </w:r>
    </w:p>
    <w:p w14:paraId="4366C0B3" w14:textId="77777777" w:rsidR="002E1A9F" w:rsidRDefault="002E1A9F" w:rsidP="002E1A9F">
      <w:pPr>
        <w:spacing w:line="360" w:lineRule="auto"/>
        <w:jc w:val="both"/>
        <w:rPr>
          <w:rFonts w:ascii="David" w:hAnsi="David"/>
          <w:rtl/>
        </w:rPr>
      </w:pPr>
      <w:r>
        <w:rPr>
          <w:rFonts w:ascii="David" w:hAnsi="David" w:hint="cs"/>
          <w:rtl/>
        </w:rPr>
        <w:t>הסניגור הפנה לנסיבותיו האישיות של הנאשם, להיותו אב ל-3 בנות ולעובדה שההתמכרות לסמים הרסה לו את החיים. עוד ציין שהנאשם הודה בשני התיקים וחסך מזמנו היקר של בית המשפט.</w:t>
      </w:r>
    </w:p>
    <w:p w14:paraId="57FB757B" w14:textId="77777777" w:rsidR="002E1A9F" w:rsidRDefault="002E1A9F" w:rsidP="002E1A9F">
      <w:pPr>
        <w:spacing w:line="360" w:lineRule="auto"/>
        <w:jc w:val="both"/>
        <w:rPr>
          <w:rFonts w:ascii="David" w:hAnsi="David"/>
          <w:rtl/>
        </w:rPr>
      </w:pPr>
      <w:r>
        <w:rPr>
          <w:rFonts w:ascii="David" w:hAnsi="David" w:hint="cs"/>
          <w:rtl/>
        </w:rPr>
        <w:t>לאור האמור, ביקש ב"כ הנאשם להקל בענישה עד כמה שניתן.</w:t>
      </w:r>
    </w:p>
    <w:p w14:paraId="64D6E372" w14:textId="77777777" w:rsidR="002E1A9F" w:rsidRDefault="002E1A9F" w:rsidP="002E1A9F">
      <w:pPr>
        <w:spacing w:line="360" w:lineRule="auto"/>
        <w:jc w:val="both"/>
        <w:rPr>
          <w:rFonts w:ascii="David" w:hAnsi="David"/>
          <w:rtl/>
        </w:rPr>
      </w:pPr>
    </w:p>
    <w:p w14:paraId="22E07E9B" w14:textId="77777777" w:rsidR="002E1A9F" w:rsidRDefault="002E1A9F" w:rsidP="002E1A9F">
      <w:pPr>
        <w:spacing w:line="360" w:lineRule="auto"/>
        <w:jc w:val="both"/>
        <w:rPr>
          <w:rFonts w:ascii="David" w:hAnsi="David"/>
          <w:rtl/>
        </w:rPr>
      </w:pPr>
    </w:p>
    <w:p w14:paraId="1965D342" w14:textId="77777777" w:rsidR="002E1A9F" w:rsidRDefault="002E1A9F" w:rsidP="002E1A9F">
      <w:pPr>
        <w:spacing w:line="360" w:lineRule="auto"/>
        <w:jc w:val="both"/>
        <w:rPr>
          <w:rFonts w:ascii="David" w:hAnsi="David"/>
          <w:rtl/>
        </w:rPr>
      </w:pPr>
    </w:p>
    <w:p w14:paraId="7266415F" w14:textId="77777777" w:rsidR="002E1A9F" w:rsidRPr="00640480" w:rsidRDefault="002E1A9F" w:rsidP="002E1A9F">
      <w:pPr>
        <w:spacing w:line="360" w:lineRule="auto"/>
        <w:jc w:val="both"/>
        <w:rPr>
          <w:rFonts w:ascii="David" w:hAnsi="David"/>
          <w:b/>
          <w:bCs/>
          <w:u w:val="single"/>
          <w:rtl/>
        </w:rPr>
      </w:pPr>
      <w:r w:rsidRPr="00640480">
        <w:rPr>
          <w:rFonts w:ascii="David" w:hAnsi="David" w:hint="cs"/>
          <w:b/>
          <w:bCs/>
          <w:u w:val="single"/>
          <w:rtl/>
        </w:rPr>
        <w:t>דיון והכרעה</w:t>
      </w:r>
    </w:p>
    <w:p w14:paraId="57E6D4C5" w14:textId="77777777" w:rsidR="002E1A9F" w:rsidRDefault="002E1A9F" w:rsidP="002E1A9F">
      <w:pPr>
        <w:spacing w:line="360" w:lineRule="auto"/>
        <w:jc w:val="both"/>
        <w:rPr>
          <w:rFonts w:ascii="David" w:hAnsi="David"/>
          <w:rtl/>
        </w:rPr>
      </w:pPr>
      <w:r>
        <w:rPr>
          <w:rFonts w:ascii="David" w:hAnsi="David" w:hint="cs"/>
          <w:rtl/>
        </w:rPr>
        <w:t>6.</w:t>
      </w:r>
      <w:r>
        <w:rPr>
          <w:rFonts w:ascii="David" w:hAnsi="David" w:hint="cs"/>
          <w:rtl/>
        </w:rPr>
        <w:tab/>
        <w:t>העבירות שביצע הנאשם, בשני התיקים, חמורות מאוד. נוכח העובדה שמדובר בשני אירועים נפרדים, ובעבירות שבוצעו בזמנים שונים, ללא זיקה או קשר ביניהן, יש לקבוע מתחם עונש הולם נפרד לכל אירוע ואירוע.</w:t>
      </w:r>
    </w:p>
    <w:p w14:paraId="4D7D5BC3" w14:textId="77777777" w:rsidR="002E1A9F" w:rsidRDefault="002E1A9F" w:rsidP="002E1A9F">
      <w:pPr>
        <w:spacing w:line="360" w:lineRule="auto"/>
        <w:jc w:val="both"/>
        <w:rPr>
          <w:rFonts w:ascii="David" w:hAnsi="David"/>
          <w:rtl/>
        </w:rPr>
      </w:pPr>
    </w:p>
    <w:p w14:paraId="5D362BA5" w14:textId="77777777" w:rsidR="002E1A9F" w:rsidRDefault="002E1A9F" w:rsidP="002E1A9F">
      <w:pPr>
        <w:spacing w:line="360" w:lineRule="auto"/>
        <w:jc w:val="both"/>
        <w:rPr>
          <w:rFonts w:ascii="David" w:hAnsi="David"/>
          <w:rtl/>
        </w:rPr>
      </w:pPr>
      <w:r>
        <w:rPr>
          <w:rFonts w:ascii="David" w:hAnsi="David" w:hint="cs"/>
          <w:rtl/>
        </w:rPr>
        <w:t>7.</w:t>
      </w:r>
      <w:r>
        <w:rPr>
          <w:rFonts w:ascii="David" w:hAnsi="David" w:hint="cs"/>
          <w:rtl/>
        </w:rPr>
        <w:tab/>
      </w:r>
      <w:r w:rsidRPr="002464EF">
        <w:rPr>
          <w:rFonts w:ascii="David" w:hAnsi="David" w:hint="cs"/>
          <w:b/>
          <w:bCs/>
          <w:u w:val="single"/>
          <w:rtl/>
        </w:rPr>
        <w:t>בתיק הסמים</w:t>
      </w:r>
      <w:r>
        <w:rPr>
          <w:rFonts w:ascii="David" w:hAnsi="David" w:hint="cs"/>
          <w:rtl/>
        </w:rPr>
        <w:t xml:space="preserve">, בין הנסיבות לחומרה, ניתן למנות את אלה </w:t>
      </w:r>
      <w:r>
        <w:rPr>
          <w:rFonts w:ascii="David" w:hAnsi="David"/>
          <w:rtl/>
        </w:rPr>
        <w:t>–</w:t>
      </w:r>
      <w:r>
        <w:rPr>
          <w:rFonts w:ascii="David" w:hAnsi="David" w:hint="cs"/>
          <w:rtl/>
        </w:rPr>
        <w:t xml:space="preserve"> מדובר בהחזקה שלא לצריכה עצמית של כמות גדולה מאוד של סם מסוכן מסוג הרואין </w:t>
      </w:r>
      <w:r>
        <w:rPr>
          <w:rFonts w:ascii="David" w:hAnsi="David"/>
          <w:rtl/>
        </w:rPr>
        <w:t>–</w:t>
      </w:r>
      <w:r>
        <w:rPr>
          <w:rFonts w:ascii="David" w:hAnsi="David" w:hint="cs"/>
          <w:rtl/>
        </w:rPr>
        <w:t xml:space="preserve"> במשקל כולל של 50.0526 גרם נטו </w:t>
      </w:r>
      <w:r>
        <w:rPr>
          <w:rFonts w:ascii="David" w:hAnsi="David"/>
          <w:rtl/>
        </w:rPr>
        <w:t>–</w:t>
      </w:r>
      <w:r>
        <w:rPr>
          <w:rFonts w:ascii="David" w:hAnsi="David" w:hint="cs"/>
          <w:rtl/>
        </w:rPr>
        <w:t xml:space="preserve"> שהיא פי 166 מהכמות המוגדרת בפקודה לצריכה עצמית (0.3 גרם); חלק מהסמים היו מחולקים ל-31 אריזות פלסטיק, עובדה המלמדת על כוונת "שינוע"; מדובר בסמים מסוגים שונים, בהם סם המוגדר כסם "קשה" מסוג הרואין, כאמור בכמות גדולה מאוד.</w:t>
      </w:r>
    </w:p>
    <w:p w14:paraId="023530B0" w14:textId="77777777" w:rsidR="002E1A9F" w:rsidRDefault="002E1A9F" w:rsidP="002E1A9F">
      <w:pPr>
        <w:spacing w:line="360" w:lineRule="auto"/>
        <w:jc w:val="both"/>
        <w:rPr>
          <w:rtl/>
        </w:rPr>
      </w:pPr>
      <w:r>
        <w:rPr>
          <w:rtl/>
        </w:rPr>
        <w:t>עבירת החזקת סמים מסוכנים שלא לצריכה עצמית, פוגעת בערכים החברתיים שעניינם הגנה על שלום הציבור, ביטחונו ובריאותו מפני הפגיעה ההרסנית הכרוכה בשימוש בסמים, זאת לצד כל אותם נזקים כלכליים וחברתיים עקיפים הנגרמים עקב השימוש בסמים, לרבות פוטנציאל לביצוע עבירות רכוש, כתוצאה מהצורך לממן את רכישת הסמים.</w:t>
      </w:r>
      <w:r>
        <w:rPr>
          <w:rFonts w:hint="cs"/>
          <w:rtl/>
        </w:rPr>
        <w:t xml:space="preserve"> </w:t>
      </w:r>
      <w:r>
        <w:rPr>
          <w:rtl/>
        </w:rPr>
        <w:t>הפסיקה עמדה לא אחת על הצורך להיאבק בנגע הסמים ולהשית עונשים מחמירים על המעורבים בייצור הסמים, בהחזקתם ובהפצתם (</w:t>
      </w:r>
      <w:hyperlink r:id="rId31" w:history="1">
        <w:r w:rsidR="00066430" w:rsidRPr="00066430">
          <w:rPr>
            <w:color w:val="0000FF"/>
            <w:u w:val="single"/>
            <w:rtl/>
          </w:rPr>
          <w:t>ע"פ 6029/03</w:t>
        </w:r>
      </w:hyperlink>
      <w:r>
        <w:rPr>
          <w:rtl/>
        </w:rPr>
        <w:t xml:space="preserve"> </w:t>
      </w:r>
      <w:r>
        <w:rPr>
          <w:b/>
          <w:bCs/>
          <w:rtl/>
        </w:rPr>
        <w:t>מדינת ישראל נ' גולן שמאי</w:t>
      </w:r>
      <w:r>
        <w:rPr>
          <w:rtl/>
        </w:rPr>
        <w:t xml:space="preserve">, פ"ד נח(2) 734; </w:t>
      </w:r>
      <w:hyperlink r:id="rId32" w:history="1">
        <w:r w:rsidR="00066430" w:rsidRPr="00066430">
          <w:rPr>
            <w:color w:val="0000FF"/>
            <w:u w:val="single"/>
            <w:rtl/>
          </w:rPr>
          <w:t>ע"פ 211/09</w:t>
        </w:r>
      </w:hyperlink>
      <w:r>
        <w:rPr>
          <w:rtl/>
        </w:rPr>
        <w:t xml:space="preserve"> </w:t>
      </w:r>
      <w:r>
        <w:rPr>
          <w:b/>
          <w:bCs/>
          <w:rtl/>
        </w:rPr>
        <w:t>אזולאי נ' מדינת ישראל</w:t>
      </w:r>
      <w:r>
        <w:rPr>
          <w:rtl/>
        </w:rPr>
        <w:t xml:space="preserve"> (22.6.10); </w:t>
      </w:r>
      <w:hyperlink r:id="rId33" w:history="1">
        <w:r w:rsidR="00066430" w:rsidRPr="00066430">
          <w:rPr>
            <w:color w:val="0000FF"/>
            <w:u w:val="single"/>
            <w:rtl/>
          </w:rPr>
          <w:t>רע"פ 4512/15</w:t>
        </w:r>
      </w:hyperlink>
      <w:r>
        <w:rPr>
          <w:rtl/>
        </w:rPr>
        <w:t xml:space="preserve"> </w:t>
      </w:r>
      <w:r>
        <w:rPr>
          <w:b/>
          <w:bCs/>
          <w:rtl/>
        </w:rPr>
        <w:t>אברהם הרוש נ' מדינת ישראל</w:t>
      </w:r>
      <w:r>
        <w:rPr>
          <w:rtl/>
        </w:rPr>
        <w:t xml:space="preserve"> (6.7.15); </w:t>
      </w:r>
      <w:hyperlink r:id="rId34" w:history="1">
        <w:r w:rsidR="00066430" w:rsidRPr="00066430">
          <w:rPr>
            <w:color w:val="0000FF"/>
            <w:u w:val="single"/>
            <w:rtl/>
          </w:rPr>
          <w:t>ת"פ (מחוזי ת"א) 809-09-18</w:t>
        </w:r>
      </w:hyperlink>
      <w:r>
        <w:rPr>
          <w:rtl/>
        </w:rPr>
        <w:t xml:space="preserve"> </w:t>
      </w:r>
      <w:r>
        <w:rPr>
          <w:b/>
          <w:bCs/>
          <w:rtl/>
        </w:rPr>
        <w:t>מדינת ישראל נ' שמעון פיצ'חדזה</w:t>
      </w:r>
      <w:r>
        <w:rPr>
          <w:rtl/>
        </w:rPr>
        <w:t xml:space="preserve"> (31.10.19)).</w:t>
      </w:r>
    </w:p>
    <w:p w14:paraId="4D9977F3" w14:textId="77777777" w:rsidR="002E1A9F" w:rsidRDefault="002E1A9F" w:rsidP="002E1A9F">
      <w:pPr>
        <w:spacing w:line="360" w:lineRule="auto"/>
        <w:jc w:val="both"/>
        <w:rPr>
          <w:rtl/>
        </w:rPr>
      </w:pPr>
    </w:p>
    <w:p w14:paraId="139B7EF9" w14:textId="77777777" w:rsidR="002E1A9F" w:rsidRDefault="002E1A9F" w:rsidP="002E1A9F">
      <w:pPr>
        <w:spacing w:line="360" w:lineRule="auto"/>
        <w:jc w:val="both"/>
        <w:rPr>
          <w:rtl/>
        </w:rPr>
      </w:pPr>
      <w:r>
        <w:rPr>
          <w:rtl/>
        </w:rPr>
        <w:t>ב</w:t>
      </w:r>
      <w:r>
        <w:rPr>
          <w:b/>
          <w:bCs/>
          <w:rtl/>
        </w:rPr>
        <w:t>ענין אזולאי</w:t>
      </w:r>
      <w:r>
        <w:rPr>
          <w:rtl/>
        </w:rPr>
        <w:t xml:space="preserve"> התייחס בית המשפט העליון לעבירה בה הורשע הנאשם כאן, וכך נאמר –</w:t>
      </w:r>
    </w:p>
    <w:p w14:paraId="4F62CAD5" w14:textId="77777777" w:rsidR="002E1A9F" w:rsidRDefault="002E1A9F" w:rsidP="002E1A9F">
      <w:pPr>
        <w:ind w:left="567" w:right="567"/>
        <w:jc w:val="both"/>
        <w:rPr>
          <w:rtl/>
        </w:rPr>
      </w:pPr>
      <w:r>
        <w:rPr>
          <w:b/>
          <w:bCs/>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tl/>
        </w:rPr>
        <w:t>.</w:t>
      </w:r>
    </w:p>
    <w:p w14:paraId="1C0C25F2" w14:textId="77777777" w:rsidR="002E1A9F" w:rsidRDefault="002E1A9F" w:rsidP="002E1A9F">
      <w:pPr>
        <w:spacing w:line="360" w:lineRule="auto"/>
        <w:jc w:val="both"/>
        <w:rPr>
          <w:rtl/>
        </w:rPr>
      </w:pPr>
    </w:p>
    <w:p w14:paraId="19188338" w14:textId="77777777" w:rsidR="002E1A9F" w:rsidRDefault="002E1A9F" w:rsidP="002E1A9F">
      <w:pPr>
        <w:spacing w:line="360" w:lineRule="auto"/>
        <w:jc w:val="both"/>
        <w:rPr>
          <w:rtl/>
        </w:rPr>
      </w:pPr>
      <w:r>
        <w:rPr>
          <w:rFonts w:hint="cs"/>
          <w:rtl/>
        </w:rPr>
        <w:t>8.</w:t>
      </w:r>
      <w:r>
        <w:rPr>
          <w:rFonts w:hint="cs"/>
          <w:rtl/>
        </w:rPr>
        <w:tab/>
      </w:r>
      <w:r>
        <w:rPr>
          <w:rtl/>
        </w:rPr>
        <w:t xml:space="preserve">מידת הפגיעה בערכים החברתיים המוגנים במקרה שלפניי הינה </w:t>
      </w:r>
      <w:r>
        <w:rPr>
          <w:b/>
          <w:bCs/>
          <w:rtl/>
        </w:rPr>
        <w:t>ברף בינוני,</w:t>
      </w:r>
      <w:r>
        <w:rPr>
          <w:rtl/>
        </w:rPr>
        <w:t xml:space="preserve"> בשים לב לסוג הסם, הנמנה על </w:t>
      </w:r>
      <w:r>
        <w:rPr>
          <w:b/>
          <w:bCs/>
          <w:rtl/>
        </w:rPr>
        <w:t>הסמים הקשים</w:t>
      </w:r>
      <w:r>
        <w:rPr>
          <w:rtl/>
        </w:rPr>
        <w:t xml:space="preserve"> מבין הסמים המסוכנים, הן בשל השפעותיו על הגוף והן בשל פוטנציאל ההתמכרות הגבוה שבו, וזאת </w:t>
      </w:r>
      <w:r>
        <w:rPr>
          <w:b/>
          <w:bCs/>
          <w:rtl/>
        </w:rPr>
        <w:t>בכמות גדולה</w:t>
      </w:r>
      <w:r>
        <w:rPr>
          <w:rtl/>
        </w:rPr>
        <w:t xml:space="preserve"> העולה עשרות מונים על זו המוגדרת בפקודה לצריכה עצמית.</w:t>
      </w:r>
    </w:p>
    <w:p w14:paraId="5C6EA7B3" w14:textId="77777777" w:rsidR="002E1A9F" w:rsidRDefault="002E1A9F" w:rsidP="002E1A9F">
      <w:pPr>
        <w:spacing w:line="360" w:lineRule="auto"/>
        <w:jc w:val="both"/>
        <w:rPr>
          <w:rtl/>
        </w:rPr>
      </w:pPr>
    </w:p>
    <w:p w14:paraId="1C246C40" w14:textId="77777777" w:rsidR="002E1A9F" w:rsidRDefault="002E1A9F" w:rsidP="002E1A9F">
      <w:pPr>
        <w:spacing w:line="360" w:lineRule="auto"/>
        <w:jc w:val="both"/>
        <w:rPr>
          <w:rtl/>
        </w:rPr>
      </w:pPr>
      <w:r>
        <w:rPr>
          <w:rFonts w:hint="cs"/>
          <w:rtl/>
        </w:rPr>
        <w:t>9.</w:t>
      </w:r>
      <w:r>
        <w:rPr>
          <w:rFonts w:hint="cs"/>
          <w:rtl/>
        </w:rPr>
        <w:tab/>
      </w:r>
      <w:r>
        <w:rPr>
          <w:rtl/>
        </w:rPr>
        <w:t>בכל הנוגע למדיניות הענישה הנהוגה בגין החזקה של סם מסוכן מסוג הרואין או קוקאין שלא לצריכה עצמית, בכמויות של עשרות גרמים, כבר קבע בית משפט העליון ב</w:t>
      </w:r>
      <w:hyperlink r:id="rId35" w:history="1">
        <w:r w:rsidR="00066430" w:rsidRPr="00066430">
          <w:rPr>
            <w:color w:val="0000FF"/>
            <w:u w:val="single"/>
            <w:rtl/>
          </w:rPr>
          <w:t>ע"פ 4592/15</w:t>
        </w:r>
      </w:hyperlink>
      <w:r>
        <w:rPr>
          <w:rtl/>
        </w:rPr>
        <w:t xml:space="preserve"> </w:t>
      </w:r>
      <w:r>
        <w:rPr>
          <w:b/>
          <w:bCs/>
          <w:rtl/>
        </w:rPr>
        <w:t>אשר מסעוד פדידה נ' מדינת ישראל</w:t>
      </w:r>
      <w:r>
        <w:rPr>
          <w:rtl/>
        </w:rPr>
        <w:t xml:space="preserve"> (8.2.16) כדלקמן –</w:t>
      </w:r>
    </w:p>
    <w:p w14:paraId="3C598E25" w14:textId="77777777" w:rsidR="002E1A9F" w:rsidRDefault="002E1A9F" w:rsidP="002E1A9F">
      <w:pPr>
        <w:ind w:left="567" w:right="567"/>
        <w:jc w:val="both"/>
        <w:rPr>
          <w:rtl/>
        </w:rPr>
      </w:pPr>
      <w:r>
        <w:rPr>
          <w:b/>
          <w:bCs/>
          <w:rtl/>
        </w:rPr>
        <w:t xml:space="preserve">"מסקירת הפסיקה בנושא עולה, כי אמנם קיים גיוון רב בענישה, אולם במקרים העוסקים </w:t>
      </w:r>
      <w:r>
        <w:rPr>
          <w:b/>
          <w:bCs/>
          <w:u w:val="single"/>
          <w:rtl/>
        </w:rPr>
        <w:t>בהחזקת סם מסוכן מסוג הרואין או קוקאין שלא לצריכה עצמית, בכמות של עשרות גרמים, נע טווח הענישה בין שלוש לחמש שנות מאסר</w:t>
      </w:r>
      <w:r>
        <w:rPr>
          <w:b/>
          <w:bCs/>
          <w:rtl/>
        </w:rPr>
        <w:t xml:space="preserve"> (</w:t>
      </w:r>
      <w:hyperlink r:id="rId36" w:history="1">
        <w:r w:rsidR="00066430" w:rsidRPr="00066430">
          <w:rPr>
            <w:b/>
            <w:bCs/>
            <w:color w:val="0000FF"/>
            <w:u w:val="single"/>
            <w:rtl/>
          </w:rPr>
          <w:t>ע"פ 8820/14</w:t>
        </w:r>
      </w:hyperlink>
      <w:r>
        <w:rPr>
          <w:b/>
          <w:bCs/>
          <w:rtl/>
        </w:rPr>
        <w:t xml:space="preserve"> זהר שחר נ' מדינת ישראל [פורסם בנבו] (2015) בפסקה 12 וההפניות שם; 1313/14 גמאל בהתימי נ' מדינת ישראל [פורסם בנבו] (2015); עניין פיצו, בפסקה 14 וההפניות שם; </w:t>
      </w:r>
      <w:hyperlink r:id="rId37" w:history="1">
        <w:r w:rsidR="00066430" w:rsidRPr="00066430">
          <w:rPr>
            <w:b/>
            <w:bCs/>
            <w:color w:val="0000FF"/>
            <w:u w:val="single"/>
            <w:rtl/>
          </w:rPr>
          <w:t>ע"פ 5374/12</w:t>
        </w:r>
      </w:hyperlink>
      <w:r>
        <w:rPr>
          <w:b/>
          <w:bCs/>
          <w:rtl/>
        </w:rPr>
        <w:t xml:space="preserve"> אברג'יל נ' מדינת ישראל [פורסם בנבו] (2013); </w:t>
      </w:r>
      <w:hyperlink r:id="rId38" w:history="1">
        <w:r w:rsidR="00066430" w:rsidRPr="00066430">
          <w:rPr>
            <w:b/>
            <w:bCs/>
            <w:color w:val="0000FF"/>
            <w:u w:val="single"/>
            <w:rtl/>
          </w:rPr>
          <w:t>ע"פ 11469/05</w:t>
        </w:r>
      </w:hyperlink>
      <w:r>
        <w:rPr>
          <w:b/>
          <w:bCs/>
          <w:rtl/>
        </w:rPr>
        <w:t xml:space="preserve"> מדינת ישראל נ' עייש [פורסם בנבו] (2006); </w:t>
      </w:r>
      <w:hyperlink r:id="rId39" w:history="1">
        <w:r w:rsidR="004B50DF" w:rsidRPr="004B50DF">
          <w:rPr>
            <w:b/>
            <w:bCs/>
            <w:color w:val="0000FF"/>
            <w:u w:val="single"/>
            <w:rtl/>
          </w:rPr>
          <w:t>5958/13</w:t>
        </w:r>
      </w:hyperlink>
      <w:r>
        <w:rPr>
          <w:b/>
          <w:bCs/>
          <w:rtl/>
        </w:rPr>
        <w:t xml:space="preserve"> גיא שרגא סבג נ' מדינת ישראל [פורסם בנבו] (2014); </w:t>
      </w:r>
      <w:hyperlink r:id="rId40" w:history="1">
        <w:r w:rsidR="004B50DF" w:rsidRPr="004B50DF">
          <w:rPr>
            <w:b/>
            <w:bCs/>
            <w:color w:val="0000FF"/>
            <w:u w:val="single"/>
            <w:rtl/>
          </w:rPr>
          <w:t xml:space="preserve">4203/14 </w:t>
        </w:r>
      </w:hyperlink>
      <w:r>
        <w:rPr>
          <w:b/>
          <w:bCs/>
          <w:rtl/>
        </w:rPr>
        <w:t xml:space="preserve"> אליהו כהן נ' מדינת ישראל [פורסם בנבו] (2015))"</w:t>
      </w:r>
      <w:r>
        <w:rPr>
          <w:rtl/>
        </w:rPr>
        <w:t>.</w:t>
      </w:r>
    </w:p>
    <w:p w14:paraId="52AEF270" w14:textId="77777777" w:rsidR="002E1A9F" w:rsidRDefault="002E1A9F" w:rsidP="002E1A9F">
      <w:pPr>
        <w:spacing w:line="360" w:lineRule="auto"/>
        <w:jc w:val="both"/>
        <w:rPr>
          <w:rFonts w:ascii="David" w:hAnsi="David"/>
          <w:rtl/>
        </w:rPr>
      </w:pPr>
    </w:p>
    <w:p w14:paraId="1C979A17" w14:textId="77777777" w:rsidR="002E1A9F" w:rsidRDefault="002E1A9F" w:rsidP="002E1A9F">
      <w:pPr>
        <w:spacing w:line="360" w:lineRule="auto"/>
        <w:jc w:val="both"/>
      </w:pPr>
      <w:r>
        <w:rPr>
          <w:rtl/>
        </w:rPr>
        <w:t>מתחמים דומים עולים אף בסקירת פסיקה נוספת של בית המשפט העליון ובתי משפט מחוזיים, בשים לב לנסיבות הספציפיות של כל מקרה ומקרה. כך למשל:</w:t>
      </w:r>
    </w:p>
    <w:p w14:paraId="7EFF314E" w14:textId="77777777" w:rsidR="002E1A9F" w:rsidRDefault="002E1A9F" w:rsidP="002E1A9F">
      <w:pPr>
        <w:spacing w:line="360" w:lineRule="auto"/>
        <w:jc w:val="both"/>
        <w:rPr>
          <w:rtl/>
        </w:rPr>
      </w:pPr>
    </w:p>
    <w:p w14:paraId="1F136C15" w14:textId="77777777" w:rsidR="002E1A9F" w:rsidRDefault="00066430" w:rsidP="002E1A9F">
      <w:pPr>
        <w:spacing w:line="360" w:lineRule="auto"/>
        <w:jc w:val="both"/>
        <w:rPr>
          <w:rtl/>
        </w:rPr>
      </w:pPr>
      <w:hyperlink r:id="rId41" w:history="1">
        <w:r w:rsidRPr="00066430">
          <w:rPr>
            <w:color w:val="0000FF"/>
            <w:u w:val="single"/>
            <w:rtl/>
          </w:rPr>
          <w:t>ע"פ 482/20</w:t>
        </w:r>
      </w:hyperlink>
      <w:r w:rsidR="002E1A9F">
        <w:rPr>
          <w:rtl/>
        </w:rPr>
        <w:t xml:space="preserve"> </w:t>
      </w:r>
      <w:r w:rsidR="002E1A9F">
        <w:rPr>
          <w:b/>
          <w:bCs/>
          <w:rtl/>
        </w:rPr>
        <w:t>כסאב מטר נ' מדינת ישראל</w:t>
      </w:r>
      <w:r w:rsidR="002E1A9F">
        <w:rPr>
          <w:rtl/>
        </w:rPr>
        <w:t xml:space="preserve"> (4.6.20) – הנאשם החזיק בדירתו 65.26 גרם נטו הרואין וכן 5 משקלים דיגיטאליים ואיים על שוטר במהלך החיפוש. נגזרו עליו 4 שנות מאסר לצד מאסר על תנאי וחילוט של כ-15,000 ₪ שנתפסו בדירתו. בערעור הוקל העונש ל-3.5 שנות מאסר (בשל פגם שנפל בחיפוש המשטרתי).</w:t>
      </w:r>
    </w:p>
    <w:p w14:paraId="47262716" w14:textId="77777777" w:rsidR="002E1A9F" w:rsidRDefault="002E1A9F" w:rsidP="002E1A9F">
      <w:pPr>
        <w:spacing w:line="360" w:lineRule="auto"/>
        <w:jc w:val="both"/>
        <w:rPr>
          <w:rtl/>
        </w:rPr>
      </w:pPr>
    </w:p>
    <w:p w14:paraId="1DB65F72" w14:textId="77777777" w:rsidR="002E1A9F" w:rsidRDefault="00066430" w:rsidP="002E1A9F">
      <w:pPr>
        <w:spacing w:line="360" w:lineRule="auto"/>
        <w:jc w:val="both"/>
      </w:pPr>
      <w:hyperlink r:id="rId42" w:history="1">
        <w:r w:rsidRPr="00066430">
          <w:rPr>
            <w:color w:val="0000FF"/>
            <w:u w:val="single"/>
            <w:rtl/>
          </w:rPr>
          <w:t>ע"פ 8048/19</w:t>
        </w:r>
      </w:hyperlink>
      <w:r w:rsidR="002E1A9F">
        <w:rPr>
          <w:rtl/>
        </w:rPr>
        <w:t xml:space="preserve"> </w:t>
      </w:r>
      <w:r w:rsidR="002E1A9F">
        <w:rPr>
          <w:b/>
          <w:bCs/>
          <w:rtl/>
        </w:rPr>
        <w:t>שמעון פיצ'חדזה נ' מדינת ישראל</w:t>
      </w:r>
      <w:r w:rsidR="002E1A9F">
        <w:rPr>
          <w:rtl/>
        </w:rPr>
        <w:t xml:space="preserve"> (4.6.20) – הנאשם החזיק בביתו 55 גרם נטו קוקאין, מחולק ל-38 מנות, משקל אלקטרוני וכסף מזומן בסך 4,250 ₪. נקבע מתחם עונש הולם הנע בין 24 ל-42 חודשי מאסר. על הנאשם נגזרו 18 חודשי מאסר, מאסר על תנאי, קנס בסך 10,000 ₪ והתחייבות, תוך חריגה ממתחם העונש ההולם מטעמי שיקום. הערעור נדחה.</w:t>
      </w:r>
    </w:p>
    <w:p w14:paraId="787853D4" w14:textId="77777777" w:rsidR="002E1A9F" w:rsidRDefault="002E1A9F" w:rsidP="002E1A9F">
      <w:pPr>
        <w:spacing w:line="360" w:lineRule="auto"/>
        <w:jc w:val="both"/>
        <w:rPr>
          <w:rtl/>
        </w:rPr>
      </w:pPr>
    </w:p>
    <w:p w14:paraId="3B34EDCB" w14:textId="77777777" w:rsidR="002E1A9F" w:rsidRDefault="00066430" w:rsidP="002E1A9F">
      <w:pPr>
        <w:spacing w:line="360" w:lineRule="auto"/>
        <w:jc w:val="both"/>
        <w:rPr>
          <w:rtl/>
        </w:rPr>
      </w:pPr>
      <w:hyperlink r:id="rId43" w:history="1">
        <w:r w:rsidRPr="00066430">
          <w:rPr>
            <w:color w:val="0000FF"/>
            <w:u w:val="single"/>
            <w:rtl/>
          </w:rPr>
          <w:t>ע"פ 1313/14</w:t>
        </w:r>
      </w:hyperlink>
      <w:r w:rsidR="002E1A9F">
        <w:rPr>
          <w:rtl/>
        </w:rPr>
        <w:t xml:space="preserve"> </w:t>
      </w:r>
      <w:r w:rsidR="002E1A9F">
        <w:rPr>
          <w:b/>
          <w:bCs/>
          <w:rtl/>
        </w:rPr>
        <w:t>גמאל בהתימי נ' מדינת ישראל</w:t>
      </w:r>
      <w:r w:rsidR="002E1A9F">
        <w:rPr>
          <w:rtl/>
        </w:rPr>
        <w:t xml:space="preserve"> (9.6.15) – הנאשם זרק חבילה של 50 גרם קוקאין עטופה בנייר כסף בעת שראה שוטרים ברחוב. נגזרו עליו 42 חודשי מאסר והופעל מאסר על תנאי בן 10 חודשים במצטבר, כך שסך הכל ירצה הנאשם 52 חודשי מאסר. הערעור נדחה.</w:t>
      </w:r>
    </w:p>
    <w:p w14:paraId="78934F4C" w14:textId="77777777" w:rsidR="002E1A9F" w:rsidRDefault="002E1A9F" w:rsidP="002E1A9F">
      <w:pPr>
        <w:spacing w:line="360" w:lineRule="auto"/>
        <w:jc w:val="both"/>
        <w:rPr>
          <w:rtl/>
        </w:rPr>
      </w:pPr>
    </w:p>
    <w:p w14:paraId="46560C8C" w14:textId="77777777" w:rsidR="002E1A9F" w:rsidRDefault="00066430" w:rsidP="002E1A9F">
      <w:pPr>
        <w:spacing w:line="360" w:lineRule="auto"/>
        <w:jc w:val="both"/>
        <w:rPr>
          <w:rtl/>
        </w:rPr>
      </w:pPr>
      <w:hyperlink r:id="rId44" w:history="1">
        <w:r w:rsidRPr="00066430">
          <w:rPr>
            <w:color w:val="0000FF"/>
            <w:u w:val="single"/>
            <w:rtl/>
          </w:rPr>
          <w:t>ע"פ 6277/14</w:t>
        </w:r>
      </w:hyperlink>
      <w:r w:rsidR="002E1A9F">
        <w:rPr>
          <w:rtl/>
        </w:rPr>
        <w:t xml:space="preserve"> </w:t>
      </w:r>
      <w:r w:rsidR="002E1A9F">
        <w:rPr>
          <w:b/>
          <w:bCs/>
          <w:rtl/>
        </w:rPr>
        <w:t>אברהם משלטי נ' מדינת ישראל</w:t>
      </w:r>
      <w:r w:rsidR="002E1A9F">
        <w:rPr>
          <w:rtl/>
        </w:rPr>
        <w:t xml:space="preserve"> (2.2.15) – החזקה של 51 גרם קוקאין וחומר נוסף שאינו סם מסוכן במשקל של 10 גרם, לצד שקיות ומשקל אלקטרוני. נקבע מתחם עונש הולם הנע בין 3 ל-5 שנות מאסר. על הנאשם נגזרו 4 שנות מאסר, וכן הופעל מאסר על תנאי שמתוכו שנה אחת במצטבר, כך שסך הכל ירצה הנאשם 5 שנות מאסר. הערעור נדחה.</w:t>
      </w:r>
    </w:p>
    <w:p w14:paraId="6E2C2D19" w14:textId="77777777" w:rsidR="002E1A9F" w:rsidRDefault="002E1A9F" w:rsidP="002E1A9F">
      <w:pPr>
        <w:spacing w:line="360" w:lineRule="auto"/>
        <w:jc w:val="both"/>
        <w:rPr>
          <w:rtl/>
        </w:rPr>
      </w:pPr>
    </w:p>
    <w:p w14:paraId="2FCB1AE8" w14:textId="77777777" w:rsidR="002E1A9F" w:rsidRDefault="00066430" w:rsidP="002E1A9F">
      <w:pPr>
        <w:spacing w:line="360" w:lineRule="auto"/>
        <w:jc w:val="both"/>
        <w:rPr>
          <w:rtl/>
        </w:rPr>
      </w:pPr>
      <w:hyperlink r:id="rId45" w:history="1">
        <w:r w:rsidRPr="00066430">
          <w:rPr>
            <w:color w:val="0000FF"/>
            <w:u w:val="single"/>
            <w:rtl/>
          </w:rPr>
          <w:t>ע"פ 810/11</w:t>
        </w:r>
      </w:hyperlink>
      <w:r w:rsidR="002E1A9F">
        <w:rPr>
          <w:rtl/>
        </w:rPr>
        <w:t xml:space="preserve"> </w:t>
      </w:r>
      <w:r w:rsidR="002E1A9F">
        <w:rPr>
          <w:b/>
          <w:bCs/>
          <w:rtl/>
        </w:rPr>
        <w:t>רועי שודגוקר בורגרקר נ' מדינת ישראל</w:t>
      </w:r>
      <w:r w:rsidR="002E1A9F">
        <w:rPr>
          <w:rtl/>
        </w:rPr>
        <w:t xml:space="preserve"> (30.5.11) – החזקה של כ-59 גרם הרואין שלא לצריכה עצמית. על הנאשם נגזרו 36 חודשי מאסר. הערעור נדחה.</w:t>
      </w:r>
    </w:p>
    <w:p w14:paraId="1DD415D1" w14:textId="77777777" w:rsidR="002E1A9F" w:rsidRDefault="002E1A9F" w:rsidP="002E1A9F">
      <w:pPr>
        <w:spacing w:line="360" w:lineRule="auto"/>
        <w:jc w:val="both"/>
        <w:rPr>
          <w:rFonts w:ascii="David" w:hAnsi="David"/>
          <w:rtl/>
        </w:rPr>
      </w:pPr>
    </w:p>
    <w:p w14:paraId="6C55BD1A" w14:textId="77777777" w:rsidR="002E1A9F" w:rsidRPr="00A35D7F" w:rsidRDefault="002E1A9F" w:rsidP="002E1A9F">
      <w:pPr>
        <w:spacing w:line="360" w:lineRule="auto"/>
        <w:jc w:val="both"/>
        <w:rPr>
          <w:rFonts w:ascii="David" w:hAnsi="David"/>
          <w:rtl/>
        </w:rPr>
      </w:pPr>
      <w:r>
        <w:rPr>
          <w:rFonts w:ascii="David" w:hAnsi="David" w:hint="cs"/>
          <w:rtl/>
        </w:rPr>
        <w:t xml:space="preserve">[וראה גם: </w:t>
      </w:r>
      <w:hyperlink r:id="rId46" w:history="1">
        <w:r w:rsidR="00066430" w:rsidRPr="00066430">
          <w:rPr>
            <w:rFonts w:ascii="David" w:hAnsi="David"/>
            <w:color w:val="0000FF"/>
            <w:u w:val="single"/>
            <w:rtl/>
          </w:rPr>
          <w:t>עפ"ג (מחוזי מרכז) 65932-01-20</w:t>
        </w:r>
      </w:hyperlink>
      <w:r>
        <w:rPr>
          <w:rFonts w:ascii="David" w:hAnsi="David" w:hint="cs"/>
          <w:rtl/>
        </w:rPr>
        <w:t xml:space="preserve"> </w:t>
      </w:r>
      <w:r>
        <w:rPr>
          <w:rFonts w:ascii="David" w:hAnsi="David" w:hint="cs"/>
          <w:b/>
          <w:bCs/>
          <w:rtl/>
        </w:rPr>
        <w:t>מדינת ישראל נ' אלי לולו</w:t>
      </w:r>
      <w:r>
        <w:rPr>
          <w:rFonts w:ascii="David" w:hAnsi="David" w:hint="cs"/>
          <w:rtl/>
        </w:rPr>
        <w:t xml:space="preserve"> (16.6.20); </w:t>
      </w:r>
      <w:hyperlink r:id="rId47" w:history="1">
        <w:r w:rsidR="00066430" w:rsidRPr="00066430">
          <w:rPr>
            <w:rFonts w:ascii="David" w:hAnsi="David"/>
            <w:color w:val="0000FF"/>
            <w:u w:val="single"/>
            <w:rtl/>
          </w:rPr>
          <w:t>עפ"ג (מחוזי מרכז) 41795-11-18</w:t>
        </w:r>
      </w:hyperlink>
      <w:r>
        <w:rPr>
          <w:rFonts w:ascii="David" w:hAnsi="David" w:hint="cs"/>
          <w:rtl/>
        </w:rPr>
        <w:t xml:space="preserve"> </w:t>
      </w:r>
      <w:r>
        <w:rPr>
          <w:rFonts w:ascii="David" w:hAnsi="David" w:hint="cs"/>
          <w:b/>
          <w:bCs/>
          <w:rtl/>
        </w:rPr>
        <w:t>יוסי חזן נ' מדינת ישראל</w:t>
      </w:r>
      <w:r>
        <w:rPr>
          <w:rFonts w:ascii="David" w:hAnsi="David" w:hint="cs"/>
          <w:rtl/>
        </w:rPr>
        <w:t xml:space="preserve"> (15.7.19)].</w:t>
      </w:r>
    </w:p>
    <w:p w14:paraId="304487E8" w14:textId="77777777" w:rsidR="002E1A9F" w:rsidRDefault="002E1A9F" w:rsidP="002E1A9F">
      <w:pPr>
        <w:spacing w:line="360" w:lineRule="auto"/>
        <w:jc w:val="both"/>
        <w:rPr>
          <w:rFonts w:ascii="David" w:hAnsi="David"/>
          <w:rtl/>
        </w:rPr>
      </w:pPr>
    </w:p>
    <w:p w14:paraId="501E93B1" w14:textId="77777777" w:rsidR="002E1A9F" w:rsidRDefault="002E1A9F" w:rsidP="002E1A9F">
      <w:pPr>
        <w:spacing w:line="360" w:lineRule="auto"/>
        <w:jc w:val="both"/>
        <w:rPr>
          <w:rFonts w:ascii="David" w:hAnsi="David"/>
          <w:rtl/>
        </w:rPr>
      </w:pPr>
      <w:r>
        <w:rPr>
          <w:rFonts w:ascii="David" w:hAnsi="David" w:hint="cs"/>
          <w:rtl/>
        </w:rPr>
        <w:t>10.</w:t>
      </w:r>
      <w:r>
        <w:rPr>
          <w:rFonts w:ascii="David" w:hAnsi="David" w:hint="cs"/>
          <w:rtl/>
        </w:rPr>
        <w:tab/>
        <w:t xml:space="preserve">נוכח הנסיבות הקשורות בביצוע העבירה, כמפורט לעיל, מידת הפגיעה בערכים החברתיים המוגנים ומדיניות הענישה הנוהגת, </w:t>
      </w:r>
      <w:r w:rsidRPr="00B10562">
        <w:rPr>
          <w:rFonts w:ascii="David" w:hAnsi="David" w:hint="cs"/>
          <w:b/>
          <w:bCs/>
          <w:rtl/>
        </w:rPr>
        <w:t>אני קובע כי מתחם העונש ההולם נע בין 24 ל-48 חודשי מאסר, לצד ענישה נלווית</w:t>
      </w:r>
      <w:r>
        <w:rPr>
          <w:rFonts w:ascii="David" w:hAnsi="David" w:hint="cs"/>
          <w:rtl/>
        </w:rPr>
        <w:t>.</w:t>
      </w:r>
    </w:p>
    <w:p w14:paraId="4014C0EC" w14:textId="77777777" w:rsidR="002E1A9F" w:rsidRDefault="002E1A9F" w:rsidP="002E1A9F">
      <w:pPr>
        <w:spacing w:line="360" w:lineRule="auto"/>
        <w:jc w:val="both"/>
        <w:rPr>
          <w:rFonts w:ascii="David" w:hAnsi="David"/>
          <w:rtl/>
        </w:rPr>
      </w:pPr>
    </w:p>
    <w:p w14:paraId="7739EC7B" w14:textId="77777777" w:rsidR="002E1A9F" w:rsidRDefault="002E1A9F" w:rsidP="002E1A9F">
      <w:pPr>
        <w:spacing w:line="360" w:lineRule="auto"/>
        <w:jc w:val="both"/>
        <w:rPr>
          <w:rFonts w:ascii="David" w:hAnsi="David"/>
          <w:rtl/>
        </w:rPr>
      </w:pPr>
      <w:r>
        <w:rPr>
          <w:rFonts w:ascii="David" w:hAnsi="David" w:hint="cs"/>
          <w:rtl/>
        </w:rPr>
        <w:t>11.</w:t>
      </w:r>
      <w:r>
        <w:rPr>
          <w:rFonts w:ascii="David" w:hAnsi="David" w:hint="cs"/>
          <w:rtl/>
        </w:rPr>
        <w:tab/>
      </w:r>
      <w:r w:rsidRPr="00B10562">
        <w:rPr>
          <w:rFonts w:ascii="David" w:hAnsi="David" w:hint="cs"/>
          <w:b/>
          <w:bCs/>
          <w:u w:val="single"/>
          <w:rtl/>
        </w:rPr>
        <w:t>בתיק התעבורה המצורף</w:t>
      </w:r>
      <w:r>
        <w:rPr>
          <w:rFonts w:ascii="David" w:hAnsi="David" w:hint="cs"/>
          <w:rtl/>
        </w:rPr>
        <w:t xml:space="preserve">, בין הנסיבות לחומרה ניתן למנות את אלה </w:t>
      </w:r>
      <w:r>
        <w:rPr>
          <w:rFonts w:ascii="David" w:hAnsi="David"/>
          <w:rtl/>
        </w:rPr>
        <w:t>–</w:t>
      </w:r>
      <w:r>
        <w:rPr>
          <w:rFonts w:ascii="David" w:hAnsi="David" w:hint="cs"/>
          <w:rtl/>
        </w:rPr>
        <w:t xml:space="preserve"> הנאשם נהג ברכב תוך שהוא נתון בפסילה; הנאשם נהג ברכב כשרשיון הנהיגה שלו פקע בשנת 2000, דהיינו לפני 21 שנים; הנאשם נהג ברכב כשהוא משתמש בטלפון נייד שלא באמצעות דיבורית; הנאשם נהג ללא רשיון רכב בתוקף וללא ביטוח רכב בתוקף.</w:t>
      </w:r>
    </w:p>
    <w:p w14:paraId="04322738" w14:textId="77777777" w:rsidR="002E1A9F" w:rsidRDefault="002E1A9F" w:rsidP="002E1A9F">
      <w:pPr>
        <w:spacing w:line="360" w:lineRule="auto"/>
        <w:jc w:val="both"/>
        <w:rPr>
          <w:rFonts w:ascii="David" w:hAnsi="David"/>
          <w:rtl/>
        </w:rPr>
      </w:pPr>
      <w:r>
        <w:rPr>
          <w:rFonts w:ascii="David" w:hAnsi="David" w:hint="cs"/>
          <w:rtl/>
        </w:rPr>
        <w:t xml:space="preserve">בנסיבות אלה, אף שלא נגרם נזק מנהיגתו של הנאשם, הרי שמדובר בפוטנציאל נזק עצום של פגיעה בבטחונם, בשלומם ובבטיחותם של המשתמשים בדרך. כמי שרשיון הנהיגה שלו פקע לפני כ-21 שנים, וכמי שלא עבר מבחן עיוני או מבחן מעשי כדי לחדש את רשיון הנהיגה </w:t>
      </w:r>
      <w:r>
        <w:rPr>
          <w:rFonts w:ascii="David" w:hAnsi="David"/>
          <w:rtl/>
        </w:rPr>
        <w:t>–</w:t>
      </w:r>
      <w:r>
        <w:rPr>
          <w:rFonts w:ascii="David" w:hAnsi="David" w:hint="cs"/>
          <w:rtl/>
        </w:rPr>
        <w:t xml:space="preserve"> הרי שהנאשם העמיד את עצמו ואת המשתמשים בדרך בסיכון כתוצאה מדרך נהיגתו. הוסף לכך את הזלזול בהוראות החוק ובפסיקתו של בית המשפט והרי לך נאשם שמורא החוק אינו חל עליו.</w:t>
      </w:r>
    </w:p>
    <w:p w14:paraId="13173EA0" w14:textId="77777777" w:rsidR="002E1A9F" w:rsidRDefault="002E1A9F" w:rsidP="002E1A9F">
      <w:pPr>
        <w:spacing w:line="360" w:lineRule="auto"/>
        <w:jc w:val="both"/>
        <w:rPr>
          <w:rFonts w:ascii="David" w:hAnsi="David"/>
          <w:rtl/>
        </w:rPr>
      </w:pPr>
      <w:r>
        <w:rPr>
          <w:rFonts w:ascii="David" w:hAnsi="David" w:hint="cs"/>
          <w:rtl/>
        </w:rPr>
        <w:t xml:space="preserve">הערכים החברתיים המוגנים בעבירה של נהיגה בזמן פסילה ידועים ומוכרים ועניינם שמירה על שלטון החוק ומניעת סיכון לחיי אדם. גם בעבירה של שימוש בטלפון שלא באמצעות דיבורית בעת שהרכב נע יש משום סיכון חיי אדם. יפים לענין זה הדברים שנאמרו בע"פ </w:t>
      </w:r>
      <w:hyperlink r:id="rId48" w:history="1">
        <w:r w:rsidR="004B50DF" w:rsidRPr="004B50DF">
          <w:rPr>
            <w:rFonts w:ascii="David" w:hAnsi="David"/>
            <w:color w:val="0000FF"/>
            <w:u w:val="single"/>
            <w:rtl/>
          </w:rPr>
          <w:t xml:space="preserve">3878/05 </w:t>
        </w:r>
      </w:hyperlink>
      <w:r>
        <w:rPr>
          <w:rFonts w:ascii="David" w:hAnsi="David" w:hint="cs"/>
          <w:rtl/>
        </w:rPr>
        <w:t xml:space="preserve"> </w:t>
      </w:r>
      <w:r>
        <w:rPr>
          <w:rFonts w:ascii="David" w:hAnsi="David" w:hint="cs"/>
          <w:b/>
          <w:bCs/>
          <w:rtl/>
        </w:rPr>
        <w:t>בנגוזי נ' מדינת ישראל</w:t>
      </w:r>
      <w:r>
        <w:rPr>
          <w:rFonts w:ascii="David" w:hAnsi="David" w:hint="cs"/>
          <w:rtl/>
        </w:rPr>
        <w:t xml:space="preserve"> (26.5.05) </w:t>
      </w:r>
      <w:r>
        <w:rPr>
          <w:rFonts w:ascii="David" w:hAnsi="David"/>
          <w:rtl/>
        </w:rPr>
        <w:t>–</w:t>
      </w:r>
    </w:p>
    <w:p w14:paraId="7DCA4B33" w14:textId="77777777" w:rsidR="002E1A9F" w:rsidRPr="00BE4BC1" w:rsidRDefault="002E1A9F" w:rsidP="002E1A9F">
      <w:pPr>
        <w:ind w:left="708" w:right="851"/>
        <w:jc w:val="both"/>
        <w:rPr>
          <w:rFonts w:ascii="David" w:hAnsi="David"/>
        </w:rPr>
      </w:pPr>
      <w:r>
        <w:rPr>
          <w:rFonts w:ascii="David" w:hAnsi="David" w:hint="cs"/>
          <w:b/>
          <w:bCs/>
          <w:rtl/>
        </w:rPr>
        <w:t>"</w:t>
      </w:r>
      <w:r w:rsidRPr="0069437D">
        <w:rPr>
          <w:rFonts w:ascii="David" w:hAnsi="David"/>
          <w:b/>
          <w:bCs/>
          <w:rtl/>
        </w:rPr>
        <w:t xml:space="preserve">העבירה אותה עבר המבקש היא חמורה ויש לבטא את חומרתה בענישה מרתיעה. נהיגה בכבישי הארץ בזמן פסילת רשיון טומנת בחובה סיכונים רבים לבטחונם של נוסעים ברכב והולכי רגל. יתר על כן, ולא פחות מכך, היא משקפת התייחסות של ביזוי החוק וצווי בית המשפט. עניינו של המבקש חמור פי כמה, נוכח העובדה שנהיגתו במצב של פסילת רשיונו נעשתה בעת שהיה תלוי נגדו מאסר על תנאי של 12 חודשים בגין עבירה קודמת של נהיגה בזמן פסילת רשיון. בנסיבות אלה, אין צורך בחיזוק נוסף למסקנה המתבקשת כי מדובר בנאשם המזלזל זלזול עמוק בחוק, בצווי בית המשפט, ובחובתו הבסיסית לקיים את הכללים שהחברה קבעה להבטחת חייהם ושלומם של בני הציבור. בסופו של דבר, בית המשפט הסתפק בהטלת 12 חודשי מאסר בפועל על המבקש בחופף לתקופה זהה שנגזרה עליו בגין הפעלת עונש המאסר על תנאי שהיה תלוי כנגדו. בנסיבות הענין, ונוכח החומרה העולה מעבריינותו החוזרת ונשנית של המבקש, העונש שהוטל עליו אינו חמור כלל ועיקר. התייחסותו המקלה של שירות המבחן, אשר מטבע הדברים מתמקדת בהיבט האינדיבידואלי הקשור בנאשם ואינה בוחנת את האינטרס הציבורי הכללי, הגם שהיא מהווה שיקול חשוב בענישה, אינה יכולה לשמש שיקול מכריע במקרה זה, בו נדרש מסר הרתעתי ברור ותקיף כנגד נאשם שאינו יודע מורא החוק מהו, וחוזר ומפר צווים </w:t>
      </w:r>
      <w:r>
        <w:rPr>
          <w:rFonts w:ascii="David" w:hAnsi="David"/>
          <w:b/>
          <w:bCs/>
          <w:rtl/>
        </w:rPr>
        <w:t>וחוזר ומסכן את הציבור ללא רתיעה</w:t>
      </w:r>
      <w:r>
        <w:rPr>
          <w:rFonts w:ascii="David" w:hAnsi="David" w:hint="cs"/>
          <w:b/>
          <w:bCs/>
          <w:rtl/>
        </w:rPr>
        <w:t>"</w:t>
      </w:r>
      <w:r>
        <w:rPr>
          <w:rFonts w:ascii="David" w:hAnsi="David" w:hint="cs"/>
          <w:rtl/>
        </w:rPr>
        <w:t>.</w:t>
      </w:r>
    </w:p>
    <w:p w14:paraId="54B3E3E1" w14:textId="77777777" w:rsidR="002E1A9F" w:rsidRDefault="002E1A9F" w:rsidP="002E1A9F">
      <w:pPr>
        <w:spacing w:line="360" w:lineRule="auto"/>
        <w:jc w:val="both"/>
        <w:rPr>
          <w:rFonts w:ascii="David" w:hAnsi="David"/>
          <w:rtl/>
        </w:rPr>
      </w:pPr>
    </w:p>
    <w:p w14:paraId="143A0E6D" w14:textId="77777777" w:rsidR="002E1A9F" w:rsidRDefault="002E1A9F" w:rsidP="002E1A9F">
      <w:pPr>
        <w:spacing w:line="360" w:lineRule="auto"/>
        <w:jc w:val="both"/>
        <w:rPr>
          <w:rFonts w:ascii="David" w:hAnsi="David"/>
          <w:rtl/>
        </w:rPr>
      </w:pPr>
      <w:r>
        <w:rPr>
          <w:rFonts w:ascii="David" w:hAnsi="David" w:hint="cs"/>
          <w:rtl/>
        </w:rPr>
        <w:t>גם בענייננו, ביצע הנאשם את העבירות לאחר שנגזר דינו למאסר בפועל וכשתלויים ועומדים נגדו שני מאסרים על תנאי בני הפעלה, האחד למשך 12 חודשים והשני למשך 6 חודשים.</w:t>
      </w:r>
    </w:p>
    <w:p w14:paraId="12481D5A" w14:textId="77777777" w:rsidR="002E1A9F" w:rsidRDefault="002E1A9F" w:rsidP="002E1A9F">
      <w:pPr>
        <w:spacing w:line="360" w:lineRule="auto"/>
        <w:jc w:val="both"/>
        <w:rPr>
          <w:rFonts w:ascii="David" w:hAnsi="David"/>
          <w:rtl/>
        </w:rPr>
      </w:pPr>
    </w:p>
    <w:p w14:paraId="739AD08C" w14:textId="77777777" w:rsidR="002E1A9F" w:rsidRDefault="002E1A9F" w:rsidP="002E1A9F">
      <w:pPr>
        <w:spacing w:line="360" w:lineRule="auto"/>
        <w:jc w:val="both"/>
        <w:rPr>
          <w:rFonts w:ascii="David" w:hAnsi="David"/>
          <w:rtl/>
        </w:rPr>
      </w:pPr>
      <w:r>
        <w:rPr>
          <w:rFonts w:ascii="David" w:hAnsi="David" w:hint="cs"/>
          <w:rtl/>
        </w:rPr>
        <w:t xml:space="preserve">בשים לב לנסיבות ביצוע העבירות, הערכים החברתיים המוגנים ומדיניות הענישה הנוהגת, </w:t>
      </w:r>
      <w:r w:rsidRPr="00566FD8">
        <w:rPr>
          <w:rFonts w:ascii="David" w:hAnsi="David" w:hint="cs"/>
          <w:b/>
          <w:bCs/>
          <w:rtl/>
        </w:rPr>
        <w:t>אני קובע כי מתחם העונש ההולם נע בין מספר חודשי מאסר ל-24 חודשי מאסר</w:t>
      </w:r>
      <w:r>
        <w:rPr>
          <w:rFonts w:ascii="David" w:hAnsi="David" w:hint="cs"/>
          <w:rtl/>
        </w:rPr>
        <w:t>.</w:t>
      </w:r>
    </w:p>
    <w:p w14:paraId="153F764F" w14:textId="77777777" w:rsidR="002E1A9F" w:rsidRDefault="002E1A9F" w:rsidP="002E1A9F">
      <w:pPr>
        <w:spacing w:line="360" w:lineRule="auto"/>
        <w:jc w:val="both"/>
        <w:rPr>
          <w:rFonts w:ascii="David" w:hAnsi="David"/>
          <w:rtl/>
        </w:rPr>
      </w:pPr>
    </w:p>
    <w:p w14:paraId="3EAA7A75" w14:textId="77777777" w:rsidR="002E1A9F" w:rsidRDefault="002E1A9F" w:rsidP="002E1A9F">
      <w:pPr>
        <w:spacing w:line="360" w:lineRule="auto"/>
        <w:jc w:val="both"/>
        <w:rPr>
          <w:rFonts w:ascii="David" w:hAnsi="David"/>
          <w:rtl/>
        </w:rPr>
      </w:pPr>
      <w:r>
        <w:rPr>
          <w:rFonts w:ascii="David" w:hAnsi="David" w:hint="cs"/>
          <w:rtl/>
        </w:rPr>
        <w:t>12.</w:t>
      </w:r>
      <w:r>
        <w:rPr>
          <w:rFonts w:ascii="David" w:hAnsi="David" w:hint="cs"/>
          <w:rtl/>
        </w:rPr>
        <w:tab/>
        <w:t>בין הנסיבות שאינן קשורות בביצוע העבירות לקחתי בחשבון את אלה:</w:t>
      </w:r>
    </w:p>
    <w:p w14:paraId="2D28B877" w14:textId="77777777" w:rsidR="002E1A9F" w:rsidRDefault="002E1A9F" w:rsidP="002E1A9F">
      <w:pPr>
        <w:spacing w:line="360" w:lineRule="auto"/>
        <w:ind w:left="720" w:hanging="720"/>
        <w:jc w:val="both"/>
        <w:rPr>
          <w:rFonts w:ascii="David" w:hAnsi="David"/>
          <w:rtl/>
        </w:rPr>
      </w:pPr>
      <w:r>
        <w:rPr>
          <w:rFonts w:ascii="David" w:hAnsi="David" w:hint="cs"/>
          <w:rtl/>
        </w:rPr>
        <w:t>א.</w:t>
      </w:r>
      <w:r>
        <w:rPr>
          <w:rFonts w:ascii="David" w:hAnsi="David" w:hint="cs"/>
          <w:rtl/>
        </w:rPr>
        <w:tab/>
        <w:t xml:space="preserve">תסקירי שירות המבחן שהוגשו בעניינו של הנאשם לא היו חיוביים </w:t>
      </w:r>
      <w:r>
        <w:rPr>
          <w:rFonts w:ascii="David" w:hAnsi="David"/>
          <w:rtl/>
        </w:rPr>
        <w:t>–</w:t>
      </w:r>
      <w:r>
        <w:rPr>
          <w:rFonts w:ascii="David" w:hAnsi="David" w:hint="cs"/>
          <w:rtl/>
        </w:rPr>
        <w:t xml:space="preserve"> הם הצביעו על אי נטילת אחריות מלאה, הן לגבי עבירת הסמים והן לגבי עבירות התעבורה; הם הצביעו על הקלת ראש מצד הנאשם בעבירות התעבורה והשלכת האחריות על אחרים בעבירת הסמים; הם הצביעו על נאשם בעל עבר פלילי, שלחובתו 7 הרשעות קודמות, בין היתר בעבירות רכוש, אלימות וסמים, אשר ריצה מספר עונשי מאסר בפועל, ושב לסורו; לנאשם עבר תעבורתי הכולל 19 הרשעות קודמות, בין היתר ב-12 עבירות של פקיעת רשיון נהיגה ו-2 עבירות של נהיגה בזמן פסילה.</w:t>
      </w:r>
    </w:p>
    <w:p w14:paraId="0E397E88" w14:textId="77777777" w:rsidR="002E1A9F" w:rsidRDefault="002E1A9F" w:rsidP="002E1A9F">
      <w:pPr>
        <w:spacing w:line="360" w:lineRule="auto"/>
        <w:ind w:left="720" w:hanging="720"/>
        <w:jc w:val="both"/>
        <w:rPr>
          <w:rFonts w:ascii="David" w:hAnsi="David"/>
          <w:rtl/>
        </w:rPr>
      </w:pPr>
      <w:r>
        <w:rPr>
          <w:rFonts w:ascii="David" w:hAnsi="David" w:hint="cs"/>
          <w:rtl/>
        </w:rPr>
        <w:t>ב.</w:t>
      </w:r>
      <w:r>
        <w:rPr>
          <w:rFonts w:ascii="David" w:hAnsi="David" w:hint="cs"/>
          <w:rtl/>
        </w:rPr>
        <w:tab/>
        <w:t>הנאשם ביצע את עבירות התעבורה כאשר תלויים ועומדים נגדו שני מאסרים על תנאי לתקופות ארוכות, וכאשר עונש מאסר בפועל למשך 15 חודשים לא הרתיעו מלשוב ולבצע את אותה העבירה.</w:t>
      </w:r>
    </w:p>
    <w:p w14:paraId="4EB7DDF4" w14:textId="77777777" w:rsidR="002E1A9F" w:rsidRDefault="002E1A9F" w:rsidP="002E1A9F">
      <w:pPr>
        <w:spacing w:line="360" w:lineRule="auto"/>
        <w:ind w:left="720" w:hanging="720"/>
        <w:jc w:val="both"/>
        <w:rPr>
          <w:rFonts w:ascii="David" w:hAnsi="David"/>
          <w:rtl/>
        </w:rPr>
      </w:pPr>
      <w:r>
        <w:rPr>
          <w:rFonts w:ascii="David" w:hAnsi="David" w:hint="cs"/>
          <w:rtl/>
        </w:rPr>
        <w:t>ג.</w:t>
      </w:r>
      <w:r>
        <w:rPr>
          <w:rFonts w:ascii="David" w:hAnsi="David" w:hint="cs"/>
          <w:rtl/>
        </w:rPr>
        <w:tab/>
        <w:t xml:space="preserve">לנאשם עמדה השוללת נזקקות טיפולית בתחום ההתמכרויות והסמים. גם בהבהרה שהוגשה מטעם שב"ס ביום 27.12.20 עלה שהנאשם נקט בגישה מתעתעת </w:t>
      </w:r>
      <w:r>
        <w:rPr>
          <w:rFonts w:ascii="David" w:hAnsi="David"/>
          <w:rtl/>
        </w:rPr>
        <w:t>–</w:t>
      </w:r>
      <w:r>
        <w:rPr>
          <w:rFonts w:ascii="David" w:hAnsi="David" w:hint="cs"/>
          <w:rtl/>
        </w:rPr>
        <w:t xml:space="preserve"> תחילה טען שנגמל מסמים במסגרת מאסרו האחרון; לאחר מכן טען שהשתמש בסמים בכלא; וטרם נבדקה התאמתו דיווח שוב שלא השתמש בסמים; בהמשך, שוב טען שברצונו להשתלב בתכנית.</w:t>
      </w:r>
    </w:p>
    <w:p w14:paraId="7ECABC78" w14:textId="77777777" w:rsidR="002E1A9F" w:rsidRDefault="002E1A9F" w:rsidP="002E1A9F">
      <w:pPr>
        <w:spacing w:line="360" w:lineRule="auto"/>
        <w:ind w:left="720" w:hanging="720"/>
        <w:jc w:val="both"/>
        <w:rPr>
          <w:rFonts w:ascii="David" w:hAnsi="David"/>
          <w:rtl/>
        </w:rPr>
      </w:pPr>
      <w:r>
        <w:rPr>
          <w:rFonts w:ascii="David" w:hAnsi="David"/>
          <w:rtl/>
        </w:rPr>
        <w:tab/>
      </w:r>
      <w:r>
        <w:rPr>
          <w:rFonts w:ascii="David" w:hAnsi="David" w:hint="cs"/>
          <w:rtl/>
        </w:rPr>
        <w:t>במצב דברים זה, לא ייפלא, איפוא, ששירות המבחן לא בא בהמלצה טיפולית או שיקומית בעניינו. הנאשם לא השכיל לנצל את ההזדמנות שניתנה לו במסגרת הסדר הטיעון המקורי ושב והסתבך בביצוע עבירות חמורות ונעצר בגינן.</w:t>
      </w:r>
    </w:p>
    <w:p w14:paraId="42AD37D6" w14:textId="77777777" w:rsidR="002E1A9F" w:rsidRDefault="002E1A9F" w:rsidP="002E1A9F">
      <w:pPr>
        <w:spacing w:line="360" w:lineRule="auto"/>
        <w:jc w:val="both"/>
        <w:rPr>
          <w:rFonts w:ascii="David" w:hAnsi="David"/>
          <w:rtl/>
        </w:rPr>
      </w:pPr>
      <w:r>
        <w:rPr>
          <w:rFonts w:ascii="David" w:hAnsi="David" w:hint="cs"/>
          <w:rtl/>
        </w:rPr>
        <w:t>ד.</w:t>
      </w:r>
      <w:r>
        <w:rPr>
          <w:rFonts w:ascii="David" w:hAnsi="David"/>
          <w:rtl/>
        </w:rPr>
        <w:tab/>
      </w:r>
      <w:r>
        <w:rPr>
          <w:rFonts w:ascii="David" w:hAnsi="David" w:hint="cs"/>
          <w:rtl/>
        </w:rPr>
        <w:t>מנגד, לקחתי בחשבון שהנאשם כבן 44, אב ל-3 בנות, טרם מעצרו עבד כרתך.</w:t>
      </w:r>
    </w:p>
    <w:p w14:paraId="0A43EA7B" w14:textId="77777777" w:rsidR="002E1A9F" w:rsidRDefault="002E1A9F" w:rsidP="002E1A9F">
      <w:pPr>
        <w:spacing w:line="360" w:lineRule="auto"/>
        <w:ind w:left="720" w:hanging="720"/>
        <w:jc w:val="both"/>
        <w:rPr>
          <w:rFonts w:ascii="David" w:hAnsi="David"/>
          <w:rtl/>
        </w:rPr>
      </w:pPr>
      <w:r>
        <w:rPr>
          <w:rFonts w:ascii="David" w:hAnsi="David" w:hint="cs"/>
          <w:rtl/>
        </w:rPr>
        <w:t>ה.</w:t>
      </w:r>
      <w:r>
        <w:rPr>
          <w:rFonts w:ascii="David" w:hAnsi="David" w:hint="cs"/>
          <w:rtl/>
        </w:rPr>
        <w:tab/>
        <w:t>הנאשם הודה בביצוע העבירות, צירף תיקים, "ניקה שולחן", חסך מזמנם של בתי המשפט.</w:t>
      </w:r>
    </w:p>
    <w:p w14:paraId="6A872D13" w14:textId="77777777" w:rsidR="002E1A9F" w:rsidRDefault="002E1A9F" w:rsidP="002E1A9F">
      <w:pPr>
        <w:spacing w:line="360" w:lineRule="auto"/>
        <w:ind w:left="720" w:hanging="720"/>
        <w:jc w:val="both"/>
        <w:rPr>
          <w:rFonts w:ascii="David" w:hAnsi="David"/>
          <w:rtl/>
        </w:rPr>
      </w:pPr>
      <w:r>
        <w:rPr>
          <w:rFonts w:ascii="David" w:hAnsi="David" w:hint="cs"/>
          <w:rtl/>
        </w:rPr>
        <w:t>ו.</w:t>
      </w:r>
      <w:r>
        <w:rPr>
          <w:rFonts w:ascii="David" w:hAnsi="David" w:hint="cs"/>
          <w:rtl/>
        </w:rPr>
        <w:tab/>
        <w:t>הסדר הטיעון בתיק הסמים העיקרי בא על רקע קושי ראייתי מסוים.</w:t>
      </w:r>
    </w:p>
    <w:p w14:paraId="5ED91B2D" w14:textId="77777777" w:rsidR="002E1A9F" w:rsidRDefault="002E1A9F" w:rsidP="002E1A9F">
      <w:pPr>
        <w:spacing w:line="360" w:lineRule="auto"/>
        <w:ind w:left="720" w:hanging="720"/>
        <w:jc w:val="both"/>
        <w:rPr>
          <w:rFonts w:ascii="David" w:hAnsi="David"/>
          <w:rtl/>
        </w:rPr>
      </w:pPr>
      <w:r>
        <w:rPr>
          <w:rFonts w:ascii="David" w:hAnsi="David" w:hint="cs"/>
          <w:rtl/>
        </w:rPr>
        <w:t>ז.</w:t>
      </w:r>
      <w:r>
        <w:rPr>
          <w:rFonts w:ascii="David" w:hAnsi="David" w:hint="cs"/>
          <w:rtl/>
        </w:rPr>
        <w:tab/>
        <w:t>חלוף זמן של כ-4 שנים מאז ביצוע עבירת הסמים.</w:t>
      </w:r>
    </w:p>
    <w:p w14:paraId="49F46F0E" w14:textId="77777777" w:rsidR="002E1A9F" w:rsidRDefault="002E1A9F" w:rsidP="002E1A9F">
      <w:pPr>
        <w:spacing w:line="360" w:lineRule="auto"/>
        <w:jc w:val="both"/>
        <w:rPr>
          <w:rFonts w:ascii="David" w:hAnsi="David"/>
          <w:rtl/>
        </w:rPr>
      </w:pPr>
    </w:p>
    <w:p w14:paraId="41554088" w14:textId="77777777" w:rsidR="002E1A9F" w:rsidRDefault="002E1A9F" w:rsidP="002E1A9F">
      <w:pPr>
        <w:spacing w:line="360" w:lineRule="auto"/>
        <w:jc w:val="both"/>
        <w:rPr>
          <w:rFonts w:ascii="David" w:hAnsi="David"/>
          <w:rtl/>
        </w:rPr>
      </w:pPr>
      <w:r>
        <w:rPr>
          <w:rFonts w:ascii="David" w:hAnsi="David" w:hint="cs"/>
          <w:rtl/>
        </w:rPr>
        <w:t>13.</w:t>
      </w:r>
      <w:r>
        <w:rPr>
          <w:rFonts w:ascii="David" w:hAnsi="David" w:hint="cs"/>
          <w:rtl/>
        </w:rPr>
        <w:tab/>
        <w:t xml:space="preserve">בנסיבות אלה, לאור עבר פלילי והיעדר המלצה טיפולית או שיקומית, יש למקם עונשו של הנאשם </w:t>
      </w:r>
      <w:r w:rsidRPr="00E83282">
        <w:rPr>
          <w:rFonts w:ascii="David" w:hAnsi="David" w:hint="cs"/>
          <w:u w:val="single"/>
          <w:rtl/>
        </w:rPr>
        <w:t>מעל</w:t>
      </w:r>
      <w:r>
        <w:rPr>
          <w:rFonts w:ascii="David" w:hAnsi="David" w:hint="cs"/>
          <w:rtl/>
        </w:rPr>
        <w:t xml:space="preserve"> לתחתית מתחמי הענישה שנקבעו על ידי לעיל.</w:t>
      </w:r>
    </w:p>
    <w:p w14:paraId="7E997014" w14:textId="77777777" w:rsidR="002E1A9F" w:rsidRDefault="002E1A9F" w:rsidP="002E1A9F">
      <w:pPr>
        <w:spacing w:line="360" w:lineRule="auto"/>
        <w:jc w:val="both"/>
        <w:rPr>
          <w:rFonts w:ascii="David" w:hAnsi="David"/>
          <w:rtl/>
        </w:rPr>
      </w:pPr>
    </w:p>
    <w:p w14:paraId="5F6DA4D4" w14:textId="77777777" w:rsidR="002E1A9F" w:rsidRDefault="002E1A9F" w:rsidP="002E1A9F">
      <w:pPr>
        <w:spacing w:line="360" w:lineRule="auto"/>
        <w:jc w:val="both"/>
        <w:rPr>
          <w:rFonts w:ascii="David" w:hAnsi="David"/>
          <w:rtl/>
        </w:rPr>
      </w:pPr>
    </w:p>
    <w:p w14:paraId="0C5932B5" w14:textId="77777777" w:rsidR="002E1A9F" w:rsidRDefault="002E1A9F" w:rsidP="002E1A9F">
      <w:pPr>
        <w:spacing w:line="360" w:lineRule="auto"/>
        <w:jc w:val="both"/>
        <w:rPr>
          <w:rFonts w:ascii="David" w:hAnsi="David"/>
          <w:rtl/>
        </w:rPr>
      </w:pPr>
    </w:p>
    <w:p w14:paraId="54FB0D7D" w14:textId="77777777" w:rsidR="002E1A9F" w:rsidRDefault="002E1A9F" w:rsidP="002E1A9F">
      <w:pPr>
        <w:spacing w:line="360" w:lineRule="auto"/>
        <w:jc w:val="both"/>
        <w:rPr>
          <w:rFonts w:ascii="David" w:hAnsi="David"/>
          <w:rtl/>
        </w:rPr>
      </w:pPr>
      <w:r>
        <w:rPr>
          <w:rFonts w:ascii="David" w:hAnsi="David" w:hint="cs"/>
          <w:rtl/>
        </w:rPr>
        <w:t>14.</w:t>
      </w:r>
      <w:r>
        <w:rPr>
          <w:rFonts w:ascii="David" w:hAnsi="David" w:hint="cs"/>
          <w:rtl/>
        </w:rPr>
        <w:tab/>
        <w:t>לאור האמור לעיל, אני גוזר על הנאשם את העונשים הבאים:</w:t>
      </w:r>
    </w:p>
    <w:p w14:paraId="3E41560B" w14:textId="77777777" w:rsidR="002E1A9F" w:rsidRDefault="002E1A9F" w:rsidP="002E1A9F">
      <w:pPr>
        <w:spacing w:line="360" w:lineRule="auto"/>
        <w:jc w:val="both"/>
        <w:rPr>
          <w:rFonts w:ascii="David" w:hAnsi="David"/>
          <w:rtl/>
        </w:rPr>
      </w:pPr>
      <w:r>
        <w:rPr>
          <w:rFonts w:ascii="David" w:hAnsi="David" w:hint="cs"/>
          <w:rtl/>
        </w:rPr>
        <w:t>א.</w:t>
      </w:r>
      <w:r>
        <w:rPr>
          <w:rFonts w:ascii="David" w:hAnsi="David" w:hint="cs"/>
          <w:rtl/>
        </w:rPr>
        <w:tab/>
        <w:t xml:space="preserve">בגין עבירת הסמים </w:t>
      </w:r>
      <w:r>
        <w:rPr>
          <w:rFonts w:ascii="David" w:hAnsi="David"/>
          <w:rtl/>
        </w:rPr>
        <w:t>–</w:t>
      </w:r>
      <w:r>
        <w:rPr>
          <w:rFonts w:ascii="David" w:hAnsi="David" w:hint="cs"/>
          <w:rtl/>
        </w:rPr>
        <w:t xml:space="preserve"> 26 חודשי מאסר.</w:t>
      </w:r>
    </w:p>
    <w:p w14:paraId="6B8EB178" w14:textId="77777777" w:rsidR="002E1A9F" w:rsidRDefault="002E1A9F" w:rsidP="002E1A9F">
      <w:pPr>
        <w:spacing w:line="360" w:lineRule="auto"/>
        <w:jc w:val="both"/>
        <w:rPr>
          <w:rFonts w:ascii="David" w:hAnsi="David"/>
          <w:rtl/>
        </w:rPr>
      </w:pPr>
      <w:r>
        <w:rPr>
          <w:rFonts w:ascii="David" w:hAnsi="David"/>
          <w:rtl/>
        </w:rPr>
        <w:tab/>
      </w:r>
      <w:r>
        <w:rPr>
          <w:rFonts w:ascii="David" w:hAnsi="David" w:hint="cs"/>
          <w:rtl/>
        </w:rPr>
        <w:t xml:space="preserve">בגין עבירות התעבורה </w:t>
      </w:r>
      <w:r>
        <w:rPr>
          <w:rFonts w:ascii="David" w:hAnsi="David"/>
          <w:rtl/>
        </w:rPr>
        <w:t>–</w:t>
      </w:r>
      <w:r>
        <w:rPr>
          <w:rFonts w:ascii="David" w:hAnsi="David" w:hint="cs"/>
          <w:rtl/>
        </w:rPr>
        <w:t xml:space="preserve"> 17 חודשי מאסר.</w:t>
      </w:r>
    </w:p>
    <w:p w14:paraId="5C3B41C0" w14:textId="77777777" w:rsidR="002E1A9F" w:rsidRDefault="002E1A9F" w:rsidP="002E1A9F">
      <w:pPr>
        <w:spacing w:line="360" w:lineRule="auto"/>
        <w:ind w:left="720" w:hanging="720"/>
        <w:jc w:val="both"/>
        <w:rPr>
          <w:rFonts w:ascii="David" w:hAnsi="David"/>
          <w:rtl/>
        </w:rPr>
      </w:pPr>
      <w:r>
        <w:rPr>
          <w:rFonts w:ascii="David" w:hAnsi="David" w:hint="cs"/>
          <w:rtl/>
        </w:rPr>
        <w:t>ב.</w:t>
      </w:r>
      <w:r>
        <w:rPr>
          <w:rFonts w:ascii="David" w:hAnsi="David" w:hint="cs"/>
          <w:rtl/>
        </w:rPr>
        <w:tab/>
        <w:t>אני מורה על הפעלת עונש המאסר על תנאי בן ה-12 חודשים התלוי ועומד כנגד הנאשם מת"פ (תעבורה מרכז) 10429-10-17 (גזר דין מיום 31.12.17).</w:t>
      </w:r>
    </w:p>
    <w:p w14:paraId="68565803" w14:textId="77777777" w:rsidR="002E1A9F" w:rsidRDefault="002E1A9F" w:rsidP="002E1A9F">
      <w:pPr>
        <w:spacing w:line="360" w:lineRule="auto"/>
        <w:ind w:left="720" w:hanging="720"/>
        <w:jc w:val="both"/>
        <w:rPr>
          <w:rFonts w:ascii="David" w:hAnsi="David"/>
          <w:rtl/>
        </w:rPr>
      </w:pPr>
      <w:r>
        <w:rPr>
          <w:rFonts w:ascii="David" w:hAnsi="David" w:hint="cs"/>
          <w:rtl/>
        </w:rPr>
        <w:t>ג.</w:t>
      </w:r>
      <w:r>
        <w:rPr>
          <w:rFonts w:ascii="David" w:hAnsi="David" w:hint="cs"/>
          <w:rtl/>
        </w:rPr>
        <w:tab/>
        <w:t>אני מורה על הפעלת עונש המאסר על תנאי בן ה-6 חודשים התלוי ועומד כנגד הנאשם מ</w:t>
      </w:r>
      <w:hyperlink r:id="rId49" w:history="1">
        <w:r w:rsidR="00066430" w:rsidRPr="00066430">
          <w:rPr>
            <w:rFonts w:ascii="David" w:hAnsi="David"/>
            <w:color w:val="0000FF"/>
            <w:u w:val="single"/>
            <w:rtl/>
          </w:rPr>
          <w:t>ת"פ (שלום ת"א) 33237-07-11</w:t>
        </w:r>
      </w:hyperlink>
      <w:r>
        <w:rPr>
          <w:rFonts w:ascii="David" w:hAnsi="David" w:hint="cs"/>
          <w:rtl/>
        </w:rPr>
        <w:t xml:space="preserve"> (גזר דין מיום 23.11.17).</w:t>
      </w:r>
    </w:p>
    <w:p w14:paraId="537B4F31" w14:textId="77777777" w:rsidR="002E1A9F" w:rsidRDefault="002E1A9F" w:rsidP="002E1A9F">
      <w:pPr>
        <w:spacing w:line="360" w:lineRule="auto"/>
        <w:ind w:firstLine="720"/>
        <w:jc w:val="both"/>
        <w:rPr>
          <w:rFonts w:ascii="David" w:hAnsi="David"/>
          <w:rtl/>
        </w:rPr>
      </w:pPr>
      <w:r>
        <w:rPr>
          <w:rFonts w:ascii="David" w:hAnsi="David" w:hint="cs"/>
          <w:rtl/>
        </w:rPr>
        <w:t>עונשי המאסר שהוטלו ועונשי המאסר על תנאי שהופעלו ירוצו בחופף ובמצטבר זה לזה.</w:t>
      </w:r>
    </w:p>
    <w:p w14:paraId="3C99FE6A" w14:textId="77777777" w:rsidR="002E1A9F" w:rsidRPr="00F1709C" w:rsidRDefault="002E1A9F" w:rsidP="002E1A9F">
      <w:pPr>
        <w:spacing w:line="360" w:lineRule="auto"/>
        <w:ind w:firstLine="720"/>
        <w:jc w:val="both"/>
        <w:rPr>
          <w:rFonts w:ascii="David" w:hAnsi="David"/>
          <w:b/>
          <w:bCs/>
          <w:u w:val="single"/>
          <w:rtl/>
        </w:rPr>
      </w:pPr>
      <w:r w:rsidRPr="00F1709C">
        <w:rPr>
          <w:rFonts w:ascii="David" w:hAnsi="David" w:hint="cs"/>
          <w:b/>
          <w:bCs/>
          <w:u w:val="single"/>
          <w:rtl/>
        </w:rPr>
        <w:t xml:space="preserve">סה"כ ירצה הנאשם </w:t>
      </w:r>
      <w:r>
        <w:rPr>
          <w:rFonts w:ascii="David" w:hAnsi="David" w:hint="cs"/>
          <w:b/>
          <w:bCs/>
          <w:u w:val="single"/>
          <w:rtl/>
        </w:rPr>
        <w:t>42 חודשי מאסר, מיום מעצרו, 5.5.20.</w:t>
      </w:r>
    </w:p>
    <w:p w14:paraId="7AC20CC2" w14:textId="77777777" w:rsidR="002E1A9F" w:rsidRDefault="002E1A9F" w:rsidP="002E1A9F">
      <w:pPr>
        <w:spacing w:line="360" w:lineRule="auto"/>
        <w:jc w:val="both"/>
        <w:rPr>
          <w:rFonts w:ascii="David" w:hAnsi="David"/>
          <w:rtl/>
        </w:rPr>
      </w:pPr>
      <w:r>
        <w:rPr>
          <w:rFonts w:ascii="David" w:hAnsi="David" w:hint="cs"/>
          <w:rtl/>
        </w:rPr>
        <w:t>ד.</w:t>
      </w:r>
      <w:r>
        <w:rPr>
          <w:rFonts w:ascii="David" w:hAnsi="David" w:hint="cs"/>
          <w:rtl/>
        </w:rPr>
        <w:tab/>
        <w:t>פסילת רשיון נהיגה בפועל למשך 24 חודשים.</w:t>
      </w:r>
    </w:p>
    <w:p w14:paraId="01707008" w14:textId="77777777" w:rsidR="002E1A9F" w:rsidRDefault="002E1A9F" w:rsidP="002E1A9F">
      <w:pPr>
        <w:spacing w:line="360" w:lineRule="auto"/>
        <w:ind w:left="720" w:hanging="720"/>
        <w:jc w:val="both"/>
        <w:rPr>
          <w:rFonts w:ascii="David" w:hAnsi="David"/>
          <w:rtl/>
        </w:rPr>
      </w:pPr>
      <w:r>
        <w:rPr>
          <w:rFonts w:ascii="David" w:hAnsi="David"/>
          <w:rtl/>
        </w:rPr>
        <w:tab/>
      </w:r>
      <w:r>
        <w:rPr>
          <w:rFonts w:ascii="David" w:hAnsi="David" w:hint="cs"/>
          <w:rtl/>
        </w:rPr>
        <w:t>הפסילה תחושב במצטבר לכל פסילה אחרת לאחר שחרורו של הנאשם ממאסר וללא חובת הפקדה.</w:t>
      </w:r>
    </w:p>
    <w:p w14:paraId="518698A1" w14:textId="77777777" w:rsidR="002E1A9F" w:rsidRDefault="002E1A9F" w:rsidP="002E1A9F">
      <w:pPr>
        <w:spacing w:line="360" w:lineRule="auto"/>
        <w:ind w:left="720" w:hanging="720"/>
        <w:jc w:val="both"/>
        <w:rPr>
          <w:rFonts w:ascii="David" w:hAnsi="David"/>
          <w:rtl/>
        </w:rPr>
      </w:pPr>
      <w:r>
        <w:rPr>
          <w:rFonts w:ascii="David" w:hAnsi="David" w:hint="cs"/>
          <w:rtl/>
        </w:rPr>
        <w:t>ה.</w:t>
      </w:r>
      <w:r>
        <w:rPr>
          <w:rFonts w:ascii="David" w:hAnsi="David" w:hint="cs"/>
          <w:rtl/>
        </w:rPr>
        <w:tab/>
        <w:t>7 חודשי מאסר על תנאי למשך 3 שנים מיום שחרורו, שלא יעבור כל עבירת סם מסוג פשע.</w:t>
      </w:r>
    </w:p>
    <w:p w14:paraId="339A3B65" w14:textId="77777777" w:rsidR="002E1A9F" w:rsidRDefault="002E1A9F" w:rsidP="002E1A9F">
      <w:pPr>
        <w:spacing w:line="360" w:lineRule="auto"/>
        <w:ind w:left="720" w:hanging="720"/>
        <w:jc w:val="both"/>
        <w:rPr>
          <w:rFonts w:ascii="David" w:hAnsi="David"/>
          <w:rtl/>
        </w:rPr>
      </w:pPr>
      <w:r>
        <w:rPr>
          <w:rFonts w:ascii="David" w:hAnsi="David" w:hint="cs"/>
          <w:rtl/>
        </w:rPr>
        <w:t>ו.</w:t>
      </w:r>
      <w:r>
        <w:rPr>
          <w:rFonts w:ascii="David" w:hAnsi="David" w:hint="cs"/>
          <w:rtl/>
        </w:rPr>
        <w:tab/>
        <w:t>3 חודשי מאסר על תנאי למשך 3 שנים מיום שחרורו, שלא יעבור כל עבירת סם מסוג עוון.</w:t>
      </w:r>
    </w:p>
    <w:p w14:paraId="3EE56E01" w14:textId="77777777" w:rsidR="002E1A9F" w:rsidRDefault="002E1A9F" w:rsidP="002E1A9F">
      <w:pPr>
        <w:spacing w:line="360" w:lineRule="auto"/>
        <w:ind w:left="720" w:hanging="720"/>
        <w:jc w:val="both"/>
        <w:rPr>
          <w:rFonts w:ascii="David" w:hAnsi="David"/>
          <w:rtl/>
        </w:rPr>
      </w:pPr>
      <w:r>
        <w:rPr>
          <w:rFonts w:ascii="David" w:hAnsi="David" w:hint="cs"/>
          <w:rtl/>
        </w:rPr>
        <w:t>ז.</w:t>
      </w:r>
      <w:r>
        <w:rPr>
          <w:rFonts w:ascii="David" w:hAnsi="David" w:hint="cs"/>
          <w:rtl/>
        </w:rPr>
        <w:tab/>
        <w:t>10 חודשי מאסר על תנאי למשך 3 שנים מיום שחרורו, שלא יעבור עבירה של נהיגה בזמן פסילה או נהיגה עם רשיון שפקע מעל שנתיים.</w:t>
      </w:r>
    </w:p>
    <w:p w14:paraId="02B9EDD0" w14:textId="77777777" w:rsidR="002E1A9F" w:rsidRDefault="002E1A9F" w:rsidP="002E1A9F">
      <w:pPr>
        <w:spacing w:line="360" w:lineRule="auto"/>
        <w:ind w:left="720" w:hanging="720"/>
        <w:jc w:val="both"/>
        <w:rPr>
          <w:rFonts w:ascii="David" w:hAnsi="David"/>
          <w:rtl/>
        </w:rPr>
      </w:pPr>
    </w:p>
    <w:p w14:paraId="31E5090C" w14:textId="77777777" w:rsidR="002E1A9F" w:rsidRDefault="002E1A9F" w:rsidP="002E1A9F">
      <w:pPr>
        <w:spacing w:line="360" w:lineRule="auto"/>
        <w:ind w:left="720" w:hanging="720"/>
        <w:jc w:val="both"/>
        <w:rPr>
          <w:rFonts w:ascii="David" w:hAnsi="David"/>
          <w:rtl/>
        </w:rPr>
      </w:pPr>
      <w:r>
        <w:rPr>
          <w:rFonts w:ascii="David" w:hAnsi="David" w:hint="cs"/>
          <w:rtl/>
        </w:rPr>
        <w:t>נוכח תקופת המאסר הארוכה, יחסית, אמנע מהטלת קנס כספי.</w:t>
      </w:r>
    </w:p>
    <w:p w14:paraId="3A98EBF3" w14:textId="77777777" w:rsidR="002E1A9F" w:rsidRDefault="002E1A9F" w:rsidP="002E1A9F">
      <w:pPr>
        <w:spacing w:line="360" w:lineRule="auto"/>
        <w:ind w:left="720" w:hanging="720"/>
        <w:jc w:val="both"/>
        <w:rPr>
          <w:rFonts w:ascii="David" w:hAnsi="David"/>
          <w:rtl/>
        </w:rPr>
      </w:pPr>
    </w:p>
    <w:p w14:paraId="17A0AAE9" w14:textId="77777777" w:rsidR="002E1A9F" w:rsidRDefault="002E1A9F" w:rsidP="002E1A9F">
      <w:pPr>
        <w:spacing w:line="360" w:lineRule="auto"/>
        <w:jc w:val="both"/>
        <w:rPr>
          <w:rFonts w:ascii="David" w:hAnsi="David"/>
          <w:rtl/>
        </w:rPr>
      </w:pPr>
      <w:r>
        <w:rPr>
          <w:rFonts w:ascii="David" w:hAnsi="David" w:hint="cs"/>
          <w:rtl/>
        </w:rPr>
        <w:t xml:space="preserve">המוצגים </w:t>
      </w:r>
      <w:r>
        <w:rPr>
          <w:rFonts w:ascii="David" w:hAnsi="David"/>
          <w:rtl/>
        </w:rPr>
        <w:t>–</w:t>
      </w:r>
      <w:r>
        <w:rPr>
          <w:rFonts w:ascii="David" w:hAnsi="David" w:hint="cs"/>
          <w:rtl/>
        </w:rPr>
        <w:t xml:space="preserve"> סמים ואריזות </w:t>
      </w:r>
      <w:r>
        <w:rPr>
          <w:rFonts w:ascii="David" w:hAnsi="David"/>
          <w:rtl/>
        </w:rPr>
        <w:t>–</w:t>
      </w:r>
      <w:r>
        <w:rPr>
          <w:rFonts w:ascii="David" w:hAnsi="David" w:hint="cs"/>
          <w:rtl/>
        </w:rPr>
        <w:t xml:space="preserve"> יושמדו.</w:t>
      </w:r>
    </w:p>
    <w:p w14:paraId="09C97A20" w14:textId="77777777" w:rsidR="002E1A9F" w:rsidRDefault="002E1A9F" w:rsidP="002E1A9F">
      <w:pPr>
        <w:spacing w:line="360" w:lineRule="auto"/>
        <w:jc w:val="both"/>
        <w:rPr>
          <w:rFonts w:ascii="David" w:hAnsi="David"/>
          <w:rtl/>
        </w:rPr>
      </w:pPr>
    </w:p>
    <w:p w14:paraId="115ECA10" w14:textId="77777777" w:rsidR="002E1A9F" w:rsidRDefault="00066430" w:rsidP="002E1A9F">
      <w:pPr>
        <w:spacing w:line="360" w:lineRule="auto"/>
        <w:jc w:val="both"/>
        <w:rPr>
          <w:rFonts w:ascii="David" w:hAnsi="David"/>
          <w:rtl/>
        </w:rPr>
      </w:pPr>
      <w:r w:rsidRPr="00066430">
        <w:rPr>
          <w:rFonts w:ascii="David" w:hAnsi="David"/>
          <w:color w:val="FFFFFF"/>
          <w:sz w:val="2"/>
          <w:szCs w:val="2"/>
          <w:rtl/>
        </w:rPr>
        <w:t>5129371</w:t>
      </w:r>
      <w:r w:rsidR="002E1A9F">
        <w:rPr>
          <w:rFonts w:ascii="David" w:hAnsi="David" w:hint="cs"/>
          <w:rtl/>
        </w:rPr>
        <w:t>זכות ערעור לבית המשפט המחוזי מרכז בתוך 45 יום.</w:t>
      </w:r>
    </w:p>
    <w:p w14:paraId="7C7A7045" w14:textId="77777777" w:rsidR="002E1A9F" w:rsidRPr="00066430" w:rsidRDefault="00066430" w:rsidP="002E1A9F">
      <w:pPr>
        <w:spacing w:line="360" w:lineRule="auto"/>
        <w:jc w:val="both"/>
        <w:rPr>
          <w:rFonts w:ascii="David" w:hAnsi="David"/>
          <w:color w:val="FFFFFF"/>
          <w:sz w:val="2"/>
          <w:szCs w:val="2"/>
          <w:rtl/>
        </w:rPr>
      </w:pPr>
      <w:r w:rsidRPr="00066430">
        <w:rPr>
          <w:rFonts w:ascii="David" w:hAnsi="David"/>
          <w:color w:val="FFFFFF"/>
          <w:sz w:val="2"/>
          <w:szCs w:val="2"/>
          <w:rtl/>
        </w:rPr>
        <w:t>54678313</w:t>
      </w:r>
    </w:p>
    <w:p w14:paraId="00320A92" w14:textId="77777777" w:rsidR="002E1A9F" w:rsidRPr="00D826DE" w:rsidRDefault="00066430" w:rsidP="002E1A9F">
      <w:pPr>
        <w:spacing w:line="360" w:lineRule="auto"/>
        <w:jc w:val="both"/>
        <w:rPr>
          <w:rFonts w:ascii="David" w:hAnsi="David"/>
          <w:b/>
          <w:bCs/>
        </w:rPr>
      </w:pPr>
      <w:bookmarkStart w:id="8" w:name="Nitan"/>
      <w:r>
        <w:rPr>
          <w:rFonts w:ascii="David" w:hAnsi="David"/>
          <w:b/>
          <w:bCs/>
          <w:rtl/>
        </w:rPr>
        <w:t xml:space="preserve">ניתן היום,  כ"ה ניסן תשפ"א, 07 אפריל 2021, בנוכחות ב"כ המאשימה, עו"ד אוריה תוהמי, </w:t>
      </w:r>
      <w:bookmarkEnd w:id="8"/>
      <w:r w:rsidR="002E1A9F">
        <w:rPr>
          <w:rFonts w:ascii="David" w:hAnsi="David" w:hint="cs"/>
          <w:b/>
          <w:bCs/>
          <w:rtl/>
        </w:rPr>
        <w:t xml:space="preserve">הנאשם (באמצעות מערכת </w:t>
      </w:r>
      <w:r w:rsidR="002E1A9F">
        <w:rPr>
          <w:rFonts w:ascii="David" w:hAnsi="David" w:hint="cs"/>
          <w:b/>
          <w:bCs/>
        </w:rPr>
        <w:t>VC</w:t>
      </w:r>
      <w:r w:rsidR="002E1A9F">
        <w:rPr>
          <w:rFonts w:ascii="David" w:hAnsi="David" w:hint="cs"/>
          <w:b/>
          <w:bCs/>
          <w:rtl/>
        </w:rPr>
        <w:t>) ובא-כוחו</w:t>
      </w:r>
      <w:r w:rsidR="002E1A9F" w:rsidRPr="00D826DE">
        <w:rPr>
          <w:rFonts w:ascii="David" w:hAnsi="David" w:hint="cs"/>
          <w:rtl/>
        </w:rPr>
        <w:t>.</w:t>
      </w:r>
    </w:p>
    <w:p w14:paraId="1ACC2E20" w14:textId="77777777" w:rsidR="00066430" w:rsidRDefault="00066430" w:rsidP="00066430">
      <w:pPr>
        <w:rPr>
          <w:rtl/>
        </w:rPr>
      </w:pPr>
    </w:p>
    <w:p w14:paraId="2612461D" w14:textId="77777777" w:rsidR="00066430" w:rsidRDefault="00066430" w:rsidP="00066430">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26188926" w14:textId="77777777" w:rsidR="00C016B5" w:rsidRPr="00C016B5" w:rsidRDefault="00C016B5" w:rsidP="00C016B5">
      <w:pPr>
        <w:keepNext/>
        <w:rPr>
          <w:rFonts w:ascii="David" w:hAnsi="David"/>
          <w:color w:val="000000"/>
          <w:sz w:val="22"/>
          <w:szCs w:val="22"/>
          <w:rtl/>
        </w:rPr>
      </w:pPr>
    </w:p>
    <w:p w14:paraId="16523CA4" w14:textId="77777777" w:rsidR="00C016B5" w:rsidRPr="00C016B5" w:rsidRDefault="00C016B5" w:rsidP="00C016B5">
      <w:pPr>
        <w:keepNext/>
        <w:rPr>
          <w:rFonts w:ascii="David" w:hAnsi="David"/>
          <w:color w:val="000000"/>
          <w:sz w:val="22"/>
          <w:szCs w:val="22"/>
          <w:rtl/>
        </w:rPr>
      </w:pPr>
      <w:r w:rsidRPr="00C016B5">
        <w:rPr>
          <w:rFonts w:ascii="David" w:hAnsi="David"/>
          <w:color w:val="000000"/>
          <w:sz w:val="22"/>
          <w:szCs w:val="22"/>
          <w:rtl/>
        </w:rPr>
        <w:t>אביב שרון 54678313-/</w:t>
      </w:r>
    </w:p>
    <w:p w14:paraId="6BED1E24" w14:textId="77777777" w:rsidR="00066430" w:rsidRPr="00066430" w:rsidRDefault="00C016B5" w:rsidP="00C016B5">
      <w:pPr>
        <w:rPr>
          <w:color w:val="0000FF"/>
          <w:u w:val="single"/>
        </w:rPr>
      </w:pPr>
      <w:r w:rsidRPr="00C016B5">
        <w:rPr>
          <w:color w:val="000000"/>
          <w:u w:val="single"/>
          <w:rtl/>
        </w:rPr>
        <w:t>נוסח מסמך זה כפוף לשינויי ניסוח ועריכה</w:t>
      </w:r>
    </w:p>
    <w:sectPr w:rsidR="00066430" w:rsidRPr="00066430" w:rsidSect="00C016B5">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D06A5" w14:textId="77777777" w:rsidR="00AE021B" w:rsidRDefault="00AE021B" w:rsidP="00C1505C">
      <w:r>
        <w:separator/>
      </w:r>
    </w:p>
  </w:endnote>
  <w:endnote w:type="continuationSeparator" w:id="0">
    <w:p w14:paraId="26D630E6" w14:textId="77777777" w:rsidR="00AE021B" w:rsidRDefault="00AE021B" w:rsidP="00C15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9CAF0" w14:textId="77777777" w:rsidR="00C016B5" w:rsidRDefault="00C016B5" w:rsidP="00C016B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55B246A" w14:textId="77777777" w:rsidR="00B4379F" w:rsidRPr="00C016B5" w:rsidRDefault="00C016B5" w:rsidP="00C016B5">
    <w:pPr>
      <w:pStyle w:val="a5"/>
      <w:pBdr>
        <w:top w:val="single" w:sz="4" w:space="1" w:color="auto"/>
        <w:between w:val="single" w:sz="4" w:space="0" w:color="auto"/>
      </w:pBdr>
      <w:spacing w:after="60"/>
      <w:jc w:val="center"/>
      <w:rPr>
        <w:rFonts w:ascii="FrankRuehl" w:hAnsi="FrankRuehl" w:cs="FrankRuehl"/>
        <w:color w:val="000000"/>
      </w:rPr>
    </w:pPr>
    <w:r w:rsidRPr="00C016B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21FB0" w14:textId="77777777" w:rsidR="00C016B5" w:rsidRDefault="00C016B5" w:rsidP="00C016B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245E8">
      <w:rPr>
        <w:rFonts w:ascii="FrankRuehl" w:hAnsi="FrankRuehl" w:cs="FrankRuehl"/>
        <w:noProof/>
        <w:rtl/>
      </w:rPr>
      <w:t>1</w:t>
    </w:r>
    <w:r>
      <w:rPr>
        <w:rFonts w:ascii="FrankRuehl" w:hAnsi="FrankRuehl" w:cs="FrankRuehl"/>
        <w:rtl/>
      </w:rPr>
      <w:fldChar w:fldCharType="end"/>
    </w:r>
  </w:p>
  <w:p w14:paraId="70769B58" w14:textId="77777777" w:rsidR="00B4379F" w:rsidRPr="00C016B5" w:rsidRDefault="00C016B5" w:rsidP="00C016B5">
    <w:pPr>
      <w:pStyle w:val="a5"/>
      <w:pBdr>
        <w:top w:val="single" w:sz="4" w:space="1" w:color="auto"/>
        <w:between w:val="single" w:sz="4" w:space="0" w:color="auto"/>
      </w:pBdr>
      <w:spacing w:after="60"/>
      <w:jc w:val="center"/>
      <w:rPr>
        <w:rFonts w:ascii="FrankRuehl" w:hAnsi="FrankRuehl" w:cs="FrankRuehl"/>
        <w:color w:val="000000"/>
      </w:rPr>
    </w:pPr>
    <w:r w:rsidRPr="00C016B5">
      <w:rPr>
        <w:rFonts w:ascii="FrankRuehl" w:hAnsi="FrankRuehl" w:cs="FrankRuehl"/>
        <w:color w:val="000000"/>
      </w:rPr>
      <w:pict w14:anchorId="75E73F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110D5" w14:textId="77777777" w:rsidR="00AE021B" w:rsidRDefault="00AE021B" w:rsidP="00C1505C">
      <w:r>
        <w:separator/>
      </w:r>
    </w:p>
  </w:footnote>
  <w:footnote w:type="continuationSeparator" w:id="0">
    <w:p w14:paraId="09D4EC87" w14:textId="77777777" w:rsidR="00AE021B" w:rsidRDefault="00AE021B" w:rsidP="00C15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21580" w14:textId="77777777" w:rsidR="00066430" w:rsidRPr="00C016B5" w:rsidRDefault="00C016B5" w:rsidP="00C016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33024-01-18</w:t>
    </w:r>
    <w:r>
      <w:rPr>
        <w:rFonts w:ascii="David" w:hAnsi="David"/>
        <w:color w:val="000000"/>
        <w:sz w:val="22"/>
        <w:szCs w:val="22"/>
        <w:rtl/>
      </w:rPr>
      <w:tab/>
      <w:t xml:space="preserve"> מדינת ישראל  נ' ראמזי בדיר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2FB17" w14:textId="77777777" w:rsidR="00066430" w:rsidRPr="00C016B5" w:rsidRDefault="00C016B5" w:rsidP="00C016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33024-01-18</w:t>
    </w:r>
    <w:r>
      <w:rPr>
        <w:rFonts w:ascii="David" w:hAnsi="David"/>
        <w:color w:val="000000"/>
        <w:sz w:val="22"/>
        <w:szCs w:val="22"/>
        <w:rtl/>
      </w:rPr>
      <w:tab/>
      <w:t xml:space="preserve"> מדינת ישראל  נ' ראמזי בדיר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E1A9F"/>
    <w:rsid w:val="00066430"/>
    <w:rsid w:val="001245E8"/>
    <w:rsid w:val="001B5A3B"/>
    <w:rsid w:val="002E1A9F"/>
    <w:rsid w:val="00326503"/>
    <w:rsid w:val="00447BAD"/>
    <w:rsid w:val="004B50DF"/>
    <w:rsid w:val="005003FA"/>
    <w:rsid w:val="00797A2E"/>
    <w:rsid w:val="00873350"/>
    <w:rsid w:val="00893EFC"/>
    <w:rsid w:val="00933A4F"/>
    <w:rsid w:val="00AE021B"/>
    <w:rsid w:val="00B30F31"/>
    <w:rsid w:val="00B4379F"/>
    <w:rsid w:val="00B80EBB"/>
    <w:rsid w:val="00C016B5"/>
    <w:rsid w:val="00C150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D966B6"/>
  <w15:chartTrackingRefBased/>
  <w15:docId w15:val="{AECE7483-5201-4650-BDD7-803864A6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1A9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E1A9F"/>
    <w:pPr>
      <w:tabs>
        <w:tab w:val="center" w:pos="4153"/>
        <w:tab w:val="right" w:pos="8306"/>
      </w:tabs>
    </w:pPr>
  </w:style>
  <w:style w:type="character" w:customStyle="1" w:styleId="a4">
    <w:name w:val="כותרת עליונה תו"/>
    <w:link w:val="a3"/>
    <w:rsid w:val="002E1A9F"/>
    <w:rPr>
      <w:rFonts w:ascii="Times New Roman" w:eastAsia="Times New Roman" w:hAnsi="Times New Roman" w:cs="David"/>
      <w:sz w:val="24"/>
      <w:szCs w:val="24"/>
    </w:rPr>
  </w:style>
  <w:style w:type="paragraph" w:styleId="a5">
    <w:name w:val="footer"/>
    <w:basedOn w:val="a"/>
    <w:link w:val="a6"/>
    <w:rsid w:val="002E1A9F"/>
    <w:pPr>
      <w:tabs>
        <w:tab w:val="center" w:pos="4153"/>
        <w:tab w:val="right" w:pos="8306"/>
      </w:tabs>
    </w:pPr>
  </w:style>
  <w:style w:type="character" w:customStyle="1" w:styleId="a6">
    <w:name w:val="כותרת תחתונה תו"/>
    <w:link w:val="a5"/>
    <w:rsid w:val="002E1A9F"/>
    <w:rPr>
      <w:rFonts w:ascii="Times New Roman" w:eastAsia="Times New Roman" w:hAnsi="Times New Roman" w:cs="David"/>
      <w:sz w:val="24"/>
      <w:szCs w:val="24"/>
    </w:rPr>
  </w:style>
  <w:style w:type="table" w:styleId="a7">
    <w:name w:val="Table Grid"/>
    <w:basedOn w:val="a1"/>
    <w:rsid w:val="002E1A9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E1A9F"/>
  </w:style>
  <w:style w:type="character" w:styleId="Hyperlink">
    <w:name w:val="Hyperlink"/>
    <w:rsid w:val="000664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10a" TargetMode="External"/><Relationship Id="rId18" Type="http://schemas.openxmlformats.org/officeDocument/2006/relationships/hyperlink" Target="http://www.nevo.co.il/law/74274/28.b.1.a" TargetMode="External"/><Relationship Id="rId26" Type="http://schemas.openxmlformats.org/officeDocument/2006/relationships/hyperlink" Target="http://www.nevo.co.il/law/74501/2a" TargetMode="External"/><Relationship Id="rId39" Type="http://schemas.openxmlformats.org/officeDocument/2006/relationships/hyperlink" Target="http://www.nevo.co.il/case/7980156"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4959490" TargetMode="External"/><Relationship Id="rId42" Type="http://schemas.openxmlformats.org/officeDocument/2006/relationships/hyperlink" Target="http://www.nevo.co.il/case/26246488" TargetMode="External"/><Relationship Id="rId47" Type="http://schemas.openxmlformats.org/officeDocument/2006/relationships/hyperlink" Target="http://www.nevo.co.il/case/25156420"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case/26902497" TargetMode="External"/><Relationship Id="rId2" Type="http://schemas.openxmlformats.org/officeDocument/2006/relationships/settings" Target="settings.xml"/><Relationship Id="rId16" Type="http://schemas.openxmlformats.org/officeDocument/2006/relationships/hyperlink" Target="http://www.nevo.co.il/law/74501/2a" TargetMode="External"/><Relationship Id="rId29" Type="http://schemas.openxmlformats.org/officeDocument/2006/relationships/hyperlink" Target="http://www.nevo.co.il/law/74274" TargetMode="External"/><Relationship Id="rId11" Type="http://schemas.openxmlformats.org/officeDocument/2006/relationships/hyperlink" Target="http://www.nevo.co.il/law/5227" TargetMode="External"/><Relationship Id="rId24" Type="http://schemas.openxmlformats.org/officeDocument/2006/relationships/hyperlink" Target="http://www.nevo.co.il/law/5227" TargetMode="External"/><Relationship Id="rId32" Type="http://schemas.openxmlformats.org/officeDocument/2006/relationships/hyperlink" Target="http://www.nevo.co.il/case/5698919" TargetMode="External"/><Relationship Id="rId37" Type="http://schemas.openxmlformats.org/officeDocument/2006/relationships/hyperlink" Target="http://www.nevo.co.il/case/5590128" TargetMode="External"/><Relationship Id="rId40" Type="http://schemas.openxmlformats.org/officeDocument/2006/relationships/hyperlink" Target="http://www.nevo.co.il/case/20061093" TargetMode="External"/><Relationship Id="rId45" Type="http://schemas.openxmlformats.org/officeDocument/2006/relationships/hyperlink" Target="http://www.nevo.co.il/case/5727295" TargetMode="External"/><Relationship Id="rId53"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nevo.co.il/law/4216/7.c"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5786821" TargetMode="External"/><Relationship Id="rId44" Type="http://schemas.openxmlformats.org/officeDocument/2006/relationships/hyperlink" Target="http://www.nevo.co.il/case/17947582" TargetMode="External"/><Relationship Id="rId52"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yperlink" Target="http://www.nevo.co.il/law/5227/67" TargetMode="External"/><Relationship Id="rId22" Type="http://schemas.openxmlformats.org/officeDocument/2006/relationships/hyperlink" Target="http://www.nevo.co.il/case/26902497" TargetMode="External"/><Relationship Id="rId27" Type="http://schemas.openxmlformats.org/officeDocument/2006/relationships/hyperlink" Target="http://www.nevo.co.il/law/74501" TargetMode="External"/><Relationship Id="rId30" Type="http://schemas.openxmlformats.org/officeDocument/2006/relationships/hyperlink" Target="http://www.nevo.co.il/law/5227/2" TargetMode="External"/><Relationship Id="rId35" Type="http://schemas.openxmlformats.org/officeDocument/2006/relationships/hyperlink" Target="http://www.nevo.co.il/case/20412551" TargetMode="External"/><Relationship Id="rId43" Type="http://schemas.openxmlformats.org/officeDocument/2006/relationships/hyperlink" Target="http://www.nevo.co.il/case/12063973" TargetMode="External"/><Relationship Id="rId48" Type="http://schemas.openxmlformats.org/officeDocument/2006/relationships/hyperlink" Target="http://www.nevo.co.il/case/5921678" TargetMode="External"/><Relationship Id="rId56" Type="http://schemas.openxmlformats.org/officeDocument/2006/relationships/theme" Target="theme/theme1.xml"/><Relationship Id="rId8" Type="http://schemas.openxmlformats.org/officeDocument/2006/relationships/hyperlink" Target="http://www.nevo.co.il/law/4216" TargetMode="External"/><Relationship Id="rId51"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5227/2" TargetMode="External"/><Relationship Id="rId17" Type="http://schemas.openxmlformats.org/officeDocument/2006/relationships/hyperlink" Target="http://www.nevo.co.il/law/74274" TargetMode="External"/><Relationship Id="rId25" Type="http://schemas.openxmlformats.org/officeDocument/2006/relationships/hyperlink" Target="http://www.nevo.co.il/law/5227/10a" TargetMode="External"/><Relationship Id="rId33" Type="http://schemas.openxmlformats.org/officeDocument/2006/relationships/hyperlink" Target="http://www.nevo.co.il/case/20402486" TargetMode="External"/><Relationship Id="rId38" Type="http://schemas.openxmlformats.org/officeDocument/2006/relationships/hyperlink" Target="http://www.nevo.co.il/case/6180833" TargetMode="External"/><Relationship Id="rId46" Type="http://schemas.openxmlformats.org/officeDocument/2006/relationships/hyperlink" Target="http://www.nevo.co.il/case/26402047" TargetMode="External"/><Relationship Id="rId20" Type="http://schemas.openxmlformats.org/officeDocument/2006/relationships/hyperlink" Target="http://www.nevo.co.il/law/4216/7.c" TargetMode="External"/><Relationship Id="rId41" Type="http://schemas.openxmlformats.org/officeDocument/2006/relationships/hyperlink" Target="http://www.nevo.co.il/case/26375569" TargetMode="External"/><Relationship Id="rId54"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case/23548919" TargetMode="External"/><Relationship Id="rId15" Type="http://schemas.openxmlformats.org/officeDocument/2006/relationships/hyperlink" Target="http://www.nevo.co.il/law/74501" TargetMode="External"/><Relationship Id="rId23" Type="http://schemas.openxmlformats.org/officeDocument/2006/relationships/hyperlink" Target="http://www.nevo.co.il/law/5227/67" TargetMode="External"/><Relationship Id="rId28" Type="http://schemas.openxmlformats.org/officeDocument/2006/relationships/hyperlink" Target="http://www.nevo.co.il/law/74274/28.b.1.a" TargetMode="External"/><Relationship Id="rId36" Type="http://schemas.openxmlformats.org/officeDocument/2006/relationships/hyperlink" Target="http://www.nevo.co.il/case/18753213" TargetMode="External"/><Relationship Id="rId49" Type="http://schemas.openxmlformats.org/officeDocument/2006/relationships/hyperlink" Target="http://www.nevo.co.il/case/287786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3606</Words>
  <Characters>18034</Characters>
  <Application>Microsoft Office Word</Application>
  <DocSecurity>0</DocSecurity>
  <Lines>150</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21597</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3407997</vt:i4>
      </vt:variant>
      <vt:variant>
        <vt:i4>129</vt:i4>
      </vt:variant>
      <vt:variant>
        <vt:i4>0</vt:i4>
      </vt:variant>
      <vt:variant>
        <vt:i4>5</vt:i4>
      </vt:variant>
      <vt:variant>
        <vt:lpwstr>http://www.nevo.co.il/case/2877869</vt:lpwstr>
      </vt:variant>
      <vt:variant>
        <vt:lpwstr/>
      </vt:variant>
      <vt:variant>
        <vt:i4>3735675</vt:i4>
      </vt:variant>
      <vt:variant>
        <vt:i4>126</vt:i4>
      </vt:variant>
      <vt:variant>
        <vt:i4>0</vt:i4>
      </vt:variant>
      <vt:variant>
        <vt:i4>5</vt:i4>
      </vt:variant>
      <vt:variant>
        <vt:lpwstr>http://www.nevo.co.il/case/5921678</vt:lpwstr>
      </vt:variant>
      <vt:variant>
        <vt:lpwstr/>
      </vt:variant>
      <vt:variant>
        <vt:i4>3604592</vt:i4>
      </vt:variant>
      <vt:variant>
        <vt:i4>123</vt:i4>
      </vt:variant>
      <vt:variant>
        <vt:i4>0</vt:i4>
      </vt:variant>
      <vt:variant>
        <vt:i4>5</vt:i4>
      </vt:variant>
      <vt:variant>
        <vt:lpwstr>http://www.nevo.co.il/case/25156420</vt:lpwstr>
      </vt:variant>
      <vt:variant>
        <vt:lpwstr/>
      </vt:variant>
      <vt:variant>
        <vt:i4>3145842</vt:i4>
      </vt:variant>
      <vt:variant>
        <vt:i4>120</vt:i4>
      </vt:variant>
      <vt:variant>
        <vt:i4>0</vt:i4>
      </vt:variant>
      <vt:variant>
        <vt:i4>5</vt:i4>
      </vt:variant>
      <vt:variant>
        <vt:lpwstr>http://www.nevo.co.il/case/26402047</vt:lpwstr>
      </vt:variant>
      <vt:variant>
        <vt:lpwstr/>
      </vt:variant>
      <vt:variant>
        <vt:i4>3145853</vt:i4>
      </vt:variant>
      <vt:variant>
        <vt:i4>117</vt:i4>
      </vt:variant>
      <vt:variant>
        <vt:i4>0</vt:i4>
      </vt:variant>
      <vt:variant>
        <vt:i4>5</vt:i4>
      </vt:variant>
      <vt:variant>
        <vt:lpwstr>http://www.nevo.co.il/case/5727295</vt:lpwstr>
      </vt:variant>
      <vt:variant>
        <vt:lpwstr/>
      </vt:variant>
      <vt:variant>
        <vt:i4>3604594</vt:i4>
      </vt:variant>
      <vt:variant>
        <vt:i4>114</vt:i4>
      </vt:variant>
      <vt:variant>
        <vt:i4>0</vt:i4>
      </vt:variant>
      <vt:variant>
        <vt:i4>5</vt:i4>
      </vt:variant>
      <vt:variant>
        <vt:lpwstr>http://www.nevo.co.il/case/17947582</vt:lpwstr>
      </vt:variant>
      <vt:variant>
        <vt:lpwstr/>
      </vt:variant>
      <vt:variant>
        <vt:i4>3473529</vt:i4>
      </vt:variant>
      <vt:variant>
        <vt:i4>111</vt:i4>
      </vt:variant>
      <vt:variant>
        <vt:i4>0</vt:i4>
      </vt:variant>
      <vt:variant>
        <vt:i4>5</vt:i4>
      </vt:variant>
      <vt:variant>
        <vt:lpwstr>http://www.nevo.co.il/case/12063973</vt:lpwstr>
      </vt:variant>
      <vt:variant>
        <vt:lpwstr/>
      </vt:variant>
      <vt:variant>
        <vt:i4>4063346</vt:i4>
      </vt:variant>
      <vt:variant>
        <vt:i4>108</vt:i4>
      </vt:variant>
      <vt:variant>
        <vt:i4>0</vt:i4>
      </vt:variant>
      <vt:variant>
        <vt:i4>5</vt:i4>
      </vt:variant>
      <vt:variant>
        <vt:lpwstr>http://www.nevo.co.il/case/26246488</vt:lpwstr>
      </vt:variant>
      <vt:variant>
        <vt:lpwstr/>
      </vt:variant>
      <vt:variant>
        <vt:i4>3276912</vt:i4>
      </vt:variant>
      <vt:variant>
        <vt:i4>105</vt:i4>
      </vt:variant>
      <vt:variant>
        <vt:i4>0</vt:i4>
      </vt:variant>
      <vt:variant>
        <vt:i4>5</vt:i4>
      </vt:variant>
      <vt:variant>
        <vt:lpwstr>http://www.nevo.co.il/case/26375569</vt:lpwstr>
      </vt:variant>
      <vt:variant>
        <vt:lpwstr/>
      </vt:variant>
      <vt:variant>
        <vt:i4>3801202</vt:i4>
      </vt:variant>
      <vt:variant>
        <vt:i4>102</vt:i4>
      </vt:variant>
      <vt:variant>
        <vt:i4>0</vt:i4>
      </vt:variant>
      <vt:variant>
        <vt:i4>5</vt:i4>
      </vt:variant>
      <vt:variant>
        <vt:lpwstr>http://www.nevo.co.il/case/20061093</vt:lpwstr>
      </vt:variant>
      <vt:variant>
        <vt:lpwstr/>
      </vt:variant>
      <vt:variant>
        <vt:i4>3670136</vt:i4>
      </vt:variant>
      <vt:variant>
        <vt:i4>99</vt:i4>
      </vt:variant>
      <vt:variant>
        <vt:i4>0</vt:i4>
      </vt:variant>
      <vt:variant>
        <vt:i4>5</vt:i4>
      </vt:variant>
      <vt:variant>
        <vt:lpwstr>http://www.nevo.co.il/case/7980156</vt:lpwstr>
      </vt:variant>
      <vt:variant>
        <vt:lpwstr/>
      </vt:variant>
      <vt:variant>
        <vt:i4>3473526</vt:i4>
      </vt:variant>
      <vt:variant>
        <vt:i4>96</vt:i4>
      </vt:variant>
      <vt:variant>
        <vt:i4>0</vt:i4>
      </vt:variant>
      <vt:variant>
        <vt:i4>5</vt:i4>
      </vt:variant>
      <vt:variant>
        <vt:lpwstr>http://www.nevo.co.il/case/6180833</vt:lpwstr>
      </vt:variant>
      <vt:variant>
        <vt:lpwstr/>
      </vt:variant>
      <vt:variant>
        <vt:i4>3473523</vt:i4>
      </vt:variant>
      <vt:variant>
        <vt:i4>93</vt:i4>
      </vt:variant>
      <vt:variant>
        <vt:i4>0</vt:i4>
      </vt:variant>
      <vt:variant>
        <vt:i4>5</vt:i4>
      </vt:variant>
      <vt:variant>
        <vt:lpwstr>http://www.nevo.co.il/case/5590128</vt:lpwstr>
      </vt:variant>
      <vt:variant>
        <vt:lpwstr/>
      </vt:variant>
      <vt:variant>
        <vt:i4>3407995</vt:i4>
      </vt:variant>
      <vt:variant>
        <vt:i4>90</vt:i4>
      </vt:variant>
      <vt:variant>
        <vt:i4>0</vt:i4>
      </vt:variant>
      <vt:variant>
        <vt:i4>5</vt:i4>
      </vt:variant>
      <vt:variant>
        <vt:lpwstr>http://www.nevo.co.il/case/18753213</vt:lpwstr>
      </vt:variant>
      <vt:variant>
        <vt:lpwstr/>
      </vt:variant>
      <vt:variant>
        <vt:i4>3211376</vt:i4>
      </vt:variant>
      <vt:variant>
        <vt:i4>87</vt:i4>
      </vt:variant>
      <vt:variant>
        <vt:i4>0</vt:i4>
      </vt:variant>
      <vt:variant>
        <vt:i4>5</vt:i4>
      </vt:variant>
      <vt:variant>
        <vt:lpwstr>http://www.nevo.co.il/case/20412551</vt:lpwstr>
      </vt:variant>
      <vt:variant>
        <vt:lpwstr/>
      </vt:variant>
      <vt:variant>
        <vt:i4>3866737</vt:i4>
      </vt:variant>
      <vt:variant>
        <vt:i4>84</vt:i4>
      </vt:variant>
      <vt:variant>
        <vt:i4>0</vt:i4>
      </vt:variant>
      <vt:variant>
        <vt:i4>5</vt:i4>
      </vt:variant>
      <vt:variant>
        <vt:lpwstr>http://www.nevo.co.il/case/24959490</vt:lpwstr>
      </vt:variant>
      <vt:variant>
        <vt:lpwstr/>
      </vt:variant>
      <vt:variant>
        <vt:i4>3932272</vt:i4>
      </vt:variant>
      <vt:variant>
        <vt:i4>81</vt:i4>
      </vt:variant>
      <vt:variant>
        <vt:i4>0</vt:i4>
      </vt:variant>
      <vt:variant>
        <vt:i4>5</vt:i4>
      </vt:variant>
      <vt:variant>
        <vt:lpwstr>http://www.nevo.co.il/case/20402486</vt:lpwstr>
      </vt:variant>
      <vt:variant>
        <vt:lpwstr/>
      </vt:variant>
      <vt:variant>
        <vt:i4>3932283</vt:i4>
      </vt:variant>
      <vt:variant>
        <vt:i4>78</vt:i4>
      </vt:variant>
      <vt:variant>
        <vt:i4>0</vt:i4>
      </vt:variant>
      <vt:variant>
        <vt:i4>5</vt:i4>
      </vt:variant>
      <vt:variant>
        <vt:lpwstr>http://www.nevo.co.il/case/5698919</vt:lpwstr>
      </vt:variant>
      <vt:variant>
        <vt:lpwstr/>
      </vt:variant>
      <vt:variant>
        <vt:i4>3407991</vt:i4>
      </vt:variant>
      <vt:variant>
        <vt:i4>75</vt:i4>
      </vt:variant>
      <vt:variant>
        <vt:i4>0</vt:i4>
      </vt:variant>
      <vt:variant>
        <vt:i4>5</vt:i4>
      </vt:variant>
      <vt:variant>
        <vt:lpwstr>http://www.nevo.co.il/case/5786821</vt:lpwstr>
      </vt:variant>
      <vt:variant>
        <vt:lpwstr/>
      </vt:variant>
      <vt:variant>
        <vt:i4>5046344</vt:i4>
      </vt:variant>
      <vt:variant>
        <vt:i4>72</vt:i4>
      </vt:variant>
      <vt:variant>
        <vt:i4>0</vt:i4>
      </vt:variant>
      <vt:variant>
        <vt:i4>5</vt:i4>
      </vt:variant>
      <vt:variant>
        <vt:lpwstr>http://www.nevo.co.il/law/5227/2</vt:lpwstr>
      </vt:variant>
      <vt:variant>
        <vt:lpwstr/>
      </vt:variant>
      <vt:variant>
        <vt:i4>7929957</vt:i4>
      </vt:variant>
      <vt:variant>
        <vt:i4>69</vt:i4>
      </vt:variant>
      <vt:variant>
        <vt:i4>0</vt:i4>
      </vt:variant>
      <vt:variant>
        <vt:i4>5</vt:i4>
      </vt:variant>
      <vt:variant>
        <vt:lpwstr>http://www.nevo.co.il/law/74274</vt:lpwstr>
      </vt:variant>
      <vt:variant>
        <vt:lpwstr/>
      </vt:variant>
      <vt:variant>
        <vt:i4>6029389</vt:i4>
      </vt:variant>
      <vt:variant>
        <vt:i4>66</vt:i4>
      </vt:variant>
      <vt:variant>
        <vt:i4>0</vt:i4>
      </vt:variant>
      <vt:variant>
        <vt:i4>5</vt:i4>
      </vt:variant>
      <vt:variant>
        <vt:lpwstr>http://www.nevo.co.il/law/74274/28.b.1.a</vt:lpwstr>
      </vt:variant>
      <vt:variant>
        <vt:lpwstr/>
      </vt:variant>
      <vt:variant>
        <vt:i4>8257634</vt:i4>
      </vt:variant>
      <vt:variant>
        <vt:i4>63</vt:i4>
      </vt:variant>
      <vt:variant>
        <vt:i4>0</vt:i4>
      </vt:variant>
      <vt:variant>
        <vt:i4>5</vt:i4>
      </vt:variant>
      <vt:variant>
        <vt:lpwstr>http://www.nevo.co.il/law/74501</vt:lpwstr>
      </vt:variant>
      <vt:variant>
        <vt:lpwstr/>
      </vt:variant>
      <vt:variant>
        <vt:i4>3145825</vt:i4>
      </vt:variant>
      <vt:variant>
        <vt:i4>60</vt:i4>
      </vt:variant>
      <vt:variant>
        <vt:i4>0</vt:i4>
      </vt:variant>
      <vt:variant>
        <vt:i4>5</vt:i4>
      </vt:variant>
      <vt:variant>
        <vt:lpwstr>http://www.nevo.co.il/law/74501/2a</vt:lpwstr>
      </vt:variant>
      <vt:variant>
        <vt:lpwstr/>
      </vt:variant>
      <vt:variant>
        <vt:i4>3080312</vt:i4>
      </vt:variant>
      <vt:variant>
        <vt:i4>57</vt:i4>
      </vt:variant>
      <vt:variant>
        <vt:i4>0</vt:i4>
      </vt:variant>
      <vt:variant>
        <vt:i4>5</vt:i4>
      </vt:variant>
      <vt:variant>
        <vt:lpwstr>http://www.nevo.co.il/law/5227/10a</vt:lpwstr>
      </vt:variant>
      <vt:variant>
        <vt:lpwstr/>
      </vt:variant>
      <vt:variant>
        <vt:i4>8323175</vt:i4>
      </vt:variant>
      <vt:variant>
        <vt:i4>54</vt:i4>
      </vt:variant>
      <vt:variant>
        <vt:i4>0</vt:i4>
      </vt:variant>
      <vt:variant>
        <vt:i4>5</vt:i4>
      </vt:variant>
      <vt:variant>
        <vt:lpwstr>http://www.nevo.co.il/law/5227</vt:lpwstr>
      </vt:variant>
      <vt:variant>
        <vt:lpwstr/>
      </vt:variant>
      <vt:variant>
        <vt:i4>4784200</vt:i4>
      </vt:variant>
      <vt:variant>
        <vt:i4>51</vt:i4>
      </vt:variant>
      <vt:variant>
        <vt:i4>0</vt:i4>
      </vt:variant>
      <vt:variant>
        <vt:i4>5</vt:i4>
      </vt:variant>
      <vt:variant>
        <vt:lpwstr>http://www.nevo.co.il/law/5227/67</vt:lpwstr>
      </vt:variant>
      <vt:variant>
        <vt:lpwstr/>
      </vt:variant>
      <vt:variant>
        <vt:i4>3145846</vt:i4>
      </vt:variant>
      <vt:variant>
        <vt:i4>48</vt:i4>
      </vt:variant>
      <vt:variant>
        <vt:i4>0</vt:i4>
      </vt:variant>
      <vt:variant>
        <vt:i4>5</vt:i4>
      </vt:variant>
      <vt:variant>
        <vt:lpwstr>http://www.nevo.co.il/case/26902497</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6029389</vt:i4>
      </vt:variant>
      <vt:variant>
        <vt:i4>36</vt:i4>
      </vt:variant>
      <vt:variant>
        <vt:i4>0</vt:i4>
      </vt:variant>
      <vt:variant>
        <vt:i4>5</vt:i4>
      </vt:variant>
      <vt:variant>
        <vt:lpwstr>http://www.nevo.co.il/law/74274/28.b.1.a</vt:lpwstr>
      </vt:variant>
      <vt:variant>
        <vt:lpwstr/>
      </vt:variant>
      <vt:variant>
        <vt:i4>7929957</vt:i4>
      </vt:variant>
      <vt:variant>
        <vt:i4>33</vt:i4>
      </vt:variant>
      <vt:variant>
        <vt:i4>0</vt:i4>
      </vt:variant>
      <vt:variant>
        <vt:i4>5</vt:i4>
      </vt:variant>
      <vt:variant>
        <vt:lpwstr>http://www.nevo.co.il/law/74274</vt:lpwstr>
      </vt:variant>
      <vt:variant>
        <vt:lpwstr/>
      </vt:variant>
      <vt:variant>
        <vt:i4>3145825</vt:i4>
      </vt:variant>
      <vt:variant>
        <vt:i4>30</vt:i4>
      </vt:variant>
      <vt:variant>
        <vt:i4>0</vt:i4>
      </vt:variant>
      <vt:variant>
        <vt:i4>5</vt:i4>
      </vt:variant>
      <vt:variant>
        <vt:lpwstr>http://www.nevo.co.il/law/74501/2a</vt:lpwstr>
      </vt:variant>
      <vt:variant>
        <vt:lpwstr/>
      </vt:variant>
      <vt:variant>
        <vt:i4>8257634</vt:i4>
      </vt:variant>
      <vt:variant>
        <vt:i4>27</vt:i4>
      </vt:variant>
      <vt:variant>
        <vt:i4>0</vt:i4>
      </vt:variant>
      <vt:variant>
        <vt:i4>5</vt:i4>
      </vt:variant>
      <vt:variant>
        <vt:lpwstr>http://www.nevo.co.il/law/74501</vt:lpwstr>
      </vt:variant>
      <vt:variant>
        <vt:lpwstr/>
      </vt:variant>
      <vt:variant>
        <vt:i4>4784200</vt:i4>
      </vt:variant>
      <vt:variant>
        <vt:i4>24</vt:i4>
      </vt:variant>
      <vt:variant>
        <vt:i4>0</vt:i4>
      </vt:variant>
      <vt:variant>
        <vt:i4>5</vt:i4>
      </vt:variant>
      <vt:variant>
        <vt:lpwstr>http://www.nevo.co.il/law/5227/67</vt:lpwstr>
      </vt:variant>
      <vt:variant>
        <vt:lpwstr/>
      </vt:variant>
      <vt:variant>
        <vt:i4>3080312</vt:i4>
      </vt:variant>
      <vt:variant>
        <vt:i4>21</vt:i4>
      </vt:variant>
      <vt:variant>
        <vt:i4>0</vt:i4>
      </vt:variant>
      <vt:variant>
        <vt:i4>5</vt:i4>
      </vt:variant>
      <vt:variant>
        <vt:lpwstr>http://www.nevo.co.il/law/5227/10a</vt:lpwstr>
      </vt:variant>
      <vt:variant>
        <vt:lpwstr/>
      </vt:variant>
      <vt:variant>
        <vt:i4>5046344</vt:i4>
      </vt:variant>
      <vt:variant>
        <vt:i4>18</vt:i4>
      </vt:variant>
      <vt:variant>
        <vt:i4>0</vt:i4>
      </vt:variant>
      <vt:variant>
        <vt:i4>5</vt:i4>
      </vt:variant>
      <vt:variant>
        <vt:lpwstr>http://www.nevo.co.il/law/5227/2</vt:lpwstr>
      </vt:variant>
      <vt:variant>
        <vt:lpwstr/>
      </vt:variant>
      <vt:variant>
        <vt:i4>8323175</vt:i4>
      </vt:variant>
      <vt:variant>
        <vt:i4>15</vt:i4>
      </vt:variant>
      <vt:variant>
        <vt:i4>0</vt:i4>
      </vt:variant>
      <vt:variant>
        <vt:i4>5</vt:i4>
      </vt:variant>
      <vt:variant>
        <vt:lpwstr>http://www.nevo.co.il/law/5227</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3145846</vt:i4>
      </vt:variant>
      <vt:variant>
        <vt:i4>3</vt:i4>
      </vt:variant>
      <vt:variant>
        <vt:i4>0</vt:i4>
      </vt:variant>
      <vt:variant>
        <vt:i4>5</vt:i4>
      </vt:variant>
      <vt:variant>
        <vt:lpwstr>http://www.nevo.co.il/case/26902497</vt:lpwstr>
      </vt:variant>
      <vt:variant>
        <vt:lpwstr/>
      </vt:variant>
      <vt:variant>
        <vt:i4>4063354</vt:i4>
      </vt:variant>
      <vt:variant>
        <vt:i4>0</vt:i4>
      </vt:variant>
      <vt:variant>
        <vt:i4>0</vt:i4>
      </vt:variant>
      <vt:variant>
        <vt:i4>5</vt:i4>
      </vt:variant>
      <vt:variant>
        <vt:lpwstr>http://www.nevo.co.il/case/23548919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2025-04-22T23:38:00Z</dcterms:created>
  <dcterms:modified xsi:type="dcterms:W3CDTF">2025-04-22T23:38:00Z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תפ;פל</vt:lpwstr>
  </property>
  <property fmtid="{D5CDD505-2E9C-101B-9397-08002B2CF9AE}" pid="5" name="NEWPARTA">
    <vt:lpwstr>33024;1292</vt:lpwstr>
  </property>
  <property fmtid="{D5CDD505-2E9C-101B-9397-08002B2CF9AE}" pid="6" name="NEWPARTB">
    <vt:lpwstr>01;08</vt:lpwstr>
  </property>
  <property fmtid="{D5CDD505-2E9C-101B-9397-08002B2CF9AE}" pid="7" name="NEWPARTC">
    <vt:lpwstr>18;20</vt:lpwstr>
  </property>
  <property fmtid="{D5CDD505-2E9C-101B-9397-08002B2CF9AE}" pid="8" name="APPELLANT">
    <vt:lpwstr>מדינת ישראל </vt:lpwstr>
  </property>
  <property fmtid="{D5CDD505-2E9C-101B-9397-08002B2CF9AE}" pid="9" name="APPELLEE">
    <vt:lpwstr>ראמזי בדיר</vt:lpwstr>
  </property>
  <property fmtid="{D5CDD505-2E9C-101B-9397-08002B2CF9AE}" pid="10" name="LAWYER">
    <vt:lpwstr>דניאל איקן;יזהר קונפורטי</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20210407</vt:lpwstr>
  </property>
  <property fmtid="{D5CDD505-2E9C-101B-9397-08002B2CF9AE}" pid="14" name="TYPE_N_DATE">
    <vt:lpwstr>38020210407</vt:lpwstr>
  </property>
  <property fmtid="{D5CDD505-2E9C-101B-9397-08002B2CF9AE}" pid="15" name="WORDNUMPAGES">
    <vt:lpwstr>9</vt:lpwstr>
  </property>
  <property fmtid="{D5CDD505-2E9C-101B-9397-08002B2CF9AE}" pid="16" name="TYPE_ABS_DATE">
    <vt:lpwstr>380020210407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23548919;26902497:2;5786821;5698919;20402486;24959490;20412551;18753213;5590128;6180833;7980156;20061093;26375569;26246488;12063973;17947582;5727295;26402047;25156420;5921678;2877869</vt:lpwstr>
  </property>
  <property fmtid="{D5CDD505-2E9C-101B-9397-08002B2CF9AE}" pid="36" name="LAWLISTTMP1">
    <vt:lpwstr>4216/007.a;007.c</vt:lpwstr>
  </property>
  <property fmtid="{D5CDD505-2E9C-101B-9397-08002B2CF9AE}" pid="37" name="LAWLISTTMP2">
    <vt:lpwstr>5227/067;010a;002</vt:lpwstr>
  </property>
  <property fmtid="{D5CDD505-2E9C-101B-9397-08002B2CF9AE}" pid="38" name="LAWLISTTMP3">
    <vt:lpwstr>74501/002a</vt:lpwstr>
  </property>
  <property fmtid="{D5CDD505-2E9C-101B-9397-08002B2CF9AE}" pid="39" name="LAWLISTTMP4">
    <vt:lpwstr>74274/028.b.1.a</vt:lpwstr>
  </property>
</Properties>
</file>