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92BA4" w:rsidRPr="00821D72" w14:paraId="79F2D11F" w14:textId="77777777" w:rsidTr="00A4490E">
        <w:trPr>
          <w:trHeight w:hRule="exact" w:val="418"/>
          <w:jc w:val="center"/>
        </w:trPr>
        <w:tc>
          <w:tcPr>
            <w:tcW w:w="8721" w:type="dxa"/>
            <w:gridSpan w:val="2"/>
          </w:tcPr>
          <w:p w14:paraId="0D57BCCE" w14:textId="77777777" w:rsidR="00892BA4" w:rsidRPr="00821D72" w:rsidRDefault="00892BA4" w:rsidP="0088326E">
            <w:pPr>
              <w:pStyle w:val="a3"/>
              <w:jc w:val="center"/>
              <w:rPr>
                <w:rFonts w:ascii="Tahoma" w:hAnsi="Tahoma" w:cs="Tahoma"/>
                <w:color w:val="000080"/>
                <w:rtl/>
              </w:rPr>
            </w:pPr>
            <w:r w:rsidRPr="00821D72">
              <w:rPr>
                <w:rFonts w:ascii="Tahoma" w:hAnsi="Tahoma" w:cs="Tahoma"/>
                <w:b/>
                <w:bCs/>
                <w:color w:val="000080"/>
                <w:rtl/>
              </w:rPr>
              <w:t>בית משפט השלום בראשון לציון</w:t>
            </w:r>
          </w:p>
        </w:tc>
      </w:tr>
      <w:tr w:rsidR="00892BA4" w:rsidRPr="00821D72" w14:paraId="2709A0B9" w14:textId="77777777" w:rsidTr="00A4490E">
        <w:trPr>
          <w:trHeight w:val="337"/>
          <w:jc w:val="center"/>
        </w:trPr>
        <w:tc>
          <w:tcPr>
            <w:tcW w:w="5054" w:type="dxa"/>
          </w:tcPr>
          <w:p w14:paraId="734D8B7E" w14:textId="77777777" w:rsidR="00892BA4" w:rsidRPr="00821D72" w:rsidRDefault="00892BA4" w:rsidP="0088326E">
            <w:pPr>
              <w:rPr>
                <w:rFonts w:cs="FrankRuehl"/>
                <w:sz w:val="28"/>
                <w:szCs w:val="28"/>
                <w:rtl/>
              </w:rPr>
            </w:pPr>
            <w:r w:rsidRPr="00821D72">
              <w:rPr>
                <w:rFonts w:cs="FrankRuehl"/>
                <w:sz w:val="28"/>
                <w:szCs w:val="28"/>
                <w:rtl/>
              </w:rPr>
              <w:t>ת"פ</w:t>
            </w:r>
            <w:r w:rsidRPr="00821D72">
              <w:rPr>
                <w:rFonts w:cs="FrankRuehl" w:hint="cs"/>
                <w:sz w:val="28"/>
                <w:szCs w:val="28"/>
                <w:rtl/>
              </w:rPr>
              <w:t xml:space="preserve"> </w:t>
            </w:r>
            <w:r w:rsidRPr="00821D72">
              <w:rPr>
                <w:rFonts w:cs="FrankRuehl"/>
                <w:sz w:val="28"/>
                <w:szCs w:val="28"/>
                <w:rtl/>
              </w:rPr>
              <w:t>39086-01-18</w:t>
            </w:r>
            <w:r w:rsidRPr="00821D72">
              <w:rPr>
                <w:rFonts w:cs="FrankRuehl" w:hint="cs"/>
                <w:sz w:val="28"/>
                <w:szCs w:val="28"/>
                <w:rtl/>
              </w:rPr>
              <w:t xml:space="preserve"> </w:t>
            </w:r>
            <w:r w:rsidRPr="00821D72">
              <w:rPr>
                <w:rFonts w:cs="FrankRuehl"/>
                <w:sz w:val="28"/>
                <w:szCs w:val="28"/>
                <w:rtl/>
              </w:rPr>
              <w:t>מדינת ישראל נ' צבאן</w:t>
            </w:r>
          </w:p>
          <w:p w14:paraId="00ED5D15" w14:textId="77777777" w:rsidR="00892BA4" w:rsidRPr="00821D72" w:rsidRDefault="00892BA4" w:rsidP="0088326E">
            <w:pPr>
              <w:pStyle w:val="a3"/>
              <w:rPr>
                <w:rFonts w:cs="FrankRuehl"/>
                <w:sz w:val="28"/>
                <w:szCs w:val="28"/>
                <w:rtl/>
              </w:rPr>
            </w:pPr>
          </w:p>
        </w:tc>
        <w:tc>
          <w:tcPr>
            <w:tcW w:w="3667" w:type="dxa"/>
          </w:tcPr>
          <w:p w14:paraId="2D18AF4B" w14:textId="77777777" w:rsidR="00892BA4" w:rsidRPr="00821D72" w:rsidRDefault="00892BA4" w:rsidP="0088326E">
            <w:pPr>
              <w:pStyle w:val="a3"/>
              <w:jc w:val="right"/>
              <w:rPr>
                <w:rFonts w:cs="FrankRuehl"/>
                <w:sz w:val="28"/>
                <w:szCs w:val="28"/>
                <w:rtl/>
              </w:rPr>
            </w:pPr>
          </w:p>
        </w:tc>
      </w:tr>
    </w:tbl>
    <w:p w14:paraId="37679B55" w14:textId="77777777" w:rsidR="00892BA4" w:rsidRPr="00821D72" w:rsidRDefault="00892BA4" w:rsidP="00892BA4">
      <w:pPr>
        <w:pStyle w:val="a3"/>
        <w:rPr>
          <w:rtl/>
        </w:rPr>
      </w:pPr>
      <w:r w:rsidRPr="00821D72">
        <w:rPr>
          <w:rFonts w:hint="cs"/>
          <w:rtl/>
        </w:rPr>
        <w:t xml:space="preserve"> </w:t>
      </w:r>
    </w:p>
    <w:p w14:paraId="1CBEDDF7" w14:textId="77777777" w:rsidR="00892BA4" w:rsidRPr="00821D72" w:rsidRDefault="00892BA4" w:rsidP="00892BA4">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92BA4" w:rsidRPr="00821D72" w14:paraId="3D3147D9" w14:textId="77777777" w:rsidTr="00892BA4">
        <w:trPr>
          <w:trHeight w:val="295"/>
          <w:jc w:val="center"/>
        </w:trPr>
        <w:tc>
          <w:tcPr>
            <w:tcW w:w="923" w:type="dxa"/>
            <w:tcBorders>
              <w:top w:val="nil"/>
              <w:left w:val="nil"/>
              <w:bottom w:val="nil"/>
              <w:right w:val="nil"/>
            </w:tcBorders>
            <w:shd w:val="clear" w:color="auto" w:fill="auto"/>
          </w:tcPr>
          <w:p w14:paraId="615612DD" w14:textId="77777777" w:rsidR="00892BA4" w:rsidRPr="00821D72" w:rsidRDefault="00892BA4" w:rsidP="00892BA4">
            <w:pPr>
              <w:jc w:val="both"/>
              <w:rPr>
                <w:rFonts w:ascii="Arial" w:hAnsi="Arial" w:cs="FrankRuehl"/>
                <w:b/>
                <w:bCs/>
                <w:sz w:val="28"/>
                <w:szCs w:val="28"/>
              </w:rPr>
            </w:pPr>
            <w:r w:rsidRPr="00821D72">
              <w:rPr>
                <w:rFonts w:ascii="Arial" w:hAnsi="Arial" w:cs="FrankRuehl" w:hint="cs"/>
                <w:b/>
                <w:bCs/>
                <w:sz w:val="28"/>
                <w:szCs w:val="28"/>
                <w:rtl/>
              </w:rPr>
              <w:t>ב</w:t>
            </w:r>
            <w:r w:rsidRPr="00821D72">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3E1E82B9" w14:textId="77777777" w:rsidR="00892BA4" w:rsidRPr="00821D72" w:rsidRDefault="00892BA4" w:rsidP="0088326E">
            <w:pPr>
              <w:rPr>
                <w:rFonts w:ascii="Arial" w:hAnsi="Arial"/>
                <w:b/>
                <w:bCs/>
                <w:rtl/>
              </w:rPr>
            </w:pPr>
            <w:r w:rsidRPr="00821D72">
              <w:rPr>
                <w:rFonts w:ascii="Arial" w:hAnsi="Arial" w:hint="cs"/>
                <w:b/>
                <w:bCs/>
                <w:rtl/>
              </w:rPr>
              <w:t>כבוד ה</w:t>
            </w:r>
            <w:r w:rsidRPr="00821D72">
              <w:rPr>
                <w:rFonts w:ascii="Arial" w:hAnsi="Arial"/>
                <w:b/>
                <w:bCs/>
                <w:rtl/>
              </w:rPr>
              <w:t>שופטת - נשיאה</w:t>
            </w:r>
            <w:r w:rsidRPr="00821D72">
              <w:rPr>
                <w:rFonts w:ascii="Arial" w:hAnsi="Arial" w:hint="cs"/>
                <w:b/>
                <w:bCs/>
                <w:rtl/>
              </w:rPr>
              <w:t xml:space="preserve">  </w:t>
            </w:r>
            <w:r w:rsidRPr="00821D72">
              <w:rPr>
                <w:rFonts w:ascii="Arial" w:hAnsi="Arial"/>
                <w:b/>
                <w:bCs/>
                <w:rtl/>
              </w:rPr>
              <w:t>עינת רון</w:t>
            </w:r>
          </w:p>
          <w:p w14:paraId="3389D643" w14:textId="77777777" w:rsidR="00892BA4" w:rsidRPr="00821D72" w:rsidRDefault="00892BA4" w:rsidP="0088326E">
            <w:pPr>
              <w:rPr>
                <w:b/>
                <w:bCs/>
                <w:rtl/>
              </w:rPr>
            </w:pPr>
          </w:p>
          <w:p w14:paraId="49EDA720" w14:textId="77777777" w:rsidR="00892BA4" w:rsidRPr="00821D72" w:rsidRDefault="00892BA4" w:rsidP="00892BA4">
            <w:pPr>
              <w:jc w:val="both"/>
              <w:rPr>
                <w:rFonts w:ascii="Arial" w:hAnsi="Arial" w:cs="FrankRuehl"/>
                <w:b/>
                <w:bCs/>
                <w:sz w:val="28"/>
                <w:szCs w:val="28"/>
              </w:rPr>
            </w:pPr>
          </w:p>
        </w:tc>
      </w:tr>
      <w:tr w:rsidR="00892BA4" w:rsidRPr="00821D72" w14:paraId="6516216A" w14:textId="77777777" w:rsidTr="00892BA4">
        <w:trPr>
          <w:trHeight w:val="355"/>
          <w:jc w:val="center"/>
        </w:trPr>
        <w:tc>
          <w:tcPr>
            <w:tcW w:w="923" w:type="dxa"/>
            <w:tcBorders>
              <w:top w:val="nil"/>
              <w:left w:val="nil"/>
              <w:bottom w:val="nil"/>
              <w:right w:val="nil"/>
            </w:tcBorders>
            <w:shd w:val="clear" w:color="auto" w:fill="auto"/>
          </w:tcPr>
          <w:p w14:paraId="269E25C7" w14:textId="77777777" w:rsidR="00892BA4" w:rsidRPr="00821D72" w:rsidRDefault="00892BA4" w:rsidP="00892BA4">
            <w:pPr>
              <w:jc w:val="both"/>
              <w:rPr>
                <w:rFonts w:ascii="Arial" w:hAnsi="Arial" w:cs="FrankRuehl"/>
                <w:b/>
                <w:bCs/>
                <w:sz w:val="28"/>
                <w:szCs w:val="28"/>
              </w:rPr>
            </w:pPr>
            <w:bookmarkStart w:id="0" w:name="FirstAppellant"/>
            <w:bookmarkStart w:id="1" w:name="LastJudge"/>
            <w:bookmarkEnd w:id="1"/>
            <w:r w:rsidRPr="00821D72">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1C1C03E2" w14:textId="77777777" w:rsidR="00892BA4" w:rsidRPr="00821D72" w:rsidRDefault="00892BA4" w:rsidP="0088326E">
            <w:pPr>
              <w:rPr>
                <w:b/>
                <w:bCs/>
              </w:rPr>
            </w:pPr>
            <w:r w:rsidRPr="00821D72">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79CDBE9A" w14:textId="77777777" w:rsidR="00892BA4" w:rsidRPr="00821D72" w:rsidRDefault="00892BA4" w:rsidP="00892BA4">
            <w:pPr>
              <w:jc w:val="both"/>
              <w:rPr>
                <w:rFonts w:ascii="Arial" w:hAnsi="Arial" w:cs="FrankRuehl"/>
                <w:b/>
                <w:bCs/>
                <w:sz w:val="28"/>
                <w:szCs w:val="28"/>
              </w:rPr>
            </w:pPr>
          </w:p>
        </w:tc>
      </w:tr>
      <w:bookmarkEnd w:id="0"/>
      <w:tr w:rsidR="00892BA4" w:rsidRPr="00821D72" w14:paraId="76968C83" w14:textId="77777777" w:rsidTr="00892BA4">
        <w:trPr>
          <w:trHeight w:val="355"/>
          <w:jc w:val="center"/>
        </w:trPr>
        <w:tc>
          <w:tcPr>
            <w:tcW w:w="923" w:type="dxa"/>
            <w:tcBorders>
              <w:top w:val="nil"/>
              <w:left w:val="nil"/>
              <w:bottom w:val="nil"/>
              <w:right w:val="nil"/>
            </w:tcBorders>
            <w:shd w:val="clear" w:color="auto" w:fill="auto"/>
          </w:tcPr>
          <w:p w14:paraId="1D0CC8EF" w14:textId="77777777" w:rsidR="00892BA4" w:rsidRPr="00821D72" w:rsidRDefault="00892BA4" w:rsidP="00892BA4">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E85421C" w14:textId="77777777" w:rsidR="00892BA4" w:rsidRPr="00821D72" w:rsidRDefault="00892BA4" w:rsidP="00892BA4">
            <w:pPr>
              <w:jc w:val="both"/>
              <w:rPr>
                <w:b/>
                <w:bCs/>
                <w:rtl/>
              </w:rPr>
            </w:pPr>
          </w:p>
        </w:tc>
        <w:tc>
          <w:tcPr>
            <w:tcW w:w="3771" w:type="dxa"/>
            <w:tcBorders>
              <w:top w:val="nil"/>
              <w:left w:val="nil"/>
              <w:bottom w:val="nil"/>
              <w:right w:val="nil"/>
            </w:tcBorders>
            <w:shd w:val="clear" w:color="auto" w:fill="auto"/>
          </w:tcPr>
          <w:p w14:paraId="2945D203" w14:textId="77777777" w:rsidR="00892BA4" w:rsidRPr="00821D72" w:rsidRDefault="00892BA4" w:rsidP="00892BA4">
            <w:pPr>
              <w:jc w:val="right"/>
              <w:rPr>
                <w:rFonts w:ascii="Arial" w:hAnsi="Arial" w:cs="FrankRuehl"/>
                <w:b/>
                <w:bCs/>
                <w:sz w:val="28"/>
                <w:szCs w:val="28"/>
                <w:rtl/>
              </w:rPr>
            </w:pPr>
            <w:r w:rsidRPr="00821D72">
              <w:rPr>
                <w:rFonts w:ascii="Arial" w:hAnsi="Arial" w:cs="FrankRuehl" w:hint="cs"/>
                <w:b/>
                <w:bCs/>
                <w:sz w:val="28"/>
                <w:szCs w:val="28"/>
                <w:rtl/>
              </w:rPr>
              <w:t>ה</w:t>
            </w:r>
            <w:r w:rsidRPr="00821D72">
              <w:rPr>
                <w:rFonts w:ascii="Arial" w:hAnsi="Arial" w:cs="FrankRuehl"/>
                <w:b/>
                <w:bCs/>
                <w:sz w:val="28"/>
                <w:szCs w:val="28"/>
                <w:rtl/>
              </w:rPr>
              <w:t>מאשימה</w:t>
            </w:r>
          </w:p>
        </w:tc>
      </w:tr>
      <w:tr w:rsidR="00892BA4" w:rsidRPr="00821D72" w14:paraId="75267F0C" w14:textId="77777777" w:rsidTr="00892BA4">
        <w:trPr>
          <w:trHeight w:val="355"/>
          <w:jc w:val="center"/>
        </w:trPr>
        <w:tc>
          <w:tcPr>
            <w:tcW w:w="923" w:type="dxa"/>
            <w:tcBorders>
              <w:top w:val="nil"/>
              <w:left w:val="nil"/>
              <w:bottom w:val="nil"/>
              <w:right w:val="nil"/>
            </w:tcBorders>
            <w:shd w:val="clear" w:color="auto" w:fill="auto"/>
          </w:tcPr>
          <w:p w14:paraId="08996C1D" w14:textId="77777777" w:rsidR="00892BA4" w:rsidRPr="00821D72" w:rsidRDefault="00892BA4" w:rsidP="00892BA4">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00D54505" w14:textId="77777777" w:rsidR="00892BA4" w:rsidRPr="00821D72" w:rsidRDefault="00892BA4" w:rsidP="00892BA4">
            <w:pPr>
              <w:jc w:val="center"/>
              <w:rPr>
                <w:rFonts w:ascii="Arial" w:hAnsi="Arial" w:cs="FrankRuehl"/>
                <w:b/>
                <w:bCs/>
                <w:sz w:val="28"/>
                <w:szCs w:val="28"/>
                <w:rtl/>
              </w:rPr>
            </w:pPr>
          </w:p>
          <w:p w14:paraId="10C571F0" w14:textId="77777777" w:rsidR="00892BA4" w:rsidRPr="00821D72" w:rsidRDefault="00892BA4" w:rsidP="00892BA4">
            <w:pPr>
              <w:jc w:val="center"/>
              <w:rPr>
                <w:rFonts w:ascii="Arial" w:hAnsi="Arial" w:cs="FrankRuehl"/>
                <w:b/>
                <w:bCs/>
                <w:sz w:val="28"/>
                <w:szCs w:val="28"/>
                <w:rtl/>
              </w:rPr>
            </w:pPr>
            <w:r w:rsidRPr="00821D72">
              <w:rPr>
                <w:rFonts w:ascii="Arial" w:hAnsi="Arial" w:cs="FrankRuehl"/>
                <w:b/>
                <w:bCs/>
                <w:sz w:val="28"/>
                <w:szCs w:val="28"/>
                <w:rtl/>
              </w:rPr>
              <w:t>נגד</w:t>
            </w:r>
          </w:p>
          <w:p w14:paraId="01B0C29C" w14:textId="77777777" w:rsidR="00892BA4" w:rsidRPr="00821D72" w:rsidRDefault="00892BA4" w:rsidP="00892BA4">
            <w:pPr>
              <w:jc w:val="both"/>
              <w:rPr>
                <w:rFonts w:ascii="Arial" w:hAnsi="Arial" w:cs="FrankRuehl"/>
                <w:b/>
                <w:bCs/>
                <w:sz w:val="28"/>
                <w:szCs w:val="28"/>
              </w:rPr>
            </w:pPr>
          </w:p>
        </w:tc>
      </w:tr>
      <w:tr w:rsidR="00892BA4" w:rsidRPr="00821D72" w14:paraId="6DBA523F" w14:textId="77777777" w:rsidTr="00892BA4">
        <w:trPr>
          <w:trHeight w:val="355"/>
          <w:jc w:val="center"/>
        </w:trPr>
        <w:tc>
          <w:tcPr>
            <w:tcW w:w="923" w:type="dxa"/>
            <w:tcBorders>
              <w:top w:val="nil"/>
              <w:left w:val="nil"/>
              <w:bottom w:val="nil"/>
              <w:right w:val="nil"/>
            </w:tcBorders>
            <w:shd w:val="clear" w:color="auto" w:fill="auto"/>
          </w:tcPr>
          <w:p w14:paraId="60E4E389" w14:textId="77777777" w:rsidR="00892BA4" w:rsidRPr="00821D72" w:rsidRDefault="00892BA4" w:rsidP="0088326E">
            <w:pPr>
              <w:rPr>
                <w:rFonts w:ascii="Arial" w:hAnsi="Arial" w:cs="FrankRuehl"/>
                <w:b/>
                <w:bCs/>
                <w:sz w:val="28"/>
                <w:szCs w:val="28"/>
                <w:rtl/>
              </w:rPr>
            </w:pPr>
          </w:p>
        </w:tc>
        <w:tc>
          <w:tcPr>
            <w:tcW w:w="4126" w:type="dxa"/>
            <w:tcBorders>
              <w:top w:val="nil"/>
              <w:left w:val="nil"/>
              <w:bottom w:val="nil"/>
              <w:right w:val="nil"/>
            </w:tcBorders>
            <w:shd w:val="clear" w:color="auto" w:fill="auto"/>
          </w:tcPr>
          <w:p w14:paraId="47F9F4C8" w14:textId="77777777" w:rsidR="00892BA4" w:rsidRPr="00821D72" w:rsidRDefault="00892BA4" w:rsidP="0088326E">
            <w:pPr>
              <w:rPr>
                <w:b/>
                <w:bCs/>
                <w:rtl/>
              </w:rPr>
            </w:pPr>
            <w:r w:rsidRPr="00821D72">
              <w:rPr>
                <w:rFonts w:ascii="Arial" w:hAnsi="Arial" w:cs="FrankRuehl"/>
                <w:b/>
                <w:bCs/>
                <w:sz w:val="28"/>
                <w:szCs w:val="28"/>
                <w:rtl/>
              </w:rPr>
              <w:t>בן צבאן</w:t>
            </w:r>
          </w:p>
        </w:tc>
        <w:tc>
          <w:tcPr>
            <w:tcW w:w="3771" w:type="dxa"/>
            <w:tcBorders>
              <w:top w:val="nil"/>
              <w:left w:val="nil"/>
              <w:bottom w:val="nil"/>
              <w:right w:val="nil"/>
            </w:tcBorders>
            <w:shd w:val="clear" w:color="auto" w:fill="auto"/>
          </w:tcPr>
          <w:p w14:paraId="5B3079B7" w14:textId="77777777" w:rsidR="00892BA4" w:rsidRPr="00821D72" w:rsidRDefault="00892BA4" w:rsidP="00892BA4">
            <w:pPr>
              <w:jc w:val="right"/>
              <w:rPr>
                <w:rFonts w:ascii="Arial" w:hAnsi="Arial" w:cs="FrankRuehl"/>
                <w:b/>
                <w:bCs/>
                <w:sz w:val="28"/>
                <w:szCs w:val="28"/>
              </w:rPr>
            </w:pPr>
          </w:p>
        </w:tc>
      </w:tr>
      <w:tr w:rsidR="00892BA4" w:rsidRPr="00821D72" w14:paraId="52BE298E" w14:textId="77777777" w:rsidTr="00892BA4">
        <w:trPr>
          <w:trHeight w:val="355"/>
          <w:jc w:val="center"/>
        </w:trPr>
        <w:tc>
          <w:tcPr>
            <w:tcW w:w="923" w:type="dxa"/>
            <w:tcBorders>
              <w:top w:val="nil"/>
              <w:left w:val="nil"/>
              <w:bottom w:val="nil"/>
              <w:right w:val="nil"/>
            </w:tcBorders>
            <w:shd w:val="clear" w:color="auto" w:fill="auto"/>
          </w:tcPr>
          <w:p w14:paraId="1FF222E4" w14:textId="77777777" w:rsidR="00892BA4" w:rsidRPr="00821D72" w:rsidRDefault="00892BA4" w:rsidP="00892BA4">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7313CCD" w14:textId="77777777" w:rsidR="00892BA4" w:rsidRPr="00821D72" w:rsidRDefault="00892BA4" w:rsidP="00892BA4">
            <w:pPr>
              <w:jc w:val="both"/>
              <w:rPr>
                <w:b/>
                <w:bCs/>
                <w:rtl/>
              </w:rPr>
            </w:pPr>
          </w:p>
        </w:tc>
        <w:tc>
          <w:tcPr>
            <w:tcW w:w="3771" w:type="dxa"/>
            <w:tcBorders>
              <w:top w:val="nil"/>
              <w:left w:val="nil"/>
              <w:bottom w:val="nil"/>
              <w:right w:val="nil"/>
            </w:tcBorders>
            <w:shd w:val="clear" w:color="auto" w:fill="auto"/>
          </w:tcPr>
          <w:p w14:paraId="26F65240" w14:textId="77777777" w:rsidR="00892BA4" w:rsidRPr="00821D72" w:rsidRDefault="00892BA4" w:rsidP="00892BA4">
            <w:pPr>
              <w:jc w:val="right"/>
              <w:rPr>
                <w:rFonts w:ascii="Arial" w:hAnsi="Arial" w:cs="FrankRuehl"/>
                <w:b/>
                <w:bCs/>
                <w:sz w:val="28"/>
                <w:szCs w:val="28"/>
              </w:rPr>
            </w:pPr>
            <w:r w:rsidRPr="00821D72">
              <w:rPr>
                <w:rFonts w:ascii="Arial" w:hAnsi="Arial" w:cs="FrankRuehl" w:hint="cs"/>
                <w:b/>
                <w:bCs/>
                <w:sz w:val="28"/>
                <w:szCs w:val="28"/>
                <w:rtl/>
              </w:rPr>
              <w:t>ה</w:t>
            </w:r>
            <w:r w:rsidRPr="00821D72">
              <w:rPr>
                <w:rFonts w:ascii="Arial" w:hAnsi="Arial" w:cs="FrankRuehl"/>
                <w:b/>
                <w:bCs/>
                <w:sz w:val="28"/>
                <w:szCs w:val="28"/>
                <w:rtl/>
              </w:rPr>
              <w:t>נאשם</w:t>
            </w:r>
          </w:p>
        </w:tc>
      </w:tr>
    </w:tbl>
    <w:p w14:paraId="644D114A" w14:textId="77777777" w:rsidR="00892BA4" w:rsidRPr="00821D72" w:rsidRDefault="00892BA4" w:rsidP="00892BA4">
      <w:pPr>
        <w:rPr>
          <w:b/>
          <w:bCs/>
          <w:rtl/>
        </w:rPr>
      </w:pPr>
    </w:p>
    <w:p w14:paraId="7B9D2284" w14:textId="77777777" w:rsidR="00892BA4" w:rsidRPr="00821D72" w:rsidRDefault="00892BA4" w:rsidP="00892BA4">
      <w:pPr>
        <w:rPr>
          <w:b/>
          <w:bCs/>
          <w:rtl/>
        </w:rPr>
      </w:pPr>
    </w:p>
    <w:p w14:paraId="56420B9A" w14:textId="77777777" w:rsidR="00892BA4" w:rsidRPr="00821D72" w:rsidRDefault="00892BA4" w:rsidP="00892BA4">
      <w:pPr>
        <w:rPr>
          <w:b/>
          <w:bCs/>
          <w:rtl/>
        </w:rPr>
      </w:pPr>
      <w:r w:rsidRPr="00821D72">
        <w:rPr>
          <w:rFonts w:hint="cs"/>
          <w:b/>
          <w:bCs/>
          <w:rtl/>
        </w:rPr>
        <w:t>נוכחים:</w:t>
      </w:r>
    </w:p>
    <w:p w14:paraId="3EC3F148" w14:textId="77777777" w:rsidR="00892BA4" w:rsidRPr="00821D72" w:rsidRDefault="00892BA4" w:rsidP="00892BA4">
      <w:pPr>
        <w:rPr>
          <w:rtl/>
        </w:rPr>
      </w:pPr>
      <w:bookmarkStart w:id="2" w:name="FirstLawyer"/>
      <w:r w:rsidRPr="00821D72">
        <w:rPr>
          <w:rFonts w:hint="cs"/>
          <w:rtl/>
        </w:rPr>
        <w:t>ב"כ</w:t>
      </w:r>
      <w:bookmarkEnd w:id="2"/>
      <w:r w:rsidRPr="00821D72">
        <w:rPr>
          <w:rFonts w:hint="cs"/>
          <w:rtl/>
        </w:rPr>
        <w:t xml:space="preserve"> המאשימה: עו"ד יובל שלום </w:t>
      </w:r>
    </w:p>
    <w:p w14:paraId="7E0C24EE" w14:textId="77777777" w:rsidR="00892BA4" w:rsidRPr="00821D72" w:rsidRDefault="00892BA4" w:rsidP="00892BA4">
      <w:pPr>
        <w:rPr>
          <w:rtl/>
        </w:rPr>
      </w:pPr>
      <w:r w:rsidRPr="00821D72">
        <w:rPr>
          <w:rFonts w:hint="cs"/>
          <w:rtl/>
        </w:rPr>
        <w:t xml:space="preserve">ב"כ הנאשם: עו"ד כרמל בתו </w:t>
      </w:r>
    </w:p>
    <w:p w14:paraId="32F1AD22" w14:textId="77777777" w:rsidR="00A4490E" w:rsidRDefault="00892BA4" w:rsidP="00892BA4">
      <w:pPr>
        <w:rPr>
          <w:rtl/>
        </w:rPr>
      </w:pPr>
      <w:r w:rsidRPr="00821D72">
        <w:rPr>
          <w:rFonts w:hint="cs"/>
          <w:rtl/>
        </w:rPr>
        <w:t>הנאשם הובא על ידי שב"ס</w:t>
      </w:r>
      <w:bookmarkStart w:id="3" w:name="LawTable"/>
      <w:bookmarkEnd w:id="3"/>
    </w:p>
    <w:p w14:paraId="7C8BAFC3" w14:textId="77777777" w:rsidR="00A4490E" w:rsidRPr="00A4490E" w:rsidRDefault="00A4490E" w:rsidP="00A4490E">
      <w:pPr>
        <w:spacing w:after="120" w:line="240" w:lineRule="exact"/>
        <w:ind w:left="283" w:hanging="283"/>
        <w:jc w:val="both"/>
        <w:rPr>
          <w:rFonts w:ascii="FrankRuehl" w:hAnsi="FrankRuehl" w:cs="FrankRuehl"/>
          <w:rtl/>
        </w:rPr>
      </w:pPr>
    </w:p>
    <w:p w14:paraId="15E2D7CF" w14:textId="77777777" w:rsidR="00A4490E" w:rsidRPr="00A4490E" w:rsidRDefault="00A4490E" w:rsidP="00A4490E">
      <w:pPr>
        <w:spacing w:after="120" w:line="240" w:lineRule="exact"/>
        <w:ind w:left="283" w:hanging="283"/>
        <w:jc w:val="both"/>
        <w:rPr>
          <w:rFonts w:ascii="FrankRuehl" w:hAnsi="FrankRuehl" w:cs="FrankRuehl"/>
          <w:rtl/>
        </w:rPr>
      </w:pPr>
      <w:r w:rsidRPr="00A4490E">
        <w:rPr>
          <w:rFonts w:ascii="FrankRuehl" w:hAnsi="FrankRuehl" w:cs="FrankRuehl"/>
          <w:rtl/>
        </w:rPr>
        <w:t xml:space="preserve">חקיקה שאוזכרה: </w:t>
      </w:r>
    </w:p>
    <w:p w14:paraId="3A7DDF5D" w14:textId="77777777" w:rsidR="00A4490E" w:rsidRPr="00A4490E" w:rsidRDefault="00A4490E" w:rsidP="00A4490E">
      <w:pPr>
        <w:spacing w:after="120" w:line="240" w:lineRule="exact"/>
        <w:ind w:left="283" w:hanging="283"/>
        <w:jc w:val="both"/>
        <w:rPr>
          <w:rFonts w:ascii="FrankRuehl" w:hAnsi="FrankRuehl" w:cs="FrankRuehl"/>
          <w:rtl/>
        </w:rPr>
      </w:pPr>
      <w:hyperlink r:id="rId7" w:history="1">
        <w:r w:rsidRPr="00A4490E">
          <w:rPr>
            <w:rFonts w:ascii="FrankRuehl" w:hAnsi="FrankRuehl" w:cs="FrankRuehl"/>
            <w:color w:val="0000FF"/>
            <w:u w:val="single"/>
            <w:rtl/>
          </w:rPr>
          <w:t>פקודת הסמים המסוכנים [נוסח חדש], תשל"ג-1973</w:t>
        </w:r>
      </w:hyperlink>
      <w:r w:rsidRPr="00A4490E">
        <w:rPr>
          <w:rFonts w:ascii="FrankRuehl" w:hAnsi="FrankRuehl" w:cs="FrankRuehl"/>
          <w:rtl/>
        </w:rPr>
        <w:t xml:space="preserve">: סע'  </w:t>
      </w:r>
      <w:hyperlink r:id="rId8" w:history="1">
        <w:r w:rsidRPr="00A4490E">
          <w:rPr>
            <w:rFonts w:ascii="FrankRuehl" w:hAnsi="FrankRuehl" w:cs="FrankRuehl"/>
            <w:color w:val="0000FF"/>
            <w:u w:val="single"/>
            <w:rtl/>
          </w:rPr>
          <w:t>7.א.</w:t>
        </w:r>
      </w:hyperlink>
      <w:r w:rsidRPr="00A4490E">
        <w:rPr>
          <w:rFonts w:ascii="FrankRuehl" w:hAnsi="FrankRuehl" w:cs="FrankRuehl"/>
          <w:rtl/>
        </w:rPr>
        <w:t xml:space="preserve">, </w:t>
      </w:r>
      <w:hyperlink r:id="rId9" w:history="1">
        <w:r w:rsidRPr="00A4490E">
          <w:rPr>
            <w:rFonts w:ascii="FrankRuehl" w:hAnsi="FrankRuehl" w:cs="FrankRuehl"/>
            <w:color w:val="0000FF"/>
            <w:u w:val="single"/>
            <w:rtl/>
          </w:rPr>
          <w:t>7.ג</w:t>
        </w:r>
      </w:hyperlink>
      <w:r w:rsidRPr="00A4490E">
        <w:rPr>
          <w:rFonts w:ascii="FrankRuehl" w:hAnsi="FrankRuehl" w:cs="FrankRuehl"/>
          <w:rtl/>
        </w:rPr>
        <w:t xml:space="preserve">, </w:t>
      </w:r>
      <w:hyperlink r:id="rId10" w:history="1">
        <w:r w:rsidRPr="00A4490E">
          <w:rPr>
            <w:rFonts w:ascii="FrankRuehl" w:hAnsi="FrankRuehl" w:cs="FrankRuehl"/>
            <w:color w:val="0000FF"/>
            <w:u w:val="single"/>
            <w:rtl/>
          </w:rPr>
          <w:t>37א</w:t>
        </w:r>
      </w:hyperlink>
      <w:r w:rsidRPr="00A4490E">
        <w:rPr>
          <w:rFonts w:ascii="FrankRuehl" w:hAnsi="FrankRuehl" w:cs="FrankRuehl"/>
          <w:rtl/>
        </w:rPr>
        <w:t xml:space="preserve">, </w:t>
      </w:r>
      <w:hyperlink r:id="rId11" w:history="1">
        <w:r w:rsidRPr="00A4490E">
          <w:rPr>
            <w:rFonts w:ascii="FrankRuehl" w:hAnsi="FrankRuehl" w:cs="FrankRuehl"/>
            <w:color w:val="0000FF"/>
            <w:u w:val="single"/>
            <w:rtl/>
          </w:rPr>
          <w:t>37א(א)</w:t>
        </w:r>
      </w:hyperlink>
      <w:r w:rsidRPr="00A4490E">
        <w:rPr>
          <w:rFonts w:ascii="FrankRuehl" w:hAnsi="FrankRuehl" w:cs="FrankRuehl"/>
          <w:rtl/>
        </w:rPr>
        <w:t xml:space="preserve">, </w:t>
      </w:r>
      <w:hyperlink r:id="rId12" w:history="1">
        <w:r w:rsidRPr="00A4490E">
          <w:rPr>
            <w:rFonts w:ascii="FrankRuehl" w:hAnsi="FrankRuehl" w:cs="FrankRuehl"/>
            <w:color w:val="0000FF"/>
            <w:u w:val="single"/>
            <w:rtl/>
          </w:rPr>
          <w:t>37א(א1)</w:t>
        </w:r>
      </w:hyperlink>
    </w:p>
    <w:p w14:paraId="09EED159" w14:textId="77777777" w:rsidR="00A4490E" w:rsidRPr="00A4490E" w:rsidRDefault="00A4490E" w:rsidP="00A4490E">
      <w:pPr>
        <w:spacing w:after="120" w:line="240" w:lineRule="exact"/>
        <w:ind w:left="283" w:hanging="283"/>
        <w:jc w:val="both"/>
        <w:rPr>
          <w:rFonts w:ascii="FrankRuehl" w:hAnsi="FrankRuehl" w:cs="FrankRuehl"/>
          <w:rtl/>
        </w:rPr>
      </w:pPr>
      <w:hyperlink r:id="rId13" w:history="1">
        <w:r w:rsidRPr="00A4490E">
          <w:rPr>
            <w:rFonts w:ascii="FrankRuehl" w:hAnsi="FrankRuehl" w:cs="FrankRuehl"/>
            <w:color w:val="0000FF"/>
            <w:u w:val="single"/>
            <w:rtl/>
          </w:rPr>
          <w:t>חוק העונשין, תשל"ז-1977</w:t>
        </w:r>
      </w:hyperlink>
      <w:r w:rsidRPr="00A4490E">
        <w:rPr>
          <w:rFonts w:ascii="FrankRuehl" w:hAnsi="FrankRuehl" w:cs="FrankRuehl"/>
          <w:rtl/>
        </w:rPr>
        <w:t xml:space="preserve">: סע'  </w:t>
      </w:r>
      <w:hyperlink r:id="rId14" w:history="1">
        <w:r w:rsidRPr="00A4490E">
          <w:rPr>
            <w:rFonts w:ascii="FrankRuehl" w:hAnsi="FrankRuehl" w:cs="FrankRuehl"/>
            <w:color w:val="0000FF"/>
            <w:u w:val="single"/>
            <w:rtl/>
          </w:rPr>
          <w:t>40 ג (א)</w:t>
        </w:r>
      </w:hyperlink>
      <w:r w:rsidRPr="00A4490E">
        <w:rPr>
          <w:rFonts w:ascii="FrankRuehl" w:hAnsi="FrankRuehl" w:cs="FrankRuehl"/>
          <w:rtl/>
        </w:rPr>
        <w:t xml:space="preserve">, </w:t>
      </w:r>
      <w:hyperlink r:id="rId15" w:history="1">
        <w:r w:rsidRPr="00A4490E">
          <w:rPr>
            <w:rFonts w:ascii="FrankRuehl" w:hAnsi="FrankRuehl" w:cs="FrankRuehl"/>
            <w:color w:val="0000FF"/>
            <w:u w:val="single"/>
            <w:rtl/>
          </w:rPr>
          <w:t>499(א)(1)</w:t>
        </w:r>
      </w:hyperlink>
    </w:p>
    <w:p w14:paraId="29E1FFA7" w14:textId="77777777" w:rsidR="00A4490E" w:rsidRPr="00A4490E" w:rsidRDefault="00A4490E" w:rsidP="00A4490E">
      <w:pPr>
        <w:spacing w:after="120" w:line="240" w:lineRule="exact"/>
        <w:ind w:left="283" w:hanging="283"/>
        <w:jc w:val="both"/>
        <w:rPr>
          <w:rFonts w:ascii="FrankRuehl" w:hAnsi="FrankRuehl" w:cs="FrankRuehl"/>
          <w:rtl/>
        </w:rPr>
      </w:pPr>
      <w:hyperlink r:id="rId16" w:history="1">
        <w:r w:rsidRPr="00A4490E">
          <w:rPr>
            <w:rFonts w:ascii="FrankRuehl" w:hAnsi="FrankRuehl" w:cs="FrankRuehl"/>
            <w:color w:val="0000FF"/>
            <w:u w:val="single"/>
            <w:rtl/>
          </w:rPr>
          <w:t>פקודת התעבורה [נוסח חדש]</w:t>
        </w:r>
      </w:hyperlink>
    </w:p>
    <w:p w14:paraId="5E19659C" w14:textId="77777777" w:rsidR="00A4490E" w:rsidRPr="00A4490E" w:rsidRDefault="00A4490E" w:rsidP="00A4490E">
      <w:pPr>
        <w:spacing w:after="120" w:line="240" w:lineRule="exact"/>
        <w:ind w:left="283" w:hanging="283"/>
        <w:jc w:val="both"/>
        <w:rPr>
          <w:rFonts w:ascii="FrankRuehl" w:hAnsi="FrankRuehl" w:cs="FrankRuehl"/>
          <w:rtl/>
        </w:rPr>
      </w:pPr>
      <w:hyperlink r:id="rId17" w:history="1">
        <w:r w:rsidRPr="00A4490E">
          <w:rPr>
            <w:rFonts w:ascii="FrankRuehl" w:hAnsi="FrankRuehl" w:cs="FrankRuehl"/>
            <w:color w:val="0000FF"/>
            <w:u w:val="single"/>
            <w:rtl/>
          </w:rPr>
          <w:t>פקודת מסילות הברזל [נוסח חדש], תשל"ב-1972</w:t>
        </w:r>
      </w:hyperlink>
    </w:p>
    <w:p w14:paraId="0F5BF781" w14:textId="77777777" w:rsidR="00A4490E" w:rsidRPr="00A4490E" w:rsidRDefault="00A4490E" w:rsidP="00A4490E">
      <w:pPr>
        <w:spacing w:after="120" w:line="240" w:lineRule="exact"/>
        <w:ind w:left="283" w:hanging="283"/>
        <w:jc w:val="both"/>
        <w:rPr>
          <w:rFonts w:ascii="FrankRuehl" w:hAnsi="FrankRuehl" w:cs="FrankRuehl"/>
          <w:rtl/>
        </w:rPr>
      </w:pPr>
    </w:p>
    <w:p w14:paraId="5632BD92" w14:textId="77777777" w:rsidR="00892BA4" w:rsidRPr="00A4490E" w:rsidRDefault="00892BA4" w:rsidP="00892BA4">
      <w:pPr>
        <w:rPr>
          <w:rtl/>
        </w:rPr>
      </w:pPr>
      <w:bookmarkStart w:id="4" w:name="LawTable_End"/>
      <w:bookmarkEnd w:id="4"/>
    </w:p>
    <w:p w14:paraId="739F5C3C" w14:textId="77777777" w:rsidR="00821D72" w:rsidRPr="00821D72" w:rsidRDefault="00821D72" w:rsidP="00892BA4">
      <w:pPr>
        <w:rPr>
          <w:b/>
          <w:bCs/>
          <w:rtl/>
        </w:rPr>
      </w:pPr>
    </w:p>
    <w:p w14:paraId="43A24D9A" w14:textId="77777777" w:rsidR="00892BA4" w:rsidRPr="00821D72" w:rsidRDefault="00892BA4" w:rsidP="00892BA4">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92BA4" w:rsidRPr="003A5774" w14:paraId="072E90C1" w14:textId="77777777" w:rsidTr="00892BA4">
        <w:trPr>
          <w:trHeight w:val="355"/>
          <w:jc w:val="center"/>
        </w:trPr>
        <w:tc>
          <w:tcPr>
            <w:tcW w:w="8820" w:type="dxa"/>
            <w:tcBorders>
              <w:top w:val="nil"/>
              <w:left w:val="nil"/>
              <w:bottom w:val="nil"/>
              <w:right w:val="nil"/>
            </w:tcBorders>
            <w:shd w:val="clear" w:color="auto" w:fill="auto"/>
          </w:tcPr>
          <w:p w14:paraId="4487E4B0" w14:textId="77777777" w:rsidR="00821D72" w:rsidRPr="00821D72" w:rsidRDefault="00821D72" w:rsidP="00821D72">
            <w:pPr>
              <w:jc w:val="center"/>
              <w:rPr>
                <w:rFonts w:ascii="Arial" w:hAnsi="Arial" w:cs="FrankRuehl"/>
                <w:b/>
                <w:bCs/>
                <w:sz w:val="32"/>
                <w:szCs w:val="32"/>
                <w:u w:val="single"/>
                <w:rtl/>
              </w:rPr>
            </w:pPr>
            <w:bookmarkStart w:id="5" w:name="PsakDin" w:colFirst="0" w:colLast="0"/>
            <w:r w:rsidRPr="00821D72">
              <w:rPr>
                <w:rFonts w:ascii="Arial" w:hAnsi="Arial" w:cs="FrankRuehl"/>
                <w:b/>
                <w:bCs/>
                <w:sz w:val="32"/>
                <w:szCs w:val="32"/>
                <w:u w:val="single"/>
                <w:rtl/>
              </w:rPr>
              <w:t>גזר דין</w:t>
            </w:r>
          </w:p>
          <w:p w14:paraId="2C5D0250" w14:textId="77777777" w:rsidR="00892BA4" w:rsidRPr="00821D72" w:rsidRDefault="00892BA4" w:rsidP="00821D72">
            <w:pPr>
              <w:jc w:val="center"/>
              <w:rPr>
                <w:rFonts w:ascii="Arial" w:hAnsi="Arial" w:cs="FrankRuehl"/>
                <w:b/>
                <w:bCs/>
                <w:sz w:val="32"/>
                <w:szCs w:val="32"/>
                <w:u w:val="single"/>
                <w:rtl/>
              </w:rPr>
            </w:pPr>
          </w:p>
        </w:tc>
      </w:tr>
      <w:bookmarkEnd w:id="5"/>
    </w:tbl>
    <w:p w14:paraId="2073FFDA" w14:textId="77777777" w:rsidR="00892BA4" w:rsidRPr="003A5774" w:rsidRDefault="00892BA4" w:rsidP="00892BA4">
      <w:pPr>
        <w:rPr>
          <w:rFonts w:ascii="Arial" w:hAnsi="Arial"/>
          <w:b/>
          <w:bCs/>
          <w:rtl/>
        </w:rPr>
      </w:pPr>
    </w:p>
    <w:p w14:paraId="1D2B0977" w14:textId="77777777" w:rsidR="00892BA4" w:rsidRPr="003A5774" w:rsidRDefault="00892BA4" w:rsidP="00892BA4">
      <w:pPr>
        <w:rPr>
          <w:rFonts w:ascii="Arial" w:hAnsi="Arial"/>
          <w:b/>
          <w:bCs/>
          <w:rtl/>
        </w:rPr>
      </w:pPr>
    </w:p>
    <w:p w14:paraId="1716E7B6" w14:textId="77777777" w:rsidR="00892BA4" w:rsidRPr="00892BA4" w:rsidRDefault="00892BA4" w:rsidP="00892BA4">
      <w:pPr>
        <w:spacing w:line="360" w:lineRule="auto"/>
        <w:jc w:val="both"/>
        <w:rPr>
          <w:rFonts w:ascii="Calibri" w:hAnsi="Calibri"/>
          <w:b/>
          <w:bCs/>
          <w:rtl/>
        </w:rPr>
      </w:pPr>
      <w:bookmarkStart w:id="6" w:name="ABSTRACT_START"/>
      <w:bookmarkEnd w:id="6"/>
    </w:p>
    <w:p w14:paraId="64C3DD8C" w14:textId="77777777" w:rsidR="00892BA4" w:rsidRPr="003A5774" w:rsidRDefault="00892BA4" w:rsidP="00892BA4">
      <w:pPr>
        <w:spacing w:line="360" w:lineRule="auto"/>
        <w:jc w:val="both"/>
        <w:rPr>
          <w:b/>
          <w:bCs/>
          <w:rtl/>
        </w:rPr>
      </w:pPr>
      <w:r w:rsidRPr="003A5774">
        <w:rPr>
          <w:rFonts w:hint="cs"/>
          <w:b/>
          <w:bCs/>
          <w:rtl/>
        </w:rPr>
        <w:t xml:space="preserve">הנאשם הודה והורשע, במסגרת הסדר טיעון, בעובדות כתב אישום מתוקן בעבירות של החזקה/שימוש בסמים שלא לצריכה עצמית - עבירה לפי סעיף </w:t>
      </w:r>
      <w:hyperlink r:id="rId18" w:history="1">
        <w:r w:rsidR="00A4490E" w:rsidRPr="00A4490E">
          <w:rPr>
            <w:b/>
            <w:bCs/>
            <w:color w:val="0000FF"/>
            <w:u w:val="single"/>
            <w:rtl/>
          </w:rPr>
          <w:t>7 (א)+(ג)</w:t>
        </w:r>
      </w:hyperlink>
      <w:r w:rsidRPr="003A5774">
        <w:rPr>
          <w:rFonts w:hint="cs"/>
          <w:b/>
          <w:bCs/>
          <w:rtl/>
        </w:rPr>
        <w:t xml:space="preserve"> ל</w:t>
      </w:r>
      <w:hyperlink r:id="rId19" w:history="1">
        <w:r w:rsidR="00821D72" w:rsidRPr="00821D72">
          <w:rPr>
            <w:b/>
            <w:bCs/>
            <w:color w:val="0000FF"/>
            <w:u w:val="single"/>
            <w:rtl/>
          </w:rPr>
          <w:t>פקודת הסמים המסוכנים</w:t>
        </w:r>
      </w:hyperlink>
      <w:r w:rsidRPr="003A5774">
        <w:rPr>
          <w:rFonts w:hint="cs"/>
          <w:b/>
          <w:bCs/>
          <w:rtl/>
        </w:rPr>
        <w:t xml:space="preserve"> (נוסח חדש), תשל"ג 1973  ועבירה של החזקת כלים להכנת סם - עבירה לפי </w:t>
      </w:r>
      <w:r w:rsidR="00A4490E" w:rsidRPr="00A4490E">
        <w:rPr>
          <w:b/>
          <w:bCs/>
          <w:rtl/>
        </w:rPr>
        <w:t>סעיף 10</w:t>
      </w:r>
      <w:r w:rsidRPr="003A5774">
        <w:rPr>
          <w:rFonts w:hint="cs"/>
          <w:b/>
          <w:bCs/>
          <w:rtl/>
        </w:rPr>
        <w:t xml:space="preserve"> לצו בדבר הסמים המסוכנים , תשל"ה 1975, החזקת סמים לשימוש עצמי (3 פרטי אישום), </w:t>
      </w:r>
      <w:r w:rsidRPr="003A5774">
        <w:rPr>
          <w:rFonts w:hint="cs"/>
          <w:b/>
          <w:bCs/>
          <w:rtl/>
        </w:rPr>
        <w:lastRenderedPageBreak/>
        <w:t xml:space="preserve">עבירה לפי סעיף </w:t>
      </w:r>
      <w:hyperlink r:id="rId20" w:history="1">
        <w:r w:rsidR="00A4490E" w:rsidRPr="00A4490E">
          <w:rPr>
            <w:b/>
            <w:bCs/>
            <w:color w:val="0000FF"/>
            <w:u w:val="single"/>
            <w:rtl/>
          </w:rPr>
          <w:t>7 (א)+(ג)</w:t>
        </w:r>
      </w:hyperlink>
      <w:r w:rsidRPr="003A5774">
        <w:rPr>
          <w:rFonts w:hint="cs"/>
          <w:b/>
          <w:bCs/>
          <w:rtl/>
        </w:rPr>
        <w:t xml:space="preserve"> לפקודת הסמים המסוכנים, עבירה של קשירת קשר לעשות פשע - עבירה לפי </w:t>
      </w:r>
      <w:hyperlink r:id="rId21" w:history="1">
        <w:r w:rsidR="00A4490E" w:rsidRPr="00A4490E">
          <w:rPr>
            <w:b/>
            <w:bCs/>
            <w:color w:val="0000FF"/>
            <w:u w:val="single"/>
            <w:rtl/>
          </w:rPr>
          <w:t>סעיף 499(א)(1)</w:t>
        </w:r>
      </w:hyperlink>
      <w:r w:rsidRPr="003A5774">
        <w:rPr>
          <w:rFonts w:hint="cs"/>
          <w:b/>
          <w:bCs/>
          <w:rtl/>
        </w:rPr>
        <w:t xml:space="preserve"> ל</w:t>
      </w:r>
      <w:hyperlink r:id="rId22" w:history="1">
        <w:r w:rsidR="00821D72" w:rsidRPr="00821D72">
          <w:rPr>
            <w:b/>
            <w:bCs/>
            <w:color w:val="0000FF"/>
            <w:u w:val="single"/>
            <w:rtl/>
          </w:rPr>
          <w:t>חוק העונשין</w:t>
        </w:r>
      </w:hyperlink>
      <w:r w:rsidRPr="003A5774">
        <w:rPr>
          <w:rFonts w:hint="cs"/>
          <w:b/>
          <w:bCs/>
          <w:rtl/>
        </w:rPr>
        <w:t>, התשל"ז 1977 .</w:t>
      </w:r>
    </w:p>
    <w:p w14:paraId="4917390C" w14:textId="77777777" w:rsidR="00892BA4" w:rsidRPr="003A5774" w:rsidRDefault="00892BA4" w:rsidP="00892BA4">
      <w:pPr>
        <w:spacing w:line="360" w:lineRule="auto"/>
        <w:jc w:val="both"/>
        <w:rPr>
          <w:b/>
          <w:bCs/>
          <w:rtl/>
        </w:rPr>
      </w:pPr>
      <w:bookmarkStart w:id="7" w:name="ABSTRACT_END"/>
      <w:bookmarkEnd w:id="7"/>
    </w:p>
    <w:p w14:paraId="1AF45E7F" w14:textId="77777777" w:rsidR="00892BA4" w:rsidRPr="003A5774" w:rsidRDefault="00892BA4" w:rsidP="00892BA4">
      <w:pPr>
        <w:spacing w:line="360" w:lineRule="auto"/>
        <w:jc w:val="both"/>
        <w:rPr>
          <w:b/>
          <w:bCs/>
          <w:rtl/>
        </w:rPr>
      </w:pPr>
      <w:r w:rsidRPr="003A5774">
        <w:rPr>
          <w:rFonts w:hint="cs"/>
          <w:b/>
          <w:bCs/>
          <w:rtl/>
        </w:rPr>
        <w:t xml:space="preserve">הצדדים הגיעו להסכמה עונשית בתיק שלפיה ייגזרו על הנאשם 9 חודשי מאסר בפועל בניכוי ימי מעצרו, קנס כספי בסך 50,000 ₪, מאסר על תנאי בגין ביצוע עבירות הסמים וכן מאסר על תנאי, בן חודש ימים, בגין ביצוע עבירת איומים. </w:t>
      </w:r>
    </w:p>
    <w:p w14:paraId="2BD9FF83" w14:textId="77777777" w:rsidR="00892BA4" w:rsidRPr="003A5774" w:rsidRDefault="00892BA4" w:rsidP="00892BA4">
      <w:pPr>
        <w:spacing w:line="360" w:lineRule="auto"/>
        <w:jc w:val="both"/>
        <w:rPr>
          <w:b/>
          <w:bCs/>
          <w:rtl/>
        </w:rPr>
      </w:pPr>
      <w:r w:rsidRPr="003A5774">
        <w:rPr>
          <w:rFonts w:ascii="David" w:hAnsi="David" w:hint="cs"/>
          <w:b/>
          <w:bCs/>
          <w:color w:val="000000"/>
          <w:rtl/>
        </w:rPr>
        <w:t>הצדדים חלוקים בשאלת פסילת רישיון הנהיגה של הנאשם.</w:t>
      </w:r>
    </w:p>
    <w:p w14:paraId="652C021B" w14:textId="77777777" w:rsidR="00892BA4" w:rsidRPr="003A5774" w:rsidRDefault="00892BA4" w:rsidP="00892BA4">
      <w:pPr>
        <w:spacing w:line="360" w:lineRule="auto"/>
        <w:jc w:val="both"/>
        <w:rPr>
          <w:b/>
          <w:bCs/>
          <w:rtl/>
        </w:rPr>
      </w:pPr>
    </w:p>
    <w:p w14:paraId="6459A484" w14:textId="77777777" w:rsidR="00892BA4" w:rsidRPr="003A5774" w:rsidRDefault="00892BA4" w:rsidP="00892BA4">
      <w:pPr>
        <w:spacing w:line="360" w:lineRule="auto"/>
        <w:jc w:val="both"/>
        <w:rPr>
          <w:b/>
          <w:bCs/>
          <w:rtl/>
        </w:rPr>
      </w:pPr>
      <w:r w:rsidRPr="003A5774">
        <w:rPr>
          <w:rFonts w:hint="cs"/>
          <w:b/>
          <w:bCs/>
          <w:rtl/>
        </w:rPr>
        <w:t>כעולה מעובדות כתב האישום, בתאריך 28.12.2017, בשעה 14:40  בראשון לציון, במחסן  בקומת הכניסה, בבניין המגורים של הנאשם , החזיק הנאשם , בשלוש שקיות:</w:t>
      </w:r>
      <w:r w:rsidRPr="003A5774">
        <w:rPr>
          <w:b/>
          <w:bCs/>
        </w:rPr>
        <w:t xml:space="preserve"> </w:t>
      </w:r>
    </w:p>
    <w:p w14:paraId="5E094C92" w14:textId="77777777" w:rsidR="00892BA4" w:rsidRPr="003A5774" w:rsidRDefault="00892BA4" w:rsidP="00892BA4">
      <w:pPr>
        <w:pStyle w:val="ListParagraph"/>
        <w:numPr>
          <w:ilvl w:val="0"/>
          <w:numId w:val="1"/>
        </w:numPr>
        <w:spacing w:after="0" w:line="360" w:lineRule="auto"/>
        <w:jc w:val="both"/>
        <w:rPr>
          <w:rFonts w:ascii="Times New Roman" w:eastAsia="Times New Roman" w:hAnsi="Times New Roman" w:cs="David"/>
          <w:b/>
          <w:bCs/>
          <w:sz w:val="24"/>
          <w:szCs w:val="24"/>
          <w:rtl/>
        </w:rPr>
      </w:pPr>
      <w:r w:rsidRPr="003A5774">
        <w:rPr>
          <w:rFonts w:ascii="Times New Roman" w:eastAsia="Times New Roman" w:hAnsi="Times New Roman" w:cs="David" w:hint="cs"/>
          <w:b/>
          <w:bCs/>
          <w:sz w:val="24"/>
          <w:szCs w:val="24"/>
          <w:rtl/>
        </w:rPr>
        <w:t xml:space="preserve">שקית ירוקה ובה סם מסוכן מסוג קנבוס, במשקל כולל של 3.12 ק"ג נטו. </w:t>
      </w:r>
    </w:p>
    <w:p w14:paraId="25CB571B" w14:textId="77777777" w:rsidR="00892BA4" w:rsidRPr="003A5774" w:rsidRDefault="00892BA4" w:rsidP="00892BA4">
      <w:pPr>
        <w:pStyle w:val="ListParagraph"/>
        <w:numPr>
          <w:ilvl w:val="0"/>
          <w:numId w:val="1"/>
        </w:numPr>
        <w:spacing w:after="0" w:line="360" w:lineRule="auto"/>
        <w:jc w:val="both"/>
        <w:rPr>
          <w:rFonts w:ascii="Times New Roman" w:eastAsia="Times New Roman" w:hAnsi="Times New Roman" w:cs="David"/>
          <w:b/>
          <w:bCs/>
          <w:sz w:val="24"/>
          <w:szCs w:val="24"/>
        </w:rPr>
      </w:pPr>
      <w:r w:rsidRPr="003A5774">
        <w:rPr>
          <w:rFonts w:ascii="Times New Roman" w:eastAsia="Times New Roman" w:hAnsi="Times New Roman" w:cs="David" w:hint="cs"/>
          <w:b/>
          <w:bCs/>
          <w:sz w:val="24"/>
          <w:szCs w:val="24"/>
          <w:rtl/>
        </w:rPr>
        <w:t xml:space="preserve">שקית כחולה ובה סם מסוכן מסוג קנבוס במשקל כולל של 909.16 גרם נטו המחולק ל- 61 שקיות פלסטיק דומות. </w:t>
      </w:r>
    </w:p>
    <w:p w14:paraId="04D96707" w14:textId="77777777" w:rsidR="00892BA4" w:rsidRPr="003A5774" w:rsidRDefault="00892BA4" w:rsidP="00892BA4">
      <w:pPr>
        <w:pStyle w:val="ListParagraph"/>
        <w:numPr>
          <w:ilvl w:val="0"/>
          <w:numId w:val="1"/>
        </w:numPr>
        <w:spacing w:after="120" w:line="360" w:lineRule="auto"/>
        <w:ind w:left="714" w:hanging="357"/>
        <w:jc w:val="both"/>
        <w:rPr>
          <w:rFonts w:ascii="Times New Roman" w:eastAsia="Times New Roman" w:hAnsi="Times New Roman" w:cs="David"/>
          <w:b/>
          <w:bCs/>
          <w:sz w:val="24"/>
          <w:szCs w:val="24"/>
        </w:rPr>
      </w:pPr>
      <w:r w:rsidRPr="003A5774">
        <w:rPr>
          <w:rFonts w:ascii="Times New Roman" w:eastAsia="Times New Roman" w:hAnsi="Times New Roman" w:cs="David" w:hint="cs"/>
          <w:b/>
          <w:bCs/>
          <w:sz w:val="24"/>
          <w:szCs w:val="24"/>
          <w:rtl/>
        </w:rPr>
        <w:t xml:space="preserve">שקית לבנה ובה סם מסוכן מסוג קנבוס במשקל כולל של 100.22 גרם נטו המחולק ל- 61 שקיות פלסטיק דומות. </w:t>
      </w:r>
    </w:p>
    <w:p w14:paraId="23521E35" w14:textId="77777777" w:rsidR="00892BA4" w:rsidRPr="003A5774" w:rsidRDefault="00892BA4" w:rsidP="00892BA4">
      <w:pPr>
        <w:spacing w:line="360" w:lineRule="auto"/>
        <w:jc w:val="both"/>
        <w:rPr>
          <w:b/>
          <w:bCs/>
          <w:rtl/>
        </w:rPr>
      </w:pPr>
      <w:r w:rsidRPr="003A5774">
        <w:rPr>
          <w:rFonts w:hint="cs"/>
          <w:b/>
          <w:bCs/>
          <w:rtl/>
        </w:rPr>
        <w:t xml:space="preserve">סה"כ החזיק הנאשם סם מסוכן מסוג קנבוס, במשקל כולל של 4.0095 ק"ג נטו , וזאת שלא לצריכתו העצמית. עוד החזיק הנאשם בשני משקלים. </w:t>
      </w:r>
    </w:p>
    <w:p w14:paraId="205DA69B" w14:textId="77777777" w:rsidR="00892BA4" w:rsidRPr="003A5774" w:rsidRDefault="00892BA4" w:rsidP="00892BA4">
      <w:pPr>
        <w:spacing w:line="360" w:lineRule="auto"/>
        <w:jc w:val="both"/>
        <w:rPr>
          <w:b/>
          <w:bCs/>
          <w:rtl/>
        </w:rPr>
      </w:pPr>
    </w:p>
    <w:p w14:paraId="43CD497F" w14:textId="77777777" w:rsidR="00892BA4" w:rsidRPr="003A5774" w:rsidRDefault="00892BA4" w:rsidP="00892BA4">
      <w:pPr>
        <w:spacing w:line="360" w:lineRule="auto"/>
        <w:jc w:val="both"/>
        <w:rPr>
          <w:b/>
          <w:bCs/>
          <w:rtl/>
        </w:rPr>
      </w:pPr>
      <w:r w:rsidRPr="003A5774">
        <w:rPr>
          <w:rFonts w:hint="cs"/>
          <w:b/>
          <w:bCs/>
          <w:rtl/>
        </w:rPr>
        <w:t xml:space="preserve">כעולה מפרט האישום השני, בין הנאשם לבין אחר היכרות מוקדמת לביצוע העבירות. במספר מועדים  במהלך שנת 2017, קשר הנאשם קשר עם האחר ואחרים, לביצוע עבירה של סחר בסם מסוכן. במסגרת הקשר ולשם קידומו, שוחח הנאשם עם האחר ואחרים, פעמים רבות בטלפון הנייד, במטרה לקדם עסקת סם בה הנאשם מסר סם מסוג קנבוס לטל ואחרים. </w:t>
      </w:r>
    </w:p>
    <w:p w14:paraId="35896807" w14:textId="77777777" w:rsidR="00892BA4" w:rsidRPr="003A5774" w:rsidRDefault="00892BA4" w:rsidP="00892BA4">
      <w:pPr>
        <w:spacing w:line="360" w:lineRule="auto"/>
        <w:jc w:val="both"/>
        <w:rPr>
          <w:b/>
          <w:bCs/>
          <w:rtl/>
        </w:rPr>
      </w:pPr>
      <w:r w:rsidRPr="003A5774">
        <w:rPr>
          <w:rFonts w:hint="cs"/>
          <w:b/>
          <w:bCs/>
          <w:rtl/>
        </w:rPr>
        <w:t xml:space="preserve">בתוך כך, ביום  26.12.17, קשר הנאשם קשר עם אחר,  לבצע עסקה בסם, בכך ששוחח עם האחר ואמר לו: "אתה יודע מה אנחנו צריכים לעשות אחי היקר? תראה איך נרוויח לא 200, 400!" ובהמשך אמר הנאשם לאחר כי "על 5 גרם מרוויחים 250 ₪" וכי צריך להביא שליח עם קטנוע לאזור תל אביב באופן קבוע, שישלם לו 50 ₪ לכל מכירה, כך שישלמו לו בסה"כ 20,000-25,000 ₪ בחודש על עבודות השליחויות. </w:t>
      </w:r>
    </w:p>
    <w:p w14:paraId="736894AE" w14:textId="77777777" w:rsidR="00892BA4" w:rsidRPr="003A5774" w:rsidRDefault="00892BA4" w:rsidP="00892BA4">
      <w:pPr>
        <w:spacing w:line="360" w:lineRule="auto"/>
        <w:jc w:val="both"/>
        <w:rPr>
          <w:b/>
          <w:bCs/>
          <w:rtl/>
        </w:rPr>
      </w:pPr>
    </w:p>
    <w:p w14:paraId="0E1CC3A3" w14:textId="77777777" w:rsidR="00892BA4" w:rsidRPr="003A5774" w:rsidRDefault="00892BA4" w:rsidP="00892BA4">
      <w:pPr>
        <w:spacing w:line="360" w:lineRule="auto"/>
        <w:jc w:val="both"/>
        <w:rPr>
          <w:b/>
          <w:bCs/>
          <w:rtl/>
        </w:rPr>
      </w:pPr>
      <w:r w:rsidRPr="003A5774">
        <w:rPr>
          <w:rFonts w:hint="cs"/>
          <w:b/>
          <w:bCs/>
          <w:rtl/>
        </w:rPr>
        <w:t xml:space="preserve">כעולה מפרט האישום השלישי, ביום 17.12.17,  בדירת מגוריה של שאנל, ברמת גן,  נפגש הנאשם עם הגב' שאנל לי קרן מימון.  במהלך אותן הנסיבות החזיק הנאשם ביחד עם שאנל, סם מסוכן מסוג קנבוס, בכמות שאינה ידועה במדויק למאשימה, לצריכה עצמית. </w:t>
      </w:r>
    </w:p>
    <w:p w14:paraId="0089F167" w14:textId="77777777" w:rsidR="00892BA4" w:rsidRPr="003A5774" w:rsidRDefault="00892BA4" w:rsidP="00892BA4">
      <w:pPr>
        <w:spacing w:line="360" w:lineRule="auto"/>
        <w:jc w:val="both"/>
        <w:rPr>
          <w:b/>
          <w:bCs/>
          <w:rtl/>
        </w:rPr>
      </w:pPr>
    </w:p>
    <w:p w14:paraId="46FE9DD6" w14:textId="77777777" w:rsidR="00892BA4" w:rsidRPr="003A5774" w:rsidRDefault="00892BA4" w:rsidP="00892BA4">
      <w:pPr>
        <w:spacing w:line="360" w:lineRule="auto"/>
        <w:jc w:val="both"/>
        <w:rPr>
          <w:b/>
          <w:bCs/>
          <w:rtl/>
        </w:rPr>
      </w:pPr>
      <w:r w:rsidRPr="003A5774">
        <w:rPr>
          <w:rFonts w:hint="cs"/>
          <w:b/>
          <w:bCs/>
          <w:rtl/>
        </w:rPr>
        <w:t xml:space="preserve">כעולה מפרט האישום הרביעי והחמישי, ביום 18.12.17,  וכן כשבוע לאחר 18.12.17 ,  נפגש הנאשם עם שאנל  והחזיק  ביחד עימה סם מסוג קנבוס, בכמות שאינה ידועה במדויק למאשימה, לצריכה עצמית. </w:t>
      </w:r>
    </w:p>
    <w:p w14:paraId="30F9F508" w14:textId="77777777" w:rsidR="00892BA4" w:rsidRPr="003A5774" w:rsidRDefault="00892BA4" w:rsidP="00892BA4">
      <w:pPr>
        <w:spacing w:line="360" w:lineRule="auto"/>
        <w:jc w:val="both"/>
        <w:rPr>
          <w:b/>
          <w:bCs/>
          <w:rtl/>
        </w:rPr>
      </w:pPr>
    </w:p>
    <w:p w14:paraId="003A147E" w14:textId="77777777" w:rsidR="00892BA4" w:rsidRPr="003A5774" w:rsidRDefault="00892BA4" w:rsidP="00892BA4">
      <w:pPr>
        <w:spacing w:line="360" w:lineRule="auto"/>
        <w:jc w:val="both"/>
        <w:rPr>
          <w:b/>
          <w:bCs/>
          <w:rtl/>
        </w:rPr>
      </w:pPr>
      <w:r w:rsidRPr="003A5774">
        <w:rPr>
          <w:rFonts w:hint="cs"/>
          <w:b/>
          <w:bCs/>
          <w:u w:val="single"/>
          <w:rtl/>
        </w:rPr>
        <w:t>טיעוני הצדדים לעונש</w:t>
      </w:r>
      <w:r w:rsidRPr="003A5774">
        <w:rPr>
          <w:rFonts w:hint="cs"/>
          <w:b/>
          <w:bCs/>
          <w:rtl/>
        </w:rPr>
        <w:t xml:space="preserve">: </w:t>
      </w:r>
    </w:p>
    <w:p w14:paraId="4F30DE6B" w14:textId="77777777" w:rsidR="00892BA4" w:rsidRPr="003A5774" w:rsidRDefault="00892BA4" w:rsidP="00892BA4">
      <w:pPr>
        <w:spacing w:after="120" w:line="360" w:lineRule="auto"/>
        <w:jc w:val="both"/>
        <w:rPr>
          <w:b/>
          <w:bCs/>
          <w:rtl/>
        </w:rPr>
      </w:pPr>
      <w:r w:rsidRPr="003A5774">
        <w:rPr>
          <w:rFonts w:hint="cs"/>
          <w:b/>
          <w:bCs/>
          <w:u w:val="single"/>
          <w:rtl/>
        </w:rPr>
        <w:t>טיעוני המאשימה</w:t>
      </w:r>
      <w:r w:rsidRPr="003A5774">
        <w:rPr>
          <w:rFonts w:hint="cs"/>
          <w:b/>
          <w:bCs/>
          <w:rtl/>
        </w:rPr>
        <w:t>:</w:t>
      </w:r>
    </w:p>
    <w:p w14:paraId="20D19501" w14:textId="77777777" w:rsidR="00892BA4" w:rsidRPr="003A5774" w:rsidRDefault="00892BA4" w:rsidP="00892BA4">
      <w:pPr>
        <w:spacing w:line="360" w:lineRule="auto"/>
        <w:jc w:val="both"/>
        <w:rPr>
          <w:rFonts w:ascii="David" w:hAnsi="David"/>
          <w:b/>
          <w:bCs/>
          <w:rtl/>
        </w:rPr>
      </w:pPr>
      <w:r w:rsidRPr="003A5774">
        <w:rPr>
          <w:rFonts w:ascii="David" w:hAnsi="David" w:hint="cs"/>
          <w:b/>
          <w:bCs/>
          <w:rtl/>
        </w:rPr>
        <w:t xml:space="preserve">לטענת המאשימה, בבסיס הטעמים להסדר עומד עברו הפלילי של הנאשם, כמו גם עבירת סחר משנת 2005 ומנגד קיומם של קשיים ראייתיים, הודאת הנאשם במיוחס לו וחסכון בזמן שיפוטי. </w:t>
      </w:r>
    </w:p>
    <w:p w14:paraId="234DF8F8" w14:textId="77777777" w:rsidR="00892BA4" w:rsidRPr="003A5774" w:rsidRDefault="00892BA4" w:rsidP="00892BA4">
      <w:pPr>
        <w:spacing w:line="360" w:lineRule="auto"/>
        <w:jc w:val="both"/>
        <w:rPr>
          <w:rFonts w:ascii="David" w:hAnsi="David"/>
          <w:b/>
          <w:bCs/>
          <w:rtl/>
        </w:rPr>
      </w:pPr>
      <w:r w:rsidRPr="003A5774">
        <w:rPr>
          <w:rFonts w:ascii="David" w:hAnsi="David" w:hint="cs"/>
          <w:b/>
          <w:bCs/>
          <w:rtl/>
        </w:rPr>
        <w:t xml:space="preserve">המאשימה סבורה כי יש מקום להורות על פסילה בפועל של רישיון הנהיגה של הנאשם, לדעתה קיים חשש שהנאשם מכור לסמים ואף עוסק במכירתם של סמים, על כן קיים חשש כי נהיגתו של הנאשם תסכן את שלום הציבור. </w:t>
      </w:r>
    </w:p>
    <w:p w14:paraId="0154FF04" w14:textId="77777777" w:rsidR="00892BA4" w:rsidRPr="003A5774" w:rsidRDefault="00892BA4" w:rsidP="00892BA4">
      <w:pPr>
        <w:spacing w:line="360" w:lineRule="auto"/>
        <w:jc w:val="both"/>
        <w:rPr>
          <w:rFonts w:ascii="David" w:hAnsi="David"/>
          <w:b/>
          <w:bCs/>
          <w:rtl/>
        </w:rPr>
      </w:pPr>
    </w:p>
    <w:p w14:paraId="34C7E36B" w14:textId="77777777" w:rsidR="00892BA4" w:rsidRPr="003A5774" w:rsidRDefault="00892BA4" w:rsidP="00892BA4">
      <w:pPr>
        <w:spacing w:line="360" w:lineRule="auto"/>
        <w:jc w:val="both"/>
        <w:rPr>
          <w:rFonts w:ascii="David" w:hAnsi="David"/>
          <w:b/>
          <w:bCs/>
          <w:u w:val="single"/>
          <w:rtl/>
        </w:rPr>
      </w:pPr>
      <w:r w:rsidRPr="003A5774">
        <w:rPr>
          <w:rFonts w:ascii="David" w:hAnsi="David" w:hint="cs"/>
          <w:b/>
          <w:bCs/>
          <w:u w:val="single"/>
          <w:rtl/>
        </w:rPr>
        <w:t>טיעוני ב"כ הנאשם :</w:t>
      </w:r>
    </w:p>
    <w:p w14:paraId="736C44BB" w14:textId="77777777" w:rsidR="00892BA4" w:rsidRPr="003A5774" w:rsidRDefault="00892BA4" w:rsidP="00892BA4">
      <w:pPr>
        <w:spacing w:line="360" w:lineRule="auto"/>
        <w:jc w:val="both"/>
        <w:rPr>
          <w:rFonts w:ascii="David" w:hAnsi="David"/>
          <w:b/>
          <w:bCs/>
          <w:u w:val="single"/>
          <w:rtl/>
        </w:rPr>
      </w:pPr>
    </w:p>
    <w:p w14:paraId="1B959C81" w14:textId="77777777" w:rsidR="00892BA4" w:rsidRPr="003A5774" w:rsidRDefault="00892BA4" w:rsidP="00892BA4">
      <w:pPr>
        <w:spacing w:line="360" w:lineRule="auto"/>
        <w:jc w:val="both"/>
        <w:rPr>
          <w:rFonts w:ascii="David" w:hAnsi="David"/>
          <w:b/>
          <w:bCs/>
          <w:rtl/>
        </w:rPr>
      </w:pPr>
      <w:r w:rsidRPr="003A5774">
        <w:rPr>
          <w:rFonts w:ascii="David" w:hAnsi="David" w:hint="cs"/>
          <w:b/>
          <w:bCs/>
          <w:rtl/>
        </w:rPr>
        <w:t xml:space="preserve">לטענת ב"כ הנאשם, יש לכבד את הסדר הטיעון אליו הגיעו הצדדים, בתיק קיימים קשיים ראייתיים לא מבוטלים, הנאשם הודה, חסך בזמן שיפוטי ואף עניין זה יש לקחת בחשבון. </w:t>
      </w:r>
    </w:p>
    <w:p w14:paraId="55A1C592" w14:textId="77777777" w:rsidR="00892BA4" w:rsidRPr="003A5774" w:rsidRDefault="00892BA4" w:rsidP="00892BA4">
      <w:pPr>
        <w:spacing w:line="360" w:lineRule="auto"/>
        <w:jc w:val="both"/>
        <w:rPr>
          <w:rFonts w:ascii="David" w:hAnsi="David"/>
          <w:b/>
          <w:bCs/>
          <w:rtl/>
        </w:rPr>
      </w:pPr>
      <w:r w:rsidRPr="003A5774">
        <w:rPr>
          <w:rFonts w:ascii="David" w:hAnsi="David" w:hint="cs"/>
          <w:b/>
          <w:bCs/>
          <w:rtl/>
        </w:rPr>
        <w:t xml:space="preserve">לגבי פסילת רישיון הנהיגה, לא הובאה כל ראיה בתיק כי הנאשם מכור לסמים ואין כל פסיקה המצביעה על כך שאדם שמעשן קנביס יש לפסול את רישיונו, צריכה להיות זיקה בין מהות עבירת הסמים לפסילת הרישיון. </w:t>
      </w:r>
    </w:p>
    <w:p w14:paraId="3A256188" w14:textId="77777777" w:rsidR="00892BA4" w:rsidRPr="003A5774" w:rsidRDefault="00892BA4" w:rsidP="00892BA4">
      <w:pPr>
        <w:spacing w:line="360" w:lineRule="auto"/>
        <w:jc w:val="both"/>
        <w:rPr>
          <w:rFonts w:ascii="David" w:hAnsi="David"/>
          <w:b/>
          <w:bCs/>
          <w:rtl/>
        </w:rPr>
      </w:pPr>
      <w:r w:rsidRPr="003A5774">
        <w:rPr>
          <w:rFonts w:ascii="David" w:hAnsi="David" w:hint="cs"/>
          <w:b/>
          <w:bCs/>
          <w:rtl/>
        </w:rPr>
        <w:t xml:space="preserve">בעניינו, סבור ב"כ הנאשם כי מדובר בהטלת סנקציה שהיא לא מידתית, פגיעה בחירותו של הנאשם, שהינו אב ל - 3 ילדים. הרכב שהיה בחזקת הנאשם ונתפס הושב לו. </w:t>
      </w:r>
    </w:p>
    <w:p w14:paraId="471B8309" w14:textId="77777777" w:rsidR="00892BA4" w:rsidRPr="003A5774" w:rsidRDefault="00892BA4" w:rsidP="00892BA4">
      <w:pPr>
        <w:spacing w:line="360" w:lineRule="auto"/>
        <w:jc w:val="both"/>
        <w:rPr>
          <w:rFonts w:ascii="David" w:hAnsi="David"/>
          <w:b/>
          <w:bCs/>
          <w:rtl/>
        </w:rPr>
      </w:pPr>
      <w:r w:rsidRPr="003A5774">
        <w:rPr>
          <w:rFonts w:ascii="David" w:hAnsi="David" w:hint="cs"/>
          <w:b/>
          <w:bCs/>
          <w:rtl/>
        </w:rPr>
        <w:t xml:space="preserve">אשר לרישום הפלילי משנת 2005, ראשית חלפו לא מעט שנים מעת ביצוע העבירה כמו גם יש לקחת בחשבון כי הנאשם היה קטין באותה עת. </w:t>
      </w:r>
    </w:p>
    <w:p w14:paraId="057EC7F1" w14:textId="77777777" w:rsidR="00892BA4" w:rsidRPr="003A5774" w:rsidRDefault="00892BA4" w:rsidP="00892BA4">
      <w:pPr>
        <w:spacing w:line="360" w:lineRule="auto"/>
        <w:jc w:val="both"/>
        <w:rPr>
          <w:rFonts w:ascii="David" w:hAnsi="David"/>
          <w:b/>
          <w:bCs/>
          <w:rtl/>
        </w:rPr>
      </w:pPr>
    </w:p>
    <w:p w14:paraId="6BC90998" w14:textId="77777777" w:rsidR="00892BA4" w:rsidRPr="003A5774" w:rsidRDefault="00892BA4" w:rsidP="00892BA4">
      <w:pPr>
        <w:spacing w:line="360" w:lineRule="auto"/>
        <w:jc w:val="both"/>
        <w:rPr>
          <w:rFonts w:ascii="David" w:hAnsi="David"/>
          <w:b/>
          <w:bCs/>
          <w:rtl/>
        </w:rPr>
      </w:pPr>
      <w:r w:rsidRPr="003A5774">
        <w:rPr>
          <w:rFonts w:ascii="David" w:hAnsi="David" w:hint="cs"/>
          <w:b/>
          <w:bCs/>
          <w:u w:val="single"/>
          <w:rtl/>
        </w:rPr>
        <w:t>הנאשם בדברו האחרון</w:t>
      </w:r>
      <w:r w:rsidRPr="003A5774">
        <w:rPr>
          <w:rFonts w:ascii="David" w:hAnsi="David" w:hint="cs"/>
          <w:b/>
          <w:bCs/>
          <w:rtl/>
        </w:rPr>
        <w:t>:</w:t>
      </w:r>
    </w:p>
    <w:p w14:paraId="1A81EA08" w14:textId="77777777" w:rsidR="00892BA4" w:rsidRPr="003A5774" w:rsidRDefault="00892BA4" w:rsidP="00892BA4">
      <w:pPr>
        <w:spacing w:line="360" w:lineRule="auto"/>
        <w:jc w:val="both"/>
        <w:rPr>
          <w:rFonts w:ascii="David" w:hAnsi="David"/>
          <w:b/>
          <w:bCs/>
          <w:rtl/>
        </w:rPr>
      </w:pPr>
      <w:r w:rsidRPr="003A5774">
        <w:rPr>
          <w:rFonts w:ascii="David" w:hAnsi="David" w:hint="cs"/>
          <w:b/>
          <w:bCs/>
          <w:rtl/>
        </w:rPr>
        <w:t xml:space="preserve">הנאשם עתר כי רישיון הנהיגה יישאר בידיו, על מנת שיוכל לעזור למשפחה ועם ילדיו. </w:t>
      </w:r>
    </w:p>
    <w:p w14:paraId="04FBF845" w14:textId="77777777" w:rsidR="00892BA4" w:rsidRPr="003A5774" w:rsidRDefault="00892BA4" w:rsidP="00892BA4">
      <w:pPr>
        <w:spacing w:line="360" w:lineRule="auto"/>
        <w:jc w:val="both"/>
        <w:rPr>
          <w:b/>
          <w:bCs/>
          <w:rtl/>
        </w:rPr>
      </w:pPr>
    </w:p>
    <w:p w14:paraId="51702DDB" w14:textId="77777777" w:rsidR="00892BA4" w:rsidRPr="003A5774" w:rsidRDefault="00892BA4" w:rsidP="00892BA4">
      <w:pPr>
        <w:spacing w:after="120" w:line="360" w:lineRule="auto"/>
        <w:ind w:left="-57"/>
        <w:jc w:val="both"/>
        <w:rPr>
          <w:b/>
          <w:bCs/>
          <w:rtl/>
        </w:rPr>
      </w:pPr>
      <w:r w:rsidRPr="003A5774">
        <w:rPr>
          <w:rFonts w:hint="cs"/>
          <w:b/>
          <w:bCs/>
          <w:u w:val="single"/>
          <w:rtl/>
        </w:rPr>
        <w:t>דיון והכרעה</w:t>
      </w:r>
      <w:r w:rsidRPr="003A5774">
        <w:rPr>
          <w:rFonts w:hint="cs"/>
          <w:b/>
          <w:bCs/>
          <w:rtl/>
        </w:rPr>
        <w:t>:</w:t>
      </w:r>
    </w:p>
    <w:p w14:paraId="579C0CA3" w14:textId="77777777" w:rsidR="00892BA4" w:rsidRPr="003A5774" w:rsidRDefault="00892BA4" w:rsidP="00892BA4">
      <w:pPr>
        <w:pStyle w:val="ListParagraph"/>
        <w:spacing w:line="360" w:lineRule="auto"/>
        <w:ind w:left="-58"/>
        <w:jc w:val="both"/>
        <w:rPr>
          <w:rFonts w:ascii="David" w:hAnsi="David" w:cs="David"/>
          <w:b/>
          <w:bCs/>
          <w:sz w:val="24"/>
          <w:szCs w:val="24"/>
          <w:rtl/>
        </w:rPr>
      </w:pPr>
      <w:r w:rsidRPr="003A5774">
        <w:rPr>
          <w:rFonts w:ascii="David" w:hAnsi="David" w:cs="David" w:hint="cs"/>
          <w:b/>
          <w:bCs/>
          <w:sz w:val="24"/>
          <w:szCs w:val="24"/>
          <w:rtl/>
        </w:rPr>
        <w:t xml:space="preserve">על פי האמור בסעיף </w:t>
      </w:r>
      <w:hyperlink r:id="rId23" w:history="1">
        <w:r w:rsidR="00A4490E" w:rsidRPr="00A4490E">
          <w:rPr>
            <w:rFonts w:ascii="David" w:hAnsi="David" w:cs="David"/>
            <w:b/>
            <w:bCs/>
            <w:color w:val="0000FF"/>
            <w:sz w:val="24"/>
            <w:szCs w:val="24"/>
            <w:u w:val="single"/>
            <w:rtl/>
          </w:rPr>
          <w:t>40 ג (א)</w:t>
        </w:r>
      </w:hyperlink>
      <w:r w:rsidRPr="003A5774">
        <w:rPr>
          <w:rFonts w:ascii="David" w:hAnsi="David" w:cs="David" w:hint="cs"/>
          <w:b/>
          <w:bCs/>
          <w:sz w:val="24"/>
          <w:szCs w:val="24"/>
          <w:rtl/>
        </w:rPr>
        <w:t xml:space="preserve"> ל</w:t>
      </w:r>
      <w:hyperlink r:id="rId24" w:history="1">
        <w:r w:rsidR="00821D72" w:rsidRPr="00821D72">
          <w:rPr>
            <w:rFonts w:ascii="David" w:hAnsi="David" w:cs="David"/>
            <w:b/>
            <w:bCs/>
            <w:color w:val="0000FF"/>
            <w:sz w:val="24"/>
            <w:szCs w:val="24"/>
            <w:u w:val="single"/>
            <w:rtl/>
          </w:rPr>
          <w:t>חוק העונשין</w:t>
        </w:r>
      </w:hyperlink>
      <w:r w:rsidRPr="003A5774">
        <w:rPr>
          <w:rFonts w:ascii="David" w:hAnsi="David" w:cs="David" w:hint="cs"/>
          <w:b/>
          <w:bCs/>
          <w:sz w:val="24"/>
          <w:szCs w:val="24"/>
          <w:rtl/>
        </w:rPr>
        <w:t>, בקביעת מתחם העונש בהתאם לעקרון ההלימה, על בית המשפט להתחשב "בערך החברתי שנפגע מביצוע העבירה, במידת הפגיעה בו, במדיניות הענישה הנהוגה ובנסיבות הקשורות בביצוע העבירה".</w:t>
      </w:r>
    </w:p>
    <w:p w14:paraId="189DC081" w14:textId="77777777" w:rsidR="00892BA4" w:rsidRPr="003A5774" w:rsidRDefault="00892BA4" w:rsidP="00892BA4">
      <w:pPr>
        <w:pStyle w:val="ListParagraph"/>
        <w:spacing w:after="0" w:line="240" w:lineRule="auto"/>
        <w:ind w:left="-58"/>
        <w:jc w:val="both"/>
        <w:rPr>
          <w:rFonts w:ascii="David" w:hAnsi="David" w:cs="David"/>
          <w:b/>
          <w:bCs/>
          <w:sz w:val="24"/>
          <w:szCs w:val="24"/>
          <w:rtl/>
        </w:rPr>
      </w:pPr>
    </w:p>
    <w:p w14:paraId="76EECEEE" w14:textId="77777777" w:rsidR="00892BA4" w:rsidRPr="00892BA4" w:rsidRDefault="00892BA4" w:rsidP="00892BA4">
      <w:pPr>
        <w:spacing w:line="360" w:lineRule="auto"/>
        <w:jc w:val="both"/>
        <w:rPr>
          <w:rFonts w:ascii="Calibri" w:hAnsi="Calibri"/>
          <w:b/>
          <w:bCs/>
          <w:rtl/>
        </w:rPr>
      </w:pPr>
      <w:r w:rsidRPr="003A5774">
        <w:rPr>
          <w:rFonts w:hint="cs"/>
          <w:b/>
          <w:bCs/>
          <w:rtl/>
        </w:rPr>
        <w:t>אף שמדובר במספר פרטי אישום, בהם הורשע הנאשם, דומה כי הן המאשימה והן הנאשם עותרים לראות בהתנהלות העבריינית כ"אירוע" אחד. בהתאם למבחני "הקשר ההדוק" שעוגנו בפסיקת בית המשפט העליון לפרשנות המונח, המדובר ב"אירוע" אחד (</w:t>
      </w:r>
      <w:hyperlink r:id="rId25" w:history="1">
        <w:r w:rsidR="00821D72" w:rsidRPr="00821D72">
          <w:rPr>
            <w:b/>
            <w:bCs/>
            <w:color w:val="0000FF"/>
            <w:u w:val="single"/>
            <w:rtl/>
          </w:rPr>
          <w:t>ע"פ 4910/13</w:t>
        </w:r>
      </w:hyperlink>
      <w:r w:rsidRPr="003A5774">
        <w:rPr>
          <w:rFonts w:hint="cs"/>
          <w:b/>
          <w:bCs/>
          <w:rtl/>
        </w:rPr>
        <w:t xml:space="preserve"> ג'אבר נ' מדינת ישראל (29.10.14, </w:t>
      </w:r>
      <w:hyperlink r:id="rId26" w:history="1">
        <w:r w:rsidR="00821D72" w:rsidRPr="00821D72">
          <w:rPr>
            <w:b/>
            <w:bCs/>
            <w:color w:val="0000FF"/>
            <w:u w:val="single"/>
            <w:rtl/>
          </w:rPr>
          <w:t>ע"פ 5643/14</w:t>
        </w:r>
      </w:hyperlink>
      <w:r w:rsidRPr="003A5774">
        <w:rPr>
          <w:rFonts w:hint="cs"/>
          <w:b/>
          <w:bCs/>
          <w:rtl/>
        </w:rPr>
        <w:t xml:space="preserve"> עיסא נ' מדינת ישראל (23.6.15)), , בשים לב לסמיכות המועדים בהן בוצעו העבירות, האחת מהשנייה - אני סבורה כי יש מקום לקבוע מתחם עונש אחד לכל האירוע. </w:t>
      </w:r>
    </w:p>
    <w:p w14:paraId="428577E6" w14:textId="77777777" w:rsidR="00892BA4" w:rsidRPr="003A5774" w:rsidRDefault="00892BA4" w:rsidP="00892BA4">
      <w:pPr>
        <w:pStyle w:val="ListParagraph"/>
        <w:rPr>
          <w:rFonts w:ascii="David" w:hAnsi="David"/>
          <w:b/>
          <w:bCs/>
          <w:rtl/>
        </w:rPr>
      </w:pPr>
    </w:p>
    <w:p w14:paraId="15557AB7" w14:textId="77777777" w:rsidR="00892BA4" w:rsidRPr="003A5774" w:rsidRDefault="00892BA4" w:rsidP="00892BA4">
      <w:pPr>
        <w:pStyle w:val="ListParagraph"/>
        <w:spacing w:line="360" w:lineRule="auto"/>
        <w:ind w:left="-58"/>
        <w:jc w:val="both"/>
        <w:rPr>
          <w:rFonts w:ascii="David" w:hAnsi="David" w:cs="David"/>
          <w:b/>
          <w:bCs/>
          <w:sz w:val="24"/>
          <w:szCs w:val="24"/>
        </w:rPr>
      </w:pPr>
      <w:r w:rsidRPr="003A5774">
        <w:rPr>
          <w:rFonts w:ascii="David" w:hAnsi="David" w:cs="David" w:hint="cs"/>
          <w:b/>
          <w:bCs/>
          <w:sz w:val="24"/>
          <w:szCs w:val="24"/>
          <w:rtl/>
        </w:rPr>
        <w:t xml:space="preserve">הערך החברתי המוגן בעבירות הקשורות לסם הינו הגנה מפני פגיעות שנגרמות עקב שימוש בסמים, הן לאוכלוסיית המשתמשים עצמם והן לציבור בכללותו, עקב ביצוען של עבירות נלוות לשימוש בסמים. </w:t>
      </w:r>
    </w:p>
    <w:p w14:paraId="0B516EE3" w14:textId="77777777" w:rsidR="00892BA4" w:rsidRPr="003A5774" w:rsidRDefault="00892BA4" w:rsidP="00892BA4">
      <w:pPr>
        <w:pStyle w:val="ListParagraph"/>
        <w:spacing w:after="0" w:line="240" w:lineRule="auto"/>
        <w:ind w:left="-58"/>
        <w:jc w:val="both"/>
        <w:rPr>
          <w:rFonts w:ascii="David" w:hAnsi="David" w:cs="David"/>
          <w:b/>
          <w:bCs/>
          <w:sz w:val="24"/>
          <w:szCs w:val="24"/>
          <w:rtl/>
        </w:rPr>
      </w:pPr>
    </w:p>
    <w:p w14:paraId="4E17BAFA" w14:textId="77777777" w:rsidR="00892BA4" w:rsidRPr="003A5774" w:rsidRDefault="00892BA4" w:rsidP="00892BA4">
      <w:pPr>
        <w:pStyle w:val="ListParagraph"/>
        <w:spacing w:line="360" w:lineRule="auto"/>
        <w:ind w:left="-58"/>
        <w:jc w:val="both"/>
        <w:rPr>
          <w:rFonts w:ascii="David" w:hAnsi="David" w:cs="David"/>
          <w:b/>
          <w:bCs/>
          <w:sz w:val="24"/>
          <w:szCs w:val="24"/>
          <w:rtl/>
        </w:rPr>
      </w:pPr>
      <w:r w:rsidRPr="003A5774">
        <w:rPr>
          <w:rFonts w:ascii="David" w:hAnsi="David" w:cs="David" w:hint="cs"/>
          <w:b/>
          <w:bCs/>
          <w:sz w:val="24"/>
          <w:szCs w:val="24"/>
          <w:rtl/>
        </w:rPr>
        <w:t xml:space="preserve">בחינת מידת הפגיעה בערך המוגן, מובילה למסקנה כי הפגיעה בערך המוגן הינה משמעותית, בשים לב לכמות הסם שנתפסה אצל הנאשם במחסן בדירת מגוריו (כ- 4.0095 ק"ג נטו סם מסוג קנבוס, וכן החזיק כלים המשמשים לצריכת סם, בהם שני משקלים. </w:t>
      </w:r>
    </w:p>
    <w:p w14:paraId="7F6CF1B7" w14:textId="77777777" w:rsidR="00892BA4" w:rsidRPr="003A5774" w:rsidRDefault="00892BA4" w:rsidP="00892BA4">
      <w:pPr>
        <w:pStyle w:val="ListParagraph"/>
        <w:spacing w:after="0" w:line="240" w:lineRule="auto"/>
        <w:ind w:left="-58"/>
        <w:jc w:val="both"/>
        <w:rPr>
          <w:rFonts w:ascii="David" w:hAnsi="David" w:cs="David"/>
          <w:b/>
          <w:bCs/>
          <w:sz w:val="24"/>
          <w:szCs w:val="24"/>
          <w:rtl/>
        </w:rPr>
      </w:pPr>
    </w:p>
    <w:p w14:paraId="11820513" w14:textId="77777777" w:rsidR="00892BA4" w:rsidRPr="003A5774" w:rsidRDefault="00892BA4" w:rsidP="00892BA4">
      <w:pPr>
        <w:pStyle w:val="ListParagraph"/>
        <w:spacing w:line="360" w:lineRule="auto"/>
        <w:ind w:left="-58"/>
        <w:jc w:val="both"/>
        <w:rPr>
          <w:rFonts w:ascii="David" w:hAnsi="David" w:cs="David"/>
          <w:b/>
          <w:bCs/>
          <w:sz w:val="24"/>
          <w:szCs w:val="24"/>
          <w:rtl/>
        </w:rPr>
      </w:pPr>
      <w:r w:rsidRPr="003A5774">
        <w:rPr>
          <w:rFonts w:ascii="David" w:hAnsi="David" w:cs="David" w:hint="cs"/>
          <w:b/>
          <w:bCs/>
          <w:sz w:val="24"/>
          <w:szCs w:val="24"/>
          <w:rtl/>
        </w:rPr>
        <w:t xml:space="preserve">בחינת מדיניות הענישה הנוהגת מעלה כי במקרים דומים של החזקה שלא לצריכה עצמית והחזקת כלים להכנת סם הוטלו על נאשמים עונשים במנעד רחב, החל מעונש מאסר שירוצה על דרך של עבודות שירות ועד לעונש מאסר בפועל בין 18 חודשים. (למשל: </w:t>
      </w:r>
      <w:hyperlink r:id="rId27" w:history="1">
        <w:r w:rsidR="00821D72" w:rsidRPr="00821D72">
          <w:rPr>
            <w:rFonts w:ascii="David" w:hAnsi="David" w:cs="David"/>
            <w:b/>
            <w:bCs/>
            <w:color w:val="0000FF"/>
            <w:sz w:val="24"/>
            <w:szCs w:val="24"/>
            <w:u w:val="single"/>
            <w:rtl/>
          </w:rPr>
          <w:t>רע"פ 1830/16</w:t>
        </w:r>
      </w:hyperlink>
      <w:r w:rsidRPr="003A5774">
        <w:rPr>
          <w:rFonts w:ascii="David" w:hAnsi="David" w:cs="David" w:hint="cs"/>
          <w:b/>
          <w:bCs/>
          <w:sz w:val="24"/>
          <w:szCs w:val="24"/>
          <w:rtl/>
        </w:rPr>
        <w:t xml:space="preserve"> סאלם רקיבי נ' מדינת ישראל , </w:t>
      </w:r>
      <w:hyperlink r:id="rId28" w:history="1">
        <w:r w:rsidR="00821D72" w:rsidRPr="00821D72">
          <w:rPr>
            <w:rFonts w:ascii="David" w:hAnsi="David" w:cs="David"/>
            <w:b/>
            <w:bCs/>
            <w:color w:val="0000FF"/>
            <w:sz w:val="24"/>
            <w:szCs w:val="24"/>
            <w:u w:val="single"/>
            <w:rtl/>
          </w:rPr>
          <w:t>רע"פ 2557/12</w:t>
        </w:r>
      </w:hyperlink>
      <w:r w:rsidRPr="003A5774">
        <w:rPr>
          <w:rFonts w:ascii="David" w:hAnsi="David" w:cs="David" w:hint="cs"/>
          <w:b/>
          <w:bCs/>
          <w:sz w:val="24"/>
          <w:szCs w:val="24"/>
          <w:rtl/>
        </w:rPr>
        <w:t xml:space="preserve"> פרדמי תמם נ' מדינת ישראל , </w:t>
      </w:r>
      <w:hyperlink r:id="rId29" w:history="1">
        <w:r w:rsidR="00821D72" w:rsidRPr="00821D72">
          <w:rPr>
            <w:rFonts w:ascii="David" w:hAnsi="David" w:cs="David"/>
            <w:b/>
            <w:bCs/>
            <w:color w:val="0000FF"/>
            <w:sz w:val="24"/>
            <w:szCs w:val="24"/>
            <w:u w:val="single"/>
            <w:rtl/>
          </w:rPr>
          <w:t>רע"פ 10423/09</w:t>
        </w:r>
      </w:hyperlink>
      <w:r w:rsidRPr="003A5774">
        <w:rPr>
          <w:rFonts w:ascii="David" w:hAnsi="David" w:cs="David" w:hint="cs"/>
          <w:b/>
          <w:bCs/>
          <w:sz w:val="24"/>
          <w:szCs w:val="24"/>
          <w:rtl/>
        </w:rPr>
        <w:t xml:space="preserve"> ניצה שורר נ' מדינת ישראל , </w:t>
      </w:r>
      <w:hyperlink r:id="rId30" w:history="1">
        <w:r w:rsidR="00821D72" w:rsidRPr="00821D72">
          <w:rPr>
            <w:rFonts w:ascii="David" w:hAnsi="David" w:cs="David"/>
            <w:b/>
            <w:bCs/>
            <w:color w:val="0000FF"/>
            <w:sz w:val="24"/>
            <w:szCs w:val="24"/>
            <w:u w:val="single"/>
            <w:rtl/>
          </w:rPr>
          <w:t>ת.פ (ב"ש) 50987-05-13</w:t>
        </w:r>
      </w:hyperlink>
      <w:r w:rsidRPr="003A5774">
        <w:rPr>
          <w:rFonts w:ascii="David" w:hAnsi="David" w:cs="David" w:hint="cs"/>
          <w:b/>
          <w:bCs/>
          <w:sz w:val="24"/>
          <w:szCs w:val="24"/>
          <w:rtl/>
        </w:rPr>
        <w:t xml:space="preserve"> מדינת ישראל נ' בראונשטיין , </w:t>
      </w:r>
      <w:hyperlink r:id="rId31" w:history="1">
        <w:r w:rsidR="00821D72" w:rsidRPr="00821D72">
          <w:rPr>
            <w:rFonts w:ascii="David" w:hAnsi="David" w:cs="David"/>
            <w:b/>
            <w:bCs/>
            <w:color w:val="0000FF"/>
            <w:sz w:val="24"/>
            <w:szCs w:val="24"/>
            <w:u w:val="single"/>
            <w:rtl/>
          </w:rPr>
          <w:t>ת.פ. (טבריה) 51933-05-12</w:t>
        </w:r>
      </w:hyperlink>
      <w:r w:rsidRPr="003A5774">
        <w:rPr>
          <w:rFonts w:ascii="David" w:hAnsi="David" w:cs="David" w:hint="cs"/>
          <w:b/>
          <w:bCs/>
          <w:sz w:val="24"/>
          <w:szCs w:val="24"/>
          <w:rtl/>
        </w:rPr>
        <w:t xml:space="preserve"> מדינת ישראל נ' בוטבול , </w:t>
      </w:r>
      <w:hyperlink r:id="rId32" w:history="1">
        <w:r w:rsidR="00821D72" w:rsidRPr="00821D72">
          <w:rPr>
            <w:rFonts w:ascii="David" w:hAnsi="David" w:cs="David"/>
            <w:b/>
            <w:bCs/>
            <w:color w:val="0000FF"/>
            <w:sz w:val="24"/>
            <w:szCs w:val="24"/>
            <w:u w:val="single"/>
            <w:rtl/>
          </w:rPr>
          <w:t>ת.פ. (מחוזי ב"ש) 41488-11-11</w:t>
        </w:r>
      </w:hyperlink>
      <w:r w:rsidRPr="003A5774">
        <w:rPr>
          <w:rFonts w:ascii="David" w:hAnsi="David" w:cs="David" w:hint="cs"/>
          <w:b/>
          <w:bCs/>
          <w:sz w:val="24"/>
          <w:szCs w:val="24"/>
          <w:rtl/>
        </w:rPr>
        <w:t xml:space="preserve"> מדינת ישראל נ' אלחמאד גברין , </w:t>
      </w:r>
      <w:hyperlink r:id="rId33" w:history="1">
        <w:r w:rsidR="00821D72" w:rsidRPr="00821D72">
          <w:rPr>
            <w:rFonts w:ascii="David" w:hAnsi="David" w:cs="David"/>
            <w:b/>
            <w:bCs/>
            <w:color w:val="0000FF"/>
            <w:sz w:val="24"/>
            <w:szCs w:val="24"/>
            <w:u w:val="single"/>
            <w:rtl/>
          </w:rPr>
          <w:t>ת.פ (רמלה) 42543-06-14</w:t>
        </w:r>
      </w:hyperlink>
      <w:r w:rsidRPr="003A5774">
        <w:rPr>
          <w:rFonts w:ascii="David" w:hAnsi="David" w:cs="David" w:hint="cs"/>
          <w:b/>
          <w:bCs/>
          <w:sz w:val="24"/>
          <w:szCs w:val="24"/>
          <w:rtl/>
        </w:rPr>
        <w:t xml:space="preserve"> משטרת ישראל נ' קובי בלו , </w:t>
      </w:r>
      <w:hyperlink r:id="rId34" w:history="1">
        <w:r w:rsidR="00821D72" w:rsidRPr="00821D72">
          <w:rPr>
            <w:rFonts w:ascii="David" w:hAnsi="David" w:cs="David"/>
            <w:b/>
            <w:bCs/>
            <w:color w:val="0000FF"/>
            <w:sz w:val="24"/>
            <w:szCs w:val="24"/>
            <w:u w:val="single"/>
            <w:rtl/>
          </w:rPr>
          <w:t>ת.פ. 37340-06-12</w:t>
        </w:r>
      </w:hyperlink>
      <w:r w:rsidRPr="003A5774">
        <w:rPr>
          <w:rFonts w:ascii="David" w:hAnsi="David" w:cs="David" w:hint="cs"/>
          <w:b/>
          <w:bCs/>
          <w:sz w:val="24"/>
          <w:szCs w:val="24"/>
          <w:rtl/>
        </w:rPr>
        <w:t xml:space="preserve"> מדינת ישראל נ' ליאור בוחניק . </w:t>
      </w:r>
    </w:p>
    <w:p w14:paraId="44096CAA" w14:textId="77777777" w:rsidR="00892BA4" w:rsidRPr="003A5774" w:rsidRDefault="00892BA4" w:rsidP="00892BA4">
      <w:pPr>
        <w:pStyle w:val="ListParagraph"/>
        <w:spacing w:after="0" w:line="240" w:lineRule="auto"/>
        <w:ind w:left="-58"/>
        <w:jc w:val="both"/>
        <w:rPr>
          <w:rFonts w:ascii="David" w:hAnsi="David" w:cs="David"/>
          <w:b/>
          <w:bCs/>
          <w:sz w:val="24"/>
          <w:szCs w:val="24"/>
          <w:rtl/>
        </w:rPr>
      </w:pPr>
    </w:p>
    <w:p w14:paraId="389A8987" w14:textId="77777777" w:rsidR="00892BA4" w:rsidRPr="003A5774" w:rsidRDefault="00892BA4" w:rsidP="00892BA4">
      <w:pPr>
        <w:pStyle w:val="ListParagraph"/>
        <w:spacing w:line="360" w:lineRule="auto"/>
        <w:ind w:left="-58"/>
        <w:jc w:val="both"/>
        <w:rPr>
          <w:rFonts w:ascii="David" w:hAnsi="David" w:cs="David"/>
          <w:b/>
          <w:bCs/>
          <w:color w:val="000000"/>
          <w:sz w:val="24"/>
          <w:szCs w:val="24"/>
          <w:rtl/>
        </w:rPr>
      </w:pPr>
      <w:r w:rsidRPr="003A5774">
        <w:rPr>
          <w:rFonts w:ascii="David" w:hAnsi="David" w:cs="David" w:hint="cs"/>
          <w:b/>
          <w:bCs/>
          <w:color w:val="000000"/>
          <w:sz w:val="24"/>
          <w:szCs w:val="24"/>
          <w:rtl/>
        </w:rPr>
        <w:t>בחינת מדיניות הענישה הנוהגת מעלה כי במקרים של החזקת סם לצריכה עצמית הוטלו על נאשמים עונשים החל ממאסר על תנאי ועד עונש מאסר לתקופה קצרה (לעניין זה ראו</w:t>
      </w:r>
      <w:r w:rsidRPr="003A5774">
        <w:rPr>
          <w:rFonts w:ascii="David" w:hAnsi="David" w:cs="David" w:hint="cs"/>
          <w:b/>
          <w:bCs/>
          <w:color w:val="000000"/>
          <w:sz w:val="24"/>
          <w:szCs w:val="24"/>
        </w:rPr>
        <w:t xml:space="preserve"> </w:t>
      </w:r>
      <w:r w:rsidRPr="003A5774">
        <w:rPr>
          <w:rFonts w:cs="David" w:hint="cs"/>
          <w:b/>
          <w:bCs/>
          <w:color w:val="000000"/>
          <w:sz w:val="24"/>
          <w:szCs w:val="24"/>
        </w:rPr>
        <w:t xml:space="preserve"> </w:t>
      </w:r>
      <w:hyperlink r:id="rId35" w:history="1">
        <w:r w:rsidR="00821D72" w:rsidRPr="00821D72">
          <w:rPr>
            <w:rFonts w:cs="David" w:hint="cs"/>
            <w:b/>
            <w:bCs/>
            <w:color w:val="0000FF"/>
            <w:sz w:val="24"/>
            <w:szCs w:val="24"/>
            <w:u w:val="single"/>
            <w:rtl/>
          </w:rPr>
          <w:t>ת</w:t>
        </w:r>
        <w:r w:rsidR="00821D72" w:rsidRPr="00821D72">
          <w:rPr>
            <w:rFonts w:cs="David"/>
            <w:b/>
            <w:bCs/>
            <w:color w:val="0000FF"/>
            <w:sz w:val="24"/>
            <w:szCs w:val="24"/>
            <w:u w:val="single"/>
            <w:rtl/>
          </w:rPr>
          <w:t>.</w:t>
        </w:r>
        <w:r w:rsidR="00821D72" w:rsidRPr="00821D72">
          <w:rPr>
            <w:rFonts w:cs="David" w:hint="cs"/>
            <w:b/>
            <w:bCs/>
            <w:color w:val="0000FF"/>
            <w:sz w:val="24"/>
            <w:szCs w:val="24"/>
            <w:u w:val="single"/>
            <w:rtl/>
          </w:rPr>
          <w:t>פ</w:t>
        </w:r>
        <w:r w:rsidR="00821D72" w:rsidRPr="00821D72">
          <w:rPr>
            <w:rFonts w:cs="David"/>
            <w:b/>
            <w:bCs/>
            <w:color w:val="0000FF"/>
            <w:sz w:val="24"/>
            <w:szCs w:val="24"/>
            <w:u w:val="single"/>
            <w:rtl/>
          </w:rPr>
          <w:t>. (</w:t>
        </w:r>
        <w:r w:rsidR="00821D72" w:rsidRPr="00821D72">
          <w:rPr>
            <w:rFonts w:cs="David" w:hint="cs"/>
            <w:b/>
            <w:bCs/>
            <w:color w:val="0000FF"/>
            <w:sz w:val="24"/>
            <w:szCs w:val="24"/>
            <w:u w:val="single"/>
            <w:rtl/>
          </w:rPr>
          <w:t>פתח</w:t>
        </w:r>
        <w:r w:rsidR="00821D72" w:rsidRPr="00821D72">
          <w:rPr>
            <w:rFonts w:cs="David"/>
            <w:b/>
            <w:bCs/>
            <w:color w:val="0000FF"/>
            <w:sz w:val="24"/>
            <w:szCs w:val="24"/>
            <w:u w:val="single"/>
            <w:rtl/>
          </w:rPr>
          <w:t xml:space="preserve"> </w:t>
        </w:r>
        <w:r w:rsidR="00821D72" w:rsidRPr="00821D72">
          <w:rPr>
            <w:rFonts w:cs="David" w:hint="cs"/>
            <w:b/>
            <w:bCs/>
            <w:color w:val="0000FF"/>
            <w:sz w:val="24"/>
            <w:szCs w:val="24"/>
            <w:u w:val="single"/>
            <w:rtl/>
          </w:rPr>
          <w:t>תקווה</w:t>
        </w:r>
        <w:r w:rsidR="00821D72" w:rsidRPr="00821D72">
          <w:rPr>
            <w:rFonts w:cs="David"/>
            <w:b/>
            <w:bCs/>
            <w:color w:val="0000FF"/>
            <w:sz w:val="24"/>
            <w:szCs w:val="24"/>
            <w:u w:val="single"/>
            <w:rtl/>
          </w:rPr>
          <w:t>) 40921-05-10</w:t>
        </w:r>
      </w:hyperlink>
      <w:r w:rsidRPr="003A5774">
        <w:rPr>
          <w:rFonts w:ascii="David" w:hAnsi="David" w:cs="David" w:hint="cs"/>
          <w:b/>
          <w:bCs/>
          <w:color w:val="000000"/>
          <w:sz w:val="24"/>
          <w:szCs w:val="24"/>
          <w:rtl/>
        </w:rPr>
        <w:t xml:space="preserve"> מדינת ישראל נ' בן עזרא , </w:t>
      </w:r>
      <w:hyperlink r:id="rId36" w:history="1">
        <w:r w:rsidR="00821D72" w:rsidRPr="00821D72">
          <w:rPr>
            <w:rFonts w:ascii="David" w:hAnsi="David" w:cs="David"/>
            <w:b/>
            <w:bCs/>
            <w:color w:val="0000FF"/>
            <w:sz w:val="24"/>
            <w:szCs w:val="24"/>
            <w:u w:val="single"/>
            <w:rtl/>
          </w:rPr>
          <w:t>ת.פ. (חיפה) 25039-07-13</w:t>
        </w:r>
      </w:hyperlink>
      <w:r w:rsidRPr="003A5774">
        <w:rPr>
          <w:rFonts w:ascii="David" w:hAnsi="David" w:cs="David" w:hint="cs"/>
          <w:b/>
          <w:bCs/>
          <w:color w:val="000000"/>
          <w:sz w:val="24"/>
          <w:szCs w:val="24"/>
          <w:rtl/>
        </w:rPr>
        <w:t xml:space="preserve">  מדינת ישראל נ' מארון , </w:t>
      </w:r>
      <w:hyperlink r:id="rId37" w:history="1">
        <w:r w:rsidR="00821D72" w:rsidRPr="00821D72">
          <w:rPr>
            <w:rFonts w:ascii="David" w:hAnsi="David" w:cs="David"/>
            <w:b/>
            <w:bCs/>
            <w:color w:val="0000FF"/>
            <w:sz w:val="24"/>
            <w:szCs w:val="24"/>
            <w:u w:val="single"/>
            <w:rtl/>
          </w:rPr>
          <w:t>ת.פ. (ב"ש) 45096-06-11</w:t>
        </w:r>
      </w:hyperlink>
      <w:r w:rsidRPr="003A5774">
        <w:rPr>
          <w:rFonts w:ascii="David" w:hAnsi="David" w:cs="David" w:hint="cs"/>
          <w:b/>
          <w:bCs/>
          <w:color w:val="000000"/>
          <w:sz w:val="24"/>
          <w:szCs w:val="24"/>
          <w:rtl/>
        </w:rPr>
        <w:t xml:space="preserve"> מדינת ישראל נ' אמטראת . </w:t>
      </w:r>
    </w:p>
    <w:p w14:paraId="1B9ADCBB" w14:textId="77777777" w:rsidR="00892BA4" w:rsidRPr="00B53FFE" w:rsidRDefault="00892BA4" w:rsidP="00892BA4">
      <w:pPr>
        <w:pStyle w:val="ListParagraph"/>
        <w:spacing w:after="0" w:line="240" w:lineRule="auto"/>
        <w:ind w:left="-58"/>
        <w:jc w:val="both"/>
        <w:rPr>
          <w:rFonts w:ascii="David" w:hAnsi="David" w:cs="David"/>
          <w:b/>
          <w:bCs/>
          <w:sz w:val="24"/>
          <w:szCs w:val="24"/>
          <w:rtl/>
        </w:rPr>
      </w:pPr>
    </w:p>
    <w:p w14:paraId="1F12BFDD" w14:textId="77777777" w:rsidR="00892BA4" w:rsidRPr="003A5774" w:rsidRDefault="00892BA4" w:rsidP="00892BA4">
      <w:pPr>
        <w:pStyle w:val="ListParagraph"/>
        <w:spacing w:line="360" w:lineRule="auto"/>
        <w:ind w:left="-58"/>
        <w:jc w:val="both"/>
        <w:rPr>
          <w:rFonts w:ascii="David" w:hAnsi="David" w:cs="David"/>
          <w:b/>
          <w:bCs/>
          <w:color w:val="000000"/>
          <w:sz w:val="24"/>
          <w:szCs w:val="24"/>
          <w:rtl/>
        </w:rPr>
      </w:pPr>
      <w:r>
        <w:rPr>
          <w:rFonts w:ascii="David" w:hAnsi="David" w:cs="David" w:hint="cs"/>
          <w:b/>
          <w:bCs/>
          <w:color w:val="000000"/>
          <w:sz w:val="24"/>
          <w:szCs w:val="24"/>
          <w:rtl/>
        </w:rPr>
        <w:t xml:space="preserve">בענייננו, כאמור, הצדדים </w:t>
      </w:r>
      <w:r w:rsidRPr="003A5774">
        <w:rPr>
          <w:rFonts w:ascii="David" w:hAnsi="David" w:cs="David" w:hint="cs"/>
          <w:b/>
          <w:bCs/>
          <w:color w:val="000000"/>
          <w:sz w:val="24"/>
          <w:szCs w:val="24"/>
          <w:rtl/>
        </w:rPr>
        <w:t>עתרו במשותף לענישה של 9 חודשי מאסר בפועל, בקיזוז ימי המ</w:t>
      </w:r>
      <w:r>
        <w:rPr>
          <w:rFonts w:ascii="David" w:hAnsi="David" w:cs="David" w:hint="cs"/>
          <w:b/>
          <w:bCs/>
          <w:color w:val="000000"/>
          <w:sz w:val="24"/>
          <w:szCs w:val="24"/>
          <w:rtl/>
        </w:rPr>
        <w:t>עצר</w:t>
      </w:r>
      <w:r w:rsidRPr="003A5774">
        <w:rPr>
          <w:rFonts w:ascii="David" w:hAnsi="David" w:cs="David" w:hint="cs"/>
          <w:b/>
          <w:bCs/>
          <w:color w:val="000000"/>
          <w:sz w:val="24"/>
          <w:szCs w:val="24"/>
          <w:rtl/>
        </w:rPr>
        <w:t xml:space="preserve">, קנס בסך 50,000 ₪, ומאסר מותנה. כאשר הצדדים חלוקים בשאלת פסילת רישיון הנהיגה של הנאשם. </w:t>
      </w:r>
    </w:p>
    <w:p w14:paraId="2D57312A" w14:textId="77777777" w:rsidR="00892BA4" w:rsidRPr="00B53FFE" w:rsidRDefault="00892BA4" w:rsidP="00892BA4">
      <w:pPr>
        <w:pStyle w:val="ListParagraph"/>
        <w:spacing w:after="0" w:line="240" w:lineRule="auto"/>
        <w:ind w:left="-58"/>
        <w:jc w:val="both"/>
        <w:rPr>
          <w:rFonts w:ascii="David" w:hAnsi="David" w:cs="David"/>
          <w:b/>
          <w:bCs/>
          <w:sz w:val="24"/>
          <w:szCs w:val="24"/>
          <w:rtl/>
        </w:rPr>
      </w:pPr>
    </w:p>
    <w:p w14:paraId="0505F4B9" w14:textId="77777777" w:rsidR="00892BA4" w:rsidRPr="003A5774" w:rsidRDefault="00892BA4" w:rsidP="00892BA4">
      <w:pPr>
        <w:spacing w:after="120" w:line="360" w:lineRule="auto"/>
        <w:ind w:left="-58"/>
        <w:jc w:val="both"/>
        <w:rPr>
          <w:b/>
          <w:bCs/>
          <w:rtl/>
        </w:rPr>
      </w:pPr>
      <w:r w:rsidRPr="003A5774">
        <w:rPr>
          <w:rFonts w:hint="cs"/>
          <w:b/>
          <w:bCs/>
          <w:rtl/>
        </w:rPr>
        <w:t>ק</w:t>
      </w:r>
      <w:r w:rsidRPr="003A5774">
        <w:rPr>
          <w:rFonts w:ascii="Arial" w:hAnsi="Arial" w:hint="cs"/>
          <w:b/>
          <w:bCs/>
          <w:rtl/>
        </w:rPr>
        <w:t xml:space="preserve">יומו של הסדר טיעון, מהווה נדבך מרכזי בשיקולי הענישה של בית המשפט. "מבחן האיזון" הוא המבחן החל במדינתנו בכל הקשור לכיבוד הסדרי טיעון, בעניין זה ראו: </w:t>
      </w:r>
      <w:hyperlink r:id="rId38" w:history="1">
        <w:r w:rsidR="00821D72" w:rsidRPr="00821D72">
          <w:rPr>
            <w:rFonts w:ascii="Arial" w:hAnsi="Arial"/>
            <w:b/>
            <w:bCs/>
            <w:color w:val="0000FF"/>
            <w:u w:val="single"/>
            <w:rtl/>
          </w:rPr>
          <w:t>ע"פ 1958/98 פלוני נ' מדינת ישראל, פ"ד נ"ז</w:t>
        </w:r>
      </w:hyperlink>
      <w:r w:rsidRPr="003A5774">
        <w:rPr>
          <w:rFonts w:ascii="Arial" w:hAnsi="Arial" w:hint="cs"/>
          <w:b/>
          <w:bCs/>
          <w:rtl/>
        </w:rPr>
        <w:t xml:space="preserve"> (1) 577 (להלן: "הלכת פלוני") שם נקבע בין היתר כי: </w:t>
      </w:r>
    </w:p>
    <w:p w14:paraId="508A163A" w14:textId="77777777" w:rsidR="00892BA4" w:rsidRPr="003A5774" w:rsidRDefault="00892BA4" w:rsidP="00892BA4">
      <w:pPr>
        <w:spacing w:after="120" w:line="360" w:lineRule="auto"/>
        <w:ind w:left="-58"/>
        <w:jc w:val="both"/>
        <w:rPr>
          <w:b/>
          <w:bCs/>
        </w:rPr>
      </w:pPr>
      <w:r w:rsidRPr="003A5774">
        <w:rPr>
          <w:rFonts w:hint="cs"/>
          <w:b/>
          <w:bCs/>
          <w:rtl/>
        </w:rPr>
        <w:t>"קיומו של הסדר טיעון הוא שיקול מרכזי בשיקוליו של בית המשפט הגוזר את העונש. ככלל, בית המשפט יראה לקבל את הסדר הטיעון בשל הטעמים הקשורים בחשיבותם ובמעמדם של הסדרי הטיעון. עם זאת תמיד חייב בית המשפט עצמו לשקול את השיקולים הראויים לעונש, שכן תפקידו ואחריותו אינם מאפשרים לו להסתתר מאחורי גבה של התביעה. במסגרת בחינתו של העונש המוצע ייתן בית המשפט דעתו על כל שיקולי הענישה הרלוונטיים ויבחן אם העונש המוצע מקיים את האיזון הדרוש ביניהם. לשם כך יבחן בית המשפט את העונש ההולם בנסיבות העניין וישקיף עליו גם באספקלריה שהעמידה לרשותו התביעה בהסדר הטיעון שערכה. בבחינת הסדר הטיעון נקודת המוצא היא מידת העונש המוצע בשים לב לסוג העבירה, לחומרתה ולנסיבות ביצועה." (שם, עמ' 609-608).</w:t>
      </w:r>
    </w:p>
    <w:p w14:paraId="5C8391AD" w14:textId="77777777" w:rsidR="00892BA4" w:rsidRPr="003A5774" w:rsidRDefault="00892BA4" w:rsidP="00892BA4">
      <w:pPr>
        <w:spacing w:after="120" w:line="360" w:lineRule="auto"/>
        <w:ind w:left="-58"/>
        <w:jc w:val="both"/>
        <w:rPr>
          <w:b/>
          <w:bCs/>
          <w:rtl/>
        </w:rPr>
      </w:pPr>
      <w:r w:rsidRPr="003A5774">
        <w:rPr>
          <w:rFonts w:hint="cs"/>
          <w:b/>
          <w:bCs/>
          <w:rtl/>
        </w:rPr>
        <w:t xml:space="preserve">בהלכת פלוני שהובאה לעיל, פורטו השיקולים שעל בית המשפט לשקול בבואו לבחון את הסדר הטיעון המוצע: קיומו של הסדר טיעון כשיקול מרכזי; </w:t>
      </w:r>
      <w:r w:rsidRPr="003A5774">
        <w:rPr>
          <w:rFonts w:ascii="Arial" w:hAnsi="Arial" w:hint="cs"/>
          <w:b/>
          <w:bCs/>
          <w:rtl/>
        </w:rPr>
        <w:t>האם העונש המוצע בהסדר מקיים את האיזון הדרוש בין שיקולי הענישה הרלוונטיים, נסיבותיו האישיות של הנאשם</w:t>
      </w:r>
      <w:r w:rsidRPr="003A5774">
        <w:rPr>
          <w:rFonts w:ascii="Arial" w:hAnsi="Arial"/>
          <w:b/>
          <w:bCs/>
        </w:rPr>
        <w:t xml:space="preserve"> </w:t>
      </w:r>
      <w:r w:rsidRPr="003A5774">
        <w:rPr>
          <w:rFonts w:ascii="Arial" w:hAnsi="Arial" w:hint="cs"/>
          <w:b/>
          <w:bCs/>
          <w:rtl/>
        </w:rPr>
        <w:t xml:space="preserve">ׁ(בענייננו הנאשמת), מידת הוויתור שוויתר הנאשם - סיכויי הרשעה, שיקולי המאשימה, אינטרס ציבורי להשגת הודיית הנאשם, האינטרס הציבורי במובנו הרחב - דהיינו, חסכון בזמן שיפוטי ובמשאבי התביעה, ציפיות הנאשם שהודה על יסוד הסדר הטיעון. </w:t>
      </w:r>
    </w:p>
    <w:p w14:paraId="3E787530" w14:textId="77777777" w:rsidR="00892BA4" w:rsidRPr="00B53FFE" w:rsidRDefault="00892BA4" w:rsidP="00892BA4">
      <w:pPr>
        <w:pStyle w:val="ListParagraph"/>
        <w:spacing w:after="0" w:line="240" w:lineRule="auto"/>
        <w:ind w:left="-58"/>
        <w:jc w:val="both"/>
        <w:rPr>
          <w:rFonts w:ascii="David" w:hAnsi="David" w:cs="David"/>
          <w:b/>
          <w:bCs/>
          <w:sz w:val="24"/>
          <w:szCs w:val="24"/>
          <w:rtl/>
        </w:rPr>
      </w:pPr>
    </w:p>
    <w:p w14:paraId="2E347606" w14:textId="77777777" w:rsidR="00892BA4" w:rsidRPr="003A5774" w:rsidRDefault="00892BA4" w:rsidP="00892BA4">
      <w:pPr>
        <w:spacing w:after="120" w:line="360" w:lineRule="auto"/>
        <w:ind w:left="-58"/>
        <w:jc w:val="both"/>
        <w:rPr>
          <w:b/>
          <w:bCs/>
          <w:rtl/>
        </w:rPr>
      </w:pPr>
      <w:r w:rsidRPr="003A5774">
        <w:rPr>
          <w:rFonts w:hint="cs"/>
          <w:b/>
          <w:bCs/>
          <w:rtl/>
        </w:rPr>
        <w:t xml:space="preserve">בענייננו, בהינתן הסדר הטיעון שנרקם בין הצדדים, העובדה כי הוא אינו חורג ממתחם הענישה ההולם לקולא או לחומרה, העובדה שהנאשם הודה בהזדמנות הראשונה, חסך זמן שיפוטי ונטל אחריות על מעשיו, מצאתי כי הסדר הטיעון הולם ואני מוצאת לכבדו. </w:t>
      </w:r>
    </w:p>
    <w:p w14:paraId="2DA097E0" w14:textId="77777777" w:rsidR="00892BA4" w:rsidRPr="00B53FFE" w:rsidRDefault="00892BA4" w:rsidP="00892BA4">
      <w:pPr>
        <w:pStyle w:val="ListParagraph"/>
        <w:spacing w:after="0" w:line="240" w:lineRule="auto"/>
        <w:ind w:left="-58"/>
        <w:jc w:val="both"/>
        <w:rPr>
          <w:rFonts w:ascii="David" w:hAnsi="David" w:cs="David"/>
          <w:b/>
          <w:bCs/>
          <w:sz w:val="24"/>
          <w:szCs w:val="24"/>
          <w:rtl/>
        </w:rPr>
      </w:pPr>
    </w:p>
    <w:p w14:paraId="04EF4219" w14:textId="77777777" w:rsidR="00892BA4" w:rsidRPr="003A5774" w:rsidRDefault="00892BA4" w:rsidP="00892BA4">
      <w:pPr>
        <w:spacing w:after="120" w:line="360" w:lineRule="auto"/>
        <w:ind w:left="-58"/>
        <w:jc w:val="both"/>
        <w:rPr>
          <w:b/>
          <w:bCs/>
          <w:rtl/>
        </w:rPr>
      </w:pPr>
      <w:r w:rsidRPr="003A5774">
        <w:rPr>
          <w:rFonts w:hint="cs"/>
          <w:b/>
          <w:bCs/>
          <w:u w:val="single"/>
          <w:rtl/>
        </w:rPr>
        <w:t>פסילת רישיון הנהיגה של הנאשם</w:t>
      </w:r>
      <w:r w:rsidRPr="003A5774">
        <w:rPr>
          <w:rFonts w:hint="cs"/>
          <w:b/>
          <w:bCs/>
          <w:rtl/>
        </w:rPr>
        <w:t>:</w:t>
      </w:r>
    </w:p>
    <w:p w14:paraId="69C764C3" w14:textId="77777777" w:rsidR="00892BA4" w:rsidRPr="003A5774" w:rsidRDefault="00892BA4" w:rsidP="00892BA4">
      <w:pPr>
        <w:spacing w:after="120" w:line="360" w:lineRule="auto"/>
        <w:ind w:left="-58"/>
        <w:jc w:val="both"/>
        <w:rPr>
          <w:b/>
          <w:bCs/>
          <w:rtl/>
        </w:rPr>
      </w:pPr>
      <w:r w:rsidRPr="003A5774">
        <w:rPr>
          <w:rFonts w:hint="cs"/>
          <w:b/>
          <w:bCs/>
          <w:rtl/>
        </w:rPr>
        <w:t xml:space="preserve">כאמור, הצדדים הגיעו להסדר טיעון באשר למרבית רכיבי העונש בעניינו של הנאשם, הצדדים חלוקים אשר לשאלה, האם יש מקום להורות על פסילת רישיונו של הנאשם בפועל, כאשר המאשימה עותרת כי רישיונו של הנאשם ייפסל בפועל בעוד הנאשם טוען כי אין מקום לפסול את רישיון הנהיגה שלו בפועל, בניגוד לטענת המאשימה, אין כל אינדיקציה כי הנאשם מכור לסמים, העבירה לא בוצעה באמצעות הרכב והפגיעה בנאשם תהא קשה, שלא לצורך, שכן הוא אב ל - 3 ילדים קטנים והוא משתמש ברכב כדי לסייע למשפחתו. </w:t>
      </w:r>
    </w:p>
    <w:p w14:paraId="21718913" w14:textId="77777777" w:rsidR="00892BA4" w:rsidRPr="003A5774" w:rsidRDefault="00A4490E" w:rsidP="00892BA4">
      <w:pPr>
        <w:spacing w:after="120" w:line="360" w:lineRule="auto"/>
        <w:ind w:left="-58"/>
        <w:jc w:val="both"/>
        <w:rPr>
          <w:b/>
          <w:bCs/>
          <w:rtl/>
        </w:rPr>
      </w:pPr>
      <w:hyperlink r:id="rId39" w:history="1">
        <w:r w:rsidRPr="00A4490E">
          <w:rPr>
            <w:b/>
            <w:bCs/>
            <w:color w:val="0000FF"/>
            <w:u w:val="single"/>
            <w:rtl/>
          </w:rPr>
          <w:t>סעיף 37א</w:t>
        </w:r>
      </w:hyperlink>
      <w:r w:rsidR="00892BA4" w:rsidRPr="003A5774">
        <w:rPr>
          <w:rFonts w:hint="cs"/>
          <w:b/>
          <w:bCs/>
          <w:rtl/>
        </w:rPr>
        <w:t xml:space="preserve"> ל</w:t>
      </w:r>
      <w:hyperlink r:id="rId40" w:history="1">
        <w:r w:rsidR="00821D72" w:rsidRPr="00821D72">
          <w:rPr>
            <w:b/>
            <w:bCs/>
            <w:color w:val="0000FF"/>
            <w:u w:val="single"/>
            <w:rtl/>
          </w:rPr>
          <w:t>פקודת הסמים המסוכנים</w:t>
        </w:r>
      </w:hyperlink>
      <w:r w:rsidR="00892BA4" w:rsidRPr="003A5774">
        <w:rPr>
          <w:rFonts w:hint="cs"/>
          <w:b/>
          <w:bCs/>
          <w:rtl/>
        </w:rPr>
        <w:t xml:space="preserve"> קובע: </w:t>
      </w:r>
    </w:p>
    <w:p w14:paraId="1BA45786" w14:textId="77777777" w:rsidR="00892BA4" w:rsidRPr="003A5774" w:rsidRDefault="00892BA4" w:rsidP="00892BA4">
      <w:pPr>
        <w:pStyle w:val="P000"/>
        <w:spacing w:before="72" w:line="360" w:lineRule="auto"/>
        <w:ind w:left="935"/>
        <w:rPr>
          <w:rStyle w:val="default"/>
          <w:rFonts w:cs="David"/>
          <w:b/>
          <w:bCs/>
          <w:sz w:val="24"/>
          <w:rtl/>
        </w:rPr>
      </w:pPr>
      <w:r w:rsidRPr="003A5774">
        <w:rPr>
          <w:rStyle w:val="big-number"/>
          <w:rFonts w:cs="David" w:hint="cs"/>
          <w:b/>
          <w:bCs/>
          <w:sz w:val="24"/>
          <w:szCs w:val="24"/>
          <w:rtl/>
        </w:rPr>
        <w:t>"37</w:t>
      </w:r>
      <w:r w:rsidRPr="003A5774">
        <w:rPr>
          <w:rStyle w:val="default"/>
          <w:rFonts w:cs="David" w:hint="cs"/>
          <w:b/>
          <w:bCs/>
          <w:sz w:val="24"/>
          <w:szCs w:val="24"/>
          <w:rtl/>
        </w:rPr>
        <w:t>א.</w:t>
      </w:r>
      <w:r w:rsidRPr="003A5774">
        <w:rPr>
          <w:rStyle w:val="default"/>
          <w:rFonts w:cs="David" w:hint="cs"/>
          <w:b/>
          <w:bCs/>
          <w:sz w:val="24"/>
          <w:szCs w:val="24"/>
          <w:rtl/>
        </w:rPr>
        <w:tab/>
        <w:t>(א)</w:t>
      </w:r>
      <w:r w:rsidRPr="003A5774">
        <w:rPr>
          <w:rStyle w:val="default"/>
          <w:rFonts w:cs="David" w:hint="cs"/>
          <w:b/>
          <w:bCs/>
          <w:sz w:val="24"/>
          <w:szCs w:val="24"/>
          <w:rtl/>
        </w:rPr>
        <w:tab/>
        <w:t xml:space="preserve">הורשע אדם בעבירה לפי פקודה זו או קבע בית משפט כי אדם עבר עבירה כאמור ולא הרשיעו, </w:t>
      </w:r>
      <w:r w:rsidRPr="003A5774">
        <w:rPr>
          <w:rStyle w:val="default"/>
          <w:rFonts w:cs="David" w:hint="cs"/>
          <w:b/>
          <w:bCs/>
          <w:sz w:val="24"/>
          <w:szCs w:val="24"/>
          <w:u w:val="single"/>
          <w:rtl/>
        </w:rPr>
        <w:t xml:space="preserve">רשאי </w:t>
      </w:r>
      <w:r w:rsidRPr="003A5774">
        <w:rPr>
          <w:rStyle w:val="default"/>
          <w:rFonts w:cs="David" w:hint="cs"/>
          <w:b/>
          <w:bCs/>
          <w:sz w:val="24"/>
          <w:szCs w:val="24"/>
          <w:rtl/>
        </w:rPr>
        <w:t>בית המשפט, בנוסף על כל עונש אחר, ובנוסף לסמכותו לפי סעיף 43 ל</w:t>
      </w:r>
      <w:hyperlink r:id="rId41" w:history="1">
        <w:r w:rsidR="00821D72" w:rsidRPr="00821D72">
          <w:rPr>
            <w:rStyle w:val="default"/>
            <w:rFonts w:cs="David"/>
            <w:b/>
            <w:bCs/>
            <w:color w:val="0000FF"/>
            <w:sz w:val="24"/>
            <w:szCs w:val="24"/>
            <w:u w:val="single"/>
            <w:rtl/>
          </w:rPr>
          <w:t>פקודת התעבורה</w:t>
        </w:r>
      </w:hyperlink>
      <w:r w:rsidRPr="003A5774">
        <w:rPr>
          <w:rStyle w:val="default"/>
          <w:rFonts w:cs="David" w:hint="cs"/>
          <w:b/>
          <w:bCs/>
          <w:sz w:val="24"/>
          <w:szCs w:val="24"/>
          <w:rtl/>
        </w:rPr>
        <w:t xml:space="preserve"> [נוסח חדש] ולסמכותו לפי סעיף 43 האמור כפי שהוחל בסעיף 46ג ל</w:t>
      </w:r>
      <w:hyperlink r:id="rId42" w:history="1">
        <w:r w:rsidR="00821D72" w:rsidRPr="00821D72">
          <w:rPr>
            <w:rStyle w:val="default"/>
            <w:rFonts w:cs="David"/>
            <w:b/>
            <w:bCs/>
            <w:color w:val="0000FF"/>
            <w:sz w:val="24"/>
            <w:szCs w:val="24"/>
            <w:u w:val="single"/>
            <w:rtl/>
          </w:rPr>
          <w:t>פקודת מסילות הברזל</w:t>
        </w:r>
      </w:hyperlink>
      <w:r w:rsidRPr="003A5774">
        <w:rPr>
          <w:rStyle w:val="default"/>
          <w:rFonts w:cs="David" w:hint="cs"/>
          <w:b/>
          <w:bCs/>
          <w:sz w:val="24"/>
          <w:szCs w:val="24"/>
          <w:rtl/>
        </w:rPr>
        <w:t xml:space="preserve"> [נוסח חדש], התשל"ב-1972 (בסעיף זה – פקודת מסילות הברזל), לפסול אותו מלקבל או מלהחזיק רשיון נהיגה או מלהחזיק רשיון רכב לתקופה שלא תעלה על חמש שנים, </w:t>
      </w:r>
      <w:r w:rsidRPr="003A5774">
        <w:rPr>
          <w:rStyle w:val="default"/>
          <w:rFonts w:cs="David" w:hint="cs"/>
          <w:b/>
          <w:bCs/>
          <w:sz w:val="24"/>
          <w:szCs w:val="24"/>
          <w:u w:val="single"/>
          <w:rtl/>
        </w:rPr>
        <w:t>ורשאי</w:t>
      </w:r>
      <w:r w:rsidRPr="003A5774">
        <w:rPr>
          <w:rStyle w:val="default"/>
          <w:rFonts w:cs="David" w:hint="cs"/>
          <w:b/>
          <w:bCs/>
          <w:sz w:val="24"/>
          <w:szCs w:val="24"/>
          <w:rtl/>
        </w:rPr>
        <w:t xml:space="preserve"> הוא, אם הוא סבור שהדבר דרוש כדי להגן על הציבור, לפסול אותו כאמור לתקופה ארוכה יותר; לעניין סעיף זה, "רישיון נהיגה" - לרבות רישיון לנהיגת רכבת מקומית שניתן לפי סימן ח' בפרק ד'1 לפקודת מסילות הברזל.</w:t>
      </w:r>
    </w:p>
    <w:p w14:paraId="0ABE7D4F" w14:textId="77777777" w:rsidR="00892BA4" w:rsidRPr="003A5774" w:rsidRDefault="00892BA4" w:rsidP="00892BA4">
      <w:pPr>
        <w:pStyle w:val="P000"/>
        <w:spacing w:before="72" w:line="360" w:lineRule="auto"/>
        <w:ind w:left="935"/>
        <w:rPr>
          <w:rStyle w:val="default"/>
          <w:rFonts w:cs="David"/>
          <w:b/>
          <w:bCs/>
          <w:sz w:val="24"/>
          <w:szCs w:val="24"/>
          <w:rtl/>
        </w:rPr>
      </w:pPr>
      <w:r w:rsidRPr="003A5774">
        <w:rPr>
          <w:rFonts w:cs="David" w:hint="cs"/>
          <w:b/>
          <w:bCs/>
          <w:sz w:val="24"/>
          <w:szCs w:val="24"/>
          <w:rtl/>
        </w:rPr>
        <w:tab/>
      </w:r>
      <w:r w:rsidRPr="003A5774">
        <w:rPr>
          <w:rStyle w:val="default"/>
          <w:rFonts w:cs="David" w:hint="cs"/>
          <w:b/>
          <w:bCs/>
          <w:sz w:val="24"/>
          <w:szCs w:val="24"/>
          <w:rtl/>
        </w:rPr>
        <w:t>(א1)</w:t>
      </w:r>
      <w:r w:rsidRPr="003A5774">
        <w:rPr>
          <w:rStyle w:val="default"/>
          <w:rFonts w:cs="David" w:hint="cs"/>
          <w:b/>
          <w:bCs/>
          <w:sz w:val="24"/>
          <w:szCs w:val="24"/>
          <w:rtl/>
        </w:rPr>
        <w:tab/>
        <w:t xml:space="preserve">הורשע אדם בעבירה לפי סעיף 7(ג) סיפה, או קבע בית המשפט כי האדם עבר עבירה כאמור ולא הרשיעו, ואותו אדם </w:t>
      </w:r>
      <w:r w:rsidRPr="003A5774">
        <w:rPr>
          <w:rStyle w:val="default"/>
          <w:rFonts w:cs="David" w:hint="cs"/>
          <w:b/>
          <w:bCs/>
          <w:sz w:val="24"/>
          <w:szCs w:val="24"/>
          <w:u w:val="single"/>
          <w:rtl/>
        </w:rPr>
        <w:t>הורשע לפני כן</w:t>
      </w:r>
      <w:r w:rsidRPr="003A5774">
        <w:rPr>
          <w:rStyle w:val="default"/>
          <w:rFonts w:cs="David" w:hint="cs"/>
          <w:b/>
          <w:bCs/>
          <w:sz w:val="24"/>
          <w:szCs w:val="24"/>
          <w:rtl/>
        </w:rPr>
        <w:t xml:space="preserve"> בעבירה כאמור או שנקבע לגביו לפני כן כי עבר עבירה כאמור, יפסול אותו בית המשפט מלקבל או מלהחזיק רשיון נהיגה לתקופה של שנתיים; אולם רשאי בית-המשפט, בנסיבות מיוחדות שיפרט בפסק הדין, שלא לפסול אותו כאמור או להורות על פסילה לתקופה קצרה יותר.</w:t>
      </w:r>
    </w:p>
    <w:p w14:paraId="48D9FA11" w14:textId="77777777" w:rsidR="00892BA4" w:rsidRPr="003A5774" w:rsidRDefault="00892BA4" w:rsidP="00892BA4">
      <w:pPr>
        <w:pStyle w:val="P000"/>
        <w:spacing w:before="72" w:line="360" w:lineRule="auto"/>
        <w:ind w:left="935"/>
        <w:rPr>
          <w:rStyle w:val="default"/>
          <w:rFonts w:cs="David"/>
          <w:b/>
          <w:bCs/>
          <w:sz w:val="24"/>
          <w:szCs w:val="24"/>
          <w:rtl/>
        </w:rPr>
      </w:pPr>
      <w:r w:rsidRPr="003A5774">
        <w:rPr>
          <w:rFonts w:cs="David" w:hint="cs"/>
          <w:b/>
          <w:bCs/>
          <w:sz w:val="24"/>
          <w:szCs w:val="24"/>
          <w:rtl/>
        </w:rPr>
        <w:tab/>
      </w:r>
      <w:r w:rsidRPr="003A5774">
        <w:rPr>
          <w:rStyle w:val="default"/>
          <w:rFonts w:cs="David" w:hint="cs"/>
          <w:b/>
          <w:bCs/>
          <w:sz w:val="24"/>
          <w:szCs w:val="24"/>
          <w:rtl/>
        </w:rPr>
        <w:t>(א2)</w:t>
      </w:r>
      <w:r w:rsidRPr="003A5774">
        <w:rPr>
          <w:rStyle w:val="default"/>
          <w:rFonts w:cs="David" w:hint="cs"/>
          <w:b/>
          <w:bCs/>
          <w:sz w:val="24"/>
          <w:szCs w:val="24"/>
          <w:rtl/>
        </w:rPr>
        <w:tab/>
        <w:t>פסל בית-המשפט אדם מלקבל או מלהחזיק רשיון נהיגה, ואותו אדם נדון גם לעונש מאסר, רשאי בית-המשפט לקבוע כי הפסילה תיכנס לתוקף ביום גמר ריצוי עונש המאסר.</w:t>
      </w:r>
    </w:p>
    <w:p w14:paraId="6D5B4B1E" w14:textId="77777777" w:rsidR="00892BA4" w:rsidRPr="003A5774" w:rsidRDefault="00892BA4" w:rsidP="00892BA4">
      <w:pPr>
        <w:pStyle w:val="P000"/>
        <w:spacing w:before="72" w:line="360" w:lineRule="auto"/>
        <w:ind w:left="935"/>
        <w:rPr>
          <w:rStyle w:val="default"/>
          <w:rFonts w:cs="David"/>
          <w:b/>
          <w:bCs/>
          <w:sz w:val="24"/>
          <w:szCs w:val="24"/>
          <w:rtl/>
        </w:rPr>
      </w:pPr>
      <w:r w:rsidRPr="003A5774">
        <w:rPr>
          <w:rFonts w:cs="David" w:hint="cs"/>
          <w:b/>
          <w:bCs/>
          <w:sz w:val="24"/>
          <w:szCs w:val="24"/>
          <w:rtl/>
        </w:rPr>
        <w:tab/>
      </w:r>
      <w:r w:rsidRPr="003A5774">
        <w:rPr>
          <w:rStyle w:val="default"/>
          <w:rFonts w:cs="David" w:hint="cs"/>
          <w:b/>
          <w:bCs/>
          <w:sz w:val="24"/>
          <w:szCs w:val="24"/>
          <w:rtl/>
        </w:rPr>
        <w:t>(ב)</w:t>
      </w:r>
      <w:r w:rsidRPr="003A5774">
        <w:rPr>
          <w:rStyle w:val="default"/>
          <w:rFonts w:cs="David" w:hint="cs"/>
          <w:b/>
          <w:bCs/>
          <w:sz w:val="24"/>
          <w:szCs w:val="24"/>
          <w:rtl/>
        </w:rPr>
        <w:tab/>
        <w:t>הורשע אדם בעבירה לפי פקודה זו או קבע בית משפט כי אדם עבר עבירה כאמור ולא הרשיעו, ואותו אדם הוא בעל רשיון מקצוע או עסק או רשיון אחר, ובית המשפט נוכח כי העבירה נעברה אגב עיסוק במקצוע או בעסק או שימוש ברשיון, או שביצועה נתאפשר או הוקל עקב הפעלת המקצוע או העסק או השימוש ברשיון, או שהעבירה נעברה במקום המקצוע או העסק - רשאי בית המשפט, בנוסף לכל עונש אחר, לצוות על שלילת הרשיון לתקופה שיקבע, אם הוא סבור שהדבר דרוש כדי להגן על הציבור".</w:t>
      </w:r>
    </w:p>
    <w:p w14:paraId="625DC225" w14:textId="77777777" w:rsidR="00892BA4" w:rsidRPr="003A5774" w:rsidRDefault="00892BA4" w:rsidP="00892BA4">
      <w:pPr>
        <w:pStyle w:val="P000"/>
        <w:spacing w:before="72" w:after="120" w:line="360" w:lineRule="auto"/>
        <w:ind w:left="936"/>
        <w:rPr>
          <w:rStyle w:val="default"/>
          <w:rFonts w:cs="David"/>
          <w:b/>
          <w:bCs/>
          <w:sz w:val="24"/>
          <w:szCs w:val="24"/>
          <w:rtl/>
        </w:rPr>
      </w:pPr>
      <w:r w:rsidRPr="003A5774">
        <w:rPr>
          <w:rStyle w:val="default"/>
          <w:rFonts w:cs="David" w:hint="cs"/>
          <w:b/>
          <w:bCs/>
          <w:sz w:val="24"/>
          <w:szCs w:val="24"/>
          <w:rtl/>
        </w:rPr>
        <w:t>(הדגשות אינן במקור - ע.ר)</w:t>
      </w:r>
    </w:p>
    <w:p w14:paraId="41EDF635" w14:textId="77777777" w:rsidR="00892BA4" w:rsidRPr="003A5774" w:rsidRDefault="00892BA4" w:rsidP="00892BA4">
      <w:pPr>
        <w:spacing w:after="120" w:line="360" w:lineRule="auto"/>
        <w:ind w:left="-58"/>
        <w:jc w:val="both"/>
        <w:rPr>
          <w:b/>
          <w:bCs/>
          <w:rtl/>
        </w:rPr>
      </w:pPr>
      <w:r w:rsidRPr="003A5774">
        <w:rPr>
          <w:rFonts w:hint="cs"/>
          <w:b/>
          <w:bCs/>
          <w:rtl/>
        </w:rPr>
        <w:t xml:space="preserve">תנאי מוקדם לתחולת </w:t>
      </w:r>
      <w:hyperlink r:id="rId43" w:history="1">
        <w:r w:rsidR="00A4490E" w:rsidRPr="00A4490E">
          <w:rPr>
            <w:b/>
            <w:bCs/>
            <w:color w:val="0000FF"/>
            <w:u w:val="single"/>
            <w:rtl/>
          </w:rPr>
          <w:t>סעיף 37א(א1)</w:t>
        </w:r>
      </w:hyperlink>
      <w:r w:rsidRPr="003A5774">
        <w:rPr>
          <w:rFonts w:hint="cs"/>
          <w:b/>
          <w:bCs/>
          <w:rtl/>
        </w:rPr>
        <w:t xml:space="preserve"> של </w:t>
      </w:r>
      <w:hyperlink r:id="rId44" w:history="1">
        <w:r w:rsidR="00821D72" w:rsidRPr="00821D72">
          <w:rPr>
            <w:b/>
            <w:bCs/>
            <w:color w:val="0000FF"/>
            <w:u w:val="single"/>
            <w:rtl/>
          </w:rPr>
          <w:t>פקודת הסמים המסוכנים</w:t>
        </w:r>
      </w:hyperlink>
      <w:r w:rsidRPr="003A5774">
        <w:rPr>
          <w:rFonts w:hint="cs"/>
          <w:b/>
          <w:bCs/>
          <w:rtl/>
        </w:rPr>
        <w:t xml:space="preserve"> הוא ש"אותו אדם הורשע לפני כן בעבירה כאמור או שנקבע לגביו לפני כן כי עבר עבירה כאמור". במקרה כזה קובע </w:t>
      </w:r>
      <w:hyperlink r:id="rId45" w:history="1">
        <w:r w:rsidR="00A4490E" w:rsidRPr="00A4490E">
          <w:rPr>
            <w:b/>
            <w:bCs/>
            <w:color w:val="0000FF"/>
            <w:u w:val="single"/>
            <w:rtl/>
          </w:rPr>
          <w:t>סעיף 37א(א1)</w:t>
        </w:r>
      </w:hyperlink>
      <w:r w:rsidRPr="003A5774">
        <w:rPr>
          <w:rFonts w:hint="cs"/>
          <w:b/>
          <w:bCs/>
          <w:rtl/>
        </w:rPr>
        <w:t xml:space="preserve"> של פקודת הסמים שעל בית המשפט לפסול את הנאשם מלקבל או מלהחזיק רישיון נהיגה לתקופה של שנתיים, אלא אם סבר בית המשפט, בנסיבות מיוחדות, אותן יש לנמק, כי אין לפסול או רישיון הנהיגה, או לחילופין להורות על תקופת פסילה קצרה יותר, מזו שקובע החוק. </w:t>
      </w:r>
    </w:p>
    <w:p w14:paraId="610B3741" w14:textId="77777777" w:rsidR="00892BA4" w:rsidRPr="003A5774" w:rsidRDefault="00892BA4" w:rsidP="00892BA4">
      <w:pPr>
        <w:spacing w:after="120" w:line="360" w:lineRule="auto"/>
        <w:ind w:left="-58"/>
        <w:jc w:val="both"/>
        <w:rPr>
          <w:b/>
          <w:bCs/>
          <w:rtl/>
        </w:rPr>
      </w:pPr>
      <w:r w:rsidRPr="003A5774">
        <w:rPr>
          <w:rFonts w:hint="cs"/>
          <w:b/>
          <w:bCs/>
          <w:rtl/>
        </w:rPr>
        <w:t xml:space="preserve">עיון ברישום הפלילי בעניינו של הנאשם, מלמד כי ביום 24.3.05, הורשע הנאשם במסגרת ת.פ. (בימ"ש נוער ראשל"צ) 670/04 בין היתר בגין עבירה על </w:t>
      </w:r>
      <w:hyperlink r:id="rId46" w:history="1">
        <w:r w:rsidR="00821D72" w:rsidRPr="00821D72">
          <w:rPr>
            <w:b/>
            <w:bCs/>
            <w:color w:val="0000FF"/>
            <w:u w:val="single"/>
            <w:rtl/>
          </w:rPr>
          <w:t>פקודת הסמים המסוכנים</w:t>
        </w:r>
      </w:hyperlink>
      <w:r w:rsidRPr="003A5774">
        <w:rPr>
          <w:rFonts w:hint="cs"/>
          <w:b/>
          <w:bCs/>
          <w:rtl/>
        </w:rPr>
        <w:t xml:space="preserve">. עבירה זו בוצעה לפני למעלה מ - 13 שנים, בהיות הנאשם בן 17 שנים. </w:t>
      </w:r>
    </w:p>
    <w:p w14:paraId="065396F4" w14:textId="77777777" w:rsidR="00892BA4" w:rsidRPr="003A5774" w:rsidRDefault="00892BA4" w:rsidP="00892BA4">
      <w:pPr>
        <w:spacing w:after="120" w:line="360" w:lineRule="auto"/>
        <w:ind w:left="-58"/>
        <w:jc w:val="both"/>
        <w:rPr>
          <w:b/>
          <w:bCs/>
          <w:rtl/>
        </w:rPr>
      </w:pPr>
      <w:r w:rsidRPr="003A5774">
        <w:rPr>
          <w:rFonts w:hint="cs"/>
          <w:b/>
          <w:bCs/>
          <w:rtl/>
        </w:rPr>
        <w:t xml:space="preserve">בענייננו, בשל חלוף הזמן ובהתחשב בעובדה כי עבירת הסמים הקודמת בוצעה בהיות הנאשם קטין, לא מצאתי לקבוע כי </w:t>
      </w:r>
      <w:hyperlink r:id="rId47" w:history="1">
        <w:r w:rsidR="00A4490E" w:rsidRPr="00A4490E">
          <w:rPr>
            <w:b/>
            <w:bCs/>
            <w:color w:val="0000FF"/>
            <w:u w:val="single"/>
            <w:rtl/>
          </w:rPr>
          <w:t>סעיף 37א(א1)</w:t>
        </w:r>
      </w:hyperlink>
      <w:r w:rsidRPr="003A5774">
        <w:rPr>
          <w:rFonts w:hint="cs"/>
          <w:b/>
          <w:bCs/>
          <w:rtl/>
        </w:rPr>
        <w:t xml:space="preserve"> ל</w:t>
      </w:r>
      <w:hyperlink r:id="rId48" w:history="1">
        <w:r w:rsidR="00821D72" w:rsidRPr="00821D72">
          <w:rPr>
            <w:b/>
            <w:bCs/>
            <w:color w:val="0000FF"/>
            <w:u w:val="single"/>
            <w:rtl/>
          </w:rPr>
          <w:t>פקודת הסמים המסוכנים</w:t>
        </w:r>
      </w:hyperlink>
      <w:r w:rsidRPr="003A5774">
        <w:rPr>
          <w:rFonts w:hint="cs"/>
          <w:b/>
          <w:bCs/>
          <w:rtl/>
        </w:rPr>
        <w:t xml:space="preserve"> חל בענייננו, במובן הזה כי אין כל חובה לפסול את רישיון הנהיגה, ואנו מצויים במסגרת הוראות </w:t>
      </w:r>
      <w:hyperlink r:id="rId49" w:history="1">
        <w:r w:rsidR="00A4490E" w:rsidRPr="00A4490E">
          <w:rPr>
            <w:b/>
            <w:bCs/>
            <w:color w:val="0000FF"/>
            <w:u w:val="single"/>
            <w:rtl/>
          </w:rPr>
          <w:t>סעיף 37א(א)</w:t>
        </w:r>
      </w:hyperlink>
      <w:r w:rsidRPr="003A5774">
        <w:rPr>
          <w:rFonts w:hint="cs"/>
          <w:b/>
          <w:bCs/>
          <w:rtl/>
        </w:rPr>
        <w:t xml:space="preserve"> לפקודת הסמים המסוכנים </w:t>
      </w:r>
      <w:r>
        <w:rPr>
          <w:rFonts w:hint="cs"/>
          <w:b/>
          <w:bCs/>
          <w:rtl/>
        </w:rPr>
        <w:t>-</w:t>
      </w:r>
      <w:r w:rsidRPr="003A5774">
        <w:rPr>
          <w:rFonts w:hint="cs"/>
          <w:b/>
          <w:bCs/>
          <w:rtl/>
        </w:rPr>
        <w:t xml:space="preserve"> דהיינו בית המשפט רשאי, בנוסף לכל עונש אחר, לפסול את רישיון הנהיגה של הנאשם והוא רשאי להימנע מפסילת רישיונו של הנאשם.</w:t>
      </w:r>
    </w:p>
    <w:p w14:paraId="4FD2B60D" w14:textId="77777777" w:rsidR="00892BA4" w:rsidRPr="003A5774" w:rsidRDefault="00892BA4" w:rsidP="00892BA4">
      <w:pPr>
        <w:spacing w:after="120" w:line="360" w:lineRule="auto"/>
        <w:ind w:left="-58"/>
        <w:jc w:val="both"/>
        <w:rPr>
          <w:b/>
          <w:bCs/>
          <w:rtl/>
        </w:rPr>
      </w:pPr>
      <w:r w:rsidRPr="003A5774">
        <w:rPr>
          <w:rFonts w:hint="cs"/>
          <w:b/>
          <w:bCs/>
          <w:rtl/>
        </w:rPr>
        <w:t xml:space="preserve">אין כל מחלוקת בענייננו, כי עבירות הסמים המיוחסות לנאשם, אינן קשורות לעבירות באמצעות הרכב, הסמים נתפסו במחסן ביתו של הנאשם וחלק מהעבירות בוצעו בבית. עוד לא מצאתי כי קיימת אינדיקציה כי הנאשם מכור </w:t>
      </w:r>
      <w:r>
        <w:rPr>
          <w:rFonts w:hint="cs"/>
          <w:b/>
          <w:bCs/>
          <w:rtl/>
        </w:rPr>
        <w:t>ל</w:t>
      </w:r>
      <w:r w:rsidRPr="003A5774">
        <w:rPr>
          <w:rFonts w:hint="cs"/>
          <w:b/>
          <w:bCs/>
          <w:rtl/>
        </w:rPr>
        <w:t xml:space="preserve">סמים או כי במהלך נהיגה השתמש בסמים. יחד עם זאת, יש לקחת בחשבון את העובדה כי הנאשם הודה </w:t>
      </w:r>
      <w:r>
        <w:rPr>
          <w:rFonts w:hint="cs"/>
          <w:b/>
          <w:bCs/>
          <w:rtl/>
        </w:rPr>
        <w:t>ב</w:t>
      </w:r>
      <w:r w:rsidRPr="003A5774">
        <w:rPr>
          <w:rFonts w:hint="cs"/>
          <w:b/>
          <w:bCs/>
          <w:rtl/>
        </w:rPr>
        <w:t xml:space="preserve">החזקת סם לצריכת עצמית כאשר העבירות נשוא כתב האישום הינן מהחודשים האחרונים. </w:t>
      </w:r>
    </w:p>
    <w:p w14:paraId="619EFF64" w14:textId="77777777" w:rsidR="00892BA4" w:rsidRPr="003A5774" w:rsidRDefault="00892BA4" w:rsidP="00892BA4">
      <w:pPr>
        <w:spacing w:after="120" w:line="360" w:lineRule="auto"/>
        <w:ind w:left="-58"/>
        <w:jc w:val="both"/>
        <w:rPr>
          <w:b/>
          <w:bCs/>
          <w:rtl/>
        </w:rPr>
      </w:pPr>
      <w:r w:rsidRPr="003A5774">
        <w:rPr>
          <w:rFonts w:hint="cs"/>
          <w:b/>
          <w:bCs/>
          <w:rtl/>
        </w:rPr>
        <w:t xml:space="preserve">אין ספק כי תכלית סעיף זה הינו הגנה על הציבור בדרכים.   </w:t>
      </w:r>
    </w:p>
    <w:p w14:paraId="2BB88409" w14:textId="77777777" w:rsidR="00892BA4" w:rsidRPr="003A5774" w:rsidRDefault="00892BA4" w:rsidP="00892BA4">
      <w:pPr>
        <w:spacing w:after="120" w:line="360" w:lineRule="auto"/>
        <w:ind w:left="-58"/>
        <w:jc w:val="both"/>
        <w:rPr>
          <w:b/>
          <w:bCs/>
          <w:rtl/>
        </w:rPr>
      </w:pPr>
      <w:r w:rsidRPr="003A5774">
        <w:rPr>
          <w:rFonts w:hint="cs"/>
          <w:b/>
          <w:bCs/>
          <w:rtl/>
        </w:rPr>
        <w:t xml:space="preserve">יחד עם זאת, ובמכלול הנסיבות לעיל, מצאתי להימנע מפסילת רישיון הנהיגה של הנאשם בפועל.   </w:t>
      </w:r>
    </w:p>
    <w:p w14:paraId="60AE058A" w14:textId="77777777" w:rsidR="00892BA4" w:rsidRDefault="00892BA4" w:rsidP="00892BA4">
      <w:pPr>
        <w:ind w:left="-58"/>
        <w:jc w:val="both"/>
        <w:rPr>
          <w:b/>
          <w:bCs/>
          <w:u w:val="single"/>
          <w:rtl/>
        </w:rPr>
      </w:pPr>
    </w:p>
    <w:p w14:paraId="0F1768C9" w14:textId="77777777" w:rsidR="00892BA4" w:rsidRPr="003A5774" w:rsidRDefault="00892BA4" w:rsidP="00892BA4">
      <w:pPr>
        <w:spacing w:after="120" w:line="360" w:lineRule="auto"/>
        <w:ind w:left="-58"/>
        <w:jc w:val="both"/>
        <w:rPr>
          <w:b/>
          <w:bCs/>
          <w:rtl/>
        </w:rPr>
      </w:pPr>
      <w:r w:rsidRPr="003A5774">
        <w:rPr>
          <w:rFonts w:hint="cs"/>
          <w:b/>
          <w:bCs/>
          <w:u w:val="single"/>
          <w:rtl/>
        </w:rPr>
        <w:t>הערה לפני סיום</w:t>
      </w:r>
      <w:r w:rsidRPr="003A5774">
        <w:rPr>
          <w:rFonts w:hint="cs"/>
          <w:b/>
          <w:bCs/>
          <w:rtl/>
        </w:rPr>
        <w:t>:</w:t>
      </w:r>
    </w:p>
    <w:p w14:paraId="101B9ED8" w14:textId="77777777" w:rsidR="00892BA4" w:rsidRPr="003A5774" w:rsidRDefault="00892BA4" w:rsidP="00892BA4">
      <w:pPr>
        <w:spacing w:line="360" w:lineRule="auto"/>
        <w:jc w:val="both"/>
        <w:rPr>
          <w:b/>
          <w:bCs/>
          <w:rtl/>
        </w:rPr>
      </w:pPr>
      <w:r w:rsidRPr="003A5774">
        <w:rPr>
          <w:rFonts w:hint="cs"/>
          <w:b/>
          <w:bCs/>
          <w:rtl/>
        </w:rPr>
        <w:t>בשולי הדברים אם כי לא</w:t>
      </w:r>
      <w:r>
        <w:rPr>
          <w:rFonts w:hint="cs"/>
          <w:b/>
          <w:bCs/>
          <w:rtl/>
        </w:rPr>
        <w:t xml:space="preserve"> בשולי</w:t>
      </w:r>
      <w:r w:rsidRPr="003A5774">
        <w:rPr>
          <w:rFonts w:hint="cs"/>
          <w:b/>
          <w:bCs/>
          <w:rtl/>
        </w:rPr>
        <w:t xml:space="preserve"> בחשיבותם, מצאתי להתייחס לדברים הבאים: חלק מההסכמה הדיונית של הצדדים, הי</w:t>
      </w:r>
      <w:r>
        <w:rPr>
          <w:rFonts w:hint="cs"/>
          <w:b/>
          <w:bCs/>
          <w:rtl/>
        </w:rPr>
        <w:t>ת</w:t>
      </w:r>
      <w:r w:rsidRPr="003A5774">
        <w:rPr>
          <w:rFonts w:hint="cs"/>
          <w:b/>
          <w:bCs/>
          <w:rtl/>
        </w:rPr>
        <w:t xml:space="preserve">ה כי יוטל על הנאשם עונש מאסר על תנאי בגין ביצוע עבירת איומים, אני שבה ומבהירה, כפי שהודעתי לצדדים עוד במהלך הדיון, כי לא ניתן לעשות כן ולא ייעשה כן. </w:t>
      </w:r>
    </w:p>
    <w:p w14:paraId="0EA98450" w14:textId="77777777" w:rsidR="00892BA4" w:rsidRPr="003A5774" w:rsidRDefault="00892BA4" w:rsidP="00892BA4">
      <w:pPr>
        <w:spacing w:line="360" w:lineRule="auto"/>
        <w:jc w:val="both"/>
        <w:rPr>
          <w:b/>
          <w:bCs/>
          <w:rtl/>
        </w:rPr>
      </w:pPr>
      <w:r w:rsidRPr="003A5774">
        <w:rPr>
          <w:rFonts w:hint="cs"/>
          <w:b/>
          <w:bCs/>
          <w:rtl/>
        </w:rPr>
        <w:t>כלל יסוד במשפט הפלילי הוא כי אין עבירה ואין עונש אלא בחוק או מכח חוק, דהיינו, על מנת להטיל אחריות בפלילים, יש צורך בהתנהגות שיש בה "אשמה פלילית". בעניינ</w:t>
      </w:r>
      <w:r>
        <w:rPr>
          <w:rFonts w:hint="cs"/>
          <w:b/>
          <w:bCs/>
          <w:rtl/>
        </w:rPr>
        <w:t>נ</w:t>
      </w:r>
      <w:r w:rsidRPr="003A5774">
        <w:rPr>
          <w:rFonts w:hint="cs"/>
          <w:b/>
          <w:bCs/>
          <w:rtl/>
        </w:rPr>
        <w:t xml:space="preserve">ו, לא עובדות כתב האישום וגם לא העבירות בגינן הורשע הנאשם יש בהן כדי ללמד כי ביצע עבירת איומים, ולו לכאורה - שהרי פרט אישום זה נמחק והנאשם הודה בכתב אישום מתוקן, שאינו כולל עבירת איומים. </w:t>
      </w:r>
    </w:p>
    <w:p w14:paraId="18459B40" w14:textId="77777777" w:rsidR="00892BA4" w:rsidRPr="003A5774" w:rsidRDefault="00892BA4" w:rsidP="00892BA4">
      <w:pPr>
        <w:spacing w:line="360" w:lineRule="auto"/>
        <w:jc w:val="both"/>
        <w:rPr>
          <w:b/>
          <w:bCs/>
          <w:rtl/>
        </w:rPr>
      </w:pPr>
      <w:r w:rsidRPr="003A5774">
        <w:rPr>
          <w:rFonts w:hint="cs"/>
          <w:b/>
          <w:bCs/>
          <w:rtl/>
        </w:rPr>
        <w:t xml:space="preserve">בנסיבות האמורות, לא מצאתי לאמץ את ההסדר הדיוני של הצדדים בעניין זה. </w:t>
      </w:r>
    </w:p>
    <w:p w14:paraId="4161A3D7" w14:textId="77777777" w:rsidR="00892BA4" w:rsidRPr="003A5774" w:rsidRDefault="00892BA4" w:rsidP="00892BA4">
      <w:pPr>
        <w:ind w:left="-58"/>
        <w:jc w:val="both"/>
        <w:rPr>
          <w:b/>
          <w:bCs/>
          <w:rtl/>
        </w:rPr>
      </w:pPr>
    </w:p>
    <w:p w14:paraId="59D754C8" w14:textId="77777777" w:rsidR="00892BA4" w:rsidRPr="00892BA4" w:rsidRDefault="00892BA4" w:rsidP="00892BA4">
      <w:pPr>
        <w:spacing w:line="360" w:lineRule="auto"/>
        <w:ind w:left="-58"/>
        <w:jc w:val="both"/>
        <w:rPr>
          <w:rFonts w:ascii="David" w:eastAsia="Calibri" w:hAnsi="David"/>
          <w:b/>
          <w:bCs/>
          <w:rtl/>
        </w:rPr>
      </w:pPr>
      <w:r w:rsidRPr="003A5774">
        <w:rPr>
          <w:rFonts w:ascii="David" w:hAnsi="David" w:hint="cs"/>
          <w:b/>
          <w:bCs/>
          <w:u w:val="single"/>
          <w:rtl/>
        </w:rPr>
        <w:t>סוף דבר</w:t>
      </w:r>
      <w:r w:rsidRPr="003A5774">
        <w:rPr>
          <w:rFonts w:ascii="David" w:hAnsi="David" w:hint="cs"/>
          <w:b/>
          <w:bCs/>
          <w:rtl/>
        </w:rPr>
        <w:t>:</w:t>
      </w:r>
    </w:p>
    <w:p w14:paraId="34DC6927" w14:textId="77777777" w:rsidR="00892BA4" w:rsidRPr="003A5774" w:rsidRDefault="00892BA4" w:rsidP="00892BA4">
      <w:pPr>
        <w:spacing w:line="360" w:lineRule="auto"/>
        <w:ind w:left="-58"/>
        <w:jc w:val="both"/>
        <w:rPr>
          <w:rFonts w:ascii="David" w:hAnsi="David"/>
          <w:b/>
          <w:bCs/>
          <w:rtl/>
        </w:rPr>
      </w:pPr>
      <w:r w:rsidRPr="003A5774">
        <w:rPr>
          <w:rFonts w:ascii="David" w:hAnsi="David" w:hint="cs"/>
          <w:b/>
          <w:bCs/>
          <w:u w:val="single"/>
          <w:rtl/>
        </w:rPr>
        <w:t xml:space="preserve">לאור כל האמור לעיל, הנני </w:t>
      </w:r>
      <w:r>
        <w:rPr>
          <w:rFonts w:ascii="David" w:hAnsi="David" w:hint="cs"/>
          <w:b/>
          <w:bCs/>
          <w:u w:val="single"/>
          <w:rtl/>
        </w:rPr>
        <w:t>גוזרת על הנאשם את העונשים הבאים וכדלקמן</w:t>
      </w:r>
      <w:r w:rsidRPr="003A5774">
        <w:rPr>
          <w:rFonts w:ascii="David" w:hAnsi="David" w:hint="cs"/>
          <w:b/>
          <w:bCs/>
          <w:rtl/>
        </w:rPr>
        <w:t>:</w:t>
      </w:r>
    </w:p>
    <w:p w14:paraId="06BAD79C" w14:textId="77777777" w:rsidR="00892BA4" w:rsidRPr="003A5774" w:rsidRDefault="00892BA4" w:rsidP="00892BA4">
      <w:pPr>
        <w:pStyle w:val="ListParagraph"/>
        <w:ind w:left="-58"/>
        <w:rPr>
          <w:rFonts w:cs="David"/>
          <w:b/>
          <w:bCs/>
          <w:sz w:val="24"/>
          <w:szCs w:val="24"/>
          <w:rtl/>
        </w:rPr>
      </w:pPr>
    </w:p>
    <w:p w14:paraId="48EE385D" w14:textId="77777777" w:rsidR="00892BA4" w:rsidRPr="003A5774" w:rsidRDefault="00892BA4" w:rsidP="00892BA4">
      <w:pPr>
        <w:pStyle w:val="ListParagraph"/>
        <w:numPr>
          <w:ilvl w:val="0"/>
          <w:numId w:val="2"/>
        </w:numPr>
        <w:spacing w:after="0" w:line="360" w:lineRule="auto"/>
        <w:ind w:left="368"/>
        <w:jc w:val="both"/>
        <w:rPr>
          <w:rFonts w:ascii="David" w:hAnsi="David" w:cs="David"/>
          <w:b/>
          <w:bCs/>
          <w:sz w:val="24"/>
          <w:szCs w:val="24"/>
          <w:rtl/>
        </w:rPr>
      </w:pPr>
      <w:r w:rsidRPr="003A5774">
        <w:rPr>
          <w:rFonts w:ascii="David" w:hAnsi="David" w:cs="David" w:hint="cs"/>
          <w:b/>
          <w:bCs/>
          <w:sz w:val="24"/>
          <w:szCs w:val="24"/>
          <w:rtl/>
        </w:rPr>
        <w:t>9 חודשי מאסר לריצוי בפועל, מתוכם ינוכו ימי המעצר בין הימים 29.12.17-</w:t>
      </w:r>
      <w:r>
        <w:rPr>
          <w:rFonts w:ascii="David" w:hAnsi="David" w:cs="David" w:hint="cs"/>
          <w:b/>
          <w:bCs/>
          <w:sz w:val="24"/>
          <w:szCs w:val="24"/>
          <w:rtl/>
        </w:rPr>
        <w:t>27</w:t>
      </w:r>
      <w:r w:rsidRPr="003A5774">
        <w:rPr>
          <w:rFonts w:ascii="David" w:hAnsi="David" w:cs="David" w:hint="cs"/>
          <w:b/>
          <w:bCs/>
          <w:sz w:val="24"/>
          <w:szCs w:val="24"/>
          <w:rtl/>
        </w:rPr>
        <w:t>.3.18</w:t>
      </w:r>
      <w:r>
        <w:rPr>
          <w:rFonts w:ascii="David" w:hAnsi="David" w:cs="David" w:hint="cs"/>
          <w:b/>
          <w:bCs/>
          <w:sz w:val="24"/>
          <w:szCs w:val="24"/>
          <w:rtl/>
        </w:rPr>
        <w:t xml:space="preserve"> ומיום 29.8.18 ועד היום</w:t>
      </w:r>
      <w:r w:rsidRPr="003A5774">
        <w:rPr>
          <w:rFonts w:ascii="David" w:hAnsi="David" w:cs="David" w:hint="cs"/>
          <w:b/>
          <w:bCs/>
          <w:sz w:val="24"/>
          <w:szCs w:val="24"/>
          <w:rtl/>
        </w:rPr>
        <w:t>.</w:t>
      </w:r>
    </w:p>
    <w:p w14:paraId="75F52691" w14:textId="77777777" w:rsidR="00892BA4" w:rsidRPr="003A5774" w:rsidRDefault="00892BA4" w:rsidP="00892BA4">
      <w:pPr>
        <w:pStyle w:val="ListParagraph"/>
        <w:numPr>
          <w:ilvl w:val="0"/>
          <w:numId w:val="2"/>
        </w:numPr>
        <w:spacing w:after="0" w:line="360" w:lineRule="auto"/>
        <w:ind w:left="368"/>
        <w:jc w:val="both"/>
        <w:rPr>
          <w:rFonts w:ascii="David" w:hAnsi="David" w:cs="David"/>
          <w:b/>
          <w:bCs/>
          <w:sz w:val="24"/>
          <w:szCs w:val="24"/>
          <w:rtl/>
        </w:rPr>
      </w:pPr>
      <w:r w:rsidRPr="003A5774">
        <w:rPr>
          <w:rFonts w:ascii="David" w:hAnsi="David" w:cs="David" w:hint="cs"/>
          <w:b/>
          <w:bCs/>
          <w:sz w:val="24"/>
          <w:szCs w:val="24"/>
          <w:rtl/>
        </w:rPr>
        <w:t>עשרה חודשי מאסר על תנאי, לבל יעבור הנאשם במשך שלוש שנים מיום</w:t>
      </w:r>
      <w:r>
        <w:rPr>
          <w:rFonts w:ascii="David" w:hAnsi="David" w:cs="David" w:hint="cs"/>
          <w:b/>
          <w:bCs/>
          <w:sz w:val="24"/>
          <w:szCs w:val="24"/>
          <w:rtl/>
        </w:rPr>
        <w:t xml:space="preserve"> שחרורו של הנאשם ממאסר</w:t>
      </w:r>
      <w:r w:rsidRPr="003A5774">
        <w:rPr>
          <w:rFonts w:ascii="David" w:hAnsi="David" w:cs="David" w:hint="cs"/>
          <w:b/>
          <w:bCs/>
          <w:sz w:val="24"/>
          <w:szCs w:val="24"/>
          <w:rtl/>
        </w:rPr>
        <w:t xml:space="preserve"> עבירה מסוג פשע לפי פקודת הסמים. </w:t>
      </w:r>
    </w:p>
    <w:p w14:paraId="58D58043" w14:textId="77777777" w:rsidR="00892BA4" w:rsidRPr="003A5774" w:rsidRDefault="00892BA4" w:rsidP="00892BA4">
      <w:pPr>
        <w:pStyle w:val="ListParagraph"/>
        <w:numPr>
          <w:ilvl w:val="0"/>
          <w:numId w:val="2"/>
        </w:numPr>
        <w:spacing w:after="0" w:line="360" w:lineRule="auto"/>
        <w:ind w:left="368"/>
        <w:jc w:val="both"/>
        <w:rPr>
          <w:rFonts w:ascii="David" w:hAnsi="David" w:cs="David"/>
          <w:b/>
          <w:bCs/>
          <w:sz w:val="24"/>
          <w:szCs w:val="24"/>
          <w:rtl/>
        </w:rPr>
      </w:pPr>
      <w:r w:rsidRPr="003A5774">
        <w:rPr>
          <w:rFonts w:ascii="David" w:hAnsi="David" w:cs="David" w:hint="cs"/>
          <w:b/>
          <w:bCs/>
          <w:sz w:val="24"/>
          <w:szCs w:val="24"/>
          <w:rtl/>
        </w:rPr>
        <w:t>שישה חודשי מאסר על תנאי, לבל יעבור הנאשם במשך שנה מ</w:t>
      </w:r>
      <w:r>
        <w:rPr>
          <w:rFonts w:ascii="David" w:hAnsi="David" w:cs="David" w:hint="cs"/>
          <w:b/>
          <w:bCs/>
          <w:sz w:val="24"/>
          <w:szCs w:val="24"/>
          <w:rtl/>
        </w:rPr>
        <w:t>יום שחרורו של הנאשם ממאסר</w:t>
      </w:r>
      <w:r w:rsidRPr="003A5774">
        <w:rPr>
          <w:rFonts w:ascii="David" w:hAnsi="David" w:cs="David" w:hint="cs"/>
          <w:b/>
          <w:bCs/>
          <w:sz w:val="24"/>
          <w:szCs w:val="24"/>
          <w:rtl/>
        </w:rPr>
        <w:t xml:space="preserve"> עבירה מסוג עוון לפי פקודת הסמים. </w:t>
      </w:r>
    </w:p>
    <w:p w14:paraId="11A66049" w14:textId="77777777" w:rsidR="00892BA4" w:rsidRPr="003A5774" w:rsidRDefault="00892BA4" w:rsidP="00892BA4">
      <w:pPr>
        <w:pStyle w:val="ListParagraph"/>
        <w:numPr>
          <w:ilvl w:val="0"/>
          <w:numId w:val="2"/>
        </w:numPr>
        <w:spacing w:after="0" w:line="360" w:lineRule="auto"/>
        <w:ind w:left="368"/>
        <w:jc w:val="both"/>
        <w:rPr>
          <w:rFonts w:ascii="David" w:hAnsi="David" w:cs="David"/>
          <w:b/>
          <w:bCs/>
          <w:sz w:val="24"/>
          <w:szCs w:val="24"/>
          <w:rtl/>
        </w:rPr>
      </w:pPr>
      <w:r w:rsidRPr="003A5774">
        <w:rPr>
          <w:rFonts w:ascii="David" w:hAnsi="David" w:cs="David" w:hint="cs"/>
          <w:b/>
          <w:bCs/>
          <w:sz w:val="24"/>
          <w:szCs w:val="24"/>
          <w:rtl/>
        </w:rPr>
        <w:t xml:space="preserve">קנס בסך של 50,000 ₪ או </w:t>
      </w:r>
      <w:r>
        <w:rPr>
          <w:rFonts w:ascii="David" w:hAnsi="David" w:cs="David" w:hint="cs"/>
          <w:b/>
          <w:bCs/>
          <w:sz w:val="24"/>
          <w:szCs w:val="24"/>
          <w:rtl/>
        </w:rPr>
        <w:t>90</w:t>
      </w:r>
      <w:r w:rsidRPr="003A5774">
        <w:rPr>
          <w:rFonts w:ascii="David" w:hAnsi="David" w:cs="David" w:hint="cs"/>
          <w:b/>
          <w:bCs/>
          <w:sz w:val="24"/>
          <w:szCs w:val="24"/>
          <w:rtl/>
        </w:rPr>
        <w:t xml:space="preserve"> ימי מאסר תמורתם. </w:t>
      </w:r>
    </w:p>
    <w:p w14:paraId="36C8911C" w14:textId="77777777" w:rsidR="00892BA4" w:rsidRPr="00B53FFE" w:rsidRDefault="00892BA4" w:rsidP="00892BA4">
      <w:pPr>
        <w:spacing w:line="360" w:lineRule="auto"/>
        <w:ind w:left="368"/>
        <w:jc w:val="both"/>
        <w:rPr>
          <w:rFonts w:ascii="David" w:hAnsi="David"/>
          <w:b/>
          <w:bCs/>
        </w:rPr>
      </w:pPr>
      <w:r w:rsidRPr="00B53FFE">
        <w:rPr>
          <w:rFonts w:ascii="David" w:hAnsi="David" w:hint="cs"/>
          <w:b/>
          <w:bCs/>
          <w:rtl/>
        </w:rPr>
        <w:t xml:space="preserve">הקנס ישולם  בפריסה ל - </w:t>
      </w:r>
      <w:r>
        <w:rPr>
          <w:rFonts w:ascii="David" w:hAnsi="David" w:hint="cs"/>
          <w:b/>
          <w:bCs/>
          <w:rtl/>
        </w:rPr>
        <w:t>20</w:t>
      </w:r>
      <w:r w:rsidRPr="00B53FFE">
        <w:rPr>
          <w:rFonts w:ascii="David" w:hAnsi="David" w:hint="cs"/>
          <w:b/>
          <w:bCs/>
          <w:rtl/>
        </w:rPr>
        <w:t xml:space="preserve"> תשלומים חודשיים שווים ורצופים, כאשר הראשון בהם ליום 3.12.18, יתרת התשלומים תשולם ב- 3 לכל חודש הבא אחריו, לא ישולם תשלום אחד במועד, יעמוד מלוא סכום הקנס לפירעון מיידי. </w:t>
      </w:r>
    </w:p>
    <w:p w14:paraId="4773A8AD" w14:textId="77777777" w:rsidR="00892BA4" w:rsidRPr="003A5774" w:rsidRDefault="00892BA4" w:rsidP="00892BA4">
      <w:pPr>
        <w:pStyle w:val="ListParagraph"/>
        <w:numPr>
          <w:ilvl w:val="0"/>
          <w:numId w:val="2"/>
        </w:numPr>
        <w:spacing w:after="0" w:line="360" w:lineRule="auto"/>
        <w:ind w:left="368"/>
        <w:jc w:val="both"/>
        <w:rPr>
          <w:rFonts w:ascii="David" w:hAnsi="David" w:cs="David"/>
          <w:b/>
          <w:bCs/>
          <w:sz w:val="24"/>
          <w:szCs w:val="24"/>
          <w:rtl/>
        </w:rPr>
      </w:pPr>
      <w:r w:rsidRPr="003A5774">
        <w:rPr>
          <w:rFonts w:ascii="David" w:hAnsi="David" w:cs="David" w:hint="cs"/>
          <w:b/>
          <w:bCs/>
          <w:sz w:val="24"/>
          <w:szCs w:val="24"/>
          <w:rtl/>
        </w:rPr>
        <w:t>אני פוסלת את הנאשם מלהחזיק</w:t>
      </w:r>
      <w:r>
        <w:rPr>
          <w:rFonts w:ascii="David" w:hAnsi="David" w:cs="David" w:hint="cs"/>
          <w:b/>
          <w:bCs/>
          <w:sz w:val="24"/>
          <w:szCs w:val="24"/>
          <w:rtl/>
        </w:rPr>
        <w:t xml:space="preserve"> ומלקבל</w:t>
      </w:r>
      <w:r w:rsidRPr="003A5774">
        <w:rPr>
          <w:rFonts w:ascii="David" w:hAnsi="David" w:cs="David" w:hint="cs"/>
          <w:b/>
          <w:bCs/>
          <w:sz w:val="24"/>
          <w:szCs w:val="24"/>
          <w:rtl/>
        </w:rPr>
        <w:t xml:space="preserve"> רישיון נהיגה לתקופה בת 6 חודשים ואלה יהיו על תנאי למשך שלוש שנים, שתחילתן מיום שחרורו ממאסר לבל יעבור עבירה כלשהי על </w:t>
      </w:r>
      <w:hyperlink r:id="rId50" w:history="1">
        <w:r w:rsidR="00821D72" w:rsidRPr="00821D72">
          <w:rPr>
            <w:rFonts w:ascii="David" w:hAnsi="David" w:cs="David"/>
            <w:b/>
            <w:bCs/>
            <w:color w:val="0000FF"/>
            <w:sz w:val="24"/>
            <w:szCs w:val="24"/>
            <w:u w:val="single"/>
            <w:rtl/>
          </w:rPr>
          <w:t>פקודת הסמים המסוכנים</w:t>
        </w:r>
      </w:hyperlink>
      <w:r w:rsidRPr="003A5774">
        <w:rPr>
          <w:rFonts w:ascii="David" w:hAnsi="David" w:cs="David" w:hint="cs"/>
          <w:b/>
          <w:bCs/>
          <w:sz w:val="24"/>
          <w:szCs w:val="24"/>
          <w:rtl/>
        </w:rPr>
        <w:t xml:space="preserve">.  </w:t>
      </w:r>
    </w:p>
    <w:p w14:paraId="3B1AD5F5" w14:textId="77777777" w:rsidR="00892BA4" w:rsidRPr="003A5774" w:rsidRDefault="00892BA4" w:rsidP="00892BA4">
      <w:pPr>
        <w:pStyle w:val="ListParagraph"/>
        <w:spacing w:after="0" w:line="240" w:lineRule="auto"/>
        <w:ind w:left="-58"/>
        <w:jc w:val="both"/>
        <w:rPr>
          <w:rFonts w:ascii="David" w:hAnsi="David" w:cs="David"/>
          <w:b/>
          <w:bCs/>
          <w:sz w:val="24"/>
          <w:szCs w:val="24"/>
          <w:rtl/>
        </w:rPr>
      </w:pPr>
    </w:p>
    <w:p w14:paraId="0F8EDB11" w14:textId="77777777" w:rsidR="00892BA4" w:rsidRPr="003A5774" w:rsidRDefault="00892BA4" w:rsidP="00892BA4">
      <w:pPr>
        <w:pStyle w:val="ListParagraph"/>
        <w:spacing w:line="360" w:lineRule="auto"/>
        <w:ind w:left="-58"/>
        <w:jc w:val="both"/>
        <w:rPr>
          <w:rFonts w:ascii="David" w:hAnsi="David" w:cs="David"/>
          <w:b/>
          <w:bCs/>
          <w:sz w:val="24"/>
          <w:szCs w:val="24"/>
        </w:rPr>
      </w:pPr>
      <w:r w:rsidRPr="003A5774">
        <w:rPr>
          <w:rFonts w:ascii="David" w:hAnsi="David" w:cs="David" w:hint="cs"/>
          <w:b/>
          <w:bCs/>
          <w:sz w:val="24"/>
          <w:szCs w:val="24"/>
          <w:rtl/>
        </w:rPr>
        <w:t xml:space="preserve">ניתן בזאת צו כללי למוצגים; חילוט, השמדה, השבה לבעלים וזאת על פי החלטת קצין חקירות ממונה. </w:t>
      </w:r>
    </w:p>
    <w:p w14:paraId="7676E474" w14:textId="77777777" w:rsidR="00892BA4" w:rsidRPr="003A5774" w:rsidRDefault="00892BA4" w:rsidP="00892BA4">
      <w:pPr>
        <w:pStyle w:val="ListParagraph"/>
        <w:rPr>
          <w:rFonts w:ascii="David" w:hAnsi="David" w:cs="David"/>
          <w:b/>
          <w:bCs/>
          <w:sz w:val="24"/>
          <w:szCs w:val="24"/>
        </w:rPr>
      </w:pPr>
    </w:p>
    <w:p w14:paraId="4A2728B5" w14:textId="77777777" w:rsidR="00892BA4" w:rsidRPr="003A5774" w:rsidRDefault="00892BA4" w:rsidP="00892BA4">
      <w:pPr>
        <w:pStyle w:val="ListParagraph"/>
        <w:spacing w:line="360" w:lineRule="auto"/>
        <w:ind w:left="-58"/>
        <w:jc w:val="both"/>
        <w:rPr>
          <w:rFonts w:ascii="David" w:hAnsi="David" w:cs="David"/>
          <w:b/>
          <w:bCs/>
          <w:sz w:val="24"/>
          <w:szCs w:val="24"/>
        </w:rPr>
      </w:pPr>
      <w:r w:rsidRPr="003A5774">
        <w:rPr>
          <w:rFonts w:ascii="David" w:hAnsi="David" w:cs="David" w:hint="cs"/>
          <w:b/>
          <w:bCs/>
          <w:sz w:val="24"/>
          <w:szCs w:val="24"/>
          <w:u w:val="single"/>
          <w:rtl/>
        </w:rPr>
        <w:t xml:space="preserve">זכות ערעור לבית המשפט המחוזי כחוק. </w:t>
      </w:r>
      <w:r w:rsidRPr="003A5774">
        <w:rPr>
          <w:rFonts w:ascii="David" w:hAnsi="David" w:cs="David" w:hint="cs"/>
          <w:b/>
          <w:bCs/>
          <w:sz w:val="24"/>
          <w:szCs w:val="24"/>
          <w:rtl/>
        </w:rPr>
        <w:t xml:space="preserve">   </w:t>
      </w:r>
    </w:p>
    <w:p w14:paraId="5B517740" w14:textId="77777777" w:rsidR="00892BA4" w:rsidRPr="00821D72" w:rsidRDefault="00821D72" w:rsidP="00892BA4">
      <w:pPr>
        <w:pStyle w:val="ListParagraph"/>
        <w:spacing w:after="0" w:line="240" w:lineRule="auto"/>
        <w:ind w:left="-58"/>
        <w:jc w:val="both"/>
        <w:rPr>
          <w:rFonts w:ascii="David" w:hAnsi="David" w:cs="David"/>
          <w:b/>
          <w:bCs/>
          <w:color w:val="FFFFFF"/>
          <w:sz w:val="2"/>
          <w:szCs w:val="2"/>
          <w:rtl/>
        </w:rPr>
      </w:pPr>
      <w:r w:rsidRPr="00821D72">
        <w:rPr>
          <w:rFonts w:ascii="David" w:hAnsi="David" w:cs="David"/>
          <w:b/>
          <w:bCs/>
          <w:color w:val="FFFFFF"/>
          <w:sz w:val="2"/>
          <w:szCs w:val="2"/>
          <w:rtl/>
        </w:rPr>
        <w:t>5129371</w:t>
      </w:r>
    </w:p>
    <w:p w14:paraId="5F58C7BC" w14:textId="77777777" w:rsidR="00892BA4" w:rsidRPr="003A5774" w:rsidRDefault="00821D72" w:rsidP="00892BA4">
      <w:pPr>
        <w:rPr>
          <w:rFonts w:cs="FrankRuehl"/>
          <w:b/>
          <w:bCs/>
          <w:sz w:val="28"/>
          <w:szCs w:val="28"/>
          <w:rtl/>
        </w:rPr>
      </w:pPr>
      <w:r w:rsidRPr="00821D72">
        <w:rPr>
          <w:rFonts w:ascii="Arial" w:hAnsi="Arial"/>
          <w:b/>
          <w:bCs/>
          <w:color w:val="FFFFFF"/>
          <w:sz w:val="2"/>
          <w:szCs w:val="2"/>
          <w:rtl/>
        </w:rPr>
        <w:t>54678313</w:t>
      </w:r>
      <w:r>
        <w:rPr>
          <w:rFonts w:ascii="Arial" w:hAnsi="Arial"/>
          <w:b/>
          <w:bCs/>
          <w:rtl/>
        </w:rPr>
        <w:t xml:space="preserve">ניתן היום,  ג' תשרי תשע"ט, 12 ספטמבר 2018, במעמד הצדדים. </w:t>
      </w:r>
    </w:p>
    <w:p w14:paraId="6BF3704E" w14:textId="77777777" w:rsidR="00892BA4" w:rsidRPr="003A5774" w:rsidRDefault="00892BA4" w:rsidP="00892BA4">
      <w:pPr>
        <w:jc w:val="center"/>
      </w:pPr>
      <w:r w:rsidRPr="003A5774">
        <w:rPr>
          <w:rFonts w:hint="cs"/>
          <w:b/>
          <w:bCs/>
          <w:rtl/>
        </w:rPr>
        <w:t xml:space="preserve">   </w:t>
      </w:r>
      <w:r w:rsidRPr="003A5774">
        <w:rPr>
          <w:rFonts w:hint="cs"/>
          <w:b/>
          <w:bCs/>
          <w:rtl/>
        </w:rPr>
        <w:tab/>
      </w:r>
      <w:r w:rsidRPr="003A5774">
        <w:rPr>
          <w:rFonts w:hint="cs"/>
          <w:b/>
          <w:bCs/>
          <w:rtl/>
        </w:rPr>
        <w:tab/>
      </w:r>
      <w:r w:rsidRPr="003A5774">
        <w:rPr>
          <w:rFonts w:hint="cs"/>
          <w:b/>
          <w:bCs/>
          <w:rtl/>
        </w:rPr>
        <w:tab/>
      </w:r>
      <w:r w:rsidRPr="003A5774">
        <w:rPr>
          <w:rFonts w:hint="cs"/>
          <w:b/>
          <w:bCs/>
          <w:rtl/>
        </w:rPr>
        <w:tab/>
      </w:r>
      <w:r w:rsidRPr="003A5774">
        <w:rPr>
          <w:rFonts w:hint="cs"/>
          <w:b/>
          <w:bCs/>
          <w:rtl/>
        </w:rPr>
        <w:tab/>
      </w:r>
      <w:r>
        <w:rPr>
          <w:rtl/>
        </w:rPr>
        <w:t xml:space="preserve">     </w:t>
      </w:r>
    </w:p>
    <w:p w14:paraId="75284796" w14:textId="77777777" w:rsidR="00892BA4" w:rsidRPr="003A5774" w:rsidRDefault="00892BA4" w:rsidP="00892BA4">
      <w:pPr>
        <w:jc w:val="center"/>
        <w:rPr>
          <w:rFonts w:ascii="Arial" w:hAnsi="Arial" w:cs="FrankRuehl"/>
          <w:b/>
          <w:bCs/>
          <w:sz w:val="28"/>
          <w:szCs w:val="28"/>
          <w:rtl/>
        </w:rPr>
      </w:pPr>
    </w:p>
    <w:p w14:paraId="254F2B06" w14:textId="77777777" w:rsidR="00892BA4" w:rsidRPr="003A5774" w:rsidRDefault="00892BA4" w:rsidP="00892BA4">
      <w:pPr>
        <w:rPr>
          <w:rFonts w:cs="FrankRuehl"/>
          <w:b/>
          <w:bCs/>
          <w:sz w:val="28"/>
          <w:szCs w:val="28"/>
          <w:rtl/>
        </w:rPr>
      </w:pPr>
    </w:p>
    <w:p w14:paraId="69323D73" w14:textId="77777777" w:rsidR="00892BA4" w:rsidRPr="003A5774" w:rsidRDefault="00892BA4" w:rsidP="00892BA4">
      <w:pPr>
        <w:pStyle w:val="a3"/>
        <w:jc w:val="center"/>
        <w:rPr>
          <w:b/>
          <w:bCs/>
          <w:rtl/>
        </w:rPr>
      </w:pPr>
    </w:p>
    <w:p w14:paraId="476C4E6D" w14:textId="77777777" w:rsidR="00707153" w:rsidRPr="00821D72" w:rsidRDefault="00707153" w:rsidP="00821D72">
      <w:pPr>
        <w:keepNext/>
        <w:rPr>
          <w:rFonts w:ascii="David" w:hAnsi="David"/>
          <w:color w:val="000000"/>
          <w:sz w:val="22"/>
          <w:szCs w:val="22"/>
          <w:rtl/>
        </w:rPr>
      </w:pPr>
    </w:p>
    <w:p w14:paraId="210989C9" w14:textId="77777777" w:rsidR="00821D72" w:rsidRPr="00821D72" w:rsidRDefault="00821D72" w:rsidP="00821D72">
      <w:pPr>
        <w:keepNext/>
        <w:rPr>
          <w:rFonts w:ascii="David" w:hAnsi="David"/>
          <w:color w:val="000000"/>
          <w:sz w:val="22"/>
          <w:szCs w:val="22"/>
          <w:rtl/>
        </w:rPr>
      </w:pPr>
      <w:r w:rsidRPr="00821D72">
        <w:rPr>
          <w:rFonts w:ascii="David" w:hAnsi="David"/>
          <w:color w:val="000000"/>
          <w:sz w:val="22"/>
          <w:szCs w:val="22"/>
          <w:rtl/>
        </w:rPr>
        <w:t>ה עינת רון 54678313</w:t>
      </w:r>
    </w:p>
    <w:p w14:paraId="05F7A3DD" w14:textId="77777777" w:rsidR="00821D72" w:rsidRDefault="00821D72" w:rsidP="00821D72">
      <w:r w:rsidRPr="00821D72">
        <w:rPr>
          <w:color w:val="000000"/>
          <w:rtl/>
        </w:rPr>
        <w:t>נוסח מסמך זה כפוף לשינויי ניסוח ועריכה</w:t>
      </w:r>
    </w:p>
    <w:p w14:paraId="0855FF79" w14:textId="77777777" w:rsidR="00821D72" w:rsidRDefault="00821D72" w:rsidP="00821D72">
      <w:pPr>
        <w:rPr>
          <w:rtl/>
        </w:rPr>
      </w:pPr>
    </w:p>
    <w:p w14:paraId="6636828C" w14:textId="77777777" w:rsidR="00821D72" w:rsidRDefault="00821D72" w:rsidP="00821D72">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543B1A89" w14:textId="77777777" w:rsidR="00821D72" w:rsidRPr="00821D72" w:rsidRDefault="00821D72" w:rsidP="00821D72">
      <w:pPr>
        <w:jc w:val="center"/>
        <w:rPr>
          <w:color w:val="0000FF"/>
          <w:u w:val="single"/>
        </w:rPr>
      </w:pPr>
    </w:p>
    <w:sectPr w:rsidR="00821D72" w:rsidRPr="00821D72" w:rsidSect="00821D72">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2D056" w14:textId="77777777" w:rsidR="005416C1" w:rsidRDefault="005416C1" w:rsidP="000B3AE0">
      <w:r>
        <w:separator/>
      </w:r>
    </w:p>
  </w:endnote>
  <w:endnote w:type="continuationSeparator" w:id="0">
    <w:p w14:paraId="568D21F6" w14:textId="77777777" w:rsidR="005416C1" w:rsidRDefault="005416C1" w:rsidP="000B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4798A8" w14:textId="77777777" w:rsidR="00821D72" w:rsidRDefault="00821D72" w:rsidP="00821D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B84443" w14:textId="77777777" w:rsidR="0088326E" w:rsidRPr="00821D72" w:rsidRDefault="00821D72" w:rsidP="00821D7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7553D" w14:textId="77777777" w:rsidR="00821D72" w:rsidRDefault="00821D72" w:rsidP="00821D7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7BF8">
      <w:rPr>
        <w:rFonts w:ascii="FrankRuehl" w:hAnsi="FrankRuehl" w:cs="FrankRuehl"/>
        <w:noProof/>
        <w:rtl/>
      </w:rPr>
      <w:t>1</w:t>
    </w:r>
    <w:r>
      <w:rPr>
        <w:rFonts w:ascii="FrankRuehl" w:hAnsi="FrankRuehl" w:cs="FrankRuehl"/>
        <w:rtl/>
      </w:rPr>
      <w:fldChar w:fldCharType="end"/>
    </w:r>
  </w:p>
  <w:p w14:paraId="332DFC4C" w14:textId="77777777" w:rsidR="0088326E" w:rsidRPr="00821D72" w:rsidRDefault="00821D72" w:rsidP="00821D7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F65E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0F9925" w14:textId="77777777" w:rsidR="005416C1" w:rsidRDefault="005416C1" w:rsidP="000B3AE0">
      <w:r>
        <w:separator/>
      </w:r>
    </w:p>
  </w:footnote>
  <w:footnote w:type="continuationSeparator" w:id="0">
    <w:p w14:paraId="369D2002" w14:textId="77777777" w:rsidR="005416C1" w:rsidRDefault="005416C1" w:rsidP="000B3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8D726" w14:textId="77777777" w:rsidR="00821D72" w:rsidRPr="00821D72" w:rsidRDefault="00821D72" w:rsidP="00821D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39086-01-18</w:t>
    </w:r>
    <w:r>
      <w:rPr>
        <w:rFonts w:ascii="David" w:hAnsi="David"/>
        <w:color w:val="000000"/>
        <w:sz w:val="22"/>
        <w:szCs w:val="22"/>
        <w:rtl/>
      </w:rPr>
      <w:tab/>
      <w:t xml:space="preserve"> מדינת ישראל נ' בן צבאן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3615F" w14:textId="77777777" w:rsidR="00821D72" w:rsidRPr="00821D72" w:rsidRDefault="00821D72" w:rsidP="00821D7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39086-01-18</w:t>
    </w:r>
    <w:r>
      <w:rPr>
        <w:rFonts w:ascii="David" w:hAnsi="David"/>
        <w:color w:val="000000"/>
        <w:sz w:val="22"/>
        <w:szCs w:val="22"/>
        <w:rtl/>
      </w:rPr>
      <w:tab/>
      <w:t xml:space="preserve"> מדינת ישראל נ' בן צבאן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F6729"/>
    <w:multiLevelType w:val="hybridMultilevel"/>
    <w:tmpl w:val="F1E44C66"/>
    <w:lvl w:ilvl="0" w:tplc="7D3835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162B33"/>
    <w:multiLevelType w:val="hybridMultilevel"/>
    <w:tmpl w:val="0770A4DC"/>
    <w:lvl w:ilvl="0" w:tplc="5D60C2A0">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67229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78098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2BA4"/>
    <w:rsid w:val="000B3AE0"/>
    <w:rsid w:val="005416C1"/>
    <w:rsid w:val="00707153"/>
    <w:rsid w:val="00821D72"/>
    <w:rsid w:val="0088326E"/>
    <w:rsid w:val="00892BA4"/>
    <w:rsid w:val="009641E1"/>
    <w:rsid w:val="00A4490E"/>
    <w:rsid w:val="00AE1ACB"/>
    <w:rsid w:val="00D27B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209472A"/>
  <w15:chartTrackingRefBased/>
  <w15:docId w15:val="{E39876F1-44AD-444B-8ACE-88E60208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2BA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2BA4"/>
    <w:pPr>
      <w:tabs>
        <w:tab w:val="center" w:pos="4153"/>
        <w:tab w:val="right" w:pos="8306"/>
      </w:tabs>
    </w:pPr>
  </w:style>
  <w:style w:type="character" w:customStyle="1" w:styleId="a4">
    <w:name w:val="כותרת עליונה תו"/>
    <w:link w:val="a3"/>
    <w:rsid w:val="00892BA4"/>
    <w:rPr>
      <w:rFonts w:ascii="Times New Roman" w:eastAsia="Times New Roman" w:hAnsi="Times New Roman" w:cs="David"/>
      <w:sz w:val="24"/>
      <w:szCs w:val="24"/>
    </w:rPr>
  </w:style>
  <w:style w:type="paragraph" w:styleId="a5">
    <w:name w:val="footer"/>
    <w:basedOn w:val="a"/>
    <w:link w:val="a6"/>
    <w:rsid w:val="00892BA4"/>
    <w:pPr>
      <w:tabs>
        <w:tab w:val="center" w:pos="4153"/>
        <w:tab w:val="right" w:pos="8306"/>
      </w:tabs>
    </w:pPr>
  </w:style>
  <w:style w:type="character" w:customStyle="1" w:styleId="a6">
    <w:name w:val="כותרת תחתונה תו"/>
    <w:link w:val="a5"/>
    <w:rsid w:val="00892BA4"/>
    <w:rPr>
      <w:rFonts w:ascii="Times New Roman" w:eastAsia="Times New Roman" w:hAnsi="Times New Roman" w:cs="David"/>
      <w:sz w:val="24"/>
      <w:szCs w:val="24"/>
    </w:rPr>
  </w:style>
  <w:style w:type="table" w:styleId="a7">
    <w:name w:val="Table Grid"/>
    <w:basedOn w:val="a1"/>
    <w:rsid w:val="00892BA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2BA4"/>
  </w:style>
  <w:style w:type="paragraph" w:customStyle="1" w:styleId="ListParagraph">
    <w:name w:val="List Paragraph"/>
    <w:basedOn w:val="a"/>
    <w:qFormat/>
    <w:rsid w:val="00892BA4"/>
    <w:pPr>
      <w:spacing w:after="160" w:line="256" w:lineRule="auto"/>
      <w:ind w:left="720"/>
      <w:contextualSpacing/>
    </w:pPr>
    <w:rPr>
      <w:rFonts w:ascii="Calibri" w:eastAsia="Calibri" w:hAnsi="Calibri" w:cs="Arial"/>
      <w:sz w:val="22"/>
      <w:szCs w:val="22"/>
    </w:rPr>
  </w:style>
  <w:style w:type="character" w:customStyle="1" w:styleId="P00">
    <w:name w:val="P00 תו"/>
    <w:link w:val="P000"/>
    <w:locked/>
    <w:rsid w:val="00892BA4"/>
    <w:rPr>
      <w:noProof/>
      <w:szCs w:val="26"/>
      <w:lang w:eastAsia="he-IL"/>
    </w:rPr>
  </w:style>
  <w:style w:type="paragraph" w:customStyle="1" w:styleId="P000">
    <w:name w:val="P00"/>
    <w:link w:val="P00"/>
    <w:rsid w:val="00892BA4"/>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 w:val="22"/>
      <w:szCs w:val="26"/>
      <w:lang w:eastAsia="he-IL"/>
    </w:rPr>
  </w:style>
  <w:style w:type="character" w:customStyle="1" w:styleId="default">
    <w:name w:val="default"/>
    <w:rsid w:val="00892BA4"/>
    <w:rPr>
      <w:rFonts w:ascii="Times New Roman" w:hAnsi="Times New Roman" w:cs="Times New Roman" w:hint="default"/>
      <w:sz w:val="26"/>
    </w:rPr>
  </w:style>
  <w:style w:type="character" w:customStyle="1" w:styleId="big-number">
    <w:name w:val="big-number"/>
    <w:rsid w:val="00892BA4"/>
    <w:rPr>
      <w:rFonts w:ascii="Times New Roman" w:hAnsi="Times New Roman" w:cs="Times New Roman" w:hint="default"/>
      <w:sz w:val="32"/>
      <w:szCs w:val="32"/>
    </w:rPr>
  </w:style>
  <w:style w:type="character" w:styleId="Hyperlink">
    <w:name w:val="Hyperlink"/>
    <w:rsid w:val="00821D7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7.a.;7.c" TargetMode="External"/><Relationship Id="rId26" Type="http://schemas.openxmlformats.org/officeDocument/2006/relationships/hyperlink" Target="http://www.nevo.co.il/case/17954235" TargetMode="External"/><Relationship Id="rId39" Type="http://schemas.openxmlformats.org/officeDocument/2006/relationships/hyperlink" Target="http://www.nevo.co.il/law/4216/37a" TargetMode="External"/><Relationship Id="rId21" Type="http://schemas.openxmlformats.org/officeDocument/2006/relationships/hyperlink" Target="http://www.nevo.co.il/law/70301/499.a.1" TargetMode="External"/><Relationship Id="rId34" Type="http://schemas.openxmlformats.org/officeDocument/2006/relationships/hyperlink" Target="http://www.nevo.co.il/case/3505224" TargetMode="External"/><Relationship Id="rId42" Type="http://schemas.openxmlformats.org/officeDocument/2006/relationships/hyperlink" Target="http://www.nevo.co.il/law/72756" TargetMode="External"/><Relationship Id="rId47" Type="http://schemas.openxmlformats.org/officeDocument/2006/relationships/hyperlink" Target="http://www.nevo.co.il/law/4216/37a.a1" TargetMode="External"/><Relationship Id="rId50" Type="http://schemas.openxmlformats.org/officeDocument/2006/relationships/hyperlink" Target="http://www.nevo.co.il/law/4216"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5227" TargetMode="External"/><Relationship Id="rId29" Type="http://schemas.openxmlformats.org/officeDocument/2006/relationships/hyperlink" Target="http://www.nevo.co.il/case/6169989" TargetMode="External"/><Relationship Id="rId11" Type="http://schemas.openxmlformats.org/officeDocument/2006/relationships/hyperlink" Target="http://www.nevo.co.il/law/4216/37a.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492557" TargetMode="External"/><Relationship Id="rId37" Type="http://schemas.openxmlformats.org/officeDocument/2006/relationships/hyperlink" Target="http://www.nevo.co.il/case/5025762" TargetMode="External"/><Relationship Id="rId40" Type="http://schemas.openxmlformats.org/officeDocument/2006/relationships/hyperlink" Target="http://www.nevo.co.il/law/4216" TargetMode="External"/><Relationship Id="rId45" Type="http://schemas.openxmlformats.org/officeDocument/2006/relationships/hyperlink" Target="http://www.nevo.co.il/law/4216/37a.a1"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c.a"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1017469" TargetMode="External"/><Relationship Id="rId30" Type="http://schemas.openxmlformats.org/officeDocument/2006/relationships/hyperlink" Target="http://www.nevo.co.il/case/7018336" TargetMode="External"/><Relationship Id="rId35" Type="http://schemas.openxmlformats.org/officeDocument/2006/relationships/hyperlink" Target="http://www.nevo.co.il/case/4994763" TargetMode="External"/><Relationship Id="rId43" Type="http://schemas.openxmlformats.org/officeDocument/2006/relationships/hyperlink" Target="http://www.nevo.co.il/law/4216/37a.a1" TargetMode="External"/><Relationship Id="rId48" Type="http://schemas.openxmlformats.org/officeDocument/2006/relationships/hyperlink" Target="http://www.nevo.co.il/law/4216" TargetMode="External"/><Relationship Id="rId56" Type="http://schemas.openxmlformats.org/officeDocument/2006/relationships/fontTable" Target="fontTable.xml"/><Relationship Id="rId8" Type="http://schemas.openxmlformats.org/officeDocument/2006/relationships/hyperlink" Target="http://www.nevo.co.il/law/4216/7.a."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4216/37a.a1" TargetMode="External"/><Relationship Id="rId17" Type="http://schemas.openxmlformats.org/officeDocument/2006/relationships/hyperlink" Target="http://www.nevo.co.il/law/72756" TargetMode="External"/><Relationship Id="rId25" Type="http://schemas.openxmlformats.org/officeDocument/2006/relationships/hyperlink" Target="http://www.nevo.co.il/case/13093721" TargetMode="External"/><Relationship Id="rId33" Type="http://schemas.openxmlformats.org/officeDocument/2006/relationships/hyperlink" Target="http://www.nevo.co.il/case/18679901" TargetMode="External"/><Relationship Id="rId38" Type="http://schemas.openxmlformats.org/officeDocument/2006/relationships/hyperlink" Target="http://www.nevo.co.il/case/161892" TargetMode="External"/><Relationship Id="rId46" Type="http://schemas.openxmlformats.org/officeDocument/2006/relationships/hyperlink" Target="http://www.nevo.co.il/law/4216" TargetMode="External"/><Relationship Id="rId20" Type="http://schemas.openxmlformats.org/officeDocument/2006/relationships/hyperlink" Target="http://www.nevo.co.il/law/4216/7.a.;7.c" TargetMode="External"/><Relationship Id="rId41" Type="http://schemas.openxmlformats.org/officeDocument/2006/relationships/hyperlink" Target="http://www.nevo.co.il/law/5227"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yperlink" Target="http://www.nevo.co.il/law/70301/40c.a" TargetMode="External"/><Relationship Id="rId28" Type="http://schemas.openxmlformats.org/officeDocument/2006/relationships/hyperlink" Target="http://www.nevo.co.il/case/5580841" TargetMode="External"/><Relationship Id="rId36" Type="http://schemas.openxmlformats.org/officeDocument/2006/relationships/hyperlink" Target="http://www.nevo.co.il/case/7787782" TargetMode="External"/><Relationship Id="rId49" Type="http://schemas.openxmlformats.org/officeDocument/2006/relationships/hyperlink" Target="http://www.nevo.co.il/law/4216/37a.a" TargetMode="External"/><Relationship Id="rId57" Type="http://schemas.openxmlformats.org/officeDocument/2006/relationships/theme" Target="theme/theme1.xml"/><Relationship Id="rId10" Type="http://schemas.openxmlformats.org/officeDocument/2006/relationships/hyperlink" Target="http://www.nevo.co.il/law/4216/37a" TargetMode="External"/><Relationship Id="rId31" Type="http://schemas.openxmlformats.org/officeDocument/2006/relationships/hyperlink" Target="http://www.nevo.co.il/case/5074126" TargetMode="External"/><Relationship Id="rId44" Type="http://schemas.openxmlformats.org/officeDocument/2006/relationships/hyperlink" Target="http://www.nevo.co.il/law/4216"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2566</Words>
  <Characters>12830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15366</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5046355</vt:i4>
      </vt:variant>
      <vt:variant>
        <vt:i4>126</vt:i4>
      </vt:variant>
      <vt:variant>
        <vt:i4>0</vt:i4>
      </vt:variant>
      <vt:variant>
        <vt:i4>5</vt:i4>
      </vt:variant>
      <vt:variant>
        <vt:lpwstr>http://www.nevo.co.il/law/4216/37a.a</vt:lpwstr>
      </vt:variant>
      <vt:variant>
        <vt:lpwstr/>
      </vt:variant>
      <vt:variant>
        <vt:i4>8257637</vt:i4>
      </vt:variant>
      <vt:variant>
        <vt:i4>123</vt:i4>
      </vt:variant>
      <vt:variant>
        <vt:i4>0</vt:i4>
      </vt:variant>
      <vt:variant>
        <vt:i4>5</vt:i4>
      </vt:variant>
      <vt:variant>
        <vt:lpwstr>http://www.nevo.co.il/law/4216</vt:lpwstr>
      </vt:variant>
      <vt:variant>
        <vt:lpwstr/>
      </vt:variant>
      <vt:variant>
        <vt:i4>5046355</vt:i4>
      </vt:variant>
      <vt:variant>
        <vt:i4>120</vt:i4>
      </vt:variant>
      <vt:variant>
        <vt:i4>0</vt:i4>
      </vt:variant>
      <vt:variant>
        <vt:i4>5</vt:i4>
      </vt:variant>
      <vt:variant>
        <vt:lpwstr>http://www.nevo.co.il/law/4216/37a.a1</vt:lpwstr>
      </vt:variant>
      <vt:variant>
        <vt:lpwstr/>
      </vt:variant>
      <vt:variant>
        <vt:i4>8257637</vt:i4>
      </vt:variant>
      <vt:variant>
        <vt:i4>117</vt:i4>
      </vt:variant>
      <vt:variant>
        <vt:i4>0</vt:i4>
      </vt:variant>
      <vt:variant>
        <vt:i4>5</vt:i4>
      </vt:variant>
      <vt:variant>
        <vt:lpwstr>http://www.nevo.co.il/law/4216</vt:lpwstr>
      </vt:variant>
      <vt:variant>
        <vt:lpwstr/>
      </vt:variant>
      <vt:variant>
        <vt:i4>5046355</vt:i4>
      </vt:variant>
      <vt:variant>
        <vt:i4>114</vt:i4>
      </vt:variant>
      <vt:variant>
        <vt:i4>0</vt:i4>
      </vt:variant>
      <vt:variant>
        <vt:i4>5</vt:i4>
      </vt:variant>
      <vt:variant>
        <vt:lpwstr>http://www.nevo.co.il/law/4216/37a.a1</vt:lpwstr>
      </vt:variant>
      <vt:variant>
        <vt:lpwstr/>
      </vt:variant>
      <vt:variant>
        <vt:i4>8257637</vt:i4>
      </vt:variant>
      <vt:variant>
        <vt:i4>111</vt:i4>
      </vt:variant>
      <vt:variant>
        <vt:i4>0</vt:i4>
      </vt:variant>
      <vt:variant>
        <vt:i4>5</vt:i4>
      </vt:variant>
      <vt:variant>
        <vt:lpwstr>http://www.nevo.co.il/law/4216</vt:lpwstr>
      </vt:variant>
      <vt:variant>
        <vt:lpwstr/>
      </vt:variant>
      <vt:variant>
        <vt:i4>5046355</vt:i4>
      </vt:variant>
      <vt:variant>
        <vt:i4>108</vt:i4>
      </vt:variant>
      <vt:variant>
        <vt:i4>0</vt:i4>
      </vt:variant>
      <vt:variant>
        <vt:i4>5</vt:i4>
      </vt:variant>
      <vt:variant>
        <vt:lpwstr>http://www.nevo.co.il/law/4216/37a.a1</vt:lpwstr>
      </vt:variant>
      <vt:variant>
        <vt:lpwstr/>
      </vt:variant>
      <vt:variant>
        <vt:i4>8192096</vt:i4>
      </vt:variant>
      <vt:variant>
        <vt:i4>105</vt:i4>
      </vt:variant>
      <vt:variant>
        <vt:i4>0</vt:i4>
      </vt:variant>
      <vt:variant>
        <vt:i4>5</vt:i4>
      </vt:variant>
      <vt:variant>
        <vt:lpwstr>http://www.nevo.co.il/law/72756</vt:lpwstr>
      </vt:variant>
      <vt:variant>
        <vt:lpwstr/>
      </vt:variant>
      <vt:variant>
        <vt:i4>8323175</vt:i4>
      </vt:variant>
      <vt:variant>
        <vt:i4>102</vt:i4>
      </vt:variant>
      <vt:variant>
        <vt:i4>0</vt:i4>
      </vt:variant>
      <vt:variant>
        <vt:i4>5</vt:i4>
      </vt:variant>
      <vt:variant>
        <vt:lpwstr>http://www.nevo.co.il/law/5227</vt:lpwstr>
      </vt:variant>
      <vt:variant>
        <vt:lpwstr/>
      </vt:variant>
      <vt:variant>
        <vt:i4>8257637</vt:i4>
      </vt:variant>
      <vt:variant>
        <vt:i4>99</vt:i4>
      </vt:variant>
      <vt:variant>
        <vt:i4>0</vt:i4>
      </vt:variant>
      <vt:variant>
        <vt:i4>5</vt:i4>
      </vt:variant>
      <vt:variant>
        <vt:lpwstr>http://www.nevo.co.il/law/4216</vt:lpwstr>
      </vt:variant>
      <vt:variant>
        <vt:lpwstr/>
      </vt:variant>
      <vt:variant>
        <vt:i4>2883709</vt:i4>
      </vt:variant>
      <vt:variant>
        <vt:i4>96</vt:i4>
      </vt:variant>
      <vt:variant>
        <vt:i4>0</vt:i4>
      </vt:variant>
      <vt:variant>
        <vt:i4>5</vt:i4>
      </vt:variant>
      <vt:variant>
        <vt:lpwstr>http://www.nevo.co.il/law/4216/37a</vt:lpwstr>
      </vt:variant>
      <vt:variant>
        <vt:lpwstr/>
      </vt:variant>
      <vt:variant>
        <vt:i4>589898</vt:i4>
      </vt:variant>
      <vt:variant>
        <vt:i4>93</vt:i4>
      </vt:variant>
      <vt:variant>
        <vt:i4>0</vt:i4>
      </vt:variant>
      <vt:variant>
        <vt:i4>5</vt:i4>
      </vt:variant>
      <vt:variant>
        <vt:lpwstr>http://www.nevo.co.il/case/161892</vt:lpwstr>
      </vt:variant>
      <vt:variant>
        <vt:lpwstr/>
      </vt:variant>
      <vt:variant>
        <vt:i4>3276919</vt:i4>
      </vt:variant>
      <vt:variant>
        <vt:i4>90</vt:i4>
      </vt:variant>
      <vt:variant>
        <vt:i4>0</vt:i4>
      </vt:variant>
      <vt:variant>
        <vt:i4>5</vt:i4>
      </vt:variant>
      <vt:variant>
        <vt:lpwstr>http://www.nevo.co.il/case/5025762</vt:lpwstr>
      </vt:variant>
      <vt:variant>
        <vt:lpwstr/>
      </vt:variant>
      <vt:variant>
        <vt:i4>3801212</vt:i4>
      </vt:variant>
      <vt:variant>
        <vt:i4>87</vt:i4>
      </vt:variant>
      <vt:variant>
        <vt:i4>0</vt:i4>
      </vt:variant>
      <vt:variant>
        <vt:i4>5</vt:i4>
      </vt:variant>
      <vt:variant>
        <vt:lpwstr>http://www.nevo.co.il/case/7787782</vt:lpwstr>
      </vt:variant>
      <vt:variant>
        <vt:lpwstr/>
      </vt:variant>
      <vt:variant>
        <vt:i4>3735679</vt:i4>
      </vt:variant>
      <vt:variant>
        <vt:i4>84</vt:i4>
      </vt:variant>
      <vt:variant>
        <vt:i4>0</vt:i4>
      </vt:variant>
      <vt:variant>
        <vt:i4>5</vt:i4>
      </vt:variant>
      <vt:variant>
        <vt:lpwstr>http://www.nevo.co.il/case/4994763</vt:lpwstr>
      </vt:variant>
      <vt:variant>
        <vt:lpwstr/>
      </vt:variant>
      <vt:variant>
        <vt:i4>3473526</vt:i4>
      </vt:variant>
      <vt:variant>
        <vt:i4>81</vt:i4>
      </vt:variant>
      <vt:variant>
        <vt:i4>0</vt:i4>
      </vt:variant>
      <vt:variant>
        <vt:i4>5</vt:i4>
      </vt:variant>
      <vt:variant>
        <vt:lpwstr>http://www.nevo.co.il/case/3505224</vt:lpwstr>
      </vt:variant>
      <vt:variant>
        <vt:lpwstr/>
      </vt:variant>
      <vt:variant>
        <vt:i4>4063346</vt:i4>
      </vt:variant>
      <vt:variant>
        <vt:i4>78</vt:i4>
      </vt:variant>
      <vt:variant>
        <vt:i4>0</vt:i4>
      </vt:variant>
      <vt:variant>
        <vt:i4>5</vt:i4>
      </vt:variant>
      <vt:variant>
        <vt:lpwstr>http://www.nevo.co.il/case/18679901</vt:lpwstr>
      </vt:variant>
      <vt:variant>
        <vt:lpwstr/>
      </vt:variant>
      <vt:variant>
        <vt:i4>4063351</vt:i4>
      </vt:variant>
      <vt:variant>
        <vt:i4>75</vt:i4>
      </vt:variant>
      <vt:variant>
        <vt:i4>0</vt:i4>
      </vt:variant>
      <vt:variant>
        <vt:i4>5</vt:i4>
      </vt:variant>
      <vt:variant>
        <vt:lpwstr>http://www.nevo.co.il/case/5492557</vt:lpwstr>
      </vt:variant>
      <vt:variant>
        <vt:lpwstr/>
      </vt:variant>
      <vt:variant>
        <vt:i4>3473522</vt:i4>
      </vt:variant>
      <vt:variant>
        <vt:i4>72</vt:i4>
      </vt:variant>
      <vt:variant>
        <vt:i4>0</vt:i4>
      </vt:variant>
      <vt:variant>
        <vt:i4>5</vt:i4>
      </vt:variant>
      <vt:variant>
        <vt:lpwstr>http://www.nevo.co.il/case/5074126</vt:lpwstr>
      </vt:variant>
      <vt:variant>
        <vt:lpwstr/>
      </vt:variant>
      <vt:variant>
        <vt:i4>3342463</vt:i4>
      </vt:variant>
      <vt:variant>
        <vt:i4>69</vt:i4>
      </vt:variant>
      <vt:variant>
        <vt:i4>0</vt:i4>
      </vt:variant>
      <vt:variant>
        <vt:i4>5</vt:i4>
      </vt:variant>
      <vt:variant>
        <vt:lpwstr>http://www.nevo.co.il/case/7018336</vt:lpwstr>
      </vt:variant>
      <vt:variant>
        <vt:lpwstr/>
      </vt:variant>
      <vt:variant>
        <vt:i4>3145844</vt:i4>
      </vt:variant>
      <vt:variant>
        <vt:i4>66</vt:i4>
      </vt:variant>
      <vt:variant>
        <vt:i4>0</vt:i4>
      </vt:variant>
      <vt:variant>
        <vt:i4>5</vt:i4>
      </vt:variant>
      <vt:variant>
        <vt:lpwstr>http://www.nevo.co.il/case/6169989</vt:lpwstr>
      </vt:variant>
      <vt:variant>
        <vt:lpwstr/>
      </vt:variant>
      <vt:variant>
        <vt:i4>3407989</vt:i4>
      </vt:variant>
      <vt:variant>
        <vt:i4>63</vt:i4>
      </vt:variant>
      <vt:variant>
        <vt:i4>0</vt:i4>
      </vt:variant>
      <vt:variant>
        <vt:i4>5</vt:i4>
      </vt:variant>
      <vt:variant>
        <vt:lpwstr>http://www.nevo.co.il/case/5580841</vt:lpwstr>
      </vt:variant>
      <vt:variant>
        <vt:lpwstr/>
      </vt:variant>
      <vt:variant>
        <vt:i4>3342448</vt:i4>
      </vt:variant>
      <vt:variant>
        <vt:i4>60</vt:i4>
      </vt:variant>
      <vt:variant>
        <vt:i4>0</vt:i4>
      </vt:variant>
      <vt:variant>
        <vt:i4>5</vt:i4>
      </vt:variant>
      <vt:variant>
        <vt:lpwstr>http://www.nevo.co.il/case/21017469</vt:lpwstr>
      </vt:variant>
      <vt:variant>
        <vt:lpwstr/>
      </vt:variant>
      <vt:variant>
        <vt:i4>4128884</vt:i4>
      </vt:variant>
      <vt:variant>
        <vt:i4>57</vt:i4>
      </vt:variant>
      <vt:variant>
        <vt:i4>0</vt:i4>
      </vt:variant>
      <vt:variant>
        <vt:i4>5</vt:i4>
      </vt:variant>
      <vt:variant>
        <vt:lpwstr>http://www.nevo.co.il/case/17954235</vt:lpwstr>
      </vt:variant>
      <vt:variant>
        <vt:lpwstr/>
      </vt:variant>
      <vt:variant>
        <vt:i4>3145849</vt:i4>
      </vt:variant>
      <vt:variant>
        <vt:i4>54</vt:i4>
      </vt:variant>
      <vt:variant>
        <vt:i4>0</vt:i4>
      </vt:variant>
      <vt:variant>
        <vt:i4>5</vt:i4>
      </vt:variant>
      <vt:variant>
        <vt:lpwstr>http://www.nevo.co.il/case/13093721</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4915202</vt:i4>
      </vt:variant>
      <vt:variant>
        <vt:i4>48</vt:i4>
      </vt:variant>
      <vt:variant>
        <vt:i4>0</vt:i4>
      </vt:variant>
      <vt:variant>
        <vt:i4>5</vt:i4>
      </vt:variant>
      <vt:variant>
        <vt:lpwstr>http://www.nevo.co.il/law/70301/40c.a</vt:lpwstr>
      </vt:variant>
      <vt:variant>
        <vt:lpwstr/>
      </vt:variant>
      <vt:variant>
        <vt:i4>7995492</vt:i4>
      </vt:variant>
      <vt:variant>
        <vt:i4>45</vt:i4>
      </vt:variant>
      <vt:variant>
        <vt:i4>0</vt:i4>
      </vt:variant>
      <vt:variant>
        <vt:i4>5</vt:i4>
      </vt:variant>
      <vt:variant>
        <vt:lpwstr>http://www.nevo.co.il/law/70301</vt:lpwstr>
      </vt:variant>
      <vt:variant>
        <vt:lpwstr/>
      </vt:variant>
      <vt:variant>
        <vt:i4>7077945</vt:i4>
      </vt:variant>
      <vt:variant>
        <vt:i4>42</vt:i4>
      </vt:variant>
      <vt:variant>
        <vt:i4>0</vt:i4>
      </vt:variant>
      <vt:variant>
        <vt:i4>5</vt:i4>
      </vt:variant>
      <vt:variant>
        <vt:lpwstr>http://www.nevo.co.il/law/70301/499.a.1</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3997821</vt:i4>
      </vt:variant>
      <vt:variant>
        <vt:i4>33</vt:i4>
      </vt:variant>
      <vt:variant>
        <vt:i4>0</vt:i4>
      </vt:variant>
      <vt:variant>
        <vt:i4>5</vt:i4>
      </vt:variant>
      <vt:variant>
        <vt:lpwstr>http://www.nevo.co.il/law/4216/7.a.;7.c</vt:lpwstr>
      </vt:variant>
      <vt:variant>
        <vt:lpwstr/>
      </vt:variant>
      <vt:variant>
        <vt:i4>8192096</vt:i4>
      </vt:variant>
      <vt:variant>
        <vt:i4>30</vt:i4>
      </vt:variant>
      <vt:variant>
        <vt:i4>0</vt:i4>
      </vt:variant>
      <vt:variant>
        <vt:i4>5</vt:i4>
      </vt:variant>
      <vt:variant>
        <vt:lpwstr>http://www.nevo.co.il/law/72756</vt:lpwstr>
      </vt:variant>
      <vt:variant>
        <vt:lpwstr/>
      </vt:variant>
      <vt:variant>
        <vt:i4>8323175</vt:i4>
      </vt:variant>
      <vt:variant>
        <vt:i4>27</vt:i4>
      </vt:variant>
      <vt:variant>
        <vt:i4>0</vt:i4>
      </vt:variant>
      <vt:variant>
        <vt:i4>5</vt:i4>
      </vt:variant>
      <vt:variant>
        <vt:lpwstr>http://www.nevo.co.il/law/5227</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5046355</vt:i4>
      </vt:variant>
      <vt:variant>
        <vt:i4>15</vt:i4>
      </vt:variant>
      <vt:variant>
        <vt:i4>0</vt:i4>
      </vt:variant>
      <vt:variant>
        <vt:i4>5</vt:i4>
      </vt:variant>
      <vt:variant>
        <vt:lpwstr>http://www.nevo.co.il/law/4216/37a.a1</vt:lpwstr>
      </vt:variant>
      <vt:variant>
        <vt:lpwstr/>
      </vt:variant>
      <vt:variant>
        <vt:i4>5046355</vt:i4>
      </vt:variant>
      <vt:variant>
        <vt:i4>12</vt:i4>
      </vt:variant>
      <vt:variant>
        <vt:i4>0</vt:i4>
      </vt:variant>
      <vt:variant>
        <vt:i4>5</vt:i4>
      </vt:variant>
      <vt:variant>
        <vt:lpwstr>http://www.nevo.co.il/law/4216/37a.a</vt:lpwstr>
      </vt:variant>
      <vt:variant>
        <vt:lpwstr/>
      </vt:variant>
      <vt:variant>
        <vt:i4>2883709</vt:i4>
      </vt:variant>
      <vt:variant>
        <vt:i4>9</vt:i4>
      </vt:variant>
      <vt:variant>
        <vt:i4>0</vt:i4>
      </vt:variant>
      <vt:variant>
        <vt:i4>5</vt:i4>
      </vt:variant>
      <vt:variant>
        <vt:lpwstr>http://www.nevo.co.il/law/4216/37a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2025-04-22T23:39:00Z</dcterms:created>
  <dcterms:modified xsi:type="dcterms:W3CDTF">2025-04-22T23:39:00Z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39086</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בן צבאן</vt:lpwstr>
  </property>
  <property fmtid="{D5CDD505-2E9C-101B-9397-08002B2CF9AE}" pid="10" name="LAWYER">
    <vt:lpwstr>יובל שלום;כרמל בתו</vt:lpwstr>
  </property>
  <property fmtid="{D5CDD505-2E9C-101B-9397-08002B2CF9AE}" pid="11" name="JUDGE">
    <vt:lpwstr>עינת רון</vt:lpwstr>
  </property>
  <property fmtid="{D5CDD505-2E9C-101B-9397-08002B2CF9AE}" pid="12" name="CITY">
    <vt:lpwstr>ראשל"צ</vt:lpwstr>
  </property>
  <property fmtid="{D5CDD505-2E9C-101B-9397-08002B2CF9AE}" pid="13" name="DATE">
    <vt:lpwstr>20180912</vt:lpwstr>
  </property>
  <property fmtid="{D5CDD505-2E9C-101B-9397-08002B2CF9AE}" pid="14" name="TYPE_N_DATE">
    <vt:lpwstr>38020180912</vt:lpwstr>
  </property>
  <property fmtid="{D5CDD505-2E9C-101B-9397-08002B2CF9AE}" pid="15" name="CASESLISTTMP1">
    <vt:lpwstr>13093721;17954235;21017469;5580841;6169989;7018336;5074126;5492557;18679901;3505224;4994763;7787782;5025762;161892</vt:lpwstr>
  </property>
  <property fmtid="{D5CDD505-2E9C-101B-9397-08002B2CF9AE}" pid="16" name="WORDNUMPAGES">
    <vt:lpwstr>8</vt:lpwstr>
  </property>
  <property fmtid="{D5CDD505-2E9C-101B-9397-08002B2CF9AE}" pid="17" name="TYPE_ABS_DATE">
    <vt:lpwstr>380020180912</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4216/007.a:2;007.c:2;037a;037a.a1:3;037a.a</vt:lpwstr>
  </property>
  <property fmtid="{D5CDD505-2E9C-101B-9397-08002B2CF9AE}" pid="37" name="LAWLISTTMP2">
    <vt:lpwstr>70301/499.a.1;040c.a</vt:lpwstr>
  </property>
  <property fmtid="{D5CDD505-2E9C-101B-9397-08002B2CF9AE}" pid="38" name="LAWLISTTMP3">
    <vt:lpwstr>5227</vt:lpwstr>
  </property>
  <property fmtid="{D5CDD505-2E9C-101B-9397-08002B2CF9AE}" pid="39" name="LAWLISTTMP4">
    <vt:lpwstr>72756</vt:lpwstr>
  </property>
</Properties>
</file>