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D7511" w:rsidRPr="00676EB5" w14:paraId="7CAB1D5A" w14:textId="77777777" w:rsidTr="00794AC9">
        <w:trPr>
          <w:trHeight w:hRule="exact" w:val="418"/>
          <w:jc w:val="center"/>
        </w:trPr>
        <w:tc>
          <w:tcPr>
            <w:tcW w:w="8721" w:type="dxa"/>
            <w:gridSpan w:val="2"/>
          </w:tcPr>
          <w:p w14:paraId="7A6E832C" w14:textId="77777777" w:rsidR="00DD7511" w:rsidRPr="00676EB5" w:rsidRDefault="00DD7511" w:rsidP="00794AC9">
            <w:pPr>
              <w:pStyle w:val="a3"/>
              <w:jc w:val="center"/>
              <w:rPr>
                <w:rFonts w:ascii="Tahoma" w:hAnsi="Tahoma" w:cs="Tahoma"/>
                <w:noProof w:val="0"/>
                <w:color w:val="000080"/>
                <w:rtl/>
              </w:rPr>
            </w:pPr>
            <w:r w:rsidRPr="00676EB5">
              <w:rPr>
                <w:rFonts w:ascii="Tahoma" w:hAnsi="Tahoma" w:cs="Tahoma"/>
                <w:b/>
                <w:bCs/>
                <w:noProof w:val="0"/>
                <w:color w:val="000080"/>
                <w:rtl/>
              </w:rPr>
              <w:t>בית משפט השלום בקריית גת</w:t>
            </w:r>
          </w:p>
        </w:tc>
      </w:tr>
      <w:tr w:rsidR="00DD7511" w:rsidRPr="00676EB5" w14:paraId="0449610B" w14:textId="77777777" w:rsidTr="00794AC9">
        <w:trPr>
          <w:trHeight w:val="337"/>
          <w:jc w:val="center"/>
        </w:trPr>
        <w:tc>
          <w:tcPr>
            <w:tcW w:w="5047" w:type="dxa"/>
          </w:tcPr>
          <w:p w14:paraId="4B91F4F7" w14:textId="77777777" w:rsidR="00DD7511" w:rsidRPr="00676EB5" w:rsidRDefault="00DD7511" w:rsidP="00794AC9">
            <w:pPr>
              <w:rPr>
                <w:b/>
                <w:bCs/>
                <w:noProof w:val="0"/>
                <w:sz w:val="26"/>
                <w:szCs w:val="26"/>
                <w:rtl/>
              </w:rPr>
            </w:pPr>
          </w:p>
        </w:tc>
        <w:tc>
          <w:tcPr>
            <w:tcW w:w="3674" w:type="dxa"/>
          </w:tcPr>
          <w:p w14:paraId="396F7788" w14:textId="77777777" w:rsidR="00DD7511" w:rsidRPr="00676EB5" w:rsidRDefault="00DD7511" w:rsidP="00794AC9">
            <w:pPr>
              <w:pStyle w:val="a3"/>
              <w:jc w:val="right"/>
              <w:rPr>
                <w:b/>
                <w:bCs/>
                <w:noProof w:val="0"/>
                <w:sz w:val="26"/>
                <w:szCs w:val="26"/>
                <w:rtl/>
              </w:rPr>
            </w:pPr>
            <w:r w:rsidRPr="00676EB5">
              <w:rPr>
                <w:b/>
                <w:bCs/>
                <w:noProof w:val="0"/>
                <w:sz w:val="26"/>
                <w:szCs w:val="26"/>
                <w:rtl/>
              </w:rPr>
              <w:t>03 דצמבר 2018</w:t>
            </w:r>
          </w:p>
        </w:tc>
      </w:tr>
      <w:tr w:rsidR="00DD7511" w:rsidRPr="00676EB5" w14:paraId="148E1973" w14:textId="77777777" w:rsidTr="00794AC9">
        <w:trPr>
          <w:trHeight w:val="337"/>
          <w:jc w:val="center"/>
        </w:trPr>
        <w:tc>
          <w:tcPr>
            <w:tcW w:w="8721" w:type="dxa"/>
            <w:gridSpan w:val="2"/>
          </w:tcPr>
          <w:p w14:paraId="0E1CA529" w14:textId="77777777" w:rsidR="00DD7511" w:rsidRPr="00676EB5" w:rsidRDefault="00DD7511" w:rsidP="00794AC9">
            <w:pPr>
              <w:rPr>
                <w:b/>
                <w:bCs/>
                <w:noProof w:val="0"/>
                <w:sz w:val="26"/>
                <w:szCs w:val="26"/>
                <w:rtl/>
              </w:rPr>
            </w:pPr>
            <w:r w:rsidRPr="00676EB5">
              <w:rPr>
                <w:b/>
                <w:bCs/>
                <w:noProof w:val="0"/>
                <w:sz w:val="26"/>
                <w:szCs w:val="26"/>
                <w:rtl/>
              </w:rPr>
              <w:t>ת"פ 44280-01-18 מדינת ישראל נ' קדוש</w:t>
            </w:r>
          </w:p>
          <w:p w14:paraId="7BF8D847" w14:textId="77777777" w:rsidR="00DD7511" w:rsidRPr="00676EB5" w:rsidRDefault="00DD7511" w:rsidP="00794AC9">
            <w:pPr>
              <w:rPr>
                <w:rtl/>
              </w:rPr>
            </w:pPr>
          </w:p>
        </w:tc>
      </w:tr>
    </w:tbl>
    <w:p w14:paraId="2A731BC8" w14:textId="77777777" w:rsidR="00DD7511" w:rsidRPr="00676EB5" w:rsidRDefault="00DD7511" w:rsidP="00DD7511"/>
    <w:tbl>
      <w:tblPr>
        <w:bidiVisual/>
        <w:tblW w:w="0" w:type="auto"/>
        <w:jc w:val="center"/>
        <w:tblLook w:val="0000" w:firstRow="0" w:lastRow="0" w:firstColumn="0" w:lastColumn="0" w:noHBand="0" w:noVBand="0"/>
      </w:tblPr>
      <w:tblGrid>
        <w:gridCol w:w="873"/>
        <w:gridCol w:w="7848"/>
      </w:tblGrid>
      <w:tr w:rsidR="00DD7511" w:rsidRPr="00676EB5" w14:paraId="70D918A0" w14:textId="77777777" w:rsidTr="00794AC9">
        <w:trPr>
          <w:trHeight w:val="337"/>
          <w:jc w:val="center"/>
        </w:trPr>
        <w:tc>
          <w:tcPr>
            <w:tcW w:w="873" w:type="dxa"/>
          </w:tcPr>
          <w:p w14:paraId="1CFD9AAE" w14:textId="77777777" w:rsidR="00DD7511" w:rsidRPr="00676EB5" w:rsidRDefault="00DD7511" w:rsidP="00794AC9">
            <w:pPr>
              <w:tabs>
                <w:tab w:val="left" w:pos="1710"/>
              </w:tabs>
              <w:rPr>
                <w:b/>
                <w:bCs/>
                <w:sz w:val="28"/>
                <w:szCs w:val="28"/>
                <w:rtl/>
              </w:rPr>
            </w:pPr>
            <w:r w:rsidRPr="00676EB5">
              <w:rPr>
                <w:rFonts w:hint="cs"/>
                <w:b/>
                <w:bCs/>
                <w:sz w:val="28"/>
                <w:szCs w:val="28"/>
                <w:rtl/>
              </w:rPr>
              <w:t>בפני</w:t>
            </w:r>
          </w:p>
        </w:tc>
        <w:tc>
          <w:tcPr>
            <w:tcW w:w="7848" w:type="dxa"/>
          </w:tcPr>
          <w:p w14:paraId="4823C294" w14:textId="77777777" w:rsidR="00DD7511" w:rsidRPr="00676EB5" w:rsidRDefault="00DD7511" w:rsidP="00794AC9">
            <w:pPr>
              <w:rPr>
                <w:rFonts w:ascii="Arial" w:hAnsi="Arial"/>
                <w:b/>
                <w:bCs/>
                <w:sz w:val="28"/>
                <w:szCs w:val="28"/>
                <w:rtl/>
              </w:rPr>
            </w:pPr>
            <w:r w:rsidRPr="00676EB5">
              <w:rPr>
                <w:rFonts w:ascii="Arial" w:hAnsi="Arial" w:hint="cs"/>
                <w:b/>
                <w:bCs/>
                <w:sz w:val="28"/>
                <w:szCs w:val="28"/>
                <w:rtl/>
              </w:rPr>
              <w:t xml:space="preserve">כב' השופטת </w:t>
            </w:r>
            <w:r w:rsidRPr="00676EB5">
              <w:rPr>
                <w:rFonts w:ascii="Arial" w:hAnsi="Arial"/>
                <w:b/>
                <w:bCs/>
                <w:sz w:val="28"/>
                <w:szCs w:val="28"/>
                <w:rtl/>
              </w:rPr>
              <w:t>נגה שמואלי-מאייר</w:t>
            </w:r>
            <w:r w:rsidRPr="00676EB5">
              <w:rPr>
                <w:rFonts w:ascii="Arial" w:hAnsi="Arial" w:hint="cs"/>
                <w:b/>
                <w:bCs/>
                <w:sz w:val="28"/>
                <w:szCs w:val="28"/>
                <w:rtl/>
              </w:rPr>
              <w:t>, סגנית הנשיאה</w:t>
            </w:r>
          </w:p>
          <w:p w14:paraId="1EEC788A" w14:textId="77777777" w:rsidR="00DD7511" w:rsidRPr="00676EB5" w:rsidRDefault="00DD7511" w:rsidP="00794AC9">
            <w:pPr>
              <w:tabs>
                <w:tab w:val="left" w:pos="1710"/>
              </w:tabs>
              <w:rPr>
                <w:rtl/>
              </w:rPr>
            </w:pPr>
          </w:p>
        </w:tc>
      </w:tr>
    </w:tbl>
    <w:p w14:paraId="5392B1CD" w14:textId="77777777" w:rsidR="00DD7511" w:rsidRPr="00676EB5" w:rsidRDefault="00DD7511" w:rsidP="003E29AB">
      <w:pPr>
        <w:pStyle w:val="a3"/>
        <w:rPr>
          <w:rtl/>
        </w:rPr>
      </w:pPr>
      <w:bookmarkStart w:id="0" w:name="LastJudge"/>
      <w:bookmarkEnd w:id="0"/>
      <w:r w:rsidRPr="00676EB5">
        <w:rPr>
          <w:noProof w:val="0"/>
          <w:rtl/>
        </w:rPr>
        <w:t xml:space="preserve"> </w:t>
      </w:r>
    </w:p>
    <w:tbl>
      <w:tblPr>
        <w:bidiVisual/>
        <w:tblW w:w="8820" w:type="dxa"/>
        <w:jc w:val="center"/>
        <w:tblLook w:val="01E0" w:firstRow="1" w:lastRow="1" w:firstColumn="1" w:lastColumn="1" w:noHBand="0" w:noVBand="0"/>
      </w:tblPr>
      <w:tblGrid>
        <w:gridCol w:w="5603"/>
        <w:gridCol w:w="3217"/>
      </w:tblGrid>
      <w:tr w:rsidR="00DD7511" w:rsidRPr="00676EB5" w14:paraId="056FC84D" w14:textId="77777777" w:rsidTr="00DD7511">
        <w:trPr>
          <w:jc w:val="center"/>
        </w:trPr>
        <w:tc>
          <w:tcPr>
            <w:tcW w:w="5603" w:type="dxa"/>
            <w:shd w:val="clear" w:color="auto" w:fill="auto"/>
          </w:tcPr>
          <w:p w14:paraId="3DBBF318" w14:textId="77777777" w:rsidR="00DD7511" w:rsidRPr="00676EB5" w:rsidRDefault="00DD7511" w:rsidP="00DD7511">
            <w:pPr>
              <w:spacing w:line="360" w:lineRule="auto"/>
              <w:jc w:val="both"/>
              <w:rPr>
                <w:b/>
                <w:bCs/>
                <w:noProof w:val="0"/>
                <w:sz w:val="28"/>
                <w:szCs w:val="28"/>
                <w:rtl/>
              </w:rPr>
            </w:pPr>
            <w:bookmarkStart w:id="1" w:name="FirstAppellant"/>
            <w:bookmarkStart w:id="2" w:name="FirstLawyer"/>
            <w:r w:rsidRPr="00676EB5">
              <w:rPr>
                <w:rFonts w:ascii="Arial" w:hAnsi="Arial" w:hint="cs"/>
                <w:b/>
                <w:bCs/>
                <w:noProof w:val="0"/>
                <w:sz w:val="28"/>
                <w:szCs w:val="28"/>
                <w:rtl/>
              </w:rPr>
              <w:t>מדינת ישראל</w:t>
            </w:r>
          </w:p>
          <w:p w14:paraId="6E69AF97" w14:textId="77777777" w:rsidR="00DD7511" w:rsidRPr="00676EB5" w:rsidRDefault="00DD7511" w:rsidP="00DD7511">
            <w:pPr>
              <w:spacing w:line="360" w:lineRule="auto"/>
              <w:jc w:val="both"/>
              <w:rPr>
                <w:b/>
                <w:bCs/>
                <w:sz w:val="28"/>
                <w:szCs w:val="28"/>
                <w:rtl/>
              </w:rPr>
            </w:pPr>
            <w:r w:rsidRPr="00676EB5">
              <w:rPr>
                <w:rFonts w:hint="cs"/>
                <w:b/>
                <w:bCs/>
                <w:sz w:val="28"/>
                <w:szCs w:val="28"/>
                <w:rtl/>
              </w:rPr>
              <w:t>ע"י ב"כ עו"ד עמית חומרי - נוכח</w:t>
            </w:r>
          </w:p>
        </w:tc>
        <w:tc>
          <w:tcPr>
            <w:tcW w:w="3217" w:type="dxa"/>
            <w:shd w:val="clear" w:color="auto" w:fill="auto"/>
          </w:tcPr>
          <w:p w14:paraId="678225D2" w14:textId="77777777" w:rsidR="00DD7511" w:rsidRPr="00676EB5" w:rsidRDefault="00DD7511" w:rsidP="00DD7511">
            <w:pPr>
              <w:bidi w:val="0"/>
              <w:spacing w:line="360" w:lineRule="auto"/>
              <w:jc w:val="right"/>
              <w:rPr>
                <w:rFonts w:ascii="Arial" w:hAnsi="Arial"/>
                <w:b/>
                <w:bCs/>
                <w:noProof w:val="0"/>
                <w:sz w:val="28"/>
                <w:szCs w:val="28"/>
              </w:rPr>
            </w:pPr>
            <w:r w:rsidRPr="00676EB5">
              <w:rPr>
                <w:rFonts w:ascii="Arial" w:hAnsi="Arial" w:hint="cs"/>
                <w:b/>
                <w:bCs/>
                <w:noProof w:val="0"/>
                <w:sz w:val="28"/>
                <w:szCs w:val="28"/>
                <w:rtl/>
              </w:rPr>
              <w:t>ה</w:t>
            </w:r>
            <w:r w:rsidRPr="00676EB5">
              <w:rPr>
                <w:rFonts w:ascii="Arial" w:hAnsi="Arial"/>
                <w:b/>
                <w:bCs/>
                <w:noProof w:val="0"/>
                <w:sz w:val="28"/>
                <w:szCs w:val="28"/>
                <w:rtl/>
              </w:rPr>
              <w:t>מאשימה</w:t>
            </w:r>
          </w:p>
          <w:p w14:paraId="06F1CDC6" w14:textId="77777777" w:rsidR="00DD7511" w:rsidRPr="00676EB5" w:rsidRDefault="00DD7511" w:rsidP="00DD7511">
            <w:pPr>
              <w:spacing w:line="360" w:lineRule="auto"/>
              <w:jc w:val="both"/>
              <w:rPr>
                <w:b/>
                <w:bCs/>
                <w:noProof w:val="0"/>
                <w:sz w:val="26"/>
                <w:szCs w:val="26"/>
                <w:rtl/>
              </w:rPr>
            </w:pPr>
          </w:p>
        </w:tc>
      </w:tr>
      <w:bookmarkEnd w:id="1"/>
      <w:bookmarkEnd w:id="2"/>
      <w:tr w:rsidR="00DD7511" w:rsidRPr="00676EB5" w14:paraId="0DDF500A" w14:textId="77777777" w:rsidTr="00DD7511">
        <w:trPr>
          <w:jc w:val="center"/>
        </w:trPr>
        <w:tc>
          <w:tcPr>
            <w:tcW w:w="8820" w:type="dxa"/>
            <w:gridSpan w:val="2"/>
            <w:shd w:val="clear" w:color="auto" w:fill="auto"/>
          </w:tcPr>
          <w:p w14:paraId="2C63DB42" w14:textId="77777777" w:rsidR="00DD7511" w:rsidRPr="00676EB5" w:rsidRDefault="00DD7511" w:rsidP="00DD7511">
            <w:pPr>
              <w:spacing w:line="360" w:lineRule="auto"/>
              <w:jc w:val="center"/>
              <w:rPr>
                <w:rFonts w:ascii="Arial" w:hAnsi="Arial"/>
                <w:b/>
                <w:bCs/>
                <w:noProof w:val="0"/>
                <w:sz w:val="28"/>
                <w:szCs w:val="28"/>
              </w:rPr>
            </w:pPr>
            <w:r w:rsidRPr="00676EB5">
              <w:rPr>
                <w:rFonts w:ascii="Arial" w:hAnsi="Arial"/>
                <w:b/>
                <w:bCs/>
                <w:noProof w:val="0"/>
                <w:sz w:val="28"/>
                <w:szCs w:val="28"/>
                <w:rtl/>
              </w:rPr>
              <w:t>נ</w:t>
            </w:r>
            <w:r w:rsidRPr="00676EB5">
              <w:rPr>
                <w:rFonts w:ascii="Arial" w:hAnsi="Arial" w:hint="cs"/>
                <w:b/>
                <w:bCs/>
                <w:noProof w:val="0"/>
                <w:sz w:val="28"/>
                <w:szCs w:val="28"/>
                <w:rtl/>
              </w:rPr>
              <w:t xml:space="preserve"> </w:t>
            </w:r>
            <w:r w:rsidRPr="00676EB5">
              <w:rPr>
                <w:rFonts w:ascii="Arial" w:hAnsi="Arial"/>
                <w:b/>
                <w:bCs/>
                <w:noProof w:val="0"/>
                <w:sz w:val="28"/>
                <w:szCs w:val="28"/>
                <w:rtl/>
              </w:rPr>
              <w:t>ג</w:t>
            </w:r>
            <w:r w:rsidRPr="00676EB5">
              <w:rPr>
                <w:rFonts w:ascii="Arial" w:hAnsi="Arial" w:hint="cs"/>
                <w:b/>
                <w:bCs/>
                <w:noProof w:val="0"/>
                <w:sz w:val="28"/>
                <w:szCs w:val="28"/>
                <w:rtl/>
              </w:rPr>
              <w:t xml:space="preserve"> </w:t>
            </w:r>
            <w:r w:rsidRPr="00676EB5">
              <w:rPr>
                <w:rFonts w:ascii="Arial" w:hAnsi="Arial"/>
                <w:b/>
                <w:bCs/>
                <w:noProof w:val="0"/>
                <w:sz w:val="28"/>
                <w:szCs w:val="28"/>
                <w:rtl/>
              </w:rPr>
              <w:t>ד</w:t>
            </w:r>
          </w:p>
        </w:tc>
      </w:tr>
      <w:tr w:rsidR="00DD7511" w:rsidRPr="00676EB5" w14:paraId="032E4933" w14:textId="77777777" w:rsidTr="00DD7511">
        <w:trPr>
          <w:jc w:val="center"/>
        </w:trPr>
        <w:tc>
          <w:tcPr>
            <w:tcW w:w="5603" w:type="dxa"/>
            <w:shd w:val="clear" w:color="auto" w:fill="auto"/>
          </w:tcPr>
          <w:p w14:paraId="4B0E5A09" w14:textId="77777777" w:rsidR="00DD7511" w:rsidRPr="00676EB5" w:rsidRDefault="00DD7511" w:rsidP="00DD7511">
            <w:pPr>
              <w:spacing w:line="360" w:lineRule="auto"/>
              <w:jc w:val="both"/>
            </w:pPr>
            <w:r w:rsidRPr="00676EB5">
              <w:rPr>
                <w:rFonts w:ascii="Arial" w:hAnsi="Arial" w:hint="cs"/>
                <w:b/>
                <w:bCs/>
                <w:noProof w:val="0"/>
                <w:sz w:val="28"/>
                <w:szCs w:val="28"/>
                <w:rtl/>
              </w:rPr>
              <w:t>ינון קדוש - נוכח</w:t>
            </w:r>
          </w:p>
          <w:p w14:paraId="00A0F346" w14:textId="77777777" w:rsidR="00DD7511" w:rsidRPr="00676EB5" w:rsidRDefault="00DD7511" w:rsidP="00DD7511">
            <w:pPr>
              <w:spacing w:line="360" w:lineRule="auto"/>
              <w:jc w:val="both"/>
              <w:rPr>
                <w:b/>
                <w:bCs/>
                <w:noProof w:val="0"/>
                <w:sz w:val="28"/>
                <w:szCs w:val="28"/>
                <w:rtl/>
              </w:rPr>
            </w:pPr>
            <w:r w:rsidRPr="00676EB5">
              <w:rPr>
                <w:rFonts w:hint="cs"/>
                <w:b/>
                <w:bCs/>
                <w:sz w:val="28"/>
                <w:szCs w:val="28"/>
                <w:rtl/>
              </w:rPr>
              <w:t>ע"י ב"כ עוה"ד חן בן חיים - נוכחת</w:t>
            </w:r>
          </w:p>
        </w:tc>
        <w:tc>
          <w:tcPr>
            <w:tcW w:w="3217" w:type="dxa"/>
            <w:shd w:val="clear" w:color="auto" w:fill="auto"/>
          </w:tcPr>
          <w:p w14:paraId="39A17C67" w14:textId="77777777" w:rsidR="00DD7511" w:rsidRPr="00676EB5" w:rsidRDefault="00DD7511" w:rsidP="00DD7511">
            <w:pPr>
              <w:spacing w:line="360" w:lineRule="auto"/>
              <w:jc w:val="both"/>
              <w:rPr>
                <w:b/>
                <w:bCs/>
                <w:noProof w:val="0"/>
                <w:sz w:val="28"/>
                <w:szCs w:val="28"/>
                <w:rtl/>
              </w:rPr>
            </w:pPr>
            <w:r w:rsidRPr="00676EB5">
              <w:rPr>
                <w:rFonts w:ascii="Arial" w:hAnsi="Arial" w:hint="cs"/>
                <w:b/>
                <w:bCs/>
                <w:noProof w:val="0"/>
                <w:sz w:val="28"/>
                <w:szCs w:val="28"/>
                <w:rtl/>
              </w:rPr>
              <w:t>ה</w:t>
            </w:r>
            <w:r w:rsidRPr="00676EB5">
              <w:rPr>
                <w:rFonts w:ascii="Arial" w:hAnsi="Arial"/>
                <w:b/>
                <w:bCs/>
                <w:noProof w:val="0"/>
                <w:sz w:val="28"/>
                <w:szCs w:val="28"/>
                <w:rtl/>
              </w:rPr>
              <w:t>נאשם</w:t>
            </w:r>
          </w:p>
        </w:tc>
      </w:tr>
    </w:tbl>
    <w:p w14:paraId="21BAD6F0" w14:textId="77777777" w:rsidR="00413457" w:rsidRDefault="00DD7511" w:rsidP="00DD7511">
      <w:pPr>
        <w:spacing w:line="360" w:lineRule="auto"/>
        <w:jc w:val="both"/>
      </w:pPr>
      <w:r w:rsidRPr="00676EB5">
        <w:rPr>
          <w:rtl/>
        </w:rPr>
        <w:tab/>
      </w:r>
    </w:p>
    <w:p w14:paraId="17D46B84" w14:textId="77777777" w:rsidR="003E29AB" w:rsidRPr="003E29AB" w:rsidRDefault="003E29AB" w:rsidP="003E29AB">
      <w:pPr>
        <w:spacing w:after="120" w:line="240" w:lineRule="exact"/>
        <w:ind w:left="283" w:hanging="283"/>
        <w:jc w:val="both"/>
        <w:rPr>
          <w:rFonts w:ascii="FrankRuehl" w:hAnsi="FrankRuehl" w:cs="FrankRuehl"/>
          <w:rtl/>
        </w:rPr>
      </w:pPr>
      <w:r w:rsidRPr="003E29AB">
        <w:rPr>
          <w:rFonts w:ascii="FrankRuehl" w:hAnsi="FrankRuehl" w:cs="FrankRuehl"/>
          <w:rtl/>
        </w:rPr>
        <w:t xml:space="preserve">חקיקה שאוזכרה: </w:t>
      </w:r>
    </w:p>
    <w:p w14:paraId="4B2D6585" w14:textId="77777777" w:rsidR="003E29AB" w:rsidRPr="003E29AB" w:rsidRDefault="003E29AB" w:rsidP="003E29AB">
      <w:pPr>
        <w:spacing w:after="120" w:line="240" w:lineRule="exact"/>
        <w:ind w:left="283" w:hanging="283"/>
        <w:jc w:val="both"/>
        <w:rPr>
          <w:rFonts w:ascii="FrankRuehl" w:hAnsi="FrankRuehl" w:cs="FrankRuehl"/>
          <w:rtl/>
        </w:rPr>
      </w:pPr>
      <w:hyperlink r:id="rId7" w:history="1">
        <w:r w:rsidRPr="003E29AB">
          <w:rPr>
            <w:rFonts w:ascii="FrankRuehl" w:hAnsi="FrankRuehl" w:cs="FrankRuehl"/>
            <w:color w:val="0000FF"/>
            <w:u w:val="single"/>
            <w:rtl/>
          </w:rPr>
          <w:t>פקודת הסמים המסוכנים [נוסח חדש], תשל"ג-1973</w:t>
        </w:r>
      </w:hyperlink>
      <w:r w:rsidRPr="003E29AB">
        <w:rPr>
          <w:rFonts w:ascii="FrankRuehl" w:hAnsi="FrankRuehl" w:cs="FrankRuehl"/>
          <w:rtl/>
        </w:rPr>
        <w:t xml:space="preserve">: סע'  </w:t>
      </w:r>
      <w:hyperlink r:id="rId8" w:history="1">
        <w:r w:rsidRPr="003E29AB">
          <w:rPr>
            <w:rFonts w:ascii="FrankRuehl" w:hAnsi="FrankRuehl" w:cs="FrankRuehl"/>
            <w:color w:val="0000FF"/>
            <w:u w:val="single"/>
            <w:rtl/>
          </w:rPr>
          <w:t>13</w:t>
        </w:r>
      </w:hyperlink>
      <w:r w:rsidRPr="003E29AB">
        <w:rPr>
          <w:rFonts w:ascii="FrankRuehl" w:hAnsi="FrankRuehl" w:cs="FrankRuehl"/>
          <w:rtl/>
        </w:rPr>
        <w:t xml:space="preserve">, </w:t>
      </w:r>
      <w:hyperlink r:id="rId9" w:history="1">
        <w:r w:rsidRPr="003E29AB">
          <w:rPr>
            <w:rFonts w:ascii="FrankRuehl" w:hAnsi="FrankRuehl" w:cs="FrankRuehl"/>
            <w:color w:val="0000FF"/>
            <w:u w:val="single"/>
            <w:rtl/>
          </w:rPr>
          <w:t>19.א</w:t>
        </w:r>
      </w:hyperlink>
    </w:p>
    <w:p w14:paraId="279C6C7F" w14:textId="77777777" w:rsidR="003E29AB" w:rsidRPr="003E29AB" w:rsidRDefault="003E29AB" w:rsidP="003E29AB">
      <w:pPr>
        <w:spacing w:after="120" w:line="240" w:lineRule="exact"/>
        <w:ind w:left="283" w:hanging="283"/>
        <w:jc w:val="both"/>
        <w:rPr>
          <w:rFonts w:ascii="FrankRuehl" w:hAnsi="FrankRuehl" w:cs="FrankRuehl"/>
          <w:rtl/>
        </w:rPr>
      </w:pPr>
      <w:hyperlink r:id="rId10" w:history="1">
        <w:r w:rsidRPr="003E29AB">
          <w:rPr>
            <w:rFonts w:ascii="FrankRuehl" w:hAnsi="FrankRuehl" w:cs="FrankRuehl"/>
            <w:color w:val="0000FF"/>
            <w:u w:val="single"/>
            <w:rtl/>
          </w:rPr>
          <w:t>חוק העונשין, תשל"ז-1977</w:t>
        </w:r>
      </w:hyperlink>
      <w:r w:rsidRPr="003E29AB">
        <w:rPr>
          <w:rFonts w:ascii="FrankRuehl" w:hAnsi="FrankRuehl" w:cs="FrankRuehl"/>
          <w:rtl/>
        </w:rPr>
        <w:t xml:space="preserve">: סע'  </w:t>
      </w:r>
      <w:hyperlink r:id="rId11" w:history="1">
        <w:r w:rsidRPr="003E29AB">
          <w:rPr>
            <w:rFonts w:ascii="FrankRuehl" w:hAnsi="FrankRuehl" w:cs="FrankRuehl"/>
            <w:color w:val="0000FF"/>
            <w:u w:val="single"/>
            <w:rtl/>
          </w:rPr>
          <w:t>25</w:t>
        </w:r>
      </w:hyperlink>
      <w:r w:rsidRPr="003E29AB">
        <w:rPr>
          <w:rFonts w:ascii="FrankRuehl" w:hAnsi="FrankRuehl" w:cs="FrankRuehl"/>
          <w:rtl/>
        </w:rPr>
        <w:t xml:space="preserve">, </w:t>
      </w:r>
      <w:hyperlink r:id="rId12" w:history="1">
        <w:r w:rsidRPr="003E29AB">
          <w:rPr>
            <w:rFonts w:ascii="FrankRuehl" w:hAnsi="FrankRuehl" w:cs="FrankRuehl"/>
            <w:color w:val="0000FF"/>
            <w:u w:val="single"/>
            <w:rtl/>
          </w:rPr>
          <w:t>40ג(א)</w:t>
        </w:r>
      </w:hyperlink>
      <w:r w:rsidRPr="003E29AB">
        <w:rPr>
          <w:rFonts w:ascii="FrankRuehl" w:hAnsi="FrankRuehl" w:cs="FrankRuehl"/>
          <w:rtl/>
        </w:rPr>
        <w:t xml:space="preserve">, </w:t>
      </w:r>
      <w:hyperlink r:id="rId13" w:history="1">
        <w:r w:rsidRPr="003E29AB">
          <w:rPr>
            <w:rFonts w:ascii="FrankRuehl" w:hAnsi="FrankRuehl" w:cs="FrankRuehl"/>
            <w:color w:val="0000FF"/>
            <w:u w:val="single"/>
            <w:rtl/>
          </w:rPr>
          <w:t>40ד(א)</w:t>
        </w:r>
      </w:hyperlink>
      <w:r w:rsidRPr="003E29AB">
        <w:rPr>
          <w:rFonts w:ascii="FrankRuehl" w:hAnsi="FrankRuehl" w:cs="FrankRuehl"/>
          <w:rtl/>
        </w:rPr>
        <w:t xml:space="preserve">, </w:t>
      </w:r>
      <w:hyperlink r:id="rId14" w:history="1">
        <w:r w:rsidRPr="003E29AB">
          <w:rPr>
            <w:rFonts w:ascii="FrankRuehl" w:hAnsi="FrankRuehl" w:cs="FrankRuehl"/>
            <w:color w:val="0000FF"/>
            <w:u w:val="single"/>
            <w:rtl/>
          </w:rPr>
          <w:t>244</w:t>
        </w:r>
      </w:hyperlink>
      <w:r w:rsidRPr="003E29AB">
        <w:rPr>
          <w:rFonts w:ascii="FrankRuehl" w:hAnsi="FrankRuehl" w:cs="FrankRuehl"/>
          <w:rtl/>
        </w:rPr>
        <w:t xml:space="preserve">, </w:t>
      </w:r>
      <w:hyperlink r:id="rId15" w:history="1">
        <w:r w:rsidRPr="003E29AB">
          <w:rPr>
            <w:rFonts w:ascii="FrankRuehl" w:hAnsi="FrankRuehl" w:cs="FrankRuehl"/>
            <w:color w:val="0000FF"/>
            <w:u w:val="single"/>
            <w:rtl/>
          </w:rPr>
          <w:t>40יא</w:t>
        </w:r>
      </w:hyperlink>
      <w:r w:rsidRPr="003E29AB">
        <w:rPr>
          <w:rFonts w:ascii="FrankRuehl" w:hAnsi="FrankRuehl" w:cs="FrankRuehl"/>
          <w:rtl/>
        </w:rPr>
        <w:t xml:space="preserve">, </w:t>
      </w:r>
      <w:hyperlink r:id="rId16" w:history="1">
        <w:r w:rsidRPr="003E29AB">
          <w:rPr>
            <w:rFonts w:ascii="FrankRuehl" w:hAnsi="FrankRuehl" w:cs="FrankRuehl"/>
            <w:color w:val="0000FF"/>
            <w:u w:val="single"/>
            <w:rtl/>
          </w:rPr>
          <w:t>40יא(3)</w:t>
        </w:r>
      </w:hyperlink>
      <w:r w:rsidRPr="003E29AB">
        <w:rPr>
          <w:rFonts w:ascii="FrankRuehl" w:hAnsi="FrankRuehl" w:cs="FrankRuehl"/>
          <w:rtl/>
        </w:rPr>
        <w:t xml:space="preserve">, </w:t>
      </w:r>
      <w:hyperlink r:id="rId17" w:history="1">
        <w:r w:rsidRPr="003E29AB">
          <w:rPr>
            <w:rFonts w:ascii="FrankRuehl" w:hAnsi="FrankRuehl" w:cs="FrankRuehl"/>
            <w:color w:val="0000FF"/>
            <w:u w:val="single"/>
            <w:rtl/>
          </w:rPr>
          <w:t>א'1 לפרק ו'</w:t>
        </w:r>
      </w:hyperlink>
    </w:p>
    <w:p w14:paraId="36FAFB0F" w14:textId="77777777" w:rsidR="003E29AB" w:rsidRPr="003E29AB" w:rsidRDefault="003E29AB" w:rsidP="003E29AB">
      <w:pPr>
        <w:spacing w:after="120" w:line="240" w:lineRule="exact"/>
        <w:ind w:left="283" w:hanging="283"/>
        <w:jc w:val="both"/>
        <w:rPr>
          <w:rFonts w:ascii="FrankRuehl" w:hAnsi="FrankRuehl" w:cs="FrankRuehl"/>
          <w:rtl/>
        </w:rPr>
      </w:pPr>
    </w:p>
    <w:p w14:paraId="557E4DC2" w14:textId="77777777" w:rsidR="003E29AB" w:rsidRDefault="003E29AB" w:rsidP="003E29AB">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6979E71D"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E29AB">
        <w:rPr>
          <w:rFonts w:cs="FrankRuehl"/>
          <w:szCs w:val="26"/>
          <w:rtl/>
        </w:rPr>
        <w:t xml:space="preserve">בית המשפט גזר על הנאשם שהורשע על פי הודאתו בעבירות של אספקת סמים מסוכנים וניסיון שיבוש מהלכי משפט עונש של צו של"צ בהיקף של 500 שעות לצד עונשים נלווים אחרים. בתוך כך, ייחס בית המשפט משקל משמעותי לשיקול השיקום בעניינו של הנאשם. </w:t>
      </w:r>
    </w:p>
    <w:p w14:paraId="04A422FF" w14:textId="77777777" w:rsidR="003E29AB" w:rsidRDefault="003E29AB" w:rsidP="003E29A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27DF53D9" w14:textId="77777777" w:rsidR="003E29AB" w:rsidRDefault="003E29AB" w:rsidP="003E29A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שיקום</w:t>
      </w:r>
    </w:p>
    <w:p w14:paraId="3DA0830D" w14:textId="77777777" w:rsidR="003E29AB" w:rsidRDefault="003E29AB" w:rsidP="003E29A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1D04DAF"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sidRPr="003E29AB">
        <w:rPr>
          <w:rFonts w:cs="FrankRuehl"/>
          <w:szCs w:val="26"/>
          <w:rtl/>
        </w:rPr>
        <w:t>בית המשפט נדרש לגזור את דינו של הנאשם שהורשע במסגרת הסדר טיעון בעבירות של אספקת סמים מסוכנים וניסיון שיבוש מהלכי משפט. על פי כתב האישום בו הודה הנאשם, הוא סיפק סמים "קלים" לקטינים בשתי הזדמנויות שונות.</w:t>
      </w:r>
    </w:p>
    <w:p w14:paraId="3F4102BF" w14:textId="77777777" w:rsidR="003E29AB" w:rsidRPr="003E29AB" w:rsidRDefault="003E29AB" w:rsidP="003E29A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C1340DD"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sidRPr="003E29AB">
        <w:rPr>
          <w:rFonts w:cs="FrankRuehl"/>
          <w:szCs w:val="26"/>
          <w:rtl/>
        </w:rPr>
        <w:t>בית המשפט פסק כלהלן:</w:t>
      </w:r>
    </w:p>
    <w:p w14:paraId="49AC3234"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sidRPr="003E29AB">
        <w:rPr>
          <w:rFonts w:cs="FrankRuehl"/>
          <w:szCs w:val="26"/>
          <w:rtl/>
        </w:rPr>
        <w:t>יש לקבוע מתחם עונש אחד בגין מכלול מעשיו של הנאשם. יש לקבוע כי קיים "קשר הדוק" בין מכלול העבירות, והתבוננות על כל אחת מהן כעל אירוע נפרד, תהא מלאכותית במידה רבה.</w:t>
      </w:r>
    </w:p>
    <w:p w14:paraId="6E0EDF83"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sidRPr="003E29AB">
        <w:rPr>
          <w:rFonts w:cs="FrankRuehl"/>
          <w:szCs w:val="26"/>
          <w:rtl/>
        </w:rPr>
        <w:t xml:space="preserve">אין דינו של אדם המספק סמים לאחר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 </w:t>
      </w:r>
    </w:p>
    <w:p w14:paraId="4BA190A3"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sidRPr="003E29AB">
        <w:rPr>
          <w:rFonts w:cs="FrankRuehl"/>
          <w:szCs w:val="26"/>
          <w:rtl/>
        </w:rPr>
        <w:lastRenderedPageBreak/>
        <w:t xml:space="preserve">במקרה הנדון, מצויה מידת הפגיעה בערכים המוגנים ברף בינוני. בגין מכלול מעשיו של הנאשם ינוע מתחם העונש ההולם בין מספר חודשי מאסר בודדים שיכול וירוצו בעבודות שירות לבין 12 חודשי מאסר בפועל. </w:t>
      </w:r>
    </w:p>
    <w:p w14:paraId="1036945C" w14:textId="77777777" w:rsidR="003E29AB" w:rsidRPr="003E29AB" w:rsidRDefault="003E29AB" w:rsidP="003E29AB">
      <w:pPr>
        <w:pBdr>
          <w:top w:val="single" w:sz="4" w:space="1" w:color="auto"/>
          <w:bottom w:val="single" w:sz="4" w:space="1" w:color="auto"/>
        </w:pBdr>
        <w:spacing w:after="120" w:line="320" w:lineRule="exact"/>
        <w:jc w:val="both"/>
        <w:rPr>
          <w:rFonts w:cs="FrankRuehl"/>
          <w:szCs w:val="26"/>
          <w:rtl/>
        </w:rPr>
      </w:pPr>
      <w:r w:rsidRPr="003E29AB">
        <w:rPr>
          <w:rFonts w:cs="FrankRuehl"/>
          <w:szCs w:val="26"/>
          <w:rtl/>
        </w:rPr>
        <w:t xml:space="preserve">התנהלותו של הנאשם מלמדת, כי למצער קיים סיכוי של ממש כי הוא ישתקם בעתיד בצורה מלאה ובאופן מוחלט. בנסיבותיו של מקרה זה, ניתן ללכת לקראתו ולבכר את שיקול השיקום בעניינו. על כן, יש להימנע מלהשית על הנאשם עונש מאסר. </w:t>
      </w:r>
    </w:p>
    <w:p w14:paraId="18E64A6B" w14:textId="77777777" w:rsidR="00DD7511" w:rsidRPr="00676EB5" w:rsidRDefault="00DD7511" w:rsidP="00413457">
      <w:pPr>
        <w:pStyle w:val="1"/>
        <w:spacing w:before="0" w:line="360" w:lineRule="auto"/>
        <w:ind w:left="360"/>
        <w:jc w:val="both"/>
        <w:rPr>
          <w:rFonts w:cs="David" w:hint="cs"/>
          <w:b/>
          <w:bCs/>
          <w:color w:val="auto"/>
          <w:sz w:val="28"/>
          <w:szCs w:val="28"/>
        </w:rPr>
      </w:pPr>
      <w:bookmarkStart w:id="5" w:name="ABSTRACT_END"/>
      <w:bookmarkEnd w:id="5"/>
    </w:p>
    <w:tbl>
      <w:tblPr>
        <w:bidiVisual/>
        <w:tblW w:w="8820" w:type="dxa"/>
        <w:jc w:val="center"/>
        <w:tblLook w:val="01E0" w:firstRow="1" w:lastRow="1" w:firstColumn="1" w:lastColumn="1" w:noHBand="0" w:noVBand="0"/>
      </w:tblPr>
      <w:tblGrid>
        <w:gridCol w:w="8820"/>
      </w:tblGrid>
      <w:tr w:rsidR="00DD7511" w:rsidRPr="00B20945" w14:paraId="7F0FD792" w14:textId="77777777" w:rsidTr="00DD7511">
        <w:trPr>
          <w:jc w:val="center"/>
        </w:trPr>
        <w:tc>
          <w:tcPr>
            <w:tcW w:w="8820" w:type="dxa"/>
            <w:shd w:val="clear" w:color="auto" w:fill="auto"/>
          </w:tcPr>
          <w:p w14:paraId="55C198CD" w14:textId="77777777" w:rsidR="00DD7511" w:rsidRPr="00676EB5" w:rsidRDefault="00676EB5" w:rsidP="00676EB5">
            <w:pPr>
              <w:bidi w:val="0"/>
              <w:spacing w:line="360" w:lineRule="auto"/>
              <w:jc w:val="center"/>
              <w:rPr>
                <w:rFonts w:ascii="Arial" w:hAnsi="Arial"/>
                <w:b/>
                <w:bCs/>
                <w:noProof w:val="0"/>
                <w:sz w:val="32"/>
                <w:szCs w:val="32"/>
                <w:u w:val="single"/>
              </w:rPr>
            </w:pPr>
            <w:bookmarkStart w:id="6" w:name="PsakDin" w:colFirst="0" w:colLast="0"/>
            <w:r w:rsidRPr="00676EB5">
              <w:rPr>
                <w:rFonts w:ascii="Arial" w:hAnsi="Arial"/>
                <w:b/>
                <w:bCs/>
                <w:noProof w:val="0"/>
                <w:sz w:val="32"/>
                <w:szCs w:val="32"/>
                <w:u w:val="single"/>
                <w:rtl/>
              </w:rPr>
              <w:t>גזר דין</w:t>
            </w:r>
          </w:p>
        </w:tc>
      </w:tr>
    </w:tbl>
    <w:bookmarkEnd w:id="6"/>
    <w:p w14:paraId="1DCDF9D9" w14:textId="77777777" w:rsidR="00DD7511" w:rsidRPr="002919D1" w:rsidRDefault="00DD7511" w:rsidP="00DD7511">
      <w:pPr>
        <w:pStyle w:val="1"/>
        <w:numPr>
          <w:ilvl w:val="0"/>
          <w:numId w:val="1"/>
        </w:numPr>
        <w:spacing w:before="0" w:line="360" w:lineRule="auto"/>
        <w:ind w:left="360"/>
        <w:jc w:val="both"/>
        <w:rPr>
          <w:rFonts w:cs="David"/>
          <w:b/>
          <w:bCs/>
          <w:color w:val="auto"/>
          <w:sz w:val="28"/>
          <w:szCs w:val="28"/>
          <w:u w:val="single"/>
          <w:rtl/>
        </w:rPr>
      </w:pPr>
      <w:r w:rsidRPr="002919D1">
        <w:rPr>
          <w:rFonts w:cs="David" w:hint="cs"/>
          <w:b/>
          <w:bCs/>
          <w:color w:val="auto"/>
          <w:sz w:val="28"/>
          <w:szCs w:val="28"/>
          <w:u w:val="single"/>
          <w:rtl/>
        </w:rPr>
        <w:t>רקע עובדתי</w:t>
      </w:r>
    </w:p>
    <w:p w14:paraId="01F6AC6A" w14:textId="77777777" w:rsidR="00DD7511" w:rsidRPr="00B20945" w:rsidRDefault="00DD7511" w:rsidP="00DD7511">
      <w:pPr>
        <w:pStyle w:val="ListParagraph"/>
        <w:numPr>
          <w:ilvl w:val="0"/>
          <w:numId w:val="2"/>
        </w:numPr>
        <w:spacing w:after="0"/>
        <w:ind w:left="-58" w:right="0" w:hanging="992"/>
      </w:pPr>
      <w:r w:rsidRPr="00B20945">
        <w:rPr>
          <w:rFonts w:hint="cs"/>
          <w:rtl/>
        </w:rPr>
        <w:t xml:space="preserve">על פי הנטען בחלק הכללי לכתב האישום, בין הנאשם לבין א.ד, קטין יליד 2001, הכרות מוקדמת; ובין הנאשם לאבי עצר היכרות מוקדמת. על פי הנטען בכתב האישום, כחודש וחצי עובר ליום 08.01.2018, בסמוך לבית הספר אמי"ת באשקלון, פנתה מ.ג קטינה ילידת שנת 2000 (להלן: "הקטינה"), לקטין אחר ושאלה אותו האם יש לו משהו לעשן. בתגובה לכך השיב לה הקטין בחיוב והתקשר לנאשם.       מיד ובסמוך, הגיע הנאשם לשער בית הספר, מסר לקטין סם מסוכן מסוג חשיש במשקל של 0.58 גרם נטו ועזב את המקום. בשלב זה, מסר הקטין את הסם לקטינה וזאת בתמורה לסך של 50 ₪, אותם העביר לנאשם. </w:t>
      </w:r>
    </w:p>
    <w:p w14:paraId="6F4102EC" w14:textId="77777777" w:rsidR="00DD7511" w:rsidRPr="00B20945" w:rsidRDefault="00DD7511" w:rsidP="00DD7511">
      <w:pPr>
        <w:pStyle w:val="ListParagraph"/>
        <w:spacing w:after="0"/>
        <w:ind w:left="-58" w:firstLine="0"/>
        <w:rPr>
          <w:rtl/>
        </w:rPr>
      </w:pPr>
      <w:r w:rsidRPr="00B20945">
        <w:rPr>
          <w:rFonts w:hint="cs"/>
          <w:rtl/>
        </w:rPr>
        <w:t>עוד נטען, כי כחודשיים עובר ליום 08.01.2018, התקשר י.ס קטין נוסף (להלן: "האחר"), לקטין ושאל אותו "אם יש לחבר שלו". בתגובה השיב לו הקטין כי הוא יבקש ממנו ויביא לו.</w:t>
      </w:r>
    </w:p>
    <w:p w14:paraId="2C19FC38" w14:textId="77777777" w:rsidR="00DD7511" w:rsidRPr="00B20945" w:rsidRDefault="00DD7511" w:rsidP="00DD7511">
      <w:pPr>
        <w:pStyle w:val="ListParagraph"/>
        <w:spacing w:after="0"/>
        <w:ind w:left="-58" w:firstLine="0"/>
        <w:rPr>
          <w:rtl/>
        </w:rPr>
      </w:pPr>
      <w:r w:rsidRPr="00B20945">
        <w:rPr>
          <w:rFonts w:hint="cs"/>
          <w:rtl/>
        </w:rPr>
        <w:t xml:space="preserve">בהמשך לכך, נפגשו הקטין והאחר בשכונת שיכונים באשקלון שם מסר הקטין לאחר סם מסוכן מסוג גראס, במשקל שאינו ידוע למאשימה, אותו קיבל מהנאשם בתמורה של 50 ₪, אותם העביר הקטין לנאשם. </w:t>
      </w:r>
    </w:p>
    <w:p w14:paraId="7BEDAAB6" w14:textId="77777777" w:rsidR="00DD7511" w:rsidRPr="00B20945" w:rsidRDefault="00DD7511" w:rsidP="00DD7511">
      <w:pPr>
        <w:pStyle w:val="ListParagraph"/>
        <w:spacing w:after="0"/>
        <w:ind w:left="-58" w:firstLine="0"/>
        <w:rPr>
          <w:rtl/>
        </w:rPr>
      </w:pPr>
      <w:r w:rsidRPr="00B20945">
        <w:rPr>
          <w:rFonts w:hint="cs"/>
          <w:rtl/>
        </w:rPr>
        <w:t xml:space="preserve">עוד נטען, כי ביום 08.01.2018 בסמוך לשעה 23:00, בתחנת המשטרה באשקלון, לאחר שהנאשם התבקש להביא את מכשיר הטלפון הנייד שלו למשטרה, ניסה הנאשם לשבש הליכי חקירה בכך שמסר לאביו במהלך שיחת טלפון בינם בנוגע למכשיר, את הקוד הסודי של המכשיר באומרו לאביו: "צריך לפרמט לנקות צריך לנקות שמה מאחורה בגינה... לא שמה כאילו בטלפון". </w:t>
      </w:r>
    </w:p>
    <w:p w14:paraId="67BAF510" w14:textId="77777777" w:rsidR="00DD7511" w:rsidRPr="00B20945" w:rsidRDefault="00DD7511" w:rsidP="00DD7511">
      <w:pPr>
        <w:pStyle w:val="ListParagraph"/>
        <w:numPr>
          <w:ilvl w:val="0"/>
          <w:numId w:val="2"/>
        </w:numPr>
        <w:spacing w:after="0"/>
        <w:ind w:left="-58" w:right="0" w:hanging="567"/>
      </w:pPr>
      <w:r w:rsidRPr="00B20945">
        <w:rPr>
          <w:rFonts w:hint="cs"/>
          <w:b/>
          <w:bCs/>
          <w:rtl/>
        </w:rPr>
        <w:t>בגין אלה הורשע הנאשם בעבירות של אספקת סמים מסוכנים וניסיון שיבוש מהלכי משפט</w:t>
      </w:r>
      <w:r w:rsidRPr="00B20945">
        <w:rPr>
          <w:rFonts w:hint="cs"/>
          <w:rtl/>
        </w:rPr>
        <w:t xml:space="preserve">, לפי סעיפים </w:t>
      </w:r>
      <w:hyperlink r:id="rId18" w:history="1">
        <w:r w:rsidR="00413457" w:rsidRPr="00413457">
          <w:rPr>
            <w:color w:val="0000FF"/>
            <w:u w:val="single"/>
            <w:rtl/>
          </w:rPr>
          <w:t xml:space="preserve">13 </w:t>
        </w:r>
        <w:r w:rsidR="00413457" w:rsidRPr="00413457">
          <w:rPr>
            <w:rFonts w:hint="cs"/>
            <w:color w:val="0000FF"/>
            <w:u w:val="single"/>
            <w:rtl/>
          </w:rPr>
          <w:t>ו</w:t>
        </w:r>
        <w:r w:rsidR="00413457" w:rsidRPr="00413457">
          <w:rPr>
            <w:color w:val="0000FF"/>
            <w:u w:val="single"/>
            <w:rtl/>
          </w:rPr>
          <w:t>- 19</w:t>
        </w:r>
        <w:r w:rsidR="00413457" w:rsidRPr="00413457">
          <w:rPr>
            <w:rFonts w:hint="cs"/>
            <w:color w:val="0000FF"/>
            <w:u w:val="single"/>
            <w:rtl/>
          </w:rPr>
          <w:t>א</w:t>
        </w:r>
      </w:hyperlink>
      <w:r w:rsidRPr="00B20945">
        <w:rPr>
          <w:rFonts w:hint="cs"/>
          <w:rtl/>
        </w:rPr>
        <w:t xml:space="preserve"> ל</w:t>
      </w:r>
      <w:hyperlink r:id="rId19" w:history="1">
        <w:r w:rsidR="00676EB5" w:rsidRPr="00676EB5">
          <w:rPr>
            <w:rFonts w:hint="cs"/>
            <w:color w:val="0000FF"/>
            <w:u w:val="single"/>
            <w:rtl/>
          </w:rPr>
          <w:t>פקודת</w:t>
        </w:r>
        <w:r w:rsidR="00676EB5" w:rsidRPr="00676EB5">
          <w:rPr>
            <w:color w:val="0000FF"/>
            <w:u w:val="single"/>
            <w:rtl/>
          </w:rPr>
          <w:t xml:space="preserve"> </w:t>
        </w:r>
        <w:r w:rsidR="00676EB5" w:rsidRPr="00676EB5">
          <w:rPr>
            <w:rFonts w:hint="cs"/>
            <w:color w:val="0000FF"/>
            <w:u w:val="single"/>
            <w:rtl/>
          </w:rPr>
          <w:t>הסמים</w:t>
        </w:r>
        <w:r w:rsidR="00676EB5" w:rsidRPr="00676EB5">
          <w:rPr>
            <w:color w:val="0000FF"/>
            <w:u w:val="single"/>
            <w:rtl/>
          </w:rPr>
          <w:t xml:space="preserve"> </w:t>
        </w:r>
        <w:r w:rsidR="00676EB5" w:rsidRPr="00676EB5">
          <w:rPr>
            <w:rFonts w:hint="cs"/>
            <w:color w:val="0000FF"/>
            <w:u w:val="single"/>
            <w:rtl/>
          </w:rPr>
          <w:t>המסוכנים</w:t>
        </w:r>
      </w:hyperlink>
      <w:r w:rsidRPr="00B20945">
        <w:rPr>
          <w:rFonts w:hint="cs"/>
          <w:rtl/>
        </w:rPr>
        <w:t xml:space="preserve"> [נוסח חדש], התשל"ג-1973 (להלן: </w:t>
      </w:r>
      <w:r w:rsidRPr="00B20945">
        <w:rPr>
          <w:rFonts w:hint="cs"/>
          <w:b/>
          <w:bCs/>
          <w:rtl/>
        </w:rPr>
        <w:t>"פקודת הסמים", "הפקודה"</w:t>
      </w:r>
      <w:r w:rsidRPr="00B20945">
        <w:rPr>
          <w:rFonts w:hint="cs"/>
          <w:rtl/>
        </w:rPr>
        <w:t xml:space="preserve">) ו- סעיפים </w:t>
      </w:r>
      <w:hyperlink r:id="rId20" w:history="1">
        <w:r w:rsidR="00413457" w:rsidRPr="00413457">
          <w:rPr>
            <w:color w:val="0000FF"/>
            <w:u w:val="single"/>
            <w:rtl/>
          </w:rPr>
          <w:t>244 +25</w:t>
        </w:r>
      </w:hyperlink>
      <w:r w:rsidRPr="00B20945">
        <w:rPr>
          <w:rFonts w:hint="cs"/>
          <w:rtl/>
        </w:rPr>
        <w:t xml:space="preserve"> ל</w:t>
      </w:r>
      <w:hyperlink r:id="rId21" w:history="1">
        <w:r w:rsidR="00676EB5" w:rsidRPr="00676EB5">
          <w:rPr>
            <w:rFonts w:hint="cs"/>
            <w:color w:val="0000FF"/>
            <w:u w:val="single"/>
            <w:rtl/>
          </w:rPr>
          <w:t>חוק</w:t>
        </w:r>
        <w:r w:rsidR="00676EB5" w:rsidRPr="00676EB5">
          <w:rPr>
            <w:color w:val="0000FF"/>
            <w:u w:val="single"/>
            <w:rtl/>
          </w:rPr>
          <w:t xml:space="preserve"> </w:t>
        </w:r>
        <w:r w:rsidR="00676EB5" w:rsidRPr="00676EB5">
          <w:rPr>
            <w:rFonts w:hint="cs"/>
            <w:color w:val="0000FF"/>
            <w:u w:val="single"/>
            <w:rtl/>
          </w:rPr>
          <w:t>העונשין</w:t>
        </w:r>
      </w:hyperlink>
      <w:r w:rsidRPr="00B20945">
        <w:rPr>
          <w:rFonts w:hint="cs"/>
          <w:rtl/>
        </w:rPr>
        <w:t xml:space="preserve">, התשל"ז- 1977 (להלן: </w:t>
      </w:r>
      <w:r w:rsidRPr="00B20945">
        <w:rPr>
          <w:rFonts w:hint="cs"/>
          <w:b/>
          <w:bCs/>
          <w:rtl/>
        </w:rPr>
        <w:t>"חוק העונשי</w:t>
      </w:r>
      <w:r w:rsidRPr="00B20945">
        <w:rPr>
          <w:rFonts w:hint="cs"/>
          <w:rtl/>
        </w:rPr>
        <w:t xml:space="preserve">ן"). </w:t>
      </w:r>
    </w:p>
    <w:p w14:paraId="0A5844DA" w14:textId="77777777" w:rsidR="00DD7511" w:rsidRPr="00B20945" w:rsidRDefault="00DD7511" w:rsidP="00DD7511">
      <w:pPr>
        <w:pStyle w:val="ListParagraph"/>
        <w:numPr>
          <w:ilvl w:val="0"/>
          <w:numId w:val="2"/>
        </w:numPr>
        <w:spacing w:after="0"/>
        <w:ind w:left="-58" w:right="0" w:hanging="567"/>
        <w:rPr>
          <w:rtl/>
        </w:rPr>
      </w:pPr>
      <w:r w:rsidRPr="00B20945">
        <w:rPr>
          <w:rFonts w:hint="cs"/>
          <w:rtl/>
        </w:rPr>
        <w:t xml:space="preserve">הצדדים לא הגיעו להסדר בעניין העונש אך הוסכם כי הנאשם יופנה לשירות המבחן על מנת שיתקבל תסקיר בעניינו. כן הוסכם, כי כל צד יהיה רשאי לטעון לעניין העונש כראות עיניו. </w:t>
      </w:r>
    </w:p>
    <w:p w14:paraId="77561118" w14:textId="77777777" w:rsidR="00DD7511" w:rsidRPr="00B20945" w:rsidRDefault="00DD7511" w:rsidP="00DD7511">
      <w:pPr>
        <w:pStyle w:val="ListParagraph"/>
        <w:numPr>
          <w:ilvl w:val="0"/>
          <w:numId w:val="2"/>
        </w:numPr>
        <w:spacing w:after="0"/>
        <w:ind w:left="-58" w:right="0" w:hanging="567"/>
      </w:pPr>
      <w:r w:rsidRPr="00B20945">
        <w:rPr>
          <w:rFonts w:hint="cs"/>
          <w:rtl/>
        </w:rPr>
        <w:t xml:space="preserve">בעניינו של הנאשם התקבלו שני תסקירים מאת שירות המבחן. בתסקירים, עמד שירות המבחן, בין היתר, על רקעו האישי והמשפחתי של הנאשם, נסיבות חייו, ההיסטוריה העבריינית שלו, יחסו לעבירות שבמוקד כתב האישום המתוקן, ועוד. מטעמים של צנעת הפרט לא אעלה עלי גזר הדין את כל המפורט בתסקירים אלה, לבד מלציין כי הנאשם קיבל אחריות מלאה על ביצוע העבירות, והביע חרטה על מעורבותו בפלילים. שירות המבחן התרשם מכך שניכר כי הנאשם מעוניין לערוך שינוי בדפוסיו המכשילים שעמדו ברקע למעורבותו בעבירות שמוקד כתב האישום. בהמשך, העריך שירות </w:t>
      </w:r>
      <w:r w:rsidRPr="00B20945">
        <w:rPr>
          <w:rFonts w:hint="cs"/>
          <w:rtl/>
        </w:rPr>
        <w:lastRenderedPageBreak/>
        <w:t>המבחן כי מהנאשם נשקף סיכון להישנות התנהגות פרוצת גבולות, אך סבר כי המשך טיפול עשוי להפחית מסוכנות זו.</w:t>
      </w:r>
    </w:p>
    <w:p w14:paraId="3BDAC4DF" w14:textId="77777777" w:rsidR="00DD7511" w:rsidRPr="00B20945" w:rsidRDefault="00DD7511" w:rsidP="00DD7511">
      <w:pPr>
        <w:pStyle w:val="ListParagraph"/>
        <w:spacing w:after="0"/>
        <w:ind w:left="-58" w:firstLine="0"/>
        <w:rPr>
          <w:rtl/>
        </w:rPr>
      </w:pPr>
      <w:r w:rsidRPr="00B20945">
        <w:rPr>
          <w:rFonts w:hint="cs"/>
          <w:rtl/>
        </w:rPr>
        <w:t xml:space="preserve">לבסוף, לאחר ששירות המבחן שקל את מכלול השיקולים הרלוונטיים, ובכלל זה את העובדה כי הנאשם הבין את חומרת מעשיו ומביע צער על כך; את התרשמותו כי ההליכים הפליליים המתנהלים כנגדו מהווים עבורו גורם מרתיע; גילו הצעיר; ושיתוף הפעולה המלא שלו עם ההליך הטיפולי והמוטיבציה שהביע להמשיך בטיפול זה, המליץ שירות המבחן ליתן עדיפות לשיקול השיקום. </w:t>
      </w:r>
    </w:p>
    <w:p w14:paraId="52BF824A" w14:textId="77777777" w:rsidR="00DD7511" w:rsidRPr="00B20945" w:rsidRDefault="00DD7511" w:rsidP="00DD7511">
      <w:pPr>
        <w:pStyle w:val="ListParagraph"/>
        <w:spacing w:after="0"/>
        <w:ind w:left="-58" w:firstLine="0"/>
        <w:rPr>
          <w:rtl/>
        </w:rPr>
      </w:pPr>
      <w:r w:rsidRPr="00B20945">
        <w:rPr>
          <w:rFonts w:hint="cs"/>
          <w:rtl/>
        </w:rPr>
        <w:t xml:space="preserve">לאור אלה, בא שירות המבחן בהמלצה להשית על הנאשם ענישה בדמות 300 שעות של"צ; צו מבחן;  ומאסר מותנה. </w:t>
      </w:r>
    </w:p>
    <w:p w14:paraId="17F64493" w14:textId="77777777" w:rsidR="00DD7511" w:rsidRDefault="00DD7511" w:rsidP="00DD7511">
      <w:pPr>
        <w:pStyle w:val="ListParagraph"/>
        <w:numPr>
          <w:ilvl w:val="0"/>
          <w:numId w:val="2"/>
        </w:numPr>
        <w:spacing w:after="0"/>
        <w:ind w:left="-58" w:right="0" w:hanging="283"/>
      </w:pPr>
      <w:r w:rsidRPr="00B20945">
        <w:rPr>
          <w:rFonts w:hint="cs"/>
          <w:b/>
          <w:bCs/>
          <w:rtl/>
        </w:rPr>
        <w:t>מחוות דעת הממונה על עבודות השירות</w:t>
      </w:r>
      <w:r w:rsidRPr="00B20945">
        <w:rPr>
          <w:rFonts w:hint="cs"/>
          <w:rtl/>
        </w:rPr>
        <w:t>, אשר התקבלה ביום 20.11.2018, עולה כי הנאשם מתאים לביצוע עבודות שירות.</w:t>
      </w:r>
    </w:p>
    <w:p w14:paraId="5DB18043" w14:textId="77777777" w:rsidR="00DD7511" w:rsidRPr="00B20945" w:rsidRDefault="00DD7511" w:rsidP="00DD7511">
      <w:pPr>
        <w:pStyle w:val="ListParagraph"/>
        <w:spacing w:after="0"/>
        <w:ind w:left="-58" w:firstLine="0"/>
      </w:pPr>
    </w:p>
    <w:p w14:paraId="7D926167" w14:textId="77777777" w:rsidR="00DD7511" w:rsidRPr="002919D1" w:rsidRDefault="00DD7511" w:rsidP="00DD7511">
      <w:pPr>
        <w:pStyle w:val="1"/>
        <w:numPr>
          <w:ilvl w:val="0"/>
          <w:numId w:val="3"/>
        </w:numPr>
        <w:spacing w:before="0" w:line="360" w:lineRule="auto"/>
        <w:ind w:left="360"/>
        <w:jc w:val="both"/>
        <w:rPr>
          <w:rFonts w:cs="David"/>
          <w:b/>
          <w:bCs/>
          <w:color w:val="auto"/>
          <w:sz w:val="28"/>
          <w:szCs w:val="28"/>
          <w:u w:val="single"/>
        </w:rPr>
      </w:pPr>
      <w:r w:rsidRPr="002919D1">
        <w:rPr>
          <w:rFonts w:cs="David" w:hint="cs"/>
          <w:b/>
          <w:bCs/>
          <w:color w:val="auto"/>
          <w:sz w:val="28"/>
          <w:szCs w:val="28"/>
          <w:u w:val="single"/>
          <w:rtl/>
        </w:rPr>
        <w:t>טיעוני הצדדים (עיקרי הדברים)</w:t>
      </w:r>
    </w:p>
    <w:p w14:paraId="73AFAF2A" w14:textId="77777777" w:rsidR="00DD7511" w:rsidRPr="00B20945" w:rsidRDefault="00DD7511" w:rsidP="00DD7511">
      <w:pPr>
        <w:pStyle w:val="ListParagraph"/>
        <w:numPr>
          <w:ilvl w:val="0"/>
          <w:numId w:val="2"/>
        </w:numPr>
        <w:spacing w:after="0"/>
        <w:ind w:left="-58" w:right="0" w:hanging="283"/>
      </w:pPr>
      <w:r w:rsidRPr="00B20945">
        <w:rPr>
          <w:rFonts w:hint="cs"/>
          <w:rtl/>
        </w:rPr>
        <w:t xml:space="preserve">באת כוח המאשימה עמדה על חומרת מעשיו של הנאשם, על הערכים המוגנים שנפגעו כתוצאה מהם ועל הצורך להחמיר בענישתם של מספקי הסמים. הלה הפנתה לפסיקה של בתי המשפט השונים, ועתרה לקבוע מתחם כולל הנע בין 6 ל- 12 חודשי מאסר. </w:t>
      </w:r>
    </w:p>
    <w:p w14:paraId="35DFDD1D" w14:textId="77777777" w:rsidR="00DD7511" w:rsidRPr="00B20945" w:rsidRDefault="00DD7511" w:rsidP="00DD7511">
      <w:pPr>
        <w:pStyle w:val="ListParagraph"/>
        <w:spacing w:after="0"/>
        <w:ind w:left="-58" w:firstLine="0"/>
      </w:pPr>
      <w:r w:rsidRPr="00B20945">
        <w:rPr>
          <w:rFonts w:hint="cs"/>
          <w:rtl/>
        </w:rPr>
        <w:t>בשים לב לשיתוף הפעולה של הנאשם עם ההליך הטיפולי, עתרה באת כוח המאשימה להשית על הנאשם עונש בדמות 6 חודשי עבודות שירות; מאסרים מותנים; קנס גבוה; התחייבות; פסילת רישיון נהיגה בפועל ופסילת רישיון נהיגה על תנאי.</w:t>
      </w:r>
    </w:p>
    <w:p w14:paraId="683268F1" w14:textId="77777777" w:rsidR="00DD7511" w:rsidRPr="00B20945" w:rsidRDefault="00DD7511" w:rsidP="00DD7511">
      <w:pPr>
        <w:pStyle w:val="ListParagraph"/>
        <w:numPr>
          <w:ilvl w:val="0"/>
          <w:numId w:val="2"/>
        </w:numPr>
        <w:spacing w:after="0"/>
        <w:ind w:left="-58" w:right="0" w:hanging="283"/>
      </w:pPr>
      <w:r w:rsidRPr="00B20945">
        <w:rPr>
          <w:rFonts w:hint="cs"/>
          <w:rtl/>
        </w:rPr>
        <w:t xml:space="preserve">מנגד, באת כוח הנאשם טענה כי מידת הפגיעה של הנאשם בערכים המוגנים, מצויה ברף נמוך. אשר לעבירת הספקת הסמים, נטען כי המדובר בכמות סם קטנה שנמכרה בתמורה לסכום שאיננו גבוה. </w:t>
      </w:r>
    </w:p>
    <w:p w14:paraId="70F0C35C" w14:textId="77777777" w:rsidR="00DD7511" w:rsidRPr="00B20945" w:rsidRDefault="00DD7511" w:rsidP="00DD7511">
      <w:pPr>
        <w:pStyle w:val="ListParagraph"/>
        <w:spacing w:after="0"/>
        <w:ind w:left="-58" w:firstLine="0"/>
      </w:pPr>
      <w:r w:rsidRPr="00B20945">
        <w:rPr>
          <w:rFonts w:hint="cs"/>
          <w:rtl/>
        </w:rPr>
        <w:t xml:space="preserve">כמו כן, ההגנה הפנתה למאפייניו החיוביים של הנאשם ותמכה דבריה באסופת מסמכים </w:t>
      </w:r>
      <w:r w:rsidRPr="00B20945">
        <w:rPr>
          <w:rFonts w:hint="cs"/>
          <w:b/>
          <w:bCs/>
          <w:rtl/>
        </w:rPr>
        <w:t>(נ/1),</w:t>
      </w:r>
      <w:r w:rsidRPr="00B20945">
        <w:rPr>
          <w:rFonts w:hint="cs"/>
          <w:rtl/>
        </w:rPr>
        <w:t xml:space="preserve">  ובכלל זה הפנתה ההגנה לעברו הפלילי הבלתי מכביד, לגילו הצעיר, ולעובדה כי הלה הודה במיוחס לו וקיבל אחריות על מעשיו. לבסוף, ולאחר שהפנתה גם למצבו הנפשי, לטראומה שנגרמה לנאשם כתוצאה ממעצרו, להליך הטיפולי שעבר, ולכך שמאז שחרורו מהמעצר הוא לא השתמש בסמים ולא הסתבך עוד בפלילים, עתרה באת כוח הנאשם שלא לפגוע בנאשם ובתעסוקתו (שאף היא מהווה קריטריון חשוב בשיקומו), ולסטות לקולא מהמתחם שהציגה המאשימה משיקולי שיקום ולהשית על הנאשם הענישה שהומלצה על ידי שירות המבחן. </w:t>
      </w:r>
    </w:p>
    <w:p w14:paraId="5F838A25" w14:textId="77777777" w:rsidR="00DD7511" w:rsidRPr="00B20945" w:rsidRDefault="00DD7511" w:rsidP="00DD7511">
      <w:pPr>
        <w:pStyle w:val="ListParagraph"/>
        <w:numPr>
          <w:ilvl w:val="0"/>
          <w:numId w:val="2"/>
        </w:numPr>
        <w:spacing w:after="0"/>
        <w:ind w:left="-58" w:right="0" w:hanging="283"/>
        <w:rPr>
          <w:rtl/>
        </w:rPr>
      </w:pPr>
      <w:r w:rsidRPr="00B20945">
        <w:rPr>
          <w:rFonts w:hint="cs"/>
          <w:rtl/>
        </w:rPr>
        <w:t xml:space="preserve">הנאשם אשר קיבל את "זכות המילה האחרונה", הביע חרטה על מעשיו תוך שמסר כי הוא מבין שעשה טעות וכי הוא הבין את המסר. הנאשם אף סיפר אודות ההליך הטיפולי שעבר, וטען כי נתרם מכך. לבסוף, הנאשם הביע את תקוותו כי בית המשפט יתחשב בו ויאפשר לו להמשיך את הקשר הטיפולי עם שירות המבחן וישית עליו עבודות של"צ על מנת שהדבר לא יפגע בתעסוקתו. </w:t>
      </w:r>
    </w:p>
    <w:p w14:paraId="545792AB" w14:textId="77777777" w:rsidR="00DD7511" w:rsidRDefault="00DD7511" w:rsidP="00DD7511">
      <w:pPr>
        <w:pStyle w:val="1"/>
        <w:spacing w:before="0" w:line="360" w:lineRule="auto"/>
        <w:jc w:val="both"/>
        <w:rPr>
          <w:rFonts w:cs="David"/>
          <w:color w:val="auto"/>
          <w:rtl/>
        </w:rPr>
      </w:pPr>
      <w:r w:rsidRPr="00B20945">
        <w:rPr>
          <w:rFonts w:cs="David" w:hint="cs"/>
          <w:color w:val="auto"/>
          <w:rtl/>
        </w:rPr>
        <w:t xml:space="preserve">  </w:t>
      </w:r>
    </w:p>
    <w:p w14:paraId="3EA2932C" w14:textId="77777777" w:rsidR="00DD7511" w:rsidRPr="00B20945" w:rsidRDefault="00DD7511" w:rsidP="00DD7511">
      <w:pPr>
        <w:pStyle w:val="1"/>
        <w:spacing w:before="0" w:line="360" w:lineRule="auto"/>
        <w:jc w:val="both"/>
        <w:rPr>
          <w:rFonts w:cs="David"/>
          <w:b/>
          <w:bCs/>
          <w:color w:val="auto"/>
          <w:u w:val="single"/>
          <w:rtl/>
        </w:rPr>
      </w:pPr>
      <w:r w:rsidRPr="00B20945">
        <w:rPr>
          <w:rFonts w:cs="David" w:hint="cs"/>
          <w:color w:val="auto"/>
          <w:rtl/>
        </w:rPr>
        <w:t xml:space="preserve">                                            </w:t>
      </w:r>
      <w:r w:rsidRPr="00B20945">
        <w:rPr>
          <w:rFonts w:cs="David" w:hint="cs"/>
          <w:b/>
          <w:bCs/>
          <w:color w:val="auto"/>
          <w:u w:val="single"/>
          <w:rtl/>
        </w:rPr>
        <w:t>דיון והכרעה</w:t>
      </w:r>
    </w:p>
    <w:p w14:paraId="7DF4CBC8" w14:textId="77777777" w:rsidR="00DD7511" w:rsidRPr="00FA35A2" w:rsidRDefault="00DD7511" w:rsidP="00DD7511">
      <w:pPr>
        <w:pStyle w:val="1"/>
        <w:spacing w:before="0" w:line="360" w:lineRule="auto"/>
        <w:jc w:val="both"/>
        <w:rPr>
          <w:rFonts w:cs="David"/>
          <w:bCs/>
          <w:color w:val="auto"/>
          <w:sz w:val="22"/>
          <w:szCs w:val="22"/>
          <w:u w:val="single"/>
          <w:rtl/>
        </w:rPr>
      </w:pPr>
      <w:r w:rsidRPr="00FA35A2">
        <w:rPr>
          <w:rFonts w:cs="David" w:hint="cs"/>
          <w:bCs/>
          <w:color w:val="auto"/>
          <w:sz w:val="24"/>
          <w:szCs w:val="28"/>
          <w:u w:val="single"/>
          <w:rtl/>
        </w:rPr>
        <w:t>קביעת מתחם העונש ההולם</w:t>
      </w:r>
      <w:r w:rsidRPr="00FA35A2">
        <w:rPr>
          <w:rFonts w:cs="David" w:hint="cs"/>
          <w:bCs/>
          <w:color w:val="auto"/>
          <w:sz w:val="22"/>
          <w:szCs w:val="22"/>
          <w:u w:val="single"/>
          <w:rtl/>
        </w:rPr>
        <w:t xml:space="preserve"> </w:t>
      </w:r>
    </w:p>
    <w:p w14:paraId="333ABED4" w14:textId="77777777" w:rsidR="00DD7511" w:rsidRPr="00B20945" w:rsidRDefault="00DD7511" w:rsidP="00DD7511">
      <w:pPr>
        <w:pStyle w:val="ListParagraph"/>
        <w:numPr>
          <w:ilvl w:val="0"/>
          <w:numId w:val="2"/>
        </w:numPr>
        <w:spacing w:after="0"/>
        <w:ind w:left="84" w:right="0"/>
        <w:rPr>
          <w:rtl/>
        </w:rPr>
      </w:pPr>
      <w:r w:rsidRPr="00B20945">
        <w:rPr>
          <w:rFonts w:eastAsia="Times New Roman" w:hint="cs"/>
          <w:rtl/>
        </w:rPr>
        <w:t xml:space="preserve">בסימן </w:t>
      </w:r>
      <w:hyperlink r:id="rId22" w:history="1">
        <w:r w:rsidR="00413457" w:rsidRPr="00413457">
          <w:rPr>
            <w:rFonts w:eastAsia="Times New Roman" w:hint="eastAsia"/>
            <w:color w:val="0000FF"/>
            <w:u w:val="single"/>
            <w:rtl/>
          </w:rPr>
          <w:t>א</w:t>
        </w:r>
        <w:r w:rsidR="00413457" w:rsidRPr="00413457">
          <w:rPr>
            <w:rFonts w:eastAsia="Times New Roman"/>
            <w:color w:val="0000FF"/>
            <w:u w:val="single"/>
            <w:rtl/>
          </w:rPr>
          <w:t xml:space="preserve">'1 </w:t>
        </w:r>
        <w:r w:rsidR="00413457" w:rsidRPr="00413457">
          <w:rPr>
            <w:rFonts w:eastAsia="Times New Roman" w:hint="eastAsia"/>
            <w:color w:val="0000FF"/>
            <w:u w:val="single"/>
            <w:rtl/>
          </w:rPr>
          <w:t>לפרק</w:t>
        </w:r>
        <w:r w:rsidR="00413457" w:rsidRPr="00413457">
          <w:rPr>
            <w:rFonts w:eastAsia="Times New Roman"/>
            <w:color w:val="0000FF"/>
            <w:u w:val="single"/>
            <w:rtl/>
          </w:rPr>
          <w:t xml:space="preserve"> </w:t>
        </w:r>
        <w:r w:rsidR="00413457" w:rsidRPr="00413457">
          <w:rPr>
            <w:rFonts w:eastAsia="Times New Roman" w:hint="eastAsia"/>
            <w:color w:val="0000FF"/>
            <w:u w:val="single"/>
            <w:rtl/>
          </w:rPr>
          <w:t>ו</w:t>
        </w:r>
        <w:r w:rsidR="00413457" w:rsidRPr="00413457">
          <w:rPr>
            <w:rFonts w:eastAsia="Times New Roman"/>
            <w:color w:val="0000FF"/>
            <w:u w:val="single"/>
            <w:rtl/>
          </w:rPr>
          <w:t>'</w:t>
        </w:r>
      </w:hyperlink>
      <w:r w:rsidRPr="00B20945">
        <w:rPr>
          <w:rFonts w:eastAsia="Times New Roman" w:hint="cs"/>
          <w:rtl/>
        </w:rPr>
        <w:t xml:space="preserve"> ב</w:t>
      </w:r>
      <w:hyperlink r:id="rId23" w:history="1">
        <w:r w:rsidR="00676EB5" w:rsidRPr="00676EB5">
          <w:rPr>
            <w:rFonts w:eastAsia="Times New Roman" w:hint="eastAsia"/>
            <w:color w:val="0000FF"/>
            <w:u w:val="single"/>
            <w:rtl/>
          </w:rPr>
          <w:t>חוק</w:t>
        </w:r>
        <w:r w:rsidR="00676EB5" w:rsidRPr="00676EB5">
          <w:rPr>
            <w:rFonts w:eastAsia="Times New Roman"/>
            <w:color w:val="0000FF"/>
            <w:u w:val="single"/>
            <w:rtl/>
          </w:rPr>
          <w:t xml:space="preserve"> </w:t>
        </w:r>
        <w:r w:rsidR="00676EB5" w:rsidRPr="00676EB5">
          <w:rPr>
            <w:rFonts w:eastAsia="Times New Roman" w:hint="eastAsia"/>
            <w:color w:val="0000FF"/>
            <w:u w:val="single"/>
            <w:rtl/>
          </w:rPr>
          <w:t>העונשין</w:t>
        </w:r>
      </w:hyperlink>
      <w:r w:rsidRPr="00B20945">
        <w:rPr>
          <w:rFonts w:eastAsia="Times New Roman" w:hint="cs"/>
          <w:rtl/>
        </w:rPr>
        <w:t xml:space="preserve">, אשר הוסף לחוק העונשין במסגרת תיקון מס' 113, נקבע </w:t>
      </w:r>
      <w:r w:rsidRPr="00B20945">
        <w:rPr>
          <w:rFonts w:eastAsia="Times New Roman" w:hint="cs"/>
          <w:b/>
          <w:bCs/>
          <w:rtl/>
        </w:rPr>
        <w:t>עקרון ההלימה</w:t>
      </w:r>
      <w:r w:rsidRPr="00B20945">
        <w:rPr>
          <w:rFonts w:eastAsia="Times New Roman" w:hint="cs"/>
          <w:rtl/>
        </w:rPr>
        <w:t xml:space="preserve"> כעקרון המנחה בענישה. לאמור, ניתן משקל בכורה לשיקולי גמול, ונקבע כי בראש ובראשונה על העונש להלום את חומרת העבירה בנסיבותיה ואת מידת אשמו של הנאשם. </w:t>
      </w:r>
    </w:p>
    <w:p w14:paraId="6FB79890" w14:textId="77777777" w:rsidR="00DD7511" w:rsidRPr="00B20945" w:rsidRDefault="00DD7511" w:rsidP="00DD7511">
      <w:pPr>
        <w:pStyle w:val="ListParagraph"/>
        <w:numPr>
          <w:ilvl w:val="0"/>
          <w:numId w:val="2"/>
        </w:numPr>
        <w:spacing w:after="0"/>
        <w:ind w:left="84" w:right="0" w:hanging="425"/>
      </w:pPr>
      <w:r w:rsidRPr="00B20945">
        <w:rPr>
          <w:rFonts w:hint="cs"/>
          <w:rtl/>
        </w:rPr>
        <w:t xml:space="preserve">ראשית חוכמה יצוין, כי מצאתי לקבוע מתחם עונש אחד בגין מכלול מעשיו של הנאשם, בשים לב ל"מבחן הקשר ההדוק" וליתר מבחני העזר אשר נקבעו לעניין זה בפסיקתו של בית המשפט העליון (ראו למשל, דעת הרוב </w:t>
      </w:r>
      <w:r w:rsidRPr="00B20945">
        <w:rPr>
          <w:rFonts w:hint="cs"/>
          <w:u w:val="single"/>
          <w:rtl/>
        </w:rPr>
        <w:t>ב</w:t>
      </w:r>
      <w:hyperlink r:id="rId24"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4910/13</w:t>
        </w:r>
      </w:hyperlink>
      <w:r w:rsidRPr="00B20945">
        <w:rPr>
          <w:rFonts w:hint="cs"/>
          <w:rtl/>
        </w:rPr>
        <w:t xml:space="preserve"> ‏</w:t>
      </w:r>
      <w:r w:rsidRPr="00B20945">
        <w:rPr>
          <w:rFonts w:hint="cs"/>
          <w:b/>
          <w:bCs/>
          <w:rtl/>
        </w:rPr>
        <w:t>אחמד בני ג'אבר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(29.10.2014); </w:t>
      </w:r>
      <w:hyperlink r:id="rId25"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1261/15</w:t>
        </w:r>
      </w:hyperlink>
      <w:r w:rsidRPr="00B20945">
        <w:rPr>
          <w:rFonts w:hint="cs"/>
          <w:rtl/>
        </w:rPr>
        <w:t xml:space="preserve"> </w:t>
      </w:r>
      <w:r w:rsidRPr="00B20945">
        <w:rPr>
          <w:rFonts w:hint="cs"/>
          <w:b/>
          <w:bCs/>
          <w:rtl/>
        </w:rPr>
        <w:t>יוסף דלאל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(03.09.2015); </w:t>
      </w:r>
      <w:hyperlink r:id="rId26"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3164/14</w:t>
        </w:r>
      </w:hyperlink>
      <w:r w:rsidRPr="00B20945">
        <w:rPr>
          <w:rFonts w:hint="cs"/>
          <w:rtl/>
        </w:rPr>
        <w:t xml:space="preserve"> </w:t>
      </w:r>
      <w:r w:rsidRPr="00B20945">
        <w:rPr>
          <w:rFonts w:hint="cs"/>
          <w:b/>
          <w:bCs/>
          <w:rtl/>
        </w:rPr>
        <w:t>גיא פן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(29.06.2015)). </w:t>
      </w:r>
      <w:r w:rsidRPr="00B20945">
        <w:rPr>
          <w:rFonts w:eastAsia="Times New Roman" w:hint="cs"/>
          <w:rtl/>
        </w:rPr>
        <w:t xml:space="preserve">זאת משום שבענייננו, ניתן להשקיף על כלל העבירות כמסכת עבריינית אחת מתמשכת. כך גם, העבירות בוצעו בסמיכות של מקום וזמן, כאשר בין עבירה לעבירה מפרידים לכל היותר </w:t>
      </w:r>
      <w:r w:rsidRPr="00B20945">
        <w:rPr>
          <w:rFonts w:hint="cs"/>
          <w:rtl/>
        </w:rPr>
        <w:t>כמה שבועות בודדים</w:t>
      </w:r>
      <w:r w:rsidRPr="00B20945">
        <w:rPr>
          <w:rFonts w:eastAsia="Times New Roman" w:hint="cs"/>
          <w:rtl/>
        </w:rPr>
        <w:t>. אשר על כן, יש לקבוע כי קיים "קשר הדוק" בין מכלול העבירות, והתבוננות על כל אחת מהן כעל אירוע נפרד, תהא מלאכותית במידה רבה</w:t>
      </w:r>
      <w:r w:rsidRPr="00B20945">
        <w:rPr>
          <w:rFonts w:hint="cs"/>
          <w:rtl/>
        </w:rPr>
        <w:t xml:space="preserve"> (ראו והשוו בעניין זה פסק דינו של בית המשפט המחוזי בבאר שבע </w:t>
      </w:r>
      <w:r w:rsidRPr="00B20945">
        <w:rPr>
          <w:rFonts w:hint="cs"/>
          <w:u w:val="single"/>
          <w:rtl/>
        </w:rPr>
        <w:t>ב</w:t>
      </w:r>
      <w:hyperlink r:id="rId27" w:history="1">
        <w:r w:rsidR="00676EB5" w:rsidRPr="00676EB5">
          <w:rPr>
            <w:rFonts w:hint="cs"/>
            <w:color w:val="0000FF"/>
            <w:u w:val="single"/>
            <w:rtl/>
          </w:rPr>
          <w:t>תפ</w:t>
        </w:r>
        <w:r w:rsidR="00676EB5" w:rsidRPr="00676EB5">
          <w:rPr>
            <w:color w:val="0000FF"/>
            <w:u w:val="single"/>
            <w:rtl/>
          </w:rPr>
          <w:t>"</w:t>
        </w:r>
        <w:r w:rsidR="00676EB5" w:rsidRPr="00676EB5">
          <w:rPr>
            <w:rFonts w:hint="cs"/>
            <w:color w:val="0000FF"/>
            <w:u w:val="single"/>
            <w:rtl/>
          </w:rPr>
          <w:t>ח</w:t>
        </w:r>
        <w:r w:rsidR="00676EB5" w:rsidRPr="00676EB5">
          <w:rPr>
            <w:color w:val="0000FF"/>
            <w:u w:val="single"/>
            <w:rtl/>
          </w:rPr>
          <w:t xml:space="preserve"> (</w:t>
        </w:r>
        <w:r w:rsidR="00676EB5" w:rsidRPr="00676EB5">
          <w:rPr>
            <w:rFonts w:hint="cs"/>
            <w:color w:val="0000FF"/>
            <w:u w:val="single"/>
            <w:rtl/>
          </w:rPr>
          <w:t>מחוזי</w:t>
        </w:r>
        <w:r w:rsidR="00676EB5" w:rsidRPr="00676EB5">
          <w:rPr>
            <w:color w:val="0000FF"/>
            <w:u w:val="single"/>
            <w:rtl/>
          </w:rPr>
          <w:t xml:space="preserve"> </w:t>
        </w:r>
        <w:r w:rsidR="00676EB5" w:rsidRPr="00676EB5">
          <w:rPr>
            <w:rFonts w:hint="cs"/>
            <w:color w:val="0000FF"/>
            <w:u w:val="single"/>
            <w:rtl/>
          </w:rPr>
          <w:t>באר</w:t>
        </w:r>
        <w:r w:rsidR="00676EB5" w:rsidRPr="00676EB5">
          <w:rPr>
            <w:color w:val="0000FF"/>
            <w:u w:val="single"/>
            <w:rtl/>
          </w:rPr>
          <w:t xml:space="preserve"> </w:t>
        </w:r>
        <w:r w:rsidR="00676EB5" w:rsidRPr="00676EB5">
          <w:rPr>
            <w:rFonts w:hint="cs"/>
            <w:color w:val="0000FF"/>
            <w:u w:val="single"/>
            <w:rtl/>
          </w:rPr>
          <w:t>שבע</w:t>
        </w:r>
        <w:r w:rsidR="00676EB5" w:rsidRPr="00676EB5">
          <w:rPr>
            <w:color w:val="0000FF"/>
            <w:u w:val="single"/>
            <w:rtl/>
          </w:rPr>
          <w:t>) 7848-04-10</w:t>
        </w:r>
      </w:hyperlink>
      <w:r w:rsidRPr="00B20945">
        <w:rPr>
          <w:rFonts w:hint="cs"/>
          <w:rtl/>
        </w:rPr>
        <w:t xml:space="preserve"> </w:t>
      </w:r>
      <w:r w:rsidRPr="00B20945">
        <w:rPr>
          <w:rFonts w:hint="cs"/>
          <w:b/>
          <w:bCs/>
          <w:rtl/>
        </w:rPr>
        <w:t>מדינת ישראל נ' קרלוס דלמר</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(28.07.2015), שם אמנם לצד עבירות אלימות דובר גם בעבירות מין שבוצעו בתוך המשפחה, אך הרציונל העומד מאחורי הדברים בסוגיה הנדונה כאן, יפה גם לענייננו).</w:t>
      </w:r>
    </w:p>
    <w:p w14:paraId="7164CC70" w14:textId="77777777" w:rsidR="00DD7511" w:rsidRPr="00B20945" w:rsidRDefault="00DD7511" w:rsidP="00DD7511">
      <w:pPr>
        <w:pStyle w:val="ListParagraph"/>
        <w:spacing w:after="0"/>
        <w:ind w:left="84"/>
      </w:pPr>
      <w:r w:rsidRPr="00B20945">
        <w:rPr>
          <w:rFonts w:hint="cs"/>
          <w:rtl/>
        </w:rPr>
        <w:t xml:space="preserve">      לצד האמור ועל כל פנים, בטרם קביעת מתחם העונש ההולם, בית המשפט יזהיר את עצמו שמא מעשה עבירה זה או אחר "ייבלע" במכלול האירועים, כך שהנאשם לא ייענש בגינו, וכל מעשה יזכה להתייחסות ראויה ונפרדת בעת הליך גזירת העונש (ראו והשוו דבריו של בית המשפט המחוזי </w:t>
      </w:r>
      <w:r w:rsidRPr="00B20945">
        <w:rPr>
          <w:rFonts w:hint="cs"/>
          <w:u w:val="single"/>
          <w:rtl/>
        </w:rPr>
        <w:t>ב</w:t>
      </w:r>
      <w:hyperlink r:id="rId28" w:history="1">
        <w:r w:rsidR="00676EB5" w:rsidRPr="00676EB5">
          <w:rPr>
            <w:rFonts w:hint="cs"/>
            <w:color w:val="0000FF"/>
            <w:u w:val="single"/>
            <w:rtl/>
          </w:rPr>
          <w:t>עפ</w:t>
        </w:r>
        <w:r w:rsidR="00676EB5" w:rsidRPr="00676EB5">
          <w:rPr>
            <w:color w:val="0000FF"/>
            <w:u w:val="single"/>
            <w:rtl/>
          </w:rPr>
          <w:t>"</w:t>
        </w:r>
        <w:r w:rsidR="00676EB5" w:rsidRPr="00676EB5">
          <w:rPr>
            <w:rFonts w:hint="cs"/>
            <w:color w:val="0000FF"/>
            <w:u w:val="single"/>
            <w:rtl/>
          </w:rPr>
          <w:t>ג</w:t>
        </w:r>
        <w:r w:rsidR="00676EB5" w:rsidRPr="00676EB5">
          <w:rPr>
            <w:color w:val="0000FF"/>
            <w:u w:val="single"/>
            <w:rtl/>
          </w:rPr>
          <w:t xml:space="preserve"> (</w:t>
        </w:r>
        <w:r w:rsidR="00676EB5" w:rsidRPr="00676EB5">
          <w:rPr>
            <w:rFonts w:hint="cs"/>
            <w:color w:val="0000FF"/>
            <w:u w:val="single"/>
            <w:rtl/>
          </w:rPr>
          <w:t>מחוזי</w:t>
        </w:r>
        <w:r w:rsidR="00676EB5" w:rsidRPr="00676EB5">
          <w:rPr>
            <w:color w:val="0000FF"/>
            <w:u w:val="single"/>
            <w:rtl/>
          </w:rPr>
          <w:t xml:space="preserve"> </w:t>
        </w:r>
        <w:r w:rsidR="00676EB5" w:rsidRPr="00676EB5">
          <w:rPr>
            <w:rFonts w:hint="cs"/>
            <w:color w:val="0000FF"/>
            <w:u w:val="single"/>
            <w:rtl/>
          </w:rPr>
          <w:t>באר</w:t>
        </w:r>
        <w:r w:rsidR="00676EB5" w:rsidRPr="00676EB5">
          <w:rPr>
            <w:color w:val="0000FF"/>
            <w:u w:val="single"/>
            <w:rtl/>
          </w:rPr>
          <w:t xml:space="preserve"> </w:t>
        </w:r>
        <w:r w:rsidR="00676EB5" w:rsidRPr="00676EB5">
          <w:rPr>
            <w:rFonts w:hint="cs"/>
            <w:color w:val="0000FF"/>
            <w:u w:val="single"/>
            <w:rtl/>
          </w:rPr>
          <w:t>שבע</w:t>
        </w:r>
        <w:r w:rsidR="00676EB5" w:rsidRPr="00676EB5">
          <w:rPr>
            <w:color w:val="0000FF"/>
            <w:u w:val="single"/>
            <w:rtl/>
          </w:rPr>
          <w:t>) 39844-08-13</w:t>
        </w:r>
      </w:hyperlink>
      <w:r w:rsidRPr="00B20945">
        <w:rPr>
          <w:rFonts w:hint="cs"/>
          <w:rtl/>
        </w:rPr>
        <w:t xml:space="preserve"> </w:t>
      </w:r>
      <w:r w:rsidRPr="00B20945">
        <w:rPr>
          <w:rFonts w:hint="cs"/>
          <w:b/>
          <w:bCs/>
          <w:rtl/>
        </w:rPr>
        <w:t>מדינת ישראל נ' פאיז אבו רקייק</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(26.12.2013)).</w:t>
      </w:r>
    </w:p>
    <w:p w14:paraId="4303D5E7" w14:textId="77777777" w:rsidR="00DD7511" w:rsidRPr="00B20945" w:rsidRDefault="00DD7511" w:rsidP="00DD7511">
      <w:pPr>
        <w:pStyle w:val="11"/>
        <w:numPr>
          <w:ilvl w:val="0"/>
          <w:numId w:val="2"/>
        </w:numPr>
        <w:tabs>
          <w:tab w:val="left" w:pos="1133"/>
        </w:tabs>
        <w:spacing w:after="0"/>
        <w:ind w:left="84" w:right="0" w:hanging="425"/>
        <w:rPr>
          <w:rtl/>
        </w:rPr>
      </w:pPr>
      <w:r w:rsidRPr="00B20945">
        <w:rPr>
          <w:rFonts w:hint="cs"/>
          <w:rtl/>
        </w:rPr>
        <w:t>לאור האמור, ובהתאם למתווה גזירת הדין שאומץ בתיקון 113 ל</w:t>
      </w:r>
      <w:hyperlink r:id="rId29" w:history="1">
        <w:r w:rsidR="00676EB5" w:rsidRPr="00676EB5">
          <w:rPr>
            <w:rStyle w:val="Hyperlink"/>
            <w:rtl/>
          </w:rPr>
          <w:t>חוק העונשין</w:t>
        </w:r>
      </w:hyperlink>
      <w:r w:rsidRPr="00B20945">
        <w:rPr>
          <w:rFonts w:hint="cs"/>
          <w:rtl/>
        </w:rPr>
        <w:t xml:space="preserve"> ופורש לאחר מכן בפסיקתו של בית המשפט העליון (ראו למשל: </w:t>
      </w:r>
      <w:hyperlink r:id="rId30" w:history="1">
        <w:r w:rsidR="00676EB5" w:rsidRPr="00676EB5">
          <w:rPr>
            <w:rStyle w:val="Hyperlink"/>
            <w:rtl/>
          </w:rPr>
          <w:t>ע"פ 8641/12</w:t>
        </w:r>
      </w:hyperlink>
      <w:r w:rsidRPr="00B20945">
        <w:rPr>
          <w:rFonts w:hint="cs"/>
          <w:rtl/>
        </w:rPr>
        <w:t xml:space="preserve"> </w:t>
      </w:r>
      <w:r w:rsidRPr="00B20945">
        <w:rPr>
          <w:rFonts w:hint="cs"/>
          <w:b/>
          <w:bCs/>
          <w:rtl/>
        </w:rPr>
        <w:t>מוחמד סעד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(05.08.2013)), אקבע תחילה את מתחם העונש ההולם; ולאחר מכן אגזור את העונש המתאים לנאשם, תוך בחינה שמא יש מקום במקרה הנדון לסטות לקולא מהמתחם שייקבע. </w:t>
      </w:r>
    </w:p>
    <w:p w14:paraId="0531EA72" w14:textId="77777777" w:rsidR="00DD7511" w:rsidRDefault="00DD7511" w:rsidP="00DD7511">
      <w:pPr>
        <w:pStyle w:val="ListParagraph"/>
        <w:numPr>
          <w:ilvl w:val="0"/>
          <w:numId w:val="2"/>
        </w:numPr>
        <w:spacing w:after="0"/>
        <w:ind w:left="84" w:right="0" w:hanging="425"/>
      </w:pPr>
      <w:r w:rsidRPr="00B20945">
        <w:rPr>
          <w:rFonts w:hint="cs"/>
          <w:rtl/>
        </w:rPr>
        <w:t xml:space="preserve">לגופו של עניין, כאמור </w:t>
      </w:r>
      <w:hyperlink r:id="rId31" w:history="1">
        <w:r w:rsidR="00413457" w:rsidRPr="00413457">
          <w:rPr>
            <w:rFonts w:hint="cs"/>
            <w:color w:val="0000FF"/>
            <w:u w:val="single"/>
            <w:rtl/>
          </w:rPr>
          <w:t>בסעיף</w:t>
        </w:r>
        <w:r w:rsidR="00413457" w:rsidRPr="00413457">
          <w:rPr>
            <w:color w:val="0000FF"/>
            <w:u w:val="single"/>
            <w:rtl/>
          </w:rPr>
          <w:t xml:space="preserve"> 40</w:t>
        </w:r>
        <w:r w:rsidR="00413457" w:rsidRPr="00413457">
          <w:rPr>
            <w:rFonts w:hint="cs"/>
            <w:color w:val="0000FF"/>
            <w:u w:val="single"/>
            <w:rtl/>
          </w:rPr>
          <w:t>ג</w:t>
        </w:r>
        <w:r w:rsidR="00413457" w:rsidRPr="00413457">
          <w:rPr>
            <w:color w:val="0000FF"/>
            <w:u w:val="single"/>
            <w:rtl/>
          </w:rPr>
          <w:t>(</w:t>
        </w:r>
        <w:r w:rsidR="00413457" w:rsidRPr="00413457">
          <w:rPr>
            <w:rFonts w:hint="cs"/>
            <w:color w:val="0000FF"/>
            <w:u w:val="single"/>
            <w:rtl/>
          </w:rPr>
          <w:t>א</w:t>
        </w:r>
        <w:r w:rsidR="00413457" w:rsidRPr="00413457">
          <w:rPr>
            <w:color w:val="0000FF"/>
            <w:u w:val="single"/>
            <w:rtl/>
          </w:rPr>
          <w:t>)</w:t>
        </w:r>
      </w:hyperlink>
      <w:r w:rsidRPr="00B20945">
        <w:rPr>
          <w:rFonts w:hint="cs"/>
          <w:rtl/>
        </w:rPr>
        <w:t xml:space="preserve"> </w:t>
      </w:r>
      <w:r w:rsidRPr="00B20945">
        <w:rPr>
          <w:rFonts w:hint="cs"/>
          <w:u w:val="single"/>
          <w:rtl/>
        </w:rPr>
        <w:t>ל</w:t>
      </w:r>
      <w:hyperlink r:id="rId32" w:history="1">
        <w:r w:rsidR="00676EB5" w:rsidRPr="00676EB5">
          <w:rPr>
            <w:rFonts w:hint="cs"/>
            <w:color w:val="0000FF"/>
            <w:u w:val="single"/>
            <w:rtl/>
          </w:rPr>
          <w:t>חוק</w:t>
        </w:r>
        <w:r w:rsidR="00676EB5" w:rsidRPr="00676EB5">
          <w:rPr>
            <w:color w:val="0000FF"/>
            <w:u w:val="single"/>
            <w:rtl/>
          </w:rPr>
          <w:t xml:space="preserve"> </w:t>
        </w:r>
        <w:r w:rsidR="00676EB5" w:rsidRPr="00676EB5">
          <w:rPr>
            <w:rFonts w:hint="cs"/>
            <w:color w:val="0000FF"/>
            <w:u w:val="single"/>
            <w:rtl/>
          </w:rPr>
          <w:t>העונשין</w:t>
        </w:r>
      </w:hyperlink>
      <w:r w:rsidRPr="00B20945">
        <w:rPr>
          <w:rFonts w:hint="cs"/>
          <w:u w:val="single"/>
          <w:rtl/>
        </w:rPr>
        <w:t>,</w:t>
      </w:r>
      <w:r w:rsidRPr="00B20945">
        <w:rPr>
          <w:rFonts w:hint="cs"/>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66FBBDA0" w14:textId="77777777" w:rsidR="00DD7511" w:rsidRPr="00FA35A2" w:rsidRDefault="00DD7511" w:rsidP="00DD7511">
      <w:pPr>
        <w:pStyle w:val="ListParagraph"/>
        <w:spacing w:after="0"/>
        <w:ind w:left="84" w:right="946" w:firstLine="0"/>
        <w:rPr>
          <w:b/>
          <w:bCs/>
          <w:sz w:val="28"/>
          <w:szCs w:val="28"/>
          <w:u w:val="single"/>
          <w:rtl/>
        </w:rPr>
      </w:pPr>
    </w:p>
    <w:p w14:paraId="62A69564" w14:textId="77777777" w:rsidR="00DD7511" w:rsidRPr="00945848" w:rsidRDefault="00DD7511" w:rsidP="00DD7511">
      <w:pPr>
        <w:pStyle w:val="ListParagraph"/>
        <w:spacing w:after="0"/>
        <w:ind w:left="84" w:right="946" w:firstLine="0"/>
        <w:rPr>
          <w:b/>
          <w:bCs/>
          <w:sz w:val="28"/>
          <w:szCs w:val="28"/>
          <w:u w:val="single"/>
        </w:rPr>
      </w:pPr>
      <w:r w:rsidRPr="00945848">
        <w:rPr>
          <w:rFonts w:hint="cs"/>
          <w:b/>
          <w:bCs/>
          <w:sz w:val="28"/>
          <w:szCs w:val="28"/>
          <w:u w:val="single"/>
          <w:rtl/>
        </w:rPr>
        <w:t>הערכים החברתיים המוגנים ומידת הפגיעה בהם</w:t>
      </w:r>
    </w:p>
    <w:p w14:paraId="2BBDF73E" w14:textId="77777777" w:rsidR="00DD7511" w:rsidRPr="00945848" w:rsidRDefault="00DD7511" w:rsidP="00DD7511">
      <w:pPr>
        <w:pStyle w:val="ListParagraph"/>
        <w:numPr>
          <w:ilvl w:val="0"/>
          <w:numId w:val="2"/>
        </w:numPr>
        <w:spacing w:after="0"/>
        <w:ind w:left="84" w:right="0" w:hanging="425"/>
      </w:pPr>
      <w:r w:rsidRPr="00945848">
        <w:rPr>
          <w:rFonts w:ascii="Times New Roman" w:eastAsia="Times New Roman" w:hAnsi="Times New Roman" w:hint="cs"/>
          <w:rtl/>
        </w:rPr>
        <w:t>באשר</w:t>
      </w:r>
      <w:r w:rsidRPr="00945848">
        <w:rPr>
          <w:rFonts w:ascii="Times New Roman" w:eastAsia="Times New Roman" w:hAnsi="Times New Roman" w:hint="cs"/>
          <w:b/>
          <w:bCs/>
          <w:rtl/>
        </w:rPr>
        <w:t xml:space="preserve"> לערכים החברתיים המוגנים</w:t>
      </w:r>
      <w:r w:rsidRPr="00945848">
        <w:rPr>
          <w:rFonts w:ascii="Times New Roman" w:eastAsia="Times New Roman" w:hAnsi="Times New Roman" w:hint="cs"/>
          <w:rtl/>
        </w:rPr>
        <w:t xml:space="preserve"> אשר נפגעו כתוצאה ממעשיו של הנאשם בכל הנוגע </w:t>
      </w:r>
      <w:r w:rsidRPr="00945848">
        <w:rPr>
          <w:rFonts w:ascii="Times New Roman" w:eastAsia="Times New Roman" w:hAnsi="Times New Roman" w:hint="cs"/>
          <w:b/>
          <w:bCs/>
          <w:rtl/>
        </w:rPr>
        <w:t>לעבירת הסמים,</w:t>
      </w:r>
      <w:r w:rsidRPr="00945848">
        <w:rPr>
          <w:rFonts w:ascii="Times New Roman" w:eastAsia="Times New Roman" w:hAnsi="Times New Roman" w:hint="cs"/>
          <w:rtl/>
        </w:rPr>
        <w:t xml:space="preserve"> נדמה כי אין צורך להכביר מילים אודות החומרה הרבה הכרוכה בעבירות הסמים. </w:t>
      </w:r>
      <w:hyperlink r:id="rId33" w:history="1">
        <w:r w:rsidR="00676EB5" w:rsidRPr="00676EB5">
          <w:rPr>
            <w:rFonts w:ascii="Times New Roman" w:eastAsia="Times New Roman" w:hAnsi="Times New Roman"/>
            <w:color w:val="0000FF"/>
            <w:u w:val="single"/>
            <w:rtl/>
          </w:rPr>
          <w:t>פקודת הסמים המסוכנים</w:t>
        </w:r>
      </w:hyperlink>
      <w:r w:rsidRPr="00945848">
        <w:rPr>
          <w:rFonts w:ascii="Times New Roman" w:eastAsia="Times New Roman" w:hAnsi="Times New Roman" w:hint="cs"/>
          <w:rtl/>
        </w:rPr>
        <w:t xml:space="preserve"> נחקקה על מנת להגן על ערכים חברתיים מרכזיים ובראשם החובה להגן על שלומו של הציבור, בריאותו, בטחונו האישי ועל רכושו</w:t>
      </w:r>
      <w:r w:rsidRPr="00945848">
        <w:rPr>
          <w:rFonts w:eastAsia="Times New Roman" w:hint="cs"/>
          <w:rtl/>
        </w:rPr>
        <w:t>.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31C2DE2A" w14:textId="77777777" w:rsidR="00DD7511" w:rsidRDefault="00DD7511" w:rsidP="00DD7511">
      <w:pPr>
        <w:pStyle w:val="ListParagraph"/>
        <w:spacing w:after="0"/>
        <w:ind w:left="84" w:firstLine="0"/>
        <w:rPr>
          <w:rFonts w:ascii="Times New Roman" w:eastAsia="Times New Roman" w:hAnsi="Times New Roman"/>
          <w:rtl/>
        </w:rPr>
      </w:pPr>
      <w:r w:rsidRPr="00B20945">
        <w:rPr>
          <w:rFonts w:hint="cs"/>
          <w:rtl/>
        </w:rPr>
        <w:t xml:space="preserve">הדברים מקבלים משנה תוקף ככל שעסקינן בעבירת הספקת הסם, כאשר לא </w:t>
      </w:r>
      <w:r w:rsidRPr="00945848">
        <w:rPr>
          <w:rFonts w:eastAsia="Times New Roman" w:hint="cs"/>
          <w:rtl/>
        </w:rPr>
        <w:t xml:space="preserve">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השופט מ' חשין </w:t>
      </w:r>
      <w:r w:rsidRPr="00945848">
        <w:rPr>
          <w:rFonts w:eastAsia="Times New Roman" w:hint="cs"/>
          <w:u w:val="single"/>
          <w:rtl/>
        </w:rPr>
        <w:t>ב</w:t>
      </w:r>
      <w:hyperlink r:id="rId34" w:history="1">
        <w:r w:rsidR="00676EB5" w:rsidRPr="00676EB5">
          <w:rPr>
            <w:rFonts w:eastAsia="Times New Roman" w:hint="eastAsia"/>
            <w:color w:val="0000FF"/>
            <w:u w:val="single"/>
            <w:rtl/>
          </w:rPr>
          <w:t>ע</w:t>
        </w:r>
        <w:r w:rsidR="00676EB5" w:rsidRPr="00676EB5">
          <w:rPr>
            <w:rFonts w:eastAsia="Times New Roman"/>
            <w:color w:val="0000FF"/>
            <w:u w:val="single"/>
            <w:rtl/>
          </w:rPr>
          <w:t>"</w:t>
        </w:r>
        <w:r w:rsidR="00676EB5" w:rsidRPr="00676EB5">
          <w:rPr>
            <w:rFonts w:eastAsia="Times New Roman" w:hint="eastAsia"/>
            <w:color w:val="0000FF"/>
            <w:u w:val="single"/>
            <w:rtl/>
          </w:rPr>
          <w:t>פ</w:t>
        </w:r>
        <w:r w:rsidR="00676EB5" w:rsidRPr="00676EB5">
          <w:rPr>
            <w:rFonts w:eastAsia="Times New Roman"/>
            <w:color w:val="0000FF"/>
            <w:u w:val="single"/>
            <w:rtl/>
          </w:rPr>
          <w:t xml:space="preserve"> 6029/03 </w:t>
        </w:r>
        <w:r w:rsidR="00676EB5" w:rsidRPr="00676EB5">
          <w:rPr>
            <w:rFonts w:eastAsia="Times New Roman" w:hint="eastAsia"/>
            <w:color w:val="0000FF"/>
            <w:u w:val="single"/>
            <w:rtl/>
          </w:rPr>
          <w:t>מדינת</w:t>
        </w:r>
        <w:r w:rsidR="00676EB5" w:rsidRPr="00676EB5">
          <w:rPr>
            <w:rFonts w:eastAsia="Times New Roman"/>
            <w:color w:val="0000FF"/>
            <w:u w:val="single"/>
            <w:rtl/>
          </w:rPr>
          <w:t xml:space="preserve"> </w:t>
        </w:r>
        <w:r w:rsidR="00676EB5" w:rsidRPr="00676EB5">
          <w:rPr>
            <w:rFonts w:eastAsia="Times New Roman" w:hint="eastAsia"/>
            <w:color w:val="0000FF"/>
            <w:u w:val="single"/>
            <w:rtl/>
          </w:rPr>
          <w:t>ישראל</w:t>
        </w:r>
        <w:r w:rsidR="00676EB5" w:rsidRPr="00676EB5">
          <w:rPr>
            <w:rFonts w:eastAsia="Times New Roman"/>
            <w:color w:val="0000FF"/>
            <w:u w:val="single"/>
            <w:rtl/>
          </w:rPr>
          <w:t xml:space="preserve"> </w:t>
        </w:r>
        <w:r w:rsidR="00676EB5" w:rsidRPr="00676EB5">
          <w:rPr>
            <w:rFonts w:eastAsia="Times New Roman" w:hint="eastAsia"/>
            <w:color w:val="0000FF"/>
            <w:u w:val="single"/>
            <w:rtl/>
          </w:rPr>
          <w:t>נ</w:t>
        </w:r>
        <w:r w:rsidR="00676EB5" w:rsidRPr="00676EB5">
          <w:rPr>
            <w:rFonts w:eastAsia="Times New Roman"/>
            <w:color w:val="0000FF"/>
            <w:u w:val="single"/>
            <w:rtl/>
          </w:rPr>
          <w:t xml:space="preserve">' </w:t>
        </w:r>
        <w:r w:rsidR="00676EB5" w:rsidRPr="00676EB5">
          <w:rPr>
            <w:rFonts w:eastAsia="Times New Roman" w:hint="eastAsia"/>
            <w:color w:val="0000FF"/>
            <w:u w:val="single"/>
            <w:rtl/>
          </w:rPr>
          <w:t>גולן</w:t>
        </w:r>
        <w:r w:rsidR="00676EB5" w:rsidRPr="00676EB5">
          <w:rPr>
            <w:rFonts w:eastAsia="Times New Roman"/>
            <w:color w:val="0000FF"/>
            <w:u w:val="single"/>
            <w:rtl/>
          </w:rPr>
          <w:t xml:space="preserve"> </w:t>
        </w:r>
        <w:r w:rsidR="00676EB5" w:rsidRPr="00676EB5">
          <w:rPr>
            <w:rFonts w:eastAsia="Times New Roman" w:hint="eastAsia"/>
            <w:color w:val="0000FF"/>
            <w:u w:val="single"/>
            <w:rtl/>
          </w:rPr>
          <w:t>שמאי</w:t>
        </w:r>
        <w:r w:rsidR="00676EB5" w:rsidRPr="00676EB5">
          <w:rPr>
            <w:rFonts w:eastAsia="Times New Roman"/>
            <w:color w:val="0000FF"/>
            <w:u w:val="single"/>
            <w:rtl/>
          </w:rPr>
          <w:t xml:space="preserve">, </w:t>
        </w:r>
        <w:r w:rsidR="00676EB5" w:rsidRPr="00676EB5">
          <w:rPr>
            <w:rFonts w:eastAsia="Times New Roman" w:hint="eastAsia"/>
            <w:color w:val="0000FF"/>
            <w:u w:val="single"/>
            <w:rtl/>
          </w:rPr>
          <w:t>פ</w:t>
        </w:r>
        <w:r w:rsidR="00676EB5" w:rsidRPr="00676EB5">
          <w:rPr>
            <w:rFonts w:eastAsia="Times New Roman"/>
            <w:color w:val="0000FF"/>
            <w:u w:val="single"/>
            <w:rtl/>
          </w:rPr>
          <w:t>"</w:t>
        </w:r>
        <w:r w:rsidR="00676EB5" w:rsidRPr="00676EB5">
          <w:rPr>
            <w:rFonts w:eastAsia="Times New Roman" w:hint="eastAsia"/>
            <w:color w:val="0000FF"/>
            <w:u w:val="single"/>
            <w:rtl/>
          </w:rPr>
          <w:t>ד</w:t>
        </w:r>
        <w:r w:rsidR="00676EB5" w:rsidRPr="00676EB5">
          <w:rPr>
            <w:rFonts w:eastAsia="Times New Roman"/>
            <w:color w:val="0000FF"/>
            <w:u w:val="single"/>
            <w:rtl/>
          </w:rPr>
          <w:t xml:space="preserve"> </w:t>
        </w:r>
        <w:r w:rsidR="00676EB5" w:rsidRPr="00676EB5">
          <w:rPr>
            <w:rFonts w:eastAsia="Times New Roman" w:hint="eastAsia"/>
            <w:color w:val="0000FF"/>
            <w:u w:val="single"/>
            <w:rtl/>
          </w:rPr>
          <w:t>נח</w:t>
        </w:r>
      </w:hyperlink>
      <w:r w:rsidRPr="00945848">
        <w:rPr>
          <w:rFonts w:eastAsia="Times New Roman" w:hint="cs"/>
          <w:rtl/>
        </w:rPr>
        <w:t xml:space="preserve"> (2) 734, 739 (2004); ודבריו של כב' השופט א' לוי </w:t>
      </w:r>
      <w:r w:rsidRPr="00945848">
        <w:rPr>
          <w:rFonts w:eastAsia="Times New Roman" w:hint="cs"/>
          <w:u w:val="single"/>
          <w:rtl/>
        </w:rPr>
        <w:t>ב</w:t>
      </w:r>
      <w:hyperlink r:id="rId35" w:history="1">
        <w:r w:rsidR="00676EB5" w:rsidRPr="00676EB5">
          <w:rPr>
            <w:rFonts w:eastAsia="Times New Roman" w:hint="eastAsia"/>
            <w:color w:val="0000FF"/>
            <w:u w:val="single"/>
            <w:rtl/>
          </w:rPr>
          <w:t>ע</w:t>
        </w:r>
        <w:r w:rsidR="00676EB5" w:rsidRPr="00676EB5">
          <w:rPr>
            <w:rFonts w:eastAsia="Times New Roman"/>
            <w:color w:val="0000FF"/>
            <w:u w:val="single"/>
            <w:rtl/>
          </w:rPr>
          <w:t>"</w:t>
        </w:r>
        <w:r w:rsidR="00676EB5" w:rsidRPr="00676EB5">
          <w:rPr>
            <w:rFonts w:eastAsia="Times New Roman" w:hint="eastAsia"/>
            <w:color w:val="0000FF"/>
            <w:u w:val="single"/>
            <w:rtl/>
          </w:rPr>
          <w:t>פ</w:t>
        </w:r>
        <w:r w:rsidR="00676EB5" w:rsidRPr="00676EB5">
          <w:rPr>
            <w:rFonts w:eastAsia="Times New Roman"/>
            <w:color w:val="0000FF"/>
            <w:u w:val="single"/>
            <w:rtl/>
          </w:rPr>
          <w:t xml:space="preserve"> 7070/03</w:t>
        </w:r>
      </w:hyperlink>
      <w:r w:rsidRPr="00945848">
        <w:rPr>
          <w:rFonts w:eastAsia="Times New Roman" w:hint="cs"/>
          <w:rtl/>
        </w:rPr>
        <w:t xml:space="preserve"> </w:t>
      </w:r>
      <w:r w:rsidRPr="00945848">
        <w:rPr>
          <w:rFonts w:eastAsia="Times New Roman" w:hint="cs"/>
          <w:b/>
          <w:bCs/>
          <w:rtl/>
        </w:rPr>
        <w:t>עליאן זניד נ' מדינת ישראל</w:t>
      </w:r>
      <w:r w:rsidRPr="00945848">
        <w:rPr>
          <w:rFonts w:eastAsia="Times New Roman" w:hint="cs"/>
          <w:rtl/>
        </w:rPr>
        <w:t xml:space="preserve">, </w:t>
      </w:r>
      <w:r w:rsidR="00D52E94" w:rsidRPr="00D52E94">
        <w:rPr>
          <w:rFonts w:ascii="Times New Roman" w:eastAsia="Times New Roman" w:hAnsi="Times New Roman"/>
          <w:sz w:val="22"/>
          <w:rtl/>
        </w:rPr>
        <w:t>[</w:t>
      </w:r>
      <w:r w:rsidR="00D52E94" w:rsidRPr="00D52E94">
        <w:rPr>
          <w:rFonts w:ascii="Times New Roman" w:eastAsia="Times New Roman" w:hAnsi="Times New Roman" w:hint="eastAsia"/>
          <w:sz w:val="22"/>
          <w:rtl/>
        </w:rPr>
        <w:t>פורסם</w:t>
      </w:r>
      <w:r w:rsidR="00D52E94" w:rsidRPr="00D52E94">
        <w:rPr>
          <w:rFonts w:ascii="Times New Roman" w:eastAsia="Times New Roman" w:hAnsi="Times New Roman"/>
          <w:sz w:val="22"/>
          <w:rtl/>
        </w:rPr>
        <w:t xml:space="preserve"> </w:t>
      </w:r>
      <w:r w:rsidR="00D52E94" w:rsidRPr="00D52E94">
        <w:rPr>
          <w:rFonts w:ascii="Times New Roman" w:eastAsia="Times New Roman" w:hAnsi="Times New Roman" w:hint="eastAsia"/>
          <w:sz w:val="22"/>
          <w:rtl/>
        </w:rPr>
        <w:t>בנבו</w:t>
      </w:r>
      <w:r w:rsidR="00D52E94" w:rsidRPr="00D52E94">
        <w:rPr>
          <w:rFonts w:ascii="Times New Roman" w:eastAsia="Times New Roman" w:hAnsi="Times New Roman"/>
          <w:sz w:val="22"/>
          <w:rtl/>
        </w:rPr>
        <w:t xml:space="preserve">] </w:t>
      </w:r>
      <w:r w:rsidRPr="00945848">
        <w:rPr>
          <w:rFonts w:eastAsia="Times New Roman" w:hint="cs"/>
          <w:rtl/>
        </w:rPr>
        <w:t xml:space="preserve">(03.04.2006)). </w:t>
      </w:r>
    </w:p>
    <w:p w14:paraId="1BD1C687" w14:textId="77777777" w:rsidR="00DD7511" w:rsidRDefault="00DD7511" w:rsidP="00DD7511">
      <w:pPr>
        <w:pStyle w:val="ListParagraph"/>
        <w:spacing w:after="0"/>
        <w:ind w:left="84" w:firstLine="0"/>
        <w:rPr>
          <w:rtl/>
        </w:rPr>
      </w:pPr>
      <w:r w:rsidRPr="00945848">
        <w:rPr>
          <w:rFonts w:ascii="Times New Roman" w:eastAsia="Times New Roman" w:hAnsi="Times New Roman" w:hint="cs"/>
          <w:rtl/>
        </w:rPr>
        <w:t>באשר</w:t>
      </w:r>
      <w:r w:rsidRPr="00945848">
        <w:rPr>
          <w:rFonts w:ascii="Times New Roman" w:eastAsia="Times New Roman" w:hAnsi="Times New Roman" w:hint="cs"/>
          <w:b/>
          <w:bCs/>
          <w:rtl/>
        </w:rPr>
        <w:t xml:space="preserve"> לערכים החברתיים המוגנים</w:t>
      </w:r>
      <w:r w:rsidRPr="00945848">
        <w:rPr>
          <w:rFonts w:ascii="Times New Roman" w:eastAsia="Times New Roman" w:hAnsi="Times New Roman" w:hint="cs"/>
          <w:rtl/>
        </w:rPr>
        <w:t xml:space="preserve"> אשר נפגעו כתוצאה ממעשיו של הנאשם בכל הנוגע </w:t>
      </w:r>
      <w:r w:rsidRPr="00945848">
        <w:rPr>
          <w:rFonts w:ascii="Times New Roman" w:eastAsia="Times New Roman" w:hAnsi="Times New Roman" w:hint="cs"/>
          <w:b/>
          <w:bCs/>
          <w:rtl/>
        </w:rPr>
        <w:t xml:space="preserve">לעבירת </w:t>
      </w:r>
      <w:r w:rsidRPr="00945848">
        <w:rPr>
          <w:rFonts w:hint="cs"/>
          <w:b/>
          <w:bCs/>
          <w:rtl/>
        </w:rPr>
        <w:t>ניסיון שיבוש מהלכי משפט,</w:t>
      </w:r>
      <w:r w:rsidRPr="00B20945">
        <w:rPr>
          <w:rFonts w:hint="cs"/>
          <w:rtl/>
        </w:rPr>
        <w:t xml:space="preserve"> הרי שיש במעשהו של הנאשם כדי לסכל את ההליך המשפטי וכדי לפגוע בסדרי המנהל הציבורי התקין, בשלטון החוק ובעבודתם של כלל הגורמים המופקדים על האכיפה הפלילית.</w:t>
      </w:r>
    </w:p>
    <w:p w14:paraId="59B9F7A4" w14:textId="77777777" w:rsidR="00DD7511" w:rsidRDefault="00DD7511" w:rsidP="00DD7511">
      <w:pPr>
        <w:pStyle w:val="ListParagraph"/>
        <w:numPr>
          <w:ilvl w:val="0"/>
          <w:numId w:val="2"/>
        </w:numPr>
        <w:spacing w:after="0"/>
        <w:ind w:left="84" w:right="0" w:hanging="425"/>
      </w:pPr>
      <w:r w:rsidRPr="00B20945">
        <w:rPr>
          <w:rFonts w:hint="cs"/>
          <w:rtl/>
        </w:rPr>
        <w:t xml:space="preserve">לנוכח הנסיבות הקשורות בביצוע העבירות, כפי שיפורט להלן, ובייחוד בשים לב לעובדה כי מצד אחד, הנאשם סיפק סמים לקטינים בשתי הזדמנויות שונות; ומצד שני, משקל הסמים אותם הוא סיפק אינו גבוה וכי המדובר בסמים "קלים" מסוג חשיש וגראס, ובשים לב לעובדה כי עבירת  שיבוש מהלכי המשפט התמצתה אך בניסיונו של הנאשם לבצעה - מצאתי כי במקרה הנדון, מצויה </w:t>
      </w:r>
      <w:r w:rsidRPr="00945848">
        <w:rPr>
          <w:rFonts w:hint="cs"/>
          <w:b/>
          <w:bCs/>
          <w:rtl/>
        </w:rPr>
        <w:t>מידת הפגיעה</w:t>
      </w:r>
      <w:r w:rsidRPr="00B20945">
        <w:rPr>
          <w:rFonts w:hint="cs"/>
          <w:rtl/>
        </w:rPr>
        <w:t xml:space="preserve"> בערכים המוגנים ברף בינוני. </w:t>
      </w:r>
    </w:p>
    <w:p w14:paraId="4E5E3D2C" w14:textId="77777777" w:rsidR="00DD7511" w:rsidRDefault="00DD7511" w:rsidP="00DD7511">
      <w:pPr>
        <w:pStyle w:val="ListParagraph"/>
        <w:numPr>
          <w:ilvl w:val="0"/>
          <w:numId w:val="2"/>
        </w:numPr>
        <w:spacing w:after="0"/>
        <w:ind w:left="84" w:right="0" w:hanging="425"/>
      </w:pPr>
      <w:r w:rsidRPr="00945848">
        <w:rPr>
          <w:rFonts w:eastAsia="Times New Roman" w:hint="cs"/>
          <w:rtl/>
        </w:rPr>
        <w:t xml:space="preserve">בבחינת </w:t>
      </w:r>
      <w:r w:rsidRPr="00945848">
        <w:rPr>
          <w:rFonts w:eastAsia="Times New Roman" w:hint="cs"/>
          <w:b/>
          <w:bCs/>
          <w:rtl/>
        </w:rPr>
        <w:t>הנסיבות הקשורות בביצוע העבירות</w:t>
      </w:r>
      <w:r w:rsidRPr="00945848">
        <w:rPr>
          <w:rFonts w:eastAsia="Times New Roman" w:hint="cs"/>
          <w:rtl/>
        </w:rPr>
        <w:t xml:space="preserve">, נתתי דעתי בראש ובראשונה לסוג הסם אותו סיפק הנאשם ולמשקלו. המדובר בסמים מסוכנים מסוג חשיש וגראס הנמנים עם "הסמים הקלים" </w:t>
      </w:r>
      <w:r w:rsidRPr="00B20945">
        <w:rPr>
          <w:rFonts w:hint="cs"/>
          <w:rtl/>
        </w:rPr>
        <w:t xml:space="preserve">ואינם מצויים במדרג חומרה גבוה מבין הסמים השונים. כמובן שהדברים נאמרים מבלי שבית המשפט מקל ראש ולו לרגע בנזקים שגם סם "קל" זה עלול להסב לנאשם ולסביבתו. </w:t>
      </w:r>
    </w:p>
    <w:p w14:paraId="105D9EB9" w14:textId="77777777" w:rsidR="00DD7511" w:rsidRDefault="00DD7511" w:rsidP="00DD7511">
      <w:pPr>
        <w:pStyle w:val="ListParagraph"/>
        <w:numPr>
          <w:ilvl w:val="0"/>
          <w:numId w:val="2"/>
        </w:numPr>
        <w:spacing w:after="0"/>
        <w:ind w:left="84" w:right="0" w:hanging="425"/>
      </w:pPr>
      <w:r w:rsidRPr="00945848">
        <w:rPr>
          <w:rFonts w:eastAsia="Times New Roman" w:hint="cs"/>
          <w:rtl/>
        </w:rPr>
        <w:t xml:space="preserve">בכל הנוגע למשקל הסם שסופק, </w:t>
      </w:r>
      <w:r w:rsidRPr="00B20945">
        <w:rPr>
          <w:rFonts w:hint="cs"/>
          <w:rtl/>
        </w:rPr>
        <w:t xml:space="preserve">הרי שאין המדובר בכמות גדולה באופן ניכר או בכמות סיטונאית שנועדה לצורך שימושם של מספר גדול של בני אדם (הדברים אמורים בכל הנוגע למשקל הסם אותו סיפק הנאשם לקטין בהזדמנות הראשונה שכן משקל הסם שסופק על ידי הנאשם לקטין בהזדמנות השנייה לא פורש בכתב האישום). עם זאת ולחומרה, יש להביא בחשבון את העובדה כי הנאשם סיפק סמים לקטינים בשתי הזדמנויות שונות. מנגד ולקולא, יש להביא בחשבון גם את התמורה, בסך 50 ₪, שהתקבלה על ידי הנאשם בעת ביצוע עבירת הספקת הסם (בשתי הזדמנויות שונות), ושהיא למעשה נגזרת של כמות הסם שסופק. </w:t>
      </w:r>
    </w:p>
    <w:p w14:paraId="729EDB99" w14:textId="77777777" w:rsidR="00DD7511" w:rsidRDefault="00DD7511" w:rsidP="00DD7511">
      <w:pPr>
        <w:pStyle w:val="ListParagraph"/>
        <w:numPr>
          <w:ilvl w:val="0"/>
          <w:numId w:val="2"/>
        </w:numPr>
        <w:spacing w:after="0"/>
        <w:ind w:left="84" w:right="0" w:hanging="425"/>
      </w:pPr>
      <w:r w:rsidRPr="00B20945">
        <w:rPr>
          <w:rFonts w:hint="cs"/>
          <w:rtl/>
        </w:rPr>
        <w:t xml:space="preserve">עוד במסגרת זו, נתתי דעתי לעובדה כי לעבירת הספקת הסם לא קדם תכנון מוקדם מצדו של הנאשם, </w:t>
      </w:r>
      <w:r w:rsidRPr="00945848">
        <w:rPr>
          <w:rFonts w:eastAsia="Times New Roman" w:hint="cs"/>
          <w:rtl/>
        </w:rPr>
        <w:t xml:space="preserve">כאשר נדמה כי המדובר במשתמש מכור לסמים אשר בספונטניות ניצל הזדמנות שבאה לפתחו ומכר חלק ממנת הסם שלו כדי לממן לעצמו את מנת הסם הבאה. בהמשך לאמור, אף נתתי דעתי לעובדה כי הנאשם מכר את הסם בחלוף </w:t>
      </w:r>
      <w:r w:rsidRPr="00B20945">
        <w:rPr>
          <w:rFonts w:hint="cs"/>
          <w:rtl/>
        </w:rPr>
        <w:t>זמן קצר בלבד מאז פנייתו של הקטין אליו, מה שמלמד אודות הנגישות הרבה שיש לו לסם המבוקש.</w:t>
      </w:r>
    </w:p>
    <w:p w14:paraId="535B65DB" w14:textId="77777777" w:rsidR="00DD7511" w:rsidRDefault="00DD7511" w:rsidP="00DD7511">
      <w:pPr>
        <w:pStyle w:val="ListParagraph"/>
        <w:numPr>
          <w:ilvl w:val="0"/>
          <w:numId w:val="2"/>
        </w:numPr>
        <w:spacing w:after="0"/>
        <w:ind w:left="84" w:right="0" w:hanging="425"/>
      </w:pPr>
      <w:r w:rsidRPr="00B20945">
        <w:rPr>
          <w:rFonts w:hint="cs"/>
          <w:rtl/>
        </w:rPr>
        <w:t xml:space="preserve">בכל הנוגע לסיבות שהביאו את הנאשם לבצע את עבירת הסמים, הלה טען בשירות המבחן כי התרועעותו בחברה שולית ושימושו בסמים הם שהביאו אותו לביצוע העבירה הנדונה. לצד אלה, הנאשם מסר לשירות המבחן כי הוא מודע לכך שנהג בניגוד לחוק, בקלות ראש וללא חשיבה מעמיקה על השלכות מעשיו ואולם הסמים סייעו לו להקהות את רגשותיו והחרדות בהם היה נתון עקב מצבה הרפואי הרעוע של אמו. </w:t>
      </w:r>
    </w:p>
    <w:p w14:paraId="745F6456" w14:textId="77777777" w:rsidR="00DD7511" w:rsidRDefault="00DD7511" w:rsidP="00DD7511">
      <w:pPr>
        <w:pStyle w:val="ListParagraph"/>
        <w:numPr>
          <w:ilvl w:val="0"/>
          <w:numId w:val="2"/>
        </w:numPr>
        <w:spacing w:after="0"/>
        <w:ind w:left="84" w:right="0" w:hanging="425"/>
      </w:pPr>
      <w:r w:rsidRPr="00B20945">
        <w:rPr>
          <w:rFonts w:hint="cs"/>
          <w:rtl/>
        </w:rPr>
        <w:t>כאמור, בכל אלה יש כדי ללמד על כך ש</w:t>
      </w:r>
      <w:r w:rsidRPr="00945848">
        <w:rPr>
          <w:rFonts w:eastAsia="Times New Roman" w:hint="cs"/>
          <w:rtl/>
        </w:rPr>
        <w:t>הנאשם לא פעל מתוך בצע כסף גרידא</w:t>
      </w:r>
      <w:r w:rsidRPr="00B20945">
        <w:rPr>
          <w:rFonts w:hint="cs"/>
          <w:rtl/>
        </w:rPr>
        <w:t xml:space="preserve">, ולדידי אין דינו של אדם המספק סמים לאחר אך בשל התמכרותו ומתוך רצון לממן לעצמו את מנת הסם הבאה, כדין אדם הסוחר בסמים </w:t>
      </w:r>
      <w:r w:rsidRPr="00945848">
        <w:rPr>
          <w:rFonts w:eastAsia="Times New Roman" w:hint="cs"/>
          <w:rtl/>
        </w:rPr>
        <w:t>מתוך מטרה להשגת רווח כספי מהיר וקל על</w:t>
      </w:r>
      <w:r w:rsidRPr="00B20945">
        <w:rPr>
          <w:rFonts w:hint="cs"/>
          <w:rtl/>
        </w:rPr>
        <w:t xml:space="preserve"> גבם של המכורים לסם ועל חשבון ביטחונו של כלל הציבור. </w:t>
      </w:r>
    </w:p>
    <w:p w14:paraId="0A993906" w14:textId="77777777" w:rsidR="00DD7511" w:rsidRPr="00945848" w:rsidRDefault="00DD7511" w:rsidP="00DD7511">
      <w:pPr>
        <w:pStyle w:val="ListParagraph"/>
        <w:numPr>
          <w:ilvl w:val="0"/>
          <w:numId w:val="2"/>
        </w:numPr>
        <w:spacing w:after="0"/>
        <w:ind w:left="84" w:right="0" w:hanging="425"/>
      </w:pPr>
      <w:r w:rsidRPr="00945848">
        <w:rPr>
          <w:rFonts w:eastAsia="Times New Roman" w:hint="cs"/>
          <w:rtl/>
        </w:rPr>
        <w:t>עוד יש ליתן את הדעת שהקטין הוא זה שהתקשר אל הנאשם והוא שביקש לקנות מהנאשם סמים. אם כי, המשקל שיינתן לכך לא יהיה גבוה. שכן, אף אם היה זה הקטין ששתל את הרעיון בראשו של הנאשם, הרי שהנאשם היה חופשי כל העת לסרב לבקשתו.</w:t>
      </w:r>
    </w:p>
    <w:p w14:paraId="332D3F5F" w14:textId="77777777" w:rsidR="00DD7511" w:rsidRPr="00945848" w:rsidRDefault="00DD7511" w:rsidP="00DD7511">
      <w:pPr>
        <w:pStyle w:val="ListParagraph"/>
        <w:numPr>
          <w:ilvl w:val="0"/>
          <w:numId w:val="2"/>
        </w:numPr>
        <w:spacing w:after="0"/>
        <w:ind w:left="84" w:right="0" w:hanging="425"/>
      </w:pPr>
      <w:r w:rsidRPr="00945848">
        <w:rPr>
          <w:rFonts w:eastAsia="Times New Roman" w:hint="cs"/>
          <w:rtl/>
        </w:rPr>
        <w:t xml:space="preserve">לבסוף, כתוצאה מביצוע עבירת הסמים לא נגרם נזק ממשי כלשהו, אולם וכידוע אלו הן דרכן של עבירות הסמים, כאשר פעמים רבות לא ניתן להצביע על נזק מוחשי ומידי שנגרם כתוצאה מביצוען, מה שאינו מפחית כהוא זה מהנזק הרב וארוך הטווח שהן גורמות, וניתן לשקול את הדברים גם בבחינת הנזק הפוטנציאלי הטמון בעבירות הסמים. </w:t>
      </w:r>
    </w:p>
    <w:p w14:paraId="69E4EF15" w14:textId="77777777" w:rsidR="00DD7511" w:rsidRDefault="00DD7511" w:rsidP="00DD7511">
      <w:pPr>
        <w:pStyle w:val="ListParagraph"/>
        <w:numPr>
          <w:ilvl w:val="0"/>
          <w:numId w:val="2"/>
        </w:numPr>
        <w:spacing w:after="0"/>
        <w:ind w:left="84" w:right="0" w:hanging="425"/>
      </w:pPr>
      <w:r w:rsidRPr="00945848">
        <w:rPr>
          <w:rFonts w:hint="cs"/>
          <w:b/>
          <w:bCs/>
          <w:rtl/>
        </w:rPr>
        <w:t xml:space="preserve">בכל הנוגע לנסיבות הקשורות בביצוע עבירת השיבוש </w:t>
      </w:r>
      <w:r w:rsidRPr="00B20945">
        <w:rPr>
          <w:rFonts w:hint="cs"/>
          <w:rtl/>
        </w:rPr>
        <w:t xml:space="preserve">כאמור, נתתי דעתי לכך שהמדובר בניסיון בלבד מצדו של הנאשם לשבש הליכי משפט וכי בסופו של יום הדבר לא יצא אל הפועל. בכל הנוגע לסיבות שהביאו את הנאשם לבצע את עבירת ניסיון השיבוש, הרי שהלה טען כי בטלפון היו מצויות תמונות בהן מצולמות נשים אותן לא רצה לחשוף בפני השוטרים. באשר לכך אומר, כי בנסיבות המתוארות לפיהן הנאשם נמצא בהליך חקירתי במשטרה (והתבקש למסור לידי החוקרים את מכשיר הטלפון שלו), תוך שבאותו זמן ממש הלה מבקש מבן משפחתו למחוק את המידע המצוי במכשירו, אין נפקות רבה לסיבה הסובייקטיבית אשר בגינה הלה ביצע את מעשיו. שכן התנהלותו מעידה כך או כך, על ניסיונו למחוק או להסתיר מידע מהותי כל שהוא מהיחידה החוקרת. התנהגות מעין זו ודאי לא ניתן לזקוף לזכותו של הנאשם, גם ולו הייתי מקבלת את טענתו באשר לסיבה בגינה ביצע את המיוחס לו. לא זו בלבד, ניתן להסיק מהתנהגותו וזאת לחומרא, כי הוראות אנשי אכיפת החוק באותה עת לא היו נר לרגליו. </w:t>
      </w:r>
    </w:p>
    <w:p w14:paraId="0EB4F517" w14:textId="77777777" w:rsidR="00DD7511" w:rsidRDefault="00DD7511" w:rsidP="00DD7511">
      <w:pPr>
        <w:pStyle w:val="ListParagraph"/>
        <w:numPr>
          <w:ilvl w:val="0"/>
          <w:numId w:val="2"/>
        </w:numPr>
        <w:spacing w:after="0"/>
        <w:ind w:left="84" w:right="0" w:hanging="425"/>
      </w:pPr>
      <w:r w:rsidRPr="00B20945">
        <w:rPr>
          <w:rFonts w:hint="cs"/>
          <w:rtl/>
        </w:rPr>
        <w:t xml:space="preserve">בכל הנוגע </w:t>
      </w:r>
      <w:r w:rsidRPr="00945848">
        <w:rPr>
          <w:rFonts w:hint="cs"/>
          <w:b/>
          <w:bCs/>
          <w:rtl/>
        </w:rPr>
        <w:t>למדיניות הענישה הנוהגת</w:t>
      </w:r>
      <w:r w:rsidRPr="00B20945">
        <w:rPr>
          <w:rFonts w:hint="cs"/>
          <w:rtl/>
        </w:rPr>
        <w:t xml:space="preserve">, ולצד חובתו הכללית של בית המשפט לנקוט ביד קשה כנגד סוחרי הסמים ולהחמיר בענישתם (ראו למשל: </w:t>
      </w:r>
      <w:hyperlink r:id="rId36"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1654/16</w:t>
        </w:r>
      </w:hyperlink>
      <w:r w:rsidRPr="00B20945">
        <w:rPr>
          <w:rFonts w:hint="cs"/>
          <w:rtl/>
        </w:rPr>
        <w:t xml:space="preserve"> </w:t>
      </w:r>
      <w:r w:rsidRPr="00945848">
        <w:rPr>
          <w:rFonts w:hint="cs"/>
          <w:b/>
          <w:bCs/>
          <w:rtl/>
        </w:rPr>
        <w:t>גל שרר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(27.02.2017), וההפניות שם), סקירת הפסיקה מעלה כי בגין הספקת סם במשקלים של גרמים בודדים, נקבעים מתחמי ענישה שהרף התחתון שלהם נע בין מספר חודשי מאסר, שניתן לרצותם בעבודות שירות, לבין 12 חודשי מאסר בפועל – הכול בהתאם לנסיבות השונות. ברי כי קיימים מקרים בהם נלוות לעבירת האספקה או הסחר עבירות נוספות (כגון ייצור הכנה והפקה ואו החזקת סם לצריכה עצמית או שלא לצריכה עצמית), כאשר העונשים המושתים בגדרי המתחמים נעים גם הם על פני מנעד רחב, ומשתנים בהתאם לנסיבות, לשיקולי שיקום, ולמאפיינים האישיים של כל נאשם ונאשם.</w:t>
      </w:r>
    </w:p>
    <w:p w14:paraId="4F2B1B84" w14:textId="77777777" w:rsidR="00DD7511" w:rsidRPr="00945848" w:rsidRDefault="00DD7511" w:rsidP="00DD7511">
      <w:pPr>
        <w:pStyle w:val="ListParagraph"/>
        <w:numPr>
          <w:ilvl w:val="0"/>
          <w:numId w:val="2"/>
        </w:numPr>
        <w:spacing w:after="0"/>
        <w:ind w:left="84" w:right="0" w:hanging="425"/>
      </w:pPr>
      <w:r w:rsidRPr="00B20945">
        <w:rPr>
          <w:rFonts w:hint="cs"/>
          <w:rtl/>
        </w:rPr>
        <w:t xml:space="preserve">ובכן, מהפסיקה הענפה ניתן ללמוד כי </w:t>
      </w:r>
      <w:r w:rsidRPr="00945848">
        <w:rPr>
          <w:rFonts w:hint="cs"/>
          <w:b/>
          <w:bCs/>
          <w:rtl/>
        </w:rPr>
        <w:t>בדרך כלל</w:t>
      </w:r>
      <w:r w:rsidRPr="00B20945">
        <w:rPr>
          <w:rFonts w:hint="cs"/>
          <w:rtl/>
        </w:rPr>
        <w:t>, מושתים על הנאשמים השונים שהורשעו בעבירות של הספקת סם מסוג חשיש או קנביס במשקלים שאינם גבוהים עונשים אשר נעים בין מאסרים מותנים או צווי של"צ, עד למאסר של מספר חודשים אשר יכול להיות בפועל מאחורי סורג ובריח, או לחילופין בדרך של עבודות שירות. אם כי, יצוין שרובם המכריע של פסקי הדין עוסקים בנאשמים שהורשעו בכמה עבירות של הספקת סם או בעבירות נוספות שנלוו לעבירה זו, כך שלעיתים קשה "לבודד" מהפסיקה את העונש המושת בגין עבירת הספקה אחת בלבד. כך ראו למשל:</w:t>
      </w:r>
      <w:r w:rsidRPr="00945848">
        <w:rPr>
          <w:rFonts w:hint="cs"/>
          <w:b/>
          <w:bCs/>
          <w:rtl/>
        </w:rPr>
        <w:t xml:space="preserve"> </w:t>
      </w:r>
      <w:hyperlink r:id="rId37" w:history="1">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w:t>
        </w:r>
        <w:r w:rsidR="00676EB5" w:rsidRPr="00676EB5">
          <w:rPr>
            <w:rFonts w:hint="cs"/>
            <w:color w:val="0000FF"/>
            <w:u w:val="single"/>
            <w:rtl/>
          </w:rPr>
          <w:t>השלום</w:t>
        </w:r>
        <w:r w:rsidR="00676EB5" w:rsidRPr="00676EB5">
          <w:rPr>
            <w:color w:val="0000FF"/>
            <w:u w:val="single"/>
            <w:rtl/>
          </w:rPr>
          <w:t xml:space="preserve"> – </w:t>
        </w:r>
        <w:r w:rsidR="00676EB5" w:rsidRPr="00676EB5">
          <w:rPr>
            <w:rFonts w:hint="cs"/>
            <w:color w:val="0000FF"/>
            <w:u w:val="single"/>
            <w:rtl/>
          </w:rPr>
          <w:t>ק</w:t>
        </w:r>
        <w:r w:rsidR="00676EB5" w:rsidRPr="00676EB5">
          <w:rPr>
            <w:color w:val="0000FF"/>
            <w:u w:val="single"/>
            <w:rtl/>
          </w:rPr>
          <w:t>"</w:t>
        </w:r>
        <w:r w:rsidR="00676EB5" w:rsidRPr="00676EB5">
          <w:rPr>
            <w:rFonts w:hint="cs"/>
            <w:color w:val="0000FF"/>
            <w:u w:val="single"/>
            <w:rtl/>
          </w:rPr>
          <w:t>ש</w:t>
        </w:r>
        <w:r w:rsidR="00676EB5" w:rsidRPr="00676EB5">
          <w:rPr>
            <w:color w:val="0000FF"/>
            <w:u w:val="single"/>
            <w:rtl/>
          </w:rPr>
          <w:t>) 34607-03-17</w:t>
        </w:r>
      </w:hyperlink>
      <w:r w:rsidRPr="00B20945">
        <w:rPr>
          <w:rFonts w:hint="cs"/>
          <w:rtl/>
        </w:rPr>
        <w:t xml:space="preserve"> </w:t>
      </w:r>
      <w:r w:rsidRPr="00945848">
        <w:rPr>
          <w:rFonts w:hint="cs"/>
          <w:b/>
          <w:bCs/>
          <w:rtl/>
        </w:rPr>
        <w:t>שלוחת תביעות מרום הגליל והגולן נ' דגאישה</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(28.11.2017); </w:t>
      </w:r>
      <w:hyperlink r:id="rId38" w:history="1">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w:t>
        </w:r>
        <w:r w:rsidR="00676EB5" w:rsidRPr="00676EB5">
          <w:rPr>
            <w:rFonts w:hint="cs"/>
            <w:color w:val="0000FF"/>
            <w:u w:val="single"/>
            <w:rtl/>
          </w:rPr>
          <w:t>שלום</w:t>
        </w:r>
        <w:r w:rsidR="00676EB5" w:rsidRPr="00676EB5">
          <w:rPr>
            <w:color w:val="0000FF"/>
            <w:u w:val="single"/>
            <w:rtl/>
          </w:rPr>
          <w:t xml:space="preserve"> – </w:t>
        </w:r>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א</w:t>
        </w:r>
        <w:r w:rsidR="00676EB5" w:rsidRPr="00676EB5">
          <w:rPr>
            <w:color w:val="0000FF"/>
            <w:u w:val="single"/>
            <w:rtl/>
          </w:rPr>
          <w:t>) 47067-01-16</w:t>
        </w:r>
      </w:hyperlink>
      <w:r w:rsidRPr="00B20945">
        <w:rPr>
          <w:rFonts w:hint="cs"/>
          <w:rtl/>
        </w:rPr>
        <w:t xml:space="preserve"> </w:t>
      </w:r>
      <w:r w:rsidRPr="00945848">
        <w:rPr>
          <w:rFonts w:hint="cs"/>
          <w:b/>
          <w:bCs/>
          <w:rtl/>
        </w:rPr>
        <w:t>מדינת ישראל נ' ברמלי ואח'</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(02.01.2018); </w:t>
      </w:r>
      <w:hyperlink r:id="rId39" w:history="1">
        <w:r w:rsidR="00676EB5" w:rsidRPr="00676EB5">
          <w:rPr>
            <w:rFonts w:ascii="David" w:hAnsi="David"/>
            <w:color w:val="0000FF"/>
            <w:u w:val="single"/>
            <w:rtl/>
          </w:rPr>
          <w:t>ת"פ (שלום – י-ם) 49123-05-12</w:t>
        </w:r>
      </w:hyperlink>
      <w:r w:rsidRPr="00945848">
        <w:rPr>
          <w:rFonts w:ascii="David" w:hAnsi="David" w:hint="cs"/>
          <w:rtl/>
        </w:rPr>
        <w:t xml:space="preserve"> </w:t>
      </w:r>
      <w:r w:rsidRPr="00945848">
        <w:rPr>
          <w:rFonts w:ascii="David" w:hAnsi="David" w:hint="cs"/>
          <w:b/>
          <w:bCs/>
          <w:rtl/>
        </w:rPr>
        <w:t xml:space="preserve">מדינת ישראל נ' סילבר </w:t>
      </w:r>
      <w:r w:rsidR="00D52E94" w:rsidRPr="00D52E94">
        <w:rPr>
          <w:rFonts w:ascii="Times New Roman" w:hAnsi="Times New Roman"/>
          <w:sz w:val="22"/>
          <w:rtl/>
        </w:rPr>
        <w:t xml:space="preserve">[פורסם בנבו] </w:t>
      </w:r>
      <w:r w:rsidRPr="00945848">
        <w:rPr>
          <w:rFonts w:ascii="David" w:hAnsi="David" w:hint="cs"/>
          <w:rtl/>
        </w:rPr>
        <w:t xml:space="preserve">(03.09.2014); </w:t>
      </w:r>
      <w:hyperlink r:id="rId40" w:history="1">
        <w:r w:rsidR="00676EB5" w:rsidRPr="00676EB5">
          <w:rPr>
            <w:rFonts w:ascii="David" w:hAnsi="David"/>
            <w:color w:val="0000FF"/>
            <w:u w:val="single"/>
            <w:rtl/>
          </w:rPr>
          <w:t>ת"פ (שלום – י-ם) 15277-01-16</w:t>
        </w:r>
      </w:hyperlink>
      <w:r w:rsidRPr="00945848">
        <w:rPr>
          <w:rFonts w:ascii="David" w:hAnsi="David" w:hint="cs"/>
          <w:rtl/>
        </w:rPr>
        <w:t xml:space="preserve"> </w:t>
      </w:r>
      <w:r w:rsidRPr="00945848">
        <w:rPr>
          <w:rFonts w:ascii="David" w:hAnsi="David" w:hint="cs"/>
          <w:b/>
          <w:bCs/>
          <w:rtl/>
        </w:rPr>
        <w:t>מדינת ישראל נ' יוסי אילישייב</w:t>
      </w:r>
      <w:r w:rsidRPr="00945848">
        <w:rPr>
          <w:rFonts w:ascii="David" w:hAnsi="David" w:hint="cs"/>
          <w:rtl/>
        </w:rPr>
        <w:t xml:space="preserve"> </w:t>
      </w:r>
      <w:r w:rsidR="00D52E94" w:rsidRPr="00D52E94">
        <w:rPr>
          <w:rFonts w:ascii="Times New Roman" w:hAnsi="Times New Roman"/>
          <w:sz w:val="22"/>
          <w:rtl/>
        </w:rPr>
        <w:t xml:space="preserve">[פורסם בנבו] </w:t>
      </w:r>
      <w:r w:rsidRPr="00945848">
        <w:rPr>
          <w:rFonts w:ascii="David" w:hAnsi="David" w:hint="cs"/>
          <w:rtl/>
        </w:rPr>
        <w:t xml:space="preserve">(03.01.2018); </w:t>
      </w:r>
      <w:hyperlink r:id="rId41" w:history="1">
        <w:r w:rsidR="00676EB5" w:rsidRPr="00676EB5">
          <w:rPr>
            <w:rFonts w:ascii="David" w:hAnsi="David"/>
            <w:color w:val="0000FF"/>
            <w:u w:val="single"/>
            <w:rtl/>
          </w:rPr>
          <w:t>ת"פ (שלום – ק"ג) 37522-07-14</w:t>
        </w:r>
      </w:hyperlink>
      <w:r w:rsidRPr="00945848">
        <w:rPr>
          <w:rFonts w:ascii="David" w:hAnsi="David" w:hint="cs"/>
          <w:rtl/>
        </w:rPr>
        <w:t xml:space="preserve"> </w:t>
      </w:r>
      <w:r w:rsidRPr="00945848">
        <w:rPr>
          <w:rFonts w:ascii="David" w:hAnsi="David" w:hint="cs"/>
          <w:b/>
          <w:bCs/>
          <w:rtl/>
        </w:rPr>
        <w:t>מדינת ישראל</w:t>
      </w:r>
      <w:r w:rsidRPr="00945848">
        <w:rPr>
          <w:rFonts w:ascii="David" w:hAnsi="David" w:hint="cs"/>
          <w:rtl/>
        </w:rPr>
        <w:t xml:space="preserve"> </w:t>
      </w:r>
      <w:r w:rsidRPr="00945848">
        <w:rPr>
          <w:rFonts w:ascii="David" w:hAnsi="David" w:hint="cs"/>
          <w:b/>
          <w:bCs/>
          <w:rtl/>
        </w:rPr>
        <w:t>נ' מיכאל יבסטיגנייב</w:t>
      </w:r>
      <w:r w:rsidRPr="00945848">
        <w:rPr>
          <w:rFonts w:ascii="David" w:hAnsi="David" w:hint="cs"/>
          <w:rtl/>
        </w:rPr>
        <w:t xml:space="preserve"> </w:t>
      </w:r>
      <w:r w:rsidR="00D52E94" w:rsidRPr="00D52E94">
        <w:rPr>
          <w:rFonts w:ascii="Times New Roman" w:hAnsi="Times New Roman"/>
          <w:sz w:val="22"/>
          <w:rtl/>
        </w:rPr>
        <w:t xml:space="preserve">[פורסם בנבו] </w:t>
      </w:r>
      <w:r w:rsidRPr="00945848">
        <w:rPr>
          <w:rFonts w:ascii="David" w:hAnsi="David" w:hint="cs"/>
          <w:rtl/>
        </w:rPr>
        <w:t>(03.01.2016).</w:t>
      </w:r>
    </w:p>
    <w:p w14:paraId="43CB7E94" w14:textId="77777777" w:rsidR="00DD7511" w:rsidRDefault="00DD7511" w:rsidP="00DD7511">
      <w:pPr>
        <w:pStyle w:val="ListParagraph"/>
        <w:numPr>
          <w:ilvl w:val="0"/>
          <w:numId w:val="2"/>
        </w:numPr>
        <w:spacing w:after="0"/>
        <w:ind w:left="84" w:right="0" w:hanging="425"/>
      </w:pPr>
      <w:r w:rsidRPr="00B20945">
        <w:rPr>
          <w:rFonts w:hint="cs"/>
          <w:rtl/>
        </w:rPr>
        <w:t xml:space="preserve">כאן גם יצוין, כי לא התעלמתי מהפסיקה שהוגשה מטעמם של הצדדים, אולם העיון בה נעשה תוך ביצוע האבחנות המתבקשות, בשים לב למשל, לסוג הסם שסופק, לכמויות שלו, לתמורה שהתקבלה בעדו, לעברו הפלילי של כל נאשם ונאשם, וכיוצא באלה. </w:t>
      </w:r>
    </w:p>
    <w:p w14:paraId="70C3D59F" w14:textId="77777777" w:rsidR="00DD7511" w:rsidRDefault="00DD7511" w:rsidP="00DD7511">
      <w:pPr>
        <w:pStyle w:val="ListParagraph"/>
        <w:numPr>
          <w:ilvl w:val="0"/>
          <w:numId w:val="2"/>
        </w:numPr>
        <w:spacing w:after="0"/>
        <w:ind w:left="84" w:right="0" w:hanging="425"/>
      </w:pPr>
      <w:r w:rsidRPr="00B20945">
        <w:rPr>
          <w:rFonts w:hint="cs"/>
          <w:rtl/>
        </w:rPr>
        <w:t xml:space="preserve">על כל פנים, נהיר לבית המשפט כי קיימים גם מקרים שבהם התקיימו נסיבות מיוחדות, לכאן או לכאן, בהם הושתו עונשים החורגים לחומרה או לקולא ממדיניות הענישה הנוהגת, כפי שזו הוצגה לעיל. כך גם ברי, כי כל צד יבקש להפנות את בית המשפט דווקא לאותם פסקי דין ספציפיים שמשרתים את האינטרס שלו. אולם, וזאת חשוב להדגיש, גם לאחר תיקון 113 הענישה נותרה אינדיווידואלית וכל מקרה צריך להיבחן לגופו, תוך שהבחינה כאמור תמיד צריכה להיעשות לגופן של העבירות והנסיבות הנלוות להן ולגופם של נאשמים, על כל מאפייניהם האישיים ונסיבותיהם הייחודיות (ראו והשוו </w:t>
      </w:r>
      <w:hyperlink r:id="rId42"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433/89</w:t>
        </w:r>
      </w:hyperlink>
      <w:r w:rsidRPr="00B20945">
        <w:rPr>
          <w:rFonts w:hint="cs"/>
          <w:rtl/>
        </w:rPr>
        <w:t xml:space="preserve"> </w:t>
      </w:r>
      <w:r w:rsidRPr="00945848">
        <w:rPr>
          <w:rFonts w:hint="cs"/>
          <w:b/>
          <w:bCs/>
          <w:rtl/>
        </w:rPr>
        <w:t>ג'ורג' אטיאס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(1989); </w:t>
      </w:r>
      <w:r w:rsidRPr="00945848">
        <w:rPr>
          <w:rFonts w:hint="cs"/>
          <w:u w:val="single"/>
          <w:rtl/>
        </w:rPr>
        <w:t>ו</w:t>
      </w:r>
      <w:hyperlink r:id="rId43" w:history="1">
        <w:r w:rsidR="00676EB5" w:rsidRPr="00676EB5">
          <w:rPr>
            <w:rFonts w:hint="cs"/>
            <w:color w:val="0000FF"/>
            <w:u w:val="single"/>
            <w:rtl/>
          </w:rPr>
          <w:t>רע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3173/09</w:t>
        </w:r>
      </w:hyperlink>
      <w:r w:rsidRPr="00B20945">
        <w:rPr>
          <w:rFonts w:hint="cs"/>
          <w:rtl/>
        </w:rPr>
        <w:t xml:space="preserve"> </w:t>
      </w:r>
      <w:r w:rsidRPr="00945848">
        <w:rPr>
          <w:rFonts w:hint="cs"/>
          <w:b/>
          <w:bCs/>
          <w:rtl/>
        </w:rPr>
        <w:t>פראגין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(05.05.2009)). קביעת מתחמי הענישה והשתת העונשים בגדריהם לעולם לא יכולים להיעשות על סמך הכותרות של העבירות (ראו והשוו </w:t>
      </w:r>
      <w:r w:rsidRPr="00945848">
        <w:rPr>
          <w:rFonts w:hint="cs"/>
          <w:u w:val="single"/>
          <w:rtl/>
        </w:rPr>
        <w:t>ע"פ 1323/13</w:t>
      </w:r>
      <w:r w:rsidRPr="00B20945">
        <w:rPr>
          <w:rFonts w:hint="cs"/>
          <w:rtl/>
        </w:rPr>
        <w:t xml:space="preserve">‏ </w:t>
      </w:r>
      <w:r w:rsidRPr="00945848">
        <w:rPr>
          <w:rFonts w:hint="cs"/>
          <w:b/>
          <w:bCs/>
          <w:rtl/>
        </w:rPr>
        <w:t>רך חסן נ' מדינת ישראל</w:t>
      </w:r>
      <w:r w:rsidRPr="00B20945">
        <w:rPr>
          <w:rFonts w:hint="cs"/>
          <w:rtl/>
        </w:rPr>
        <w:t>, (05.06.2013); ו</w:t>
      </w:r>
      <w:hyperlink r:id="rId44" w:history="1">
        <w:r w:rsidR="00676EB5" w:rsidRPr="00676EB5">
          <w:rPr>
            <w:rFonts w:hint="cs"/>
            <w:color w:val="0000FF"/>
            <w:u w:val="single"/>
            <w:rtl/>
          </w:rPr>
          <w:t>רע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4088/13</w:t>
        </w:r>
      </w:hyperlink>
      <w:r w:rsidRPr="00B20945">
        <w:rPr>
          <w:rFonts w:hint="cs"/>
          <w:rtl/>
        </w:rPr>
        <w:t xml:space="preserve"> </w:t>
      </w:r>
      <w:r w:rsidRPr="00945848">
        <w:rPr>
          <w:rFonts w:hint="cs"/>
          <w:b/>
          <w:bCs/>
          <w:rtl/>
        </w:rPr>
        <w:t>אחמד בן שחדה הדרי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(11.06.2013)).</w:t>
      </w:r>
    </w:p>
    <w:p w14:paraId="23E71725" w14:textId="77777777" w:rsidR="00DD7511" w:rsidRDefault="00DD7511" w:rsidP="00DD7511">
      <w:pPr>
        <w:pStyle w:val="ListParagraph"/>
        <w:numPr>
          <w:ilvl w:val="0"/>
          <w:numId w:val="2"/>
        </w:numPr>
        <w:spacing w:after="0"/>
        <w:ind w:left="84" w:right="0" w:hanging="425"/>
      </w:pPr>
      <w:r w:rsidRPr="00B20945">
        <w:rPr>
          <w:rFonts w:hint="cs"/>
          <w:rtl/>
        </w:rPr>
        <w:t xml:space="preserve">עוד חשוב להדגיש, כי השיקול שעניינו "מדיניות הענישה" הינו אך שיקול אחד מבין מכלול השיקולים אותם ישקול בית המשפט בטרם קביעת מתחם העונש ההולם וגזירת הדין (ראו בעניין זה </w:t>
      </w:r>
      <w:hyperlink r:id="rId45"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1903/13</w:t>
        </w:r>
      </w:hyperlink>
      <w:r w:rsidRPr="00B20945">
        <w:rPr>
          <w:rFonts w:hint="cs"/>
          <w:rtl/>
        </w:rPr>
        <w:t xml:space="preserve"> </w:t>
      </w:r>
      <w:r w:rsidRPr="00945848">
        <w:rPr>
          <w:rFonts w:hint="cs"/>
          <w:b/>
          <w:bCs/>
          <w:rtl/>
        </w:rPr>
        <w:t>חמודה עיאשה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(25.06.2013)).</w:t>
      </w:r>
    </w:p>
    <w:p w14:paraId="736FACF2" w14:textId="77777777" w:rsidR="00DD7511" w:rsidRDefault="00DD7511" w:rsidP="00DD7511">
      <w:pPr>
        <w:pStyle w:val="ListParagraph"/>
        <w:numPr>
          <w:ilvl w:val="0"/>
          <w:numId w:val="2"/>
        </w:numPr>
        <w:spacing w:after="0"/>
        <w:ind w:left="84" w:right="0" w:hanging="425"/>
      </w:pPr>
      <w:r w:rsidRPr="00B20945">
        <w:rPr>
          <w:rFonts w:hint="cs"/>
          <w:rtl/>
        </w:rPr>
        <w:t xml:space="preserve">אשר לעבירה של </w:t>
      </w:r>
      <w:r w:rsidRPr="004A3083">
        <w:rPr>
          <w:rFonts w:hint="cs"/>
          <w:b/>
          <w:bCs/>
          <w:rtl/>
        </w:rPr>
        <w:t>ניסיון שיבוש מהלכי משפט,</w:t>
      </w:r>
      <w:r w:rsidRPr="00B20945">
        <w:rPr>
          <w:rFonts w:hint="cs"/>
          <w:rtl/>
        </w:rPr>
        <w:t xml:space="preserve"> סקירת הפסיקה מעלה קושי ממשי לאתר גזרי דין שעניינם עבירת הניסיון לשיבוש מהלכי משפט כשהיא לבדה. ברם, מעיון בפסיקה עולה כי </w:t>
      </w:r>
      <w:r w:rsidRPr="004A3083">
        <w:rPr>
          <w:rFonts w:hint="cs"/>
          <w:b/>
          <w:bCs/>
          <w:rtl/>
        </w:rPr>
        <w:t>בדרך כלל</w:t>
      </w:r>
      <w:r w:rsidRPr="00B20945">
        <w:rPr>
          <w:rFonts w:hint="cs"/>
          <w:rtl/>
        </w:rPr>
        <w:t xml:space="preserve"> לצדה של עבירת השיבוש (ללא עבירת הניסיון), נלוות עבירות נוספות (בדרך כלל עבירות חמורות הימנה). כך </w:t>
      </w:r>
      <w:r w:rsidRPr="004A3083">
        <w:rPr>
          <w:rFonts w:ascii="David" w:hAnsi="David" w:hint="cs"/>
          <w:rtl/>
        </w:rPr>
        <w:t xml:space="preserve">למשל, ראו: </w:t>
      </w:r>
      <w:hyperlink r:id="rId46" w:history="1">
        <w:r w:rsidR="00676EB5" w:rsidRPr="00676EB5">
          <w:rPr>
            <w:rFonts w:ascii="David" w:hAnsi="David"/>
            <w:color w:val="0000FF"/>
            <w:u w:val="single"/>
            <w:rtl/>
          </w:rPr>
          <w:t>ת"פ (שלום- ירושלים)  52704-08-15</w:t>
        </w:r>
      </w:hyperlink>
      <w:r w:rsidRPr="004A3083">
        <w:rPr>
          <w:rFonts w:ascii="David" w:hAnsi="David" w:hint="cs"/>
          <w:b/>
          <w:bCs/>
          <w:rtl/>
        </w:rPr>
        <w:t>מדינת</w:t>
      </w:r>
      <w:r w:rsidRPr="004A3083">
        <w:rPr>
          <w:rFonts w:ascii="David" w:hAnsi="David" w:hint="cs"/>
          <w:b/>
          <w:bCs/>
        </w:rPr>
        <w:t xml:space="preserve"> </w:t>
      </w:r>
      <w:r w:rsidRPr="004A3083">
        <w:rPr>
          <w:rFonts w:ascii="David" w:hAnsi="David" w:hint="cs"/>
          <w:b/>
          <w:bCs/>
          <w:rtl/>
        </w:rPr>
        <w:t>ישראל</w:t>
      </w:r>
      <w:r w:rsidRPr="004A3083">
        <w:rPr>
          <w:rFonts w:ascii="David" w:hAnsi="David" w:hint="cs"/>
          <w:b/>
          <w:bCs/>
        </w:rPr>
        <w:t xml:space="preserve"> </w:t>
      </w:r>
      <w:r w:rsidRPr="004A3083">
        <w:rPr>
          <w:rFonts w:ascii="David" w:hAnsi="David" w:hint="cs"/>
          <w:b/>
          <w:bCs/>
          <w:rtl/>
        </w:rPr>
        <w:t>נ</w:t>
      </w:r>
      <w:r w:rsidRPr="004A3083">
        <w:rPr>
          <w:rFonts w:ascii="David" w:hAnsi="David" w:hint="cs"/>
          <w:b/>
          <w:bCs/>
        </w:rPr>
        <w:t>'</w:t>
      </w:r>
      <w:r w:rsidRPr="004A3083">
        <w:rPr>
          <w:rFonts w:ascii="David" w:hAnsi="David" w:hint="cs"/>
          <w:b/>
          <w:bCs/>
          <w:rtl/>
        </w:rPr>
        <w:t xml:space="preserve"> פלוני </w:t>
      </w:r>
      <w:r w:rsidR="00D52E94" w:rsidRPr="00D52E94">
        <w:rPr>
          <w:rFonts w:ascii="Times New Roman" w:hAnsi="Times New Roman"/>
          <w:sz w:val="22"/>
          <w:rtl/>
        </w:rPr>
        <w:t xml:space="preserve">[פורסם בנבו] </w:t>
      </w:r>
      <w:r w:rsidRPr="004A3083">
        <w:rPr>
          <w:rFonts w:ascii="David" w:hAnsi="David" w:hint="cs"/>
          <w:rtl/>
        </w:rPr>
        <w:t>(13.12.2015)</w:t>
      </w:r>
      <w:r w:rsidRPr="00B20945">
        <w:rPr>
          <w:rFonts w:hint="cs"/>
          <w:rtl/>
        </w:rPr>
        <w:t>, בו נקבע בגין עבירת השיבוש מתחם עונש הולם הנע בין מאסר מותנה או צו של"צ ועד למספר חודשי מאסר בפועל. כך גם ראו גם</w:t>
      </w:r>
      <w:r w:rsidRPr="004A3083">
        <w:rPr>
          <w:rFonts w:hint="cs"/>
          <w:u w:val="single"/>
          <w:rtl/>
        </w:rPr>
        <w:t xml:space="preserve">: </w:t>
      </w:r>
      <w:hyperlink r:id="rId47" w:history="1">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w:t>
        </w:r>
        <w:r w:rsidR="00676EB5" w:rsidRPr="00676EB5">
          <w:rPr>
            <w:rFonts w:hint="cs"/>
            <w:color w:val="0000FF"/>
            <w:u w:val="single"/>
            <w:rtl/>
          </w:rPr>
          <w:t>שלום</w:t>
        </w:r>
        <w:r w:rsidR="00676EB5" w:rsidRPr="00676EB5">
          <w:rPr>
            <w:color w:val="0000FF"/>
            <w:u w:val="single"/>
            <w:rtl/>
          </w:rPr>
          <w:t xml:space="preserve"> </w:t>
        </w:r>
        <w:r w:rsidR="00676EB5" w:rsidRPr="00676EB5">
          <w:rPr>
            <w:rFonts w:hint="cs"/>
            <w:color w:val="0000FF"/>
            <w:u w:val="single"/>
            <w:rtl/>
          </w:rPr>
          <w:t>ב</w:t>
        </w:r>
        <w:r w:rsidR="00676EB5" w:rsidRPr="00676EB5">
          <w:rPr>
            <w:color w:val="0000FF"/>
            <w:u w:val="single"/>
            <w:rtl/>
          </w:rPr>
          <w:t>"</w:t>
        </w:r>
        <w:r w:rsidR="00676EB5" w:rsidRPr="00676EB5">
          <w:rPr>
            <w:rFonts w:hint="cs"/>
            <w:color w:val="0000FF"/>
            <w:u w:val="single"/>
            <w:rtl/>
          </w:rPr>
          <w:t>ש</w:t>
        </w:r>
        <w:r w:rsidR="00676EB5" w:rsidRPr="00676EB5">
          <w:rPr>
            <w:color w:val="0000FF"/>
            <w:u w:val="single"/>
            <w:rtl/>
          </w:rPr>
          <w:t>) 54987-08-16</w:t>
        </w:r>
      </w:hyperlink>
      <w:r w:rsidRPr="00B20945">
        <w:rPr>
          <w:rFonts w:hint="cs"/>
          <w:rtl/>
        </w:rPr>
        <w:t xml:space="preserve"> </w:t>
      </w:r>
      <w:r w:rsidRPr="004A3083">
        <w:rPr>
          <w:rFonts w:hint="cs"/>
          <w:b/>
          <w:bCs/>
          <w:rtl/>
        </w:rPr>
        <w:t>מדינת ישראל נ' שלמה</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(23.11.2017), בו נקבע מתחם עונש הולם הנע בין מאסר מותנה למספר חודשי מאסר בפועל, בגין עבירת שיבוש מהלכי משפט בשילוב עם עבירת התקיפה. וכן ראו:  </w:t>
      </w:r>
      <w:hyperlink r:id="rId48" w:history="1">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w:t>
        </w:r>
        <w:r w:rsidR="00676EB5" w:rsidRPr="00676EB5">
          <w:rPr>
            <w:rFonts w:hint="cs"/>
            <w:color w:val="0000FF"/>
            <w:u w:val="single"/>
            <w:rtl/>
          </w:rPr>
          <w:t>שלום</w:t>
        </w:r>
        <w:r w:rsidR="00676EB5" w:rsidRPr="00676EB5">
          <w:rPr>
            <w:color w:val="0000FF"/>
            <w:u w:val="single"/>
            <w:rtl/>
          </w:rPr>
          <w:t xml:space="preserve"> </w:t>
        </w:r>
        <w:r w:rsidR="00676EB5" w:rsidRPr="00676EB5">
          <w:rPr>
            <w:rFonts w:hint="cs"/>
            <w:color w:val="0000FF"/>
            <w:u w:val="single"/>
            <w:rtl/>
          </w:rPr>
          <w:t>רמלה</w:t>
        </w:r>
        <w:r w:rsidR="00676EB5" w:rsidRPr="00676EB5">
          <w:rPr>
            <w:color w:val="0000FF"/>
            <w:u w:val="single"/>
            <w:rtl/>
          </w:rPr>
          <w:t>)  2078-10-13</w:t>
        </w:r>
      </w:hyperlink>
      <w:r w:rsidRPr="00B20945">
        <w:rPr>
          <w:rFonts w:hint="cs"/>
          <w:rtl/>
        </w:rPr>
        <w:t xml:space="preserve"> </w:t>
      </w:r>
      <w:r w:rsidRPr="004A3083">
        <w:rPr>
          <w:rFonts w:hint="cs"/>
          <w:b/>
          <w:bCs/>
          <w:rtl/>
        </w:rPr>
        <w:t>פרקליטות מחוז מרכז נ' אל ג'יוסי ואח'</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(19.03.2015), שם נקבע מתחם עונש הולם בגין ביצוע עבירת השיבוש הנע בין 6 חודשים שיכול וירוצו בעבודות שירות ועד ל- 12 חודשי מאסר בפועל (ואולם נסיבות המקרה שם היו חמורות מאלה שבפנינו שכן מעשה השיבוש נגע לתיק רצח). בסיכומה של נקודה זו ייאמר, כי ניתן לראות כי בתיקים בהם עבירת השיבוש נלווית לעבירות נוספות, המתחמים נעים בין מאסר מותנה ואו צו של"צ, ועד ל-12 חודשי מאסר בפועל. ברם, יש לשים לב לכך שבענייננו אין המדובר בעבירת השיבוש – אלא בניסיון לשיבוש בלבד וכי עבירת השיבוש בתיק דנן נלווית גם היא לעבירה אשר נסיבותיה אינן מצויות ברף חומרה גבוה. </w:t>
      </w:r>
    </w:p>
    <w:p w14:paraId="1E4ABD32" w14:textId="77777777" w:rsidR="00DD7511" w:rsidRPr="004A3083" w:rsidRDefault="00DD7511" w:rsidP="00DD7511">
      <w:pPr>
        <w:pStyle w:val="ListParagraph"/>
        <w:numPr>
          <w:ilvl w:val="0"/>
          <w:numId w:val="2"/>
        </w:numPr>
        <w:spacing w:after="0"/>
        <w:ind w:left="84" w:right="0" w:hanging="425"/>
      </w:pPr>
      <w:r w:rsidRPr="00B20945">
        <w:rPr>
          <w:rFonts w:hint="cs"/>
          <w:rtl/>
        </w:rPr>
        <w:t>כללם של דברים, בשים לב לעקרון המנחה בענישה, לערכים המוגנים שפגעו ולמידת הפגיעה בהם, למדיניות הענישה הנוהגת, ולנסיבות הקשורות בביצוע העבירות, הריני לקבוע כי בגין מכלול מעשיו של הנאשם ינוע מתחם העונש ההולם</w:t>
      </w:r>
      <w:r w:rsidRPr="004A3083">
        <w:rPr>
          <w:rFonts w:hint="cs"/>
          <w:b/>
          <w:bCs/>
          <w:rtl/>
        </w:rPr>
        <w:t xml:space="preserve"> </w:t>
      </w:r>
      <w:r w:rsidRPr="00B20945">
        <w:rPr>
          <w:rFonts w:hint="cs"/>
          <w:rtl/>
        </w:rPr>
        <w:t xml:space="preserve">בין מספר חודשי מאסר בודדים שיכול וירוצו בעבודות שירות לבין 12 חודשי מאסר בפועל. </w:t>
      </w:r>
    </w:p>
    <w:p w14:paraId="3448F59D" w14:textId="77777777" w:rsidR="00DD7511" w:rsidRPr="00B20945" w:rsidRDefault="00DD7511" w:rsidP="00DD7511">
      <w:pPr>
        <w:pStyle w:val="ListParagraph"/>
        <w:spacing w:after="0"/>
        <w:ind w:left="84" w:firstLine="0"/>
        <w:rPr>
          <w:b/>
          <w:bCs/>
          <w:rtl/>
        </w:rPr>
      </w:pPr>
    </w:p>
    <w:p w14:paraId="6E0368B1" w14:textId="77777777" w:rsidR="00DD7511" w:rsidRPr="002919D1" w:rsidRDefault="00DD7511" w:rsidP="00DD7511">
      <w:pPr>
        <w:pStyle w:val="1"/>
        <w:numPr>
          <w:ilvl w:val="0"/>
          <w:numId w:val="3"/>
        </w:numPr>
        <w:spacing w:before="0" w:line="360" w:lineRule="auto"/>
        <w:ind w:left="360"/>
        <w:jc w:val="both"/>
        <w:rPr>
          <w:rFonts w:cs="David"/>
          <w:b/>
          <w:bCs/>
          <w:color w:val="auto"/>
          <w:sz w:val="28"/>
          <w:szCs w:val="28"/>
          <w:u w:val="single"/>
          <w:rtl/>
        </w:rPr>
      </w:pPr>
      <w:r w:rsidRPr="002919D1">
        <w:rPr>
          <w:rFonts w:cs="David" w:hint="cs"/>
          <w:b/>
          <w:bCs/>
          <w:color w:val="auto"/>
          <w:sz w:val="28"/>
          <w:szCs w:val="28"/>
          <w:u w:val="single"/>
          <w:rtl/>
        </w:rPr>
        <w:t>גזירת העונש המתאים לנאשם</w:t>
      </w:r>
    </w:p>
    <w:p w14:paraId="13D43448" w14:textId="77777777" w:rsidR="00DD7511" w:rsidRPr="00B20945" w:rsidRDefault="00DD7511" w:rsidP="00DD7511">
      <w:pPr>
        <w:pStyle w:val="ListParagraph"/>
        <w:numPr>
          <w:ilvl w:val="0"/>
          <w:numId w:val="2"/>
        </w:numPr>
        <w:spacing w:after="0"/>
        <w:ind w:left="84" w:right="0" w:hanging="567"/>
      </w:pPr>
      <w:r w:rsidRPr="00B20945">
        <w:rPr>
          <w:rFonts w:hint="cs"/>
          <w:rtl/>
        </w:rPr>
        <w:t xml:space="preserve">על בית המשפט לגזור את עונשו של הנאשם בהתחשב בנסיבות שאינן קשורות בביצוע העבירה, כפי שאלו מפורטות </w:t>
      </w:r>
      <w:hyperlink r:id="rId49" w:history="1">
        <w:r w:rsidR="00413457" w:rsidRPr="00413457">
          <w:rPr>
            <w:rFonts w:hint="cs"/>
            <w:color w:val="0000FF"/>
            <w:u w:val="single"/>
            <w:rtl/>
          </w:rPr>
          <w:t>בסעיף</w:t>
        </w:r>
        <w:r w:rsidR="00413457" w:rsidRPr="00413457">
          <w:rPr>
            <w:color w:val="0000FF"/>
            <w:u w:val="single"/>
            <w:rtl/>
          </w:rPr>
          <w:t xml:space="preserve"> 40</w:t>
        </w:r>
        <w:r w:rsidR="00413457" w:rsidRPr="00413457">
          <w:rPr>
            <w:rFonts w:hint="cs"/>
            <w:color w:val="0000FF"/>
            <w:u w:val="single"/>
            <w:rtl/>
          </w:rPr>
          <w:t>יא</w:t>
        </w:r>
      </w:hyperlink>
      <w:r w:rsidRPr="00B20945">
        <w:rPr>
          <w:rFonts w:hint="cs"/>
          <w:rtl/>
        </w:rPr>
        <w:t xml:space="preserve"> ל</w:t>
      </w:r>
      <w:hyperlink r:id="rId50" w:history="1">
        <w:r w:rsidR="00676EB5" w:rsidRPr="00676EB5">
          <w:rPr>
            <w:rFonts w:hint="cs"/>
            <w:color w:val="0000FF"/>
            <w:u w:val="single"/>
            <w:rtl/>
          </w:rPr>
          <w:t>חוק</w:t>
        </w:r>
        <w:r w:rsidR="00676EB5" w:rsidRPr="00676EB5">
          <w:rPr>
            <w:color w:val="0000FF"/>
            <w:u w:val="single"/>
            <w:rtl/>
          </w:rPr>
          <w:t xml:space="preserve"> </w:t>
        </w:r>
        <w:r w:rsidR="00676EB5" w:rsidRPr="00676EB5">
          <w:rPr>
            <w:rFonts w:hint="cs"/>
            <w:color w:val="0000FF"/>
            <w:u w:val="single"/>
            <w:rtl/>
          </w:rPr>
          <w:t>העונשין</w:t>
        </w:r>
      </w:hyperlink>
      <w:r w:rsidRPr="00B20945">
        <w:rPr>
          <w:rFonts w:hint="cs"/>
          <w:rtl/>
        </w:rPr>
        <w:t>.</w:t>
      </w:r>
    </w:p>
    <w:p w14:paraId="4EE669E0" w14:textId="77777777" w:rsidR="00DD7511" w:rsidRPr="00B20945" w:rsidRDefault="00DD7511" w:rsidP="00DD7511">
      <w:pPr>
        <w:pStyle w:val="ListParagraph"/>
        <w:numPr>
          <w:ilvl w:val="0"/>
          <w:numId w:val="2"/>
        </w:numPr>
        <w:spacing w:after="0"/>
        <w:ind w:left="84" w:right="0" w:hanging="567"/>
      </w:pPr>
      <w:r w:rsidRPr="00B20945">
        <w:rPr>
          <w:rFonts w:hint="cs"/>
          <w:rtl/>
        </w:rPr>
        <w:t xml:space="preserve">בעניין זה, נתתי דעתי לעובדה כי לנאשם עבר שאיננו מכביד </w:t>
      </w:r>
      <w:r w:rsidRPr="00B20945">
        <w:rPr>
          <w:rFonts w:hint="cs"/>
          <w:b/>
          <w:bCs/>
          <w:rtl/>
        </w:rPr>
        <w:t>(ת/4)</w:t>
      </w:r>
      <w:r w:rsidRPr="00B20945">
        <w:rPr>
          <w:rFonts w:hint="cs"/>
          <w:rtl/>
        </w:rPr>
        <w:t xml:space="preserve"> ולחובתו רישום אחד משנת 2017, (אשר התיישן אך לא נמחק), בעבירה של התנהגות פרועה במקום ציבורי בגינו הושת עליו עונש של חתימה על התחייבות להימנע מביצוע עבירה. כן שקלתי את הפגיעה שעלולה להיגרם לנאשם ככל שיושת עליו עונש מאסר, וזאת בשים לב לגילו הצעיר ולעובדה כי הלה טרם ריצה עונשי מאסר בעברו. </w:t>
      </w:r>
    </w:p>
    <w:p w14:paraId="7878874B" w14:textId="77777777" w:rsidR="00DD7511" w:rsidRPr="00B20945" w:rsidRDefault="00DD7511" w:rsidP="00DD7511">
      <w:pPr>
        <w:pStyle w:val="ListParagraph"/>
        <w:numPr>
          <w:ilvl w:val="0"/>
          <w:numId w:val="2"/>
        </w:numPr>
        <w:spacing w:after="0"/>
        <w:ind w:left="84" w:right="0" w:hanging="567"/>
        <w:rPr>
          <w:rtl/>
        </w:rPr>
      </w:pPr>
      <w:r w:rsidRPr="00B20945">
        <w:rPr>
          <w:rFonts w:hint="cs"/>
          <w:rtl/>
        </w:rPr>
        <w:t>עוד ולקולא, יש ליתן את הדעת לכך שהנאשם הודה בביצוע העבירות, מה שייתר את העדתו של הקטין ואף הביא לחיסכון בזמן שיפוטי יקר. בנוסף, יש להעניק משקל מסוים לחלוף הזמן מעת ביצוע העבירות. אם כי, אין המדובר בפרק זמן ארוך בצורה ניכרת, ועל כן המשקל שיינתן לנסיבה זו יהיה נמוך.</w:t>
      </w:r>
    </w:p>
    <w:p w14:paraId="42EB4F0B" w14:textId="77777777" w:rsidR="00DD7511" w:rsidRPr="00B20945" w:rsidRDefault="00DD7511" w:rsidP="00DD7511">
      <w:pPr>
        <w:pStyle w:val="ListParagraph"/>
        <w:numPr>
          <w:ilvl w:val="0"/>
          <w:numId w:val="2"/>
        </w:numPr>
        <w:spacing w:after="0"/>
        <w:ind w:left="84" w:right="0" w:hanging="425"/>
        <w:rPr>
          <w:rtl/>
        </w:rPr>
      </w:pPr>
      <w:r w:rsidRPr="00B20945">
        <w:rPr>
          <w:rFonts w:hint="cs"/>
          <w:rtl/>
        </w:rPr>
        <w:t xml:space="preserve">עוד יש ליתן את הדעת לעובדה כי הנאשם שהה במעצר מאחורי סורג ובריח במשך פרק זמן שאיננו מבוטל, ובמשך תקופה ארוכה נוספת היה משוחרר תחת תנאים מגבילים. ברי כי הליך המעצר אינו עונש או "מקדמה על חשבון העונש", אך סבורתני כי היה בהליך המעצר כדי להעביר לו את המסר הנדרש ולהרתיעו במידה רבה מביצוע עבירות נוספות בעתיד (גם שירות המבחן סבר כי יש בהליך הפלילי המתנהל נגדו כדי להרתיעו ולהציב עבורו גבולות), וייתכן שאף ניתן לשקול שיקול זה במסגרת </w:t>
      </w:r>
      <w:hyperlink r:id="rId51" w:history="1">
        <w:r w:rsidR="00413457" w:rsidRPr="00413457">
          <w:rPr>
            <w:rFonts w:hint="cs"/>
            <w:color w:val="0000FF"/>
            <w:u w:val="single"/>
            <w:rtl/>
          </w:rPr>
          <w:t>סעיף</w:t>
        </w:r>
        <w:r w:rsidR="00413457" w:rsidRPr="00413457">
          <w:rPr>
            <w:color w:val="0000FF"/>
            <w:u w:val="single"/>
            <w:rtl/>
          </w:rPr>
          <w:t xml:space="preserve"> 40</w:t>
        </w:r>
        <w:r w:rsidR="00413457" w:rsidRPr="00413457">
          <w:rPr>
            <w:rFonts w:hint="cs"/>
            <w:color w:val="0000FF"/>
            <w:u w:val="single"/>
            <w:rtl/>
          </w:rPr>
          <w:t>יא</w:t>
        </w:r>
        <w:r w:rsidR="00413457" w:rsidRPr="00413457">
          <w:rPr>
            <w:color w:val="0000FF"/>
            <w:u w:val="single"/>
            <w:rtl/>
          </w:rPr>
          <w:t>(3)</w:t>
        </w:r>
      </w:hyperlink>
      <w:r w:rsidRPr="00B20945">
        <w:rPr>
          <w:rFonts w:hint="cs"/>
          <w:rtl/>
        </w:rPr>
        <w:t xml:space="preserve"> ל</w:t>
      </w:r>
      <w:hyperlink r:id="rId52" w:history="1">
        <w:r w:rsidR="00676EB5" w:rsidRPr="00676EB5">
          <w:rPr>
            <w:rFonts w:hint="cs"/>
            <w:color w:val="0000FF"/>
            <w:u w:val="single"/>
            <w:rtl/>
          </w:rPr>
          <w:t>חוק</w:t>
        </w:r>
        <w:r w:rsidR="00676EB5" w:rsidRPr="00676EB5">
          <w:rPr>
            <w:color w:val="0000FF"/>
            <w:u w:val="single"/>
            <w:rtl/>
          </w:rPr>
          <w:t xml:space="preserve"> </w:t>
        </w:r>
        <w:r w:rsidR="00676EB5" w:rsidRPr="00676EB5">
          <w:rPr>
            <w:rFonts w:hint="cs"/>
            <w:color w:val="0000FF"/>
            <w:u w:val="single"/>
            <w:rtl/>
          </w:rPr>
          <w:t>העונשין</w:t>
        </w:r>
      </w:hyperlink>
      <w:r w:rsidRPr="00B20945">
        <w:rPr>
          <w:rFonts w:hint="cs"/>
          <w:rtl/>
        </w:rPr>
        <w:t>.</w:t>
      </w:r>
    </w:p>
    <w:p w14:paraId="58442A24" w14:textId="77777777" w:rsidR="00DD7511" w:rsidRPr="00B20945" w:rsidRDefault="00DD7511" w:rsidP="00D52E94">
      <w:pPr>
        <w:pStyle w:val="ListParagraph"/>
        <w:numPr>
          <w:ilvl w:val="0"/>
          <w:numId w:val="2"/>
        </w:numPr>
        <w:spacing w:after="0"/>
        <w:ind w:left="84" w:right="0"/>
      </w:pPr>
      <w:r w:rsidRPr="00B20945">
        <w:rPr>
          <w:rFonts w:hint="cs"/>
          <w:rtl/>
        </w:rPr>
        <w:t>במסגרת מכלול השיקולים, הבאתי בחשבון את גילו הצעיר של הנאשם, הן בעת ביצוע העבירה והן כיום. כזכור, הנאשם ביצע את העבירות עת היה כבן 21 בלבד. כיום הנאשם עודנו בן 21</w:t>
      </w:r>
      <w:r w:rsidRPr="00B20945">
        <w:rPr>
          <w:rFonts w:hint="cs"/>
          <w:b/>
          <w:bCs/>
          <w:rtl/>
        </w:rPr>
        <w:t xml:space="preserve"> </w:t>
      </w:r>
      <w:r w:rsidRPr="00B20945">
        <w:rPr>
          <w:rFonts w:hint="cs"/>
          <w:rtl/>
        </w:rPr>
        <w:t xml:space="preserve">ואין חולק שהוא משתייך לקבוצת "הבגירים צעירים" והדבר אף עולה בקנה אחד עם התרשמות שירות המבחן לפיה ביצוע העבירות על ידו נבע בין היתר בשל גילו הצעיר ובהעדר כלים לנהל את החרדה מולה הוא מתמודד לעיתים קרובות בשל מחלתה של אמו.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(כך למשל, ראו: </w:t>
      </w:r>
      <w:hyperlink r:id="rId53"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4466/13</w:t>
        </w:r>
      </w:hyperlink>
      <w:r w:rsidRPr="00B20945">
        <w:rPr>
          <w:rFonts w:hint="cs"/>
          <w:rtl/>
        </w:rPr>
        <w:t xml:space="preserve"> </w:t>
      </w:r>
      <w:r w:rsidRPr="00B20945">
        <w:rPr>
          <w:rFonts w:hint="cs"/>
          <w:b/>
          <w:bCs/>
          <w:rtl/>
        </w:rPr>
        <w:t>נתנאל אסולין פורטל נ' מדינת ישראל</w:t>
      </w:r>
      <w:r w:rsidRPr="00B20945">
        <w:rPr>
          <w:rFonts w:hint="cs"/>
          <w:rtl/>
        </w:rPr>
        <w:t>,</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(22.05.2014).</w:t>
      </w:r>
    </w:p>
    <w:p w14:paraId="4A119C6A" w14:textId="77777777" w:rsidR="00DD7511" w:rsidRPr="00B20945" w:rsidRDefault="00DD7511" w:rsidP="00DD7511">
      <w:pPr>
        <w:pStyle w:val="ListParagraph"/>
        <w:numPr>
          <w:ilvl w:val="0"/>
          <w:numId w:val="2"/>
        </w:numPr>
        <w:spacing w:after="0"/>
        <w:ind w:left="84" w:right="0"/>
      </w:pPr>
      <w:r w:rsidRPr="00B20945">
        <w:rPr>
          <w:rFonts w:hint="cs"/>
          <w:rtl/>
        </w:rPr>
        <w:t>לבסוף יצוין, כי אף נתתי דעתי לנסיבות חייו של הנאשם – כפי שאלה פורטו בתסקירי  שירות המבחן ונפרסו במהלך שמיעת הטיעונים לעונש – אשר נדמה כי הייתה להן השפעה על ביצוע העבירות שבמוקד כתב האישום המתוקן.</w:t>
      </w:r>
    </w:p>
    <w:p w14:paraId="20AA7995" w14:textId="77777777" w:rsidR="00DD7511" w:rsidRPr="00B20945" w:rsidRDefault="00DD7511" w:rsidP="00DD7511">
      <w:pPr>
        <w:pStyle w:val="ListParagraph"/>
        <w:numPr>
          <w:ilvl w:val="0"/>
          <w:numId w:val="2"/>
        </w:numPr>
        <w:spacing w:after="0"/>
        <w:ind w:left="84" w:right="0"/>
        <w:rPr>
          <w:rtl/>
        </w:rPr>
      </w:pPr>
      <w:r w:rsidRPr="00B20945">
        <w:rPr>
          <w:rFonts w:hint="cs"/>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54" w:history="1">
        <w:r w:rsidR="00413457" w:rsidRPr="00413457">
          <w:rPr>
            <w:rFonts w:hint="cs"/>
            <w:color w:val="0000FF"/>
            <w:u w:val="single"/>
            <w:rtl/>
          </w:rPr>
          <w:t>בסעיף</w:t>
        </w:r>
        <w:r w:rsidR="00413457" w:rsidRPr="00413457">
          <w:rPr>
            <w:color w:val="0000FF"/>
            <w:u w:val="single"/>
            <w:rtl/>
          </w:rPr>
          <w:t xml:space="preserve"> 40</w:t>
        </w:r>
        <w:r w:rsidR="00413457" w:rsidRPr="00413457">
          <w:rPr>
            <w:rFonts w:hint="cs"/>
            <w:color w:val="0000FF"/>
            <w:u w:val="single"/>
            <w:rtl/>
          </w:rPr>
          <w:t>ד</w:t>
        </w:r>
        <w:r w:rsidR="00413457" w:rsidRPr="00413457">
          <w:rPr>
            <w:color w:val="0000FF"/>
            <w:u w:val="single"/>
            <w:rtl/>
          </w:rPr>
          <w:t>(</w:t>
        </w:r>
        <w:r w:rsidR="00413457" w:rsidRPr="00413457">
          <w:rPr>
            <w:rFonts w:hint="cs"/>
            <w:color w:val="0000FF"/>
            <w:u w:val="single"/>
            <w:rtl/>
          </w:rPr>
          <w:t>א</w:t>
        </w:r>
        <w:r w:rsidR="00413457" w:rsidRPr="00413457">
          <w:rPr>
            <w:color w:val="0000FF"/>
            <w:u w:val="single"/>
            <w:rtl/>
          </w:rPr>
          <w:t>)</w:t>
        </w:r>
      </w:hyperlink>
      <w:r w:rsidRPr="00B20945">
        <w:rPr>
          <w:rFonts w:hint="cs"/>
          <w:rtl/>
        </w:rPr>
        <w:t xml:space="preserve"> ל</w:t>
      </w:r>
      <w:hyperlink r:id="rId55" w:history="1">
        <w:r w:rsidR="00676EB5" w:rsidRPr="00676EB5">
          <w:rPr>
            <w:rFonts w:hint="cs"/>
            <w:color w:val="0000FF"/>
            <w:u w:val="single"/>
            <w:rtl/>
          </w:rPr>
          <w:t>חוק</w:t>
        </w:r>
        <w:r w:rsidR="00676EB5" w:rsidRPr="00676EB5">
          <w:rPr>
            <w:color w:val="0000FF"/>
            <w:u w:val="single"/>
            <w:rtl/>
          </w:rPr>
          <w:t xml:space="preserve"> </w:t>
        </w:r>
        <w:r w:rsidR="00676EB5" w:rsidRPr="00676EB5">
          <w:rPr>
            <w:rFonts w:hint="cs"/>
            <w:color w:val="0000FF"/>
            <w:u w:val="single"/>
            <w:rtl/>
          </w:rPr>
          <w:t>העונשין</w:t>
        </w:r>
      </w:hyperlink>
      <w:r w:rsidRPr="00B20945">
        <w:rPr>
          <w:rFonts w:hint="cs"/>
          <w:rtl/>
        </w:rPr>
        <w:t>, שוכנעתי כי יש מקום במקרה הנדון לסטות לקולא מהמתחם שקבעתי לעיל, וזאת לאחר שהשתכנעתי כי קיים סיכוי של ממש כי הנאשם ישתקם בעתיד. ובמה דברים אמורים?</w:t>
      </w:r>
    </w:p>
    <w:p w14:paraId="47071242" w14:textId="77777777" w:rsidR="00DD7511" w:rsidRDefault="00DD7511" w:rsidP="00DD7511">
      <w:pPr>
        <w:pStyle w:val="ListParagraph"/>
        <w:numPr>
          <w:ilvl w:val="0"/>
          <w:numId w:val="2"/>
        </w:numPr>
        <w:spacing w:after="0"/>
        <w:ind w:left="84" w:right="0" w:hanging="425"/>
      </w:pPr>
      <w:r w:rsidRPr="00B20945">
        <w:rPr>
          <w:rFonts w:hint="cs"/>
          <w:rtl/>
        </w:rPr>
        <w:t>ראשית, כפי המפורט בתסקירים אשר הוגשו בעניינו של הנאשם, הנאשם שולב, במשך תקופה ממושכת, במסגרת הליך המעצר, בטיפול שכלל שיחות פרטניות וביצע בדיקות שתן שנמצאו נקיות משרידי סם. בהמשך לכך, הנאשם שולב בקבוצה טיפולית המיועדת לצעירים, תוך שהנאשם הקפיד להגיע למפגשים שנערכו במסגרת קבוצה זו, וכך גם, השתתפותו של הנאשם במפגשים התאפיינה במחויבות גבוהה ושיתוף פעולה מלא, תוך שנמסר כי הלה הינו שותף פעיל בקבוצה, שיתף מעולמו, במחשבותיו, ובהתמודדותו תוך שהשירות התרשם כי הנאשם מצליח לשמוע ביקורת בונה מחברי הקבוצה וכי הלה נמצא בתחילת תהליך של התבוננות פנימית בדפוסי התנהלותו ומביע מוטיבציה להמשיך להשתלב בהליכים טיפוליים נוספים.</w:t>
      </w:r>
      <w:r>
        <w:rPr>
          <w:rFonts w:hint="cs"/>
          <w:rtl/>
        </w:rPr>
        <w:t xml:space="preserve"> </w:t>
      </w:r>
    </w:p>
    <w:p w14:paraId="7554529A" w14:textId="77777777" w:rsidR="00DD7511" w:rsidRDefault="00DD7511" w:rsidP="00DD7511">
      <w:pPr>
        <w:pStyle w:val="ListParagraph"/>
        <w:spacing w:after="0"/>
        <w:ind w:left="84" w:firstLine="0"/>
      </w:pPr>
      <w:r w:rsidRPr="00B20945">
        <w:rPr>
          <w:rFonts w:hint="cs"/>
          <w:rtl/>
        </w:rPr>
        <w:t>אף לא יהיה זה מיותר לציין, כי במשך כל פרק הזמן הזה הנאשם מסר בדיקות שנמצאו נקיות משרידי סם, מה שכמובן מעיד על כך שהלה נגמל משימוש בסמים.</w:t>
      </w:r>
    </w:p>
    <w:p w14:paraId="3EF1DBFA" w14:textId="77777777" w:rsidR="00DD7511" w:rsidRDefault="00DD7511" w:rsidP="00DD7511">
      <w:pPr>
        <w:pStyle w:val="ListParagraph"/>
        <w:spacing w:after="0"/>
        <w:ind w:left="84" w:firstLine="0"/>
        <w:rPr>
          <w:rtl/>
        </w:rPr>
      </w:pPr>
      <w:r w:rsidRPr="00B20945">
        <w:rPr>
          <w:rFonts w:hint="cs"/>
          <w:rtl/>
        </w:rPr>
        <w:t xml:space="preserve">בשים לב לאלה, נדמה שלא בכדי שירות המבחן המליץ לבכר את האפיק השיקומי בעניינו של הנאשם, ולהימנע משליחתו למאסר מאחורי סורג ובריח  (ולו לריצוי בעבודות שירות). </w:t>
      </w:r>
    </w:p>
    <w:p w14:paraId="5F90CD60" w14:textId="77777777" w:rsidR="00DD7511" w:rsidRDefault="00DD7511" w:rsidP="00DD7511">
      <w:pPr>
        <w:pStyle w:val="ListParagraph"/>
        <w:numPr>
          <w:ilvl w:val="0"/>
          <w:numId w:val="2"/>
        </w:numPr>
        <w:spacing w:after="0"/>
        <w:ind w:left="84" w:right="0" w:hanging="425"/>
      </w:pPr>
      <w:r w:rsidRPr="00B20945">
        <w:rPr>
          <w:rFonts w:hint="cs"/>
          <w:rtl/>
        </w:rPr>
        <w:t xml:space="preserve">שנית, ואף מעבר לטיפול ה"מוסדי" שעבר הנאשם, כפי שתואר זה עתה, במקרה הנדון ניתן ללמוד אודות שיקומו אף מהעובדה כי מאז שחרורו מהמעצר הלה נמנע מלהשתמש בסמים, כפי שמעידות הבדיקות שאותן הוא מסר, שיתף פעולה באופן מלא עם שירות המבחן ולא שב לבצע עבירות נוספות. כידוע, בפסיקה נקבע זה מכבר כי לעיתים די בכך שבית המשפט ישתכנע שהנאשם מנהל אורח חיים נורמטיבי, משתף פעולה עם רשויות החוק ושירות המבחן, לא שב לדרכיו הרעות ולא מסתבך עוד בפלילים, כדי לקבוע כי אותו נאשם "השתקם או שיש סיכוי של ממש שישתקם בעתיד", מה שבתורו עשוי להצדיק סטייה לקולא ממתחמי הענישה שנקבעו, וראו בעניין זה, למשל: </w:t>
      </w:r>
      <w:hyperlink r:id="rId56"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1903/13</w:t>
        </w:r>
      </w:hyperlink>
      <w:r w:rsidRPr="00B20945">
        <w:rPr>
          <w:rFonts w:hint="cs"/>
          <w:rtl/>
        </w:rPr>
        <w:t xml:space="preserve"> </w:t>
      </w:r>
      <w:r w:rsidRPr="0004558F">
        <w:rPr>
          <w:rFonts w:hint="cs"/>
          <w:b/>
          <w:bCs/>
          <w:rtl/>
        </w:rPr>
        <w:t>חמודה עיאשה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(14.07.2013); </w:t>
      </w:r>
      <w:hyperlink r:id="rId57" w:history="1">
        <w:r w:rsidR="00676EB5" w:rsidRPr="00676EB5">
          <w:rPr>
            <w:rFonts w:hint="cs"/>
            <w:color w:val="0000FF"/>
            <w:u w:val="single"/>
            <w:rtl/>
          </w:rPr>
          <w:t>רע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7683/13</w:t>
        </w:r>
      </w:hyperlink>
      <w:r w:rsidRPr="00B20945">
        <w:rPr>
          <w:rFonts w:hint="cs"/>
          <w:rtl/>
        </w:rPr>
        <w:t xml:space="preserve"> </w:t>
      </w:r>
      <w:r w:rsidRPr="0004558F">
        <w:rPr>
          <w:rFonts w:hint="cs"/>
          <w:b/>
          <w:bCs/>
          <w:rtl/>
        </w:rPr>
        <w:t>דויד פרלמן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(23.02.2014); </w:t>
      </w:r>
      <w:hyperlink r:id="rId58" w:history="1">
        <w:r w:rsidR="00676EB5" w:rsidRPr="00676EB5">
          <w:rPr>
            <w:rFonts w:hint="cs"/>
            <w:color w:val="0000FF"/>
            <w:u w:val="single"/>
            <w:rtl/>
          </w:rPr>
          <w:t>רע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1441/14</w:t>
        </w:r>
      </w:hyperlink>
      <w:r w:rsidRPr="00B20945">
        <w:rPr>
          <w:rFonts w:hint="cs"/>
          <w:rtl/>
        </w:rPr>
        <w:t xml:space="preserve"> </w:t>
      </w:r>
      <w:r w:rsidRPr="0004558F">
        <w:rPr>
          <w:rFonts w:hint="cs"/>
          <w:b/>
          <w:bCs/>
          <w:rtl/>
        </w:rPr>
        <w:t>חמיס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(09.12.2014);</w:t>
      </w:r>
      <w:r w:rsidRPr="00B20945">
        <w:rPr>
          <w:rFonts w:hint="cs"/>
        </w:rPr>
        <w:t xml:space="preserve"> </w:t>
      </w:r>
      <w:hyperlink r:id="rId59" w:history="1">
        <w:r w:rsidR="00676EB5" w:rsidRPr="00676EB5">
          <w:rPr>
            <w:rFonts w:hint="cs"/>
            <w:color w:val="0000FF"/>
            <w:u w:val="single"/>
            <w:rtl/>
          </w:rPr>
          <w:t>ע</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5341/13</w:t>
        </w:r>
      </w:hyperlink>
      <w:r w:rsidRPr="00B20945">
        <w:rPr>
          <w:rFonts w:hint="cs"/>
          <w:rtl/>
        </w:rPr>
        <w:t xml:space="preserve"> </w:t>
      </w:r>
      <w:r w:rsidRPr="0004558F">
        <w:rPr>
          <w:rFonts w:hint="cs"/>
          <w:b/>
          <w:bCs/>
          <w:rtl/>
        </w:rPr>
        <w:t>מדינת ישראל נ' מוחמד אלקרעאן,</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(08.12.2013); </w:t>
      </w:r>
      <w:r w:rsidRPr="0004558F">
        <w:rPr>
          <w:rFonts w:hint="cs"/>
          <w:u w:val="single"/>
          <w:rtl/>
        </w:rPr>
        <w:t>ו</w:t>
      </w:r>
      <w:hyperlink r:id="rId60" w:history="1">
        <w:r w:rsidR="00676EB5" w:rsidRPr="00676EB5">
          <w:rPr>
            <w:rFonts w:hint="cs"/>
            <w:color w:val="0000FF"/>
            <w:u w:val="single"/>
            <w:rtl/>
          </w:rPr>
          <w:t>עפ</w:t>
        </w:r>
        <w:r w:rsidR="00676EB5" w:rsidRPr="00676EB5">
          <w:rPr>
            <w:color w:val="0000FF"/>
            <w:u w:val="single"/>
            <w:rtl/>
          </w:rPr>
          <w:t>"</w:t>
        </w:r>
        <w:r w:rsidR="00676EB5" w:rsidRPr="00676EB5">
          <w:rPr>
            <w:rFonts w:hint="cs"/>
            <w:color w:val="0000FF"/>
            <w:u w:val="single"/>
            <w:rtl/>
          </w:rPr>
          <w:t>ג</w:t>
        </w:r>
        <w:r w:rsidR="00676EB5" w:rsidRPr="00676EB5">
          <w:rPr>
            <w:color w:val="0000FF"/>
            <w:u w:val="single"/>
            <w:rtl/>
          </w:rPr>
          <w:t xml:space="preserve"> (</w:t>
        </w:r>
        <w:r w:rsidR="00676EB5" w:rsidRPr="00676EB5">
          <w:rPr>
            <w:rFonts w:hint="cs"/>
            <w:color w:val="0000FF"/>
            <w:u w:val="single"/>
            <w:rtl/>
          </w:rPr>
          <w:t>מחוזי</w:t>
        </w:r>
        <w:r w:rsidR="00676EB5" w:rsidRPr="00676EB5">
          <w:rPr>
            <w:color w:val="0000FF"/>
            <w:u w:val="single"/>
            <w:rtl/>
          </w:rPr>
          <w:t xml:space="preserve"> </w:t>
        </w:r>
        <w:r w:rsidR="00676EB5" w:rsidRPr="00676EB5">
          <w:rPr>
            <w:rFonts w:hint="cs"/>
            <w:color w:val="0000FF"/>
            <w:u w:val="single"/>
            <w:rtl/>
          </w:rPr>
          <w:t>ב</w:t>
        </w:r>
        <w:r w:rsidR="00676EB5" w:rsidRPr="00676EB5">
          <w:rPr>
            <w:color w:val="0000FF"/>
            <w:u w:val="single"/>
            <w:rtl/>
          </w:rPr>
          <w:t>"</w:t>
        </w:r>
        <w:r w:rsidR="00676EB5" w:rsidRPr="00676EB5">
          <w:rPr>
            <w:rFonts w:hint="cs"/>
            <w:color w:val="0000FF"/>
            <w:u w:val="single"/>
            <w:rtl/>
          </w:rPr>
          <w:t>ש</w:t>
        </w:r>
        <w:r w:rsidR="00676EB5" w:rsidRPr="00676EB5">
          <w:rPr>
            <w:color w:val="0000FF"/>
            <w:u w:val="single"/>
            <w:rtl/>
          </w:rPr>
          <w:t xml:space="preserve"> ) 37682-03-13</w:t>
        </w:r>
      </w:hyperlink>
      <w:r w:rsidRPr="00B20945">
        <w:rPr>
          <w:rFonts w:hint="cs"/>
          <w:rtl/>
        </w:rPr>
        <w:t xml:space="preserve"> </w:t>
      </w:r>
      <w:r w:rsidRPr="0004558F">
        <w:rPr>
          <w:rFonts w:hint="cs"/>
          <w:b/>
          <w:bCs/>
          <w:rtl/>
        </w:rPr>
        <w:t>גרניק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(20.11.2013). </w:t>
      </w:r>
    </w:p>
    <w:p w14:paraId="5123C79F" w14:textId="77777777" w:rsidR="00DD7511" w:rsidRDefault="00DD7511" w:rsidP="00DD7511">
      <w:pPr>
        <w:pStyle w:val="ListParagraph"/>
        <w:numPr>
          <w:ilvl w:val="0"/>
          <w:numId w:val="2"/>
        </w:numPr>
        <w:spacing w:after="0"/>
        <w:ind w:left="84" w:right="0" w:hanging="425"/>
      </w:pPr>
      <w:r w:rsidRPr="00B20945">
        <w:rPr>
          <w:rFonts w:hint="cs"/>
          <w:rtl/>
        </w:rPr>
        <w:t>בעניינינו, שוכנעתי כי התנהלותו של הנאשם מאז שוחרר מהמעצר, הימנעותו משימוש בסמים ומביצוע עבירות נוספות, שיתוף הפעולה המלא שלו עם שירות המבחן, המוטיבציה שהביע להשתלב בהליכים טיפוליים נוספים, והניסיון שלו להשיב את חייו למסלול נורמטיבי, מלמדים כי למצער קיים סיכוי של ממש כי הוא ישתקם בעתיד בצורה מלאה ובאופן מוחלט.</w:t>
      </w:r>
    </w:p>
    <w:p w14:paraId="64AE003E" w14:textId="77777777" w:rsidR="00DD7511" w:rsidRDefault="00DD7511" w:rsidP="00DD7511">
      <w:pPr>
        <w:pStyle w:val="ListParagraph"/>
        <w:numPr>
          <w:ilvl w:val="0"/>
          <w:numId w:val="2"/>
        </w:numPr>
        <w:spacing w:after="0"/>
        <w:ind w:left="84" w:right="0" w:hanging="425"/>
      </w:pPr>
      <w:r w:rsidRPr="00B20945">
        <w:rPr>
          <w:rFonts w:hint="cs"/>
          <w:rtl/>
        </w:rPr>
        <w:t>כאן אף יצוין, כי שירות המבחן העריך כי מהנאשם נשקפת מסוכנות וכי מסוכנות זו עשויה להצטמצם ככל שהלה יתמיד בהליך הטיפולי-שיקומי. יוצא אפוא, בשים לב להשתתפותו של הנאשם בקבוצה הטיפולית והמוטיבציה שהלה מביע להמשיך ולהעמיק את הטיפול, כי הסיכון הנשקף ממנו, שכבר כעת איננו ברמה גבוהה, צפוי להישחק עד דק בהמשך.</w:t>
      </w:r>
    </w:p>
    <w:p w14:paraId="024C306E" w14:textId="77777777" w:rsidR="00DD7511" w:rsidRDefault="00DD7511" w:rsidP="00DD7511">
      <w:pPr>
        <w:pStyle w:val="ListParagraph"/>
        <w:numPr>
          <w:ilvl w:val="0"/>
          <w:numId w:val="2"/>
        </w:numPr>
        <w:spacing w:after="0"/>
        <w:ind w:left="84" w:right="0" w:hanging="425"/>
      </w:pPr>
      <w:r w:rsidRPr="00B20945">
        <w:rPr>
          <w:rFonts w:hint="cs"/>
          <w:rtl/>
        </w:rPr>
        <w:t>ייתכן כי עוד צפויה לנאשם דרך לא קצרה עד לשיקומו המוחלט, אולם סבורתני כי לאור כל האמור לעיל, כבר בשלב זה ניתן לומר, לכל הפחות, כי יש סיכוי של ממש שהוא ישתקם בצורה מלאה בעתיד, וכי יש בכך כדי להצדיק סטייה לקולא ממתחם העונש אשר קבעתי בעניינו.</w:t>
      </w:r>
    </w:p>
    <w:p w14:paraId="3FEAA0A3" w14:textId="77777777" w:rsidR="00DD7511" w:rsidRDefault="00DD7511" w:rsidP="00DD7511">
      <w:pPr>
        <w:pStyle w:val="ListParagraph"/>
        <w:numPr>
          <w:ilvl w:val="0"/>
          <w:numId w:val="2"/>
        </w:numPr>
        <w:spacing w:after="0"/>
        <w:ind w:left="84" w:right="0" w:hanging="425"/>
      </w:pPr>
      <w:r w:rsidRPr="00B20945">
        <w:rPr>
          <w:rFonts w:hint="cs"/>
          <w:rtl/>
        </w:rPr>
        <w:t>אכן, מלאכת גזירת הדין איננה קלה כלל ועיקר, ובית המשפט מודע לפסיקה המורה כי בעניינם של נאשמים שהורשעו בעבירות ממין אלו שבהן הורשע הנאשם, צריך האינטרס האישי של הנאשמים לסגת מפני שיקולי הענישה האחרים. יחד עם זאת, כפי שצוין זה מכבר, הענישה לעולם צריכה להיות אינדיווידואלית</w:t>
      </w:r>
      <w:r w:rsidRPr="0004558F">
        <w:rPr>
          <w:rFonts w:hint="cs"/>
          <w:b/>
          <w:bCs/>
          <w:rtl/>
        </w:rPr>
        <w:t xml:space="preserve">, </w:t>
      </w:r>
      <w:r w:rsidRPr="00B20945">
        <w:rPr>
          <w:rFonts w:hint="cs"/>
          <w:rtl/>
        </w:rPr>
        <w:t xml:space="preserve">ולא בכדי ניתן למצוא בפסיקתם של בתי המשפט השונים מקרים שבהם הושתו על נאשמים שהורשעו בביצוע עבירות אף חמורות מאלו שבהן הורשע הנאשם שבפני (כדוגמת עבירות סחר בסם מסוכן מסוג קוקאין, במשקלים דומים ואף גבוהים מאלה אותם סיפק הנאשם), עונשי מאסר לריצוי בעבודות שירות, ולעיתים, בנסיבות חריגות ביותר, אף עונשי מאסר מותנים בלבד (בין אם לצד צווי של"צ ובין אם לאו). וראו בעניין זה, למשל: </w:t>
      </w:r>
      <w:hyperlink r:id="rId61" w:history="1">
        <w:r w:rsidR="00676EB5" w:rsidRPr="00676EB5">
          <w:rPr>
            <w:rFonts w:hint="cs"/>
            <w:color w:val="0000FF"/>
            <w:u w:val="single"/>
            <w:rtl/>
          </w:rPr>
          <w:t>עפ</w:t>
        </w:r>
        <w:r w:rsidR="00676EB5" w:rsidRPr="00676EB5">
          <w:rPr>
            <w:color w:val="0000FF"/>
            <w:u w:val="single"/>
            <w:rtl/>
          </w:rPr>
          <w:t>"</w:t>
        </w:r>
        <w:r w:rsidR="00676EB5" w:rsidRPr="00676EB5">
          <w:rPr>
            <w:rFonts w:hint="cs"/>
            <w:color w:val="0000FF"/>
            <w:u w:val="single"/>
            <w:rtl/>
          </w:rPr>
          <w:t>ג</w:t>
        </w:r>
        <w:r w:rsidR="00676EB5" w:rsidRPr="00676EB5">
          <w:rPr>
            <w:color w:val="0000FF"/>
            <w:u w:val="single"/>
            <w:rtl/>
          </w:rPr>
          <w:t xml:space="preserve"> (</w:t>
        </w:r>
        <w:r w:rsidR="00676EB5" w:rsidRPr="00676EB5">
          <w:rPr>
            <w:rFonts w:hint="cs"/>
            <w:color w:val="0000FF"/>
            <w:u w:val="single"/>
            <w:rtl/>
          </w:rPr>
          <w:t>מחוזי</w:t>
        </w:r>
        <w:r w:rsidR="00676EB5" w:rsidRPr="00676EB5">
          <w:rPr>
            <w:color w:val="0000FF"/>
            <w:u w:val="single"/>
            <w:rtl/>
          </w:rPr>
          <w:t xml:space="preserve"> </w:t>
        </w:r>
        <w:r w:rsidR="00676EB5" w:rsidRPr="00676EB5">
          <w:rPr>
            <w:rFonts w:hint="cs"/>
            <w:color w:val="0000FF"/>
            <w:u w:val="single"/>
            <w:rtl/>
          </w:rPr>
          <w:t>ב</w:t>
        </w:r>
        <w:r w:rsidR="00676EB5" w:rsidRPr="00676EB5">
          <w:rPr>
            <w:color w:val="0000FF"/>
            <w:u w:val="single"/>
            <w:rtl/>
          </w:rPr>
          <w:t>"</w:t>
        </w:r>
        <w:r w:rsidR="00676EB5" w:rsidRPr="00676EB5">
          <w:rPr>
            <w:rFonts w:hint="cs"/>
            <w:color w:val="0000FF"/>
            <w:u w:val="single"/>
            <w:rtl/>
          </w:rPr>
          <w:t>ש</w:t>
        </w:r>
        <w:r w:rsidR="00676EB5" w:rsidRPr="00676EB5">
          <w:rPr>
            <w:color w:val="0000FF"/>
            <w:u w:val="single"/>
            <w:rtl/>
          </w:rPr>
          <w:t>) 30178-01-17</w:t>
        </w:r>
      </w:hyperlink>
      <w:r w:rsidRPr="00B20945">
        <w:rPr>
          <w:rFonts w:hint="cs"/>
          <w:rtl/>
        </w:rPr>
        <w:t xml:space="preserve"> </w:t>
      </w:r>
      <w:r w:rsidRPr="0004558F">
        <w:rPr>
          <w:rFonts w:hint="cs"/>
          <w:b/>
          <w:bCs/>
          <w:rtl/>
        </w:rPr>
        <w:t>חוסאם עוקבי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(01.03.2017). פסק דין זה, טרם פורסם במאגרים המשפטיים. לפסק דינו של בית משפט השלום בתיק זה, ראו </w:t>
      </w:r>
      <w:hyperlink r:id="rId62" w:history="1">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w:t>
        </w:r>
        <w:r w:rsidR="00676EB5" w:rsidRPr="00676EB5">
          <w:rPr>
            <w:rFonts w:hint="cs"/>
            <w:color w:val="0000FF"/>
            <w:u w:val="single"/>
            <w:rtl/>
          </w:rPr>
          <w:t>שלום</w:t>
        </w:r>
        <w:r w:rsidR="00676EB5" w:rsidRPr="00676EB5">
          <w:rPr>
            <w:color w:val="0000FF"/>
            <w:u w:val="single"/>
            <w:rtl/>
          </w:rPr>
          <w:t xml:space="preserve"> </w:t>
        </w:r>
        <w:r w:rsidR="00676EB5" w:rsidRPr="00676EB5">
          <w:rPr>
            <w:rFonts w:hint="cs"/>
            <w:color w:val="0000FF"/>
            <w:u w:val="single"/>
            <w:rtl/>
          </w:rPr>
          <w:t>ק</w:t>
        </w:r>
        <w:r w:rsidR="00676EB5" w:rsidRPr="00676EB5">
          <w:rPr>
            <w:color w:val="0000FF"/>
            <w:u w:val="single"/>
            <w:rtl/>
          </w:rPr>
          <w:t>"</w:t>
        </w:r>
        <w:r w:rsidR="00676EB5" w:rsidRPr="00676EB5">
          <w:rPr>
            <w:rFonts w:hint="cs"/>
            <w:color w:val="0000FF"/>
            <w:u w:val="single"/>
            <w:rtl/>
          </w:rPr>
          <w:t>ג</w:t>
        </w:r>
        <w:r w:rsidR="00676EB5" w:rsidRPr="00676EB5">
          <w:rPr>
            <w:color w:val="0000FF"/>
            <w:u w:val="single"/>
            <w:rtl/>
          </w:rPr>
          <w:t>) 19214-08-15</w:t>
        </w:r>
      </w:hyperlink>
      <w:r w:rsidRPr="00B20945">
        <w:rPr>
          <w:rFonts w:hint="cs"/>
          <w:rtl/>
        </w:rPr>
        <w:t xml:space="preserve"> </w:t>
      </w:r>
      <w:r w:rsidRPr="0004558F">
        <w:rPr>
          <w:rFonts w:hint="cs"/>
          <w:b/>
          <w:bCs/>
          <w:rtl/>
        </w:rPr>
        <w:t>מדינת ישראל נ' חוסאם עוקבי ואח'</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(29.11.2016); </w:t>
      </w:r>
      <w:hyperlink r:id="rId63" w:history="1">
        <w:r w:rsidR="00676EB5" w:rsidRPr="00676EB5">
          <w:rPr>
            <w:rFonts w:hint="cs"/>
            <w:color w:val="0000FF"/>
            <w:u w:val="single"/>
            <w:rtl/>
          </w:rPr>
          <w:t>עפ</w:t>
        </w:r>
        <w:r w:rsidR="00676EB5" w:rsidRPr="00676EB5">
          <w:rPr>
            <w:color w:val="0000FF"/>
            <w:u w:val="single"/>
            <w:rtl/>
          </w:rPr>
          <w:t>"</w:t>
        </w:r>
        <w:r w:rsidR="00676EB5" w:rsidRPr="00676EB5">
          <w:rPr>
            <w:rFonts w:hint="cs"/>
            <w:color w:val="0000FF"/>
            <w:u w:val="single"/>
            <w:rtl/>
          </w:rPr>
          <w:t>ג</w:t>
        </w:r>
        <w:r w:rsidR="00676EB5" w:rsidRPr="00676EB5">
          <w:rPr>
            <w:color w:val="0000FF"/>
            <w:u w:val="single"/>
            <w:rtl/>
          </w:rPr>
          <w:t xml:space="preserve"> (</w:t>
        </w:r>
        <w:r w:rsidR="00676EB5" w:rsidRPr="00676EB5">
          <w:rPr>
            <w:rFonts w:hint="cs"/>
            <w:color w:val="0000FF"/>
            <w:u w:val="single"/>
            <w:rtl/>
          </w:rPr>
          <w:t>מחוזי</w:t>
        </w:r>
        <w:r w:rsidR="00676EB5" w:rsidRPr="00676EB5">
          <w:rPr>
            <w:color w:val="0000FF"/>
            <w:u w:val="single"/>
            <w:rtl/>
          </w:rPr>
          <w:t xml:space="preserve"> </w:t>
        </w:r>
        <w:r w:rsidR="00676EB5" w:rsidRPr="00676EB5">
          <w:rPr>
            <w:rFonts w:hint="cs"/>
            <w:color w:val="0000FF"/>
            <w:u w:val="single"/>
            <w:rtl/>
          </w:rPr>
          <w:t>מרכז</w:t>
        </w:r>
        <w:r w:rsidR="00676EB5" w:rsidRPr="00676EB5">
          <w:rPr>
            <w:color w:val="0000FF"/>
            <w:u w:val="single"/>
            <w:rtl/>
          </w:rPr>
          <w:t>) 4327-09-14</w:t>
        </w:r>
      </w:hyperlink>
      <w:r w:rsidRPr="00B20945">
        <w:rPr>
          <w:rFonts w:hint="cs"/>
          <w:rtl/>
        </w:rPr>
        <w:t xml:space="preserve"> </w:t>
      </w:r>
      <w:r w:rsidRPr="0004558F">
        <w:rPr>
          <w:rFonts w:hint="cs"/>
          <w:b/>
          <w:bCs/>
          <w:rtl/>
        </w:rPr>
        <w:t>טארק ערפאת נ' מדינת ישראל</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(02.11.2014); </w:t>
      </w:r>
      <w:hyperlink r:id="rId64" w:history="1">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פ</w:t>
        </w:r>
        <w:r w:rsidR="00676EB5" w:rsidRPr="00676EB5">
          <w:rPr>
            <w:color w:val="0000FF"/>
            <w:u w:val="single"/>
            <w:rtl/>
          </w:rPr>
          <w:t xml:space="preserve"> (</w:t>
        </w:r>
        <w:r w:rsidR="00676EB5" w:rsidRPr="00676EB5">
          <w:rPr>
            <w:rFonts w:hint="cs"/>
            <w:color w:val="0000FF"/>
            <w:u w:val="single"/>
            <w:rtl/>
          </w:rPr>
          <w:t>שלום</w:t>
        </w:r>
        <w:r w:rsidR="00676EB5" w:rsidRPr="00676EB5">
          <w:rPr>
            <w:color w:val="0000FF"/>
            <w:u w:val="single"/>
            <w:rtl/>
          </w:rPr>
          <w:t xml:space="preserve"> </w:t>
        </w:r>
        <w:r w:rsidR="00676EB5" w:rsidRPr="00676EB5">
          <w:rPr>
            <w:rFonts w:hint="cs"/>
            <w:color w:val="0000FF"/>
            <w:u w:val="single"/>
            <w:rtl/>
          </w:rPr>
          <w:t>ת</w:t>
        </w:r>
        <w:r w:rsidR="00676EB5" w:rsidRPr="00676EB5">
          <w:rPr>
            <w:color w:val="0000FF"/>
            <w:u w:val="single"/>
            <w:rtl/>
          </w:rPr>
          <w:t>"</w:t>
        </w:r>
        <w:r w:rsidR="00676EB5" w:rsidRPr="00676EB5">
          <w:rPr>
            <w:rFonts w:hint="cs"/>
            <w:color w:val="0000FF"/>
            <w:u w:val="single"/>
            <w:rtl/>
          </w:rPr>
          <w:t>א</w:t>
        </w:r>
        <w:r w:rsidR="00676EB5" w:rsidRPr="00676EB5">
          <w:rPr>
            <w:color w:val="0000FF"/>
            <w:u w:val="single"/>
            <w:rtl/>
          </w:rPr>
          <w:t xml:space="preserve">- </w:t>
        </w:r>
        <w:r w:rsidR="00676EB5" w:rsidRPr="00676EB5">
          <w:rPr>
            <w:rFonts w:hint="cs"/>
            <w:color w:val="0000FF"/>
            <w:u w:val="single"/>
            <w:rtl/>
          </w:rPr>
          <w:t>יפו</w:t>
        </w:r>
        <w:r w:rsidR="00676EB5" w:rsidRPr="00676EB5">
          <w:rPr>
            <w:color w:val="0000FF"/>
            <w:u w:val="single"/>
            <w:rtl/>
          </w:rPr>
          <w:t>) 60882-12-14</w:t>
        </w:r>
      </w:hyperlink>
      <w:r w:rsidRPr="00B20945">
        <w:rPr>
          <w:rFonts w:hint="cs"/>
          <w:rtl/>
        </w:rPr>
        <w:t xml:space="preserve"> </w:t>
      </w:r>
      <w:r w:rsidRPr="0004558F">
        <w:rPr>
          <w:rFonts w:hint="cs"/>
          <w:b/>
          <w:bCs/>
          <w:rtl/>
        </w:rPr>
        <w:t>מדינת ישראל נ' עמיקם בן שטרית</w:t>
      </w:r>
      <w:r w:rsidRPr="00B20945">
        <w:rPr>
          <w:rFonts w:hint="cs"/>
          <w:rtl/>
        </w:rPr>
        <w:t xml:space="preserve">,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 xml:space="preserve">(04.02.2016); </w:t>
      </w:r>
      <w:r w:rsidRPr="0004558F">
        <w:rPr>
          <w:rFonts w:hint="cs"/>
          <w:u w:val="single"/>
          <w:rtl/>
        </w:rPr>
        <w:t>ת"פ (שלום  אשקלון)</w:t>
      </w:r>
      <w:r w:rsidRPr="0004558F">
        <w:rPr>
          <w:rFonts w:hint="cs"/>
          <w:b/>
          <w:bCs/>
          <w:u w:val="single"/>
          <w:rtl/>
        </w:rPr>
        <w:t xml:space="preserve"> </w:t>
      </w:r>
      <w:r w:rsidRPr="0004558F">
        <w:rPr>
          <w:rFonts w:hint="cs"/>
          <w:b/>
          <w:bCs/>
          <w:rtl/>
        </w:rPr>
        <w:t>מדינת ישראל נ' ניסים גויטה</w:t>
      </w:r>
      <w:r w:rsidRPr="00B20945">
        <w:rPr>
          <w:rFonts w:hint="cs"/>
          <w:rtl/>
        </w:rPr>
        <w:t xml:space="preserve"> (27.11.2016) פסיקה אליה הפנתה גם ההגנה בטיעוניה לעונש (יצוין כי בתיק זה הוגש ערעור על משך אורכו של צו המבחן, ואולם, בהסכמת הצדדים הצו קוצר למשך שנה כאשר יתר רכיבי הענישה נשארו על כנם – לעניין זה ראו: </w:t>
      </w:r>
      <w:hyperlink r:id="rId65" w:history="1">
        <w:r w:rsidR="00676EB5" w:rsidRPr="00676EB5">
          <w:rPr>
            <w:rFonts w:hint="cs"/>
            <w:color w:val="0000FF"/>
            <w:u w:val="single"/>
            <w:rtl/>
          </w:rPr>
          <w:t>עפ</w:t>
        </w:r>
        <w:r w:rsidR="00676EB5" w:rsidRPr="00676EB5">
          <w:rPr>
            <w:color w:val="0000FF"/>
            <w:u w:val="single"/>
            <w:rtl/>
          </w:rPr>
          <w:t>"</w:t>
        </w:r>
        <w:r w:rsidR="00676EB5" w:rsidRPr="00676EB5">
          <w:rPr>
            <w:rFonts w:hint="cs"/>
            <w:color w:val="0000FF"/>
            <w:u w:val="single"/>
            <w:rtl/>
          </w:rPr>
          <w:t>ג</w:t>
        </w:r>
        <w:r w:rsidR="00676EB5" w:rsidRPr="00676EB5">
          <w:rPr>
            <w:color w:val="0000FF"/>
            <w:u w:val="single"/>
            <w:rtl/>
          </w:rPr>
          <w:t xml:space="preserve"> (</w:t>
        </w:r>
        <w:r w:rsidR="00676EB5" w:rsidRPr="00676EB5">
          <w:rPr>
            <w:rFonts w:hint="cs"/>
            <w:color w:val="0000FF"/>
            <w:u w:val="single"/>
            <w:rtl/>
          </w:rPr>
          <w:t>מחוזי</w:t>
        </w:r>
        <w:r w:rsidR="00676EB5" w:rsidRPr="00676EB5">
          <w:rPr>
            <w:color w:val="0000FF"/>
            <w:u w:val="single"/>
            <w:rtl/>
          </w:rPr>
          <w:t xml:space="preserve"> </w:t>
        </w:r>
        <w:r w:rsidR="00676EB5" w:rsidRPr="00676EB5">
          <w:rPr>
            <w:rFonts w:hint="cs"/>
            <w:color w:val="0000FF"/>
            <w:u w:val="single"/>
            <w:rtl/>
          </w:rPr>
          <w:t>ב</w:t>
        </w:r>
        <w:r w:rsidR="00676EB5" w:rsidRPr="00676EB5">
          <w:rPr>
            <w:color w:val="0000FF"/>
            <w:u w:val="single"/>
            <w:rtl/>
          </w:rPr>
          <w:t>"</w:t>
        </w:r>
        <w:r w:rsidR="00676EB5" w:rsidRPr="00676EB5">
          <w:rPr>
            <w:rFonts w:hint="cs"/>
            <w:color w:val="0000FF"/>
            <w:u w:val="single"/>
            <w:rtl/>
          </w:rPr>
          <w:t>ש</w:t>
        </w:r>
        <w:r w:rsidR="00676EB5" w:rsidRPr="00676EB5">
          <w:rPr>
            <w:color w:val="0000FF"/>
            <w:u w:val="single"/>
            <w:rtl/>
          </w:rPr>
          <w:t>)  23649-01-17</w:t>
        </w:r>
      </w:hyperlink>
      <w:r w:rsidRPr="00B20945">
        <w:rPr>
          <w:rFonts w:hint="cs"/>
          <w:rtl/>
        </w:rPr>
        <w:t xml:space="preserve"> </w:t>
      </w:r>
      <w:r w:rsidRPr="0004558F">
        <w:rPr>
          <w:rFonts w:hint="cs"/>
          <w:b/>
          <w:bCs/>
          <w:rtl/>
        </w:rPr>
        <w:t xml:space="preserve">גויטה נ' מדינת ישראל </w:t>
      </w:r>
      <w:r w:rsidR="00D52E94" w:rsidRPr="00D52E94">
        <w:rPr>
          <w:rFonts w:ascii="Times New Roman" w:hAnsi="Times New Roman"/>
          <w:sz w:val="22"/>
          <w:rtl/>
        </w:rPr>
        <w:t>[</w:t>
      </w:r>
      <w:r w:rsidR="00D52E94" w:rsidRPr="00D52E94">
        <w:rPr>
          <w:rFonts w:ascii="Times New Roman" w:hAnsi="Times New Roman" w:hint="cs"/>
          <w:sz w:val="22"/>
          <w:rtl/>
        </w:rPr>
        <w:t>פורסם</w:t>
      </w:r>
      <w:r w:rsidR="00D52E94" w:rsidRPr="00D52E94">
        <w:rPr>
          <w:rFonts w:ascii="Times New Roman" w:hAnsi="Times New Roman"/>
          <w:sz w:val="22"/>
          <w:rtl/>
        </w:rPr>
        <w:t xml:space="preserve"> </w:t>
      </w:r>
      <w:r w:rsidR="00D52E94" w:rsidRPr="00D52E94">
        <w:rPr>
          <w:rFonts w:ascii="Times New Roman" w:hAnsi="Times New Roman" w:hint="cs"/>
          <w:sz w:val="22"/>
          <w:rtl/>
        </w:rPr>
        <w:t>בנבו</w:t>
      </w:r>
      <w:r w:rsidR="00D52E94" w:rsidRPr="00D52E94">
        <w:rPr>
          <w:rFonts w:ascii="Times New Roman" w:hAnsi="Times New Roman"/>
          <w:sz w:val="22"/>
          <w:rtl/>
        </w:rPr>
        <w:t xml:space="preserve">] </w:t>
      </w:r>
      <w:r w:rsidRPr="00B20945">
        <w:rPr>
          <w:rFonts w:hint="cs"/>
          <w:rtl/>
        </w:rPr>
        <w:t>(22.02.2017)).</w:t>
      </w:r>
    </w:p>
    <w:p w14:paraId="27215B4B" w14:textId="77777777" w:rsidR="00DD7511" w:rsidRDefault="00DD7511" w:rsidP="00DD7511">
      <w:pPr>
        <w:pStyle w:val="ListParagraph"/>
        <w:numPr>
          <w:ilvl w:val="0"/>
          <w:numId w:val="2"/>
        </w:numPr>
        <w:spacing w:after="0"/>
        <w:ind w:left="84" w:right="0" w:hanging="425"/>
      </w:pPr>
      <w:r w:rsidRPr="00B20945">
        <w:rPr>
          <w:rFonts w:hint="cs"/>
          <w:rtl/>
        </w:rPr>
        <w:t>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העבירות והביע צער וחרטה על מעשיו, לאור ההליך הטיפולי שאותו הוא עבר ועודנו צפוי לעבור; לנוכח המלצת שירות המבחן; ולאור החשש שמא השתת ענישה בדמות מאסר לריצוי בעבודות שירות תפגע אנושות בהליך השיקום שעובר הנאשם, מצאתי כי ניתן בזו הפעם ללכת לקראתו ולבכר את שיקול השיקום בעניינו. אשר על כן, אמנע מלהשית על הנאשם עונש מאסר</w:t>
      </w:r>
      <w:r w:rsidRPr="002919D1">
        <w:rPr>
          <w:rFonts w:eastAsia="Times New Roman" w:hint="cs"/>
          <w:rtl/>
        </w:rPr>
        <w:t>. כאן אף אזכיר, כי</w:t>
      </w:r>
      <w:r w:rsidRPr="00B20945">
        <w:rPr>
          <w:rFonts w:hint="cs"/>
          <w:rtl/>
        </w:rPr>
        <w:t xml:space="preserve"> בשלב זה, כאשר יש סיכוי לא מבוטל כי הנאשם ייגמל באופן סופי מהשימוש בסמים ויחזור לדרך הישר,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עונש שכאמור ייתכן שיהיה בו כדי לקטוע את ההליך השיקומי שעובר הנאשם, עלולה לפגוע הן באינטרס הפרטי של והן באינטרס של החברה כולה.</w:t>
      </w:r>
      <w:r>
        <w:rPr>
          <w:rFonts w:hint="cs"/>
          <w:rtl/>
        </w:rPr>
        <w:t xml:space="preserve"> </w:t>
      </w:r>
    </w:p>
    <w:p w14:paraId="45B82111" w14:textId="77777777" w:rsidR="00DD7511" w:rsidRPr="002919D1" w:rsidRDefault="00DD7511" w:rsidP="00DD7511">
      <w:pPr>
        <w:pStyle w:val="ListParagraph"/>
        <w:spacing w:after="0"/>
        <w:ind w:left="84" w:firstLine="0"/>
        <w:rPr>
          <w:rtl/>
        </w:rPr>
      </w:pPr>
      <w:r w:rsidRPr="00B20945">
        <w:rPr>
          <w:rFonts w:hint="cs"/>
          <w:rtl/>
        </w:rPr>
        <w:t xml:space="preserve">לצד האמור, מצאתי להדגיש בפניו של הנאשם כי </w:t>
      </w:r>
      <w:r w:rsidRPr="002919D1">
        <w:rPr>
          <w:rFonts w:eastAsia="Times New Roman" w:hint="cs"/>
          <w:rtl/>
        </w:rPr>
        <w:t>הליך השיקום נועד בראש ובראשונה לשרת את טובתו שלו, וכי ככל שלא יתמיד בהליך, וחלילה ישוב לסורו, הרי שטוב שידע כי לא יזכה להתחשבות נוספת מצדו של בית המשפט</w:t>
      </w:r>
      <w:r w:rsidRPr="00B20945">
        <w:rPr>
          <w:rFonts w:hint="cs"/>
          <w:rtl/>
        </w:rPr>
        <w:t>.</w:t>
      </w:r>
      <w:r w:rsidRPr="002919D1">
        <w:rPr>
          <w:rFonts w:eastAsia="Times New Roman" w:hint="cs"/>
          <w:rtl/>
        </w:rPr>
        <w:t xml:space="preserve"> מן הראוי שידיעה זו תרחף מעל ראשו כל העת. </w:t>
      </w:r>
    </w:p>
    <w:p w14:paraId="43D95454" w14:textId="77777777" w:rsidR="00DD7511" w:rsidRDefault="00DD7511" w:rsidP="00DD7511">
      <w:pPr>
        <w:pStyle w:val="ListParagraph"/>
        <w:numPr>
          <w:ilvl w:val="0"/>
          <w:numId w:val="2"/>
        </w:numPr>
        <w:spacing w:after="0"/>
        <w:ind w:left="84" w:right="0" w:hanging="425"/>
      </w:pPr>
      <w:r w:rsidRPr="00B20945">
        <w:rPr>
          <w:rFonts w:hint="cs"/>
          <w:rtl/>
        </w:rPr>
        <w:t>בהקשר זה יצוין כי נתתי דעתי להמלצת שירות המבחן,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0384FB7A" w14:textId="77777777" w:rsidR="00DD7511" w:rsidRPr="002919D1" w:rsidRDefault="00DD7511" w:rsidP="00DD7511">
      <w:pPr>
        <w:pStyle w:val="ListParagraph"/>
        <w:numPr>
          <w:ilvl w:val="0"/>
          <w:numId w:val="2"/>
        </w:numPr>
        <w:spacing w:after="0"/>
        <w:ind w:left="84" w:right="0" w:hanging="425"/>
      </w:pPr>
      <w:r w:rsidRPr="002919D1">
        <w:rPr>
          <w:rFonts w:eastAsia="Times New Roman" w:hint="cs"/>
          <w:b/>
          <w:bCs/>
          <w:rtl/>
        </w:rPr>
        <w:t xml:space="preserve">מכל המקובץ לעיל, אני </w:t>
      </w:r>
      <w:r w:rsidRPr="002919D1">
        <w:rPr>
          <w:rFonts w:hint="cs"/>
          <w:b/>
          <w:bCs/>
          <w:rtl/>
        </w:rPr>
        <w:t>גוזרת על הנאשם את העונשים הבאים:</w:t>
      </w:r>
      <w:r w:rsidRPr="00B20945">
        <w:rPr>
          <w:rFonts w:hint="cs"/>
          <w:rtl/>
        </w:rPr>
        <w:t xml:space="preserve"> </w:t>
      </w:r>
    </w:p>
    <w:p w14:paraId="1FB02C72" w14:textId="77777777" w:rsidR="00DD7511" w:rsidRDefault="00DD7511" w:rsidP="00DD7511">
      <w:pPr>
        <w:pStyle w:val="ListParagraph"/>
        <w:numPr>
          <w:ilvl w:val="0"/>
          <w:numId w:val="4"/>
        </w:numPr>
        <w:rPr>
          <w:b/>
          <w:bCs/>
        </w:rPr>
      </w:pPr>
      <w:r w:rsidRPr="002279C4">
        <w:rPr>
          <w:rFonts w:hint="cs"/>
          <w:b/>
          <w:bCs/>
          <w:rtl/>
        </w:rPr>
        <w:t>צו של"צ בהיקף של 500 שעות.</w:t>
      </w:r>
    </w:p>
    <w:p w14:paraId="44A5E2F0" w14:textId="77777777" w:rsidR="00DD7511" w:rsidRDefault="00DD7511" w:rsidP="00DD7511">
      <w:pPr>
        <w:pStyle w:val="ListParagraph"/>
        <w:ind w:firstLine="0"/>
        <w:rPr>
          <w:rtl/>
        </w:rPr>
      </w:pPr>
      <w:r w:rsidRPr="00B20945">
        <w:rPr>
          <w:rFonts w:hint="cs"/>
          <w:rtl/>
        </w:rPr>
        <w:t>שירות המבחן ימציא תכנית לביצוע השל"צ תוך 30 יום מהיום. לאחר קבלת התוכנית, אאשר אותה וזאת ללא צורך לקיים דיון נוסף.</w:t>
      </w:r>
    </w:p>
    <w:p w14:paraId="2AFFDCA4" w14:textId="77777777" w:rsidR="00DD7511" w:rsidRPr="002919D1" w:rsidRDefault="00DD7511" w:rsidP="00DD7511">
      <w:pPr>
        <w:pStyle w:val="ListParagraph"/>
        <w:numPr>
          <w:ilvl w:val="0"/>
          <w:numId w:val="4"/>
        </w:numPr>
        <w:rPr>
          <w:b/>
          <w:bCs/>
          <w:rtl/>
        </w:rPr>
      </w:pPr>
      <w:r w:rsidRPr="002919D1">
        <w:rPr>
          <w:rFonts w:hint="cs"/>
          <w:b/>
          <w:bCs/>
          <w:rtl/>
        </w:rPr>
        <w:t xml:space="preserve">צו מבחן של שירות המבחן למשך שנה מהיום. </w:t>
      </w:r>
    </w:p>
    <w:p w14:paraId="34C0560C" w14:textId="77777777" w:rsidR="00DD7511" w:rsidRDefault="00DD7511" w:rsidP="00DD7511">
      <w:pPr>
        <w:pStyle w:val="ListParagraph"/>
        <w:ind w:firstLine="0"/>
        <w:rPr>
          <w:rtl/>
        </w:rPr>
      </w:pPr>
      <w:r w:rsidRPr="00B20945">
        <w:rPr>
          <w:rFonts w:hint="cs"/>
          <w:rtl/>
        </w:rPr>
        <w:t>הובהרה לנאשם חשיבות שיתוף הפעולה עם שירות המבחן בביצוע עבודות השל"צ וצו המבחן ומשמעות היעדר שיתוף הפעולה.</w:t>
      </w:r>
    </w:p>
    <w:p w14:paraId="51B1D55D" w14:textId="77777777" w:rsidR="00DD7511" w:rsidRPr="002919D1" w:rsidRDefault="00DD7511" w:rsidP="00DD7511">
      <w:pPr>
        <w:pStyle w:val="ListParagraph"/>
        <w:ind w:firstLine="0"/>
        <w:rPr>
          <w:b/>
          <w:bCs/>
          <w:u w:val="single"/>
          <w:rtl/>
        </w:rPr>
      </w:pPr>
      <w:r w:rsidRPr="002919D1">
        <w:rPr>
          <w:rFonts w:hint="cs"/>
          <w:u w:val="single"/>
          <w:rtl/>
        </w:rPr>
        <w:t>העתק מגזר הדין בדחיפות לשירות המבחן.</w:t>
      </w:r>
    </w:p>
    <w:p w14:paraId="2E5323CF" w14:textId="77777777" w:rsidR="00DD7511" w:rsidRPr="001049BB" w:rsidRDefault="00DD7511" w:rsidP="00DD7511">
      <w:pPr>
        <w:pStyle w:val="ListParagraph"/>
        <w:numPr>
          <w:ilvl w:val="0"/>
          <w:numId w:val="4"/>
        </w:numPr>
        <w:rPr>
          <w:b/>
          <w:bCs/>
          <w:rtl/>
        </w:rPr>
      </w:pPr>
      <w:r w:rsidRPr="001049BB">
        <w:rPr>
          <w:rFonts w:hint="cs"/>
          <w:b/>
          <w:bCs/>
          <w:rtl/>
        </w:rPr>
        <w:t>מאסר מותנה למשך 8 חודשים, אשר יופעל אם תוך תקופה של 3 שנים מהיום יעבור הנאשם עבירה בניגוד לפקודת הסמים, מסוג פשע</w:t>
      </w:r>
      <w:r w:rsidRPr="00B20945">
        <w:rPr>
          <w:rFonts w:eastAsia="Times New Roman" w:hint="cs"/>
          <w:rtl/>
        </w:rPr>
        <w:t>.</w:t>
      </w:r>
    </w:p>
    <w:p w14:paraId="46917991" w14:textId="77777777" w:rsidR="00DD7511" w:rsidRPr="001049BB" w:rsidRDefault="00DD7511" w:rsidP="00DD7511">
      <w:pPr>
        <w:pStyle w:val="ListParagraph"/>
        <w:numPr>
          <w:ilvl w:val="0"/>
          <w:numId w:val="4"/>
        </w:numPr>
        <w:rPr>
          <w:b/>
          <w:bCs/>
          <w:rtl/>
        </w:rPr>
      </w:pPr>
      <w:r w:rsidRPr="001049BB">
        <w:rPr>
          <w:rFonts w:hint="cs"/>
          <w:b/>
          <w:bCs/>
          <w:rtl/>
        </w:rPr>
        <w:t>מאסר מותנה למשך 4 חודשים, אשר יופעל אם תוך תקופה של 3 שנים מהיום יעבור הנאשם עבירה בניגוד לפקודת הסמים, מסוג עוון.</w:t>
      </w:r>
    </w:p>
    <w:p w14:paraId="55F18073" w14:textId="77777777" w:rsidR="00DD7511" w:rsidRDefault="00DD7511" w:rsidP="00DD7511">
      <w:pPr>
        <w:pStyle w:val="ListParagraph"/>
        <w:numPr>
          <w:ilvl w:val="0"/>
          <w:numId w:val="4"/>
        </w:numPr>
        <w:rPr>
          <w:rtl/>
        </w:rPr>
      </w:pPr>
      <w:r w:rsidRPr="001049BB">
        <w:rPr>
          <w:rFonts w:hint="cs"/>
          <w:b/>
          <w:bCs/>
          <w:rtl/>
        </w:rPr>
        <w:t>קנס בסך 5,000 ₪ או 50 ימי מאסר תמורתו</w:t>
      </w:r>
      <w:r w:rsidRPr="00B20945">
        <w:rPr>
          <w:rFonts w:hint="cs"/>
          <w:rtl/>
        </w:rPr>
        <w:t>.</w:t>
      </w:r>
    </w:p>
    <w:p w14:paraId="2CD98E46" w14:textId="77777777" w:rsidR="00DD7511" w:rsidRDefault="00DD7511" w:rsidP="00DD7511">
      <w:pPr>
        <w:pStyle w:val="ListParagraph"/>
        <w:ind w:firstLine="0"/>
        <w:rPr>
          <w:rtl/>
        </w:rPr>
      </w:pPr>
      <w:r w:rsidRPr="00B20945">
        <w:rPr>
          <w:rFonts w:hint="cs"/>
          <w:rtl/>
        </w:rPr>
        <w:t>הקנס י</w:t>
      </w:r>
      <w:r>
        <w:rPr>
          <w:rFonts w:hint="cs"/>
          <w:rtl/>
        </w:rPr>
        <w:t>קוזז מסכום ההפקדה שהופקדה ע"י אמו של הנאשם במסגרת תיק המעצר מושא תיק זה והיתרה תושב למפקידה.</w:t>
      </w:r>
    </w:p>
    <w:p w14:paraId="3133ECBF" w14:textId="77777777" w:rsidR="00DD7511" w:rsidRDefault="00DD7511" w:rsidP="00DD7511">
      <w:pPr>
        <w:pStyle w:val="ListParagraph"/>
        <w:ind w:firstLine="0"/>
        <w:rPr>
          <w:rtl/>
        </w:rPr>
      </w:pPr>
      <w:r>
        <w:rPr>
          <w:rFonts w:hint="cs"/>
          <w:rtl/>
        </w:rPr>
        <w:t>ככל שלא ניתן לקזז את סכום הקנס מסכום ההפקדה, אזי הקנס י</w:t>
      </w:r>
      <w:r w:rsidRPr="00B20945">
        <w:rPr>
          <w:rFonts w:hint="cs"/>
          <w:rtl/>
        </w:rPr>
        <w:t>שולם ב</w:t>
      </w:r>
      <w:r>
        <w:rPr>
          <w:rFonts w:hint="cs"/>
          <w:rtl/>
        </w:rPr>
        <w:t>- 5</w:t>
      </w:r>
      <w:r w:rsidRPr="00B20945">
        <w:rPr>
          <w:rFonts w:hint="cs"/>
          <w:rtl/>
        </w:rPr>
        <w:t xml:space="preserve"> שיעורים שווים ורצופים, שהראשון שבהם ב</w:t>
      </w:r>
      <w:r>
        <w:rPr>
          <w:rFonts w:hint="cs"/>
          <w:rtl/>
        </w:rPr>
        <w:t xml:space="preserve">תוך 30 יום מהיום. </w:t>
      </w:r>
    </w:p>
    <w:p w14:paraId="300E22A5" w14:textId="77777777" w:rsidR="00DD7511" w:rsidRPr="001049BB" w:rsidRDefault="00DD7511" w:rsidP="00DD7511">
      <w:pPr>
        <w:pStyle w:val="ListParagraph"/>
        <w:numPr>
          <w:ilvl w:val="0"/>
          <w:numId w:val="4"/>
        </w:numPr>
        <w:rPr>
          <w:b/>
          <w:bCs/>
          <w:rtl/>
        </w:rPr>
      </w:pPr>
      <w:r w:rsidRPr="002919D1">
        <w:rPr>
          <w:rFonts w:hint="cs"/>
          <w:b/>
          <w:bCs/>
          <w:rtl/>
        </w:rPr>
        <w:t>הנאשם יחתום על התחייבות כספית על סך 10,000 ₪</w:t>
      </w:r>
      <w:r w:rsidRPr="00B20945">
        <w:rPr>
          <w:rFonts w:hint="cs"/>
          <w:rtl/>
        </w:rPr>
        <w:t xml:space="preserve"> שלא לעבור כל עבירה בניגוד ל</w:t>
      </w:r>
      <w:hyperlink r:id="rId66" w:history="1">
        <w:r w:rsidR="00676EB5" w:rsidRPr="00676EB5">
          <w:rPr>
            <w:rFonts w:hint="cs"/>
            <w:color w:val="0000FF"/>
            <w:u w:val="single"/>
            <w:rtl/>
          </w:rPr>
          <w:t>פקודת</w:t>
        </w:r>
        <w:r w:rsidR="00676EB5" w:rsidRPr="00676EB5">
          <w:rPr>
            <w:color w:val="0000FF"/>
            <w:u w:val="single"/>
            <w:rtl/>
          </w:rPr>
          <w:t xml:space="preserve"> </w:t>
        </w:r>
        <w:r w:rsidR="00676EB5" w:rsidRPr="00676EB5">
          <w:rPr>
            <w:rFonts w:hint="cs"/>
            <w:color w:val="0000FF"/>
            <w:u w:val="single"/>
            <w:rtl/>
          </w:rPr>
          <w:t>הסמים</w:t>
        </w:r>
        <w:r w:rsidR="00676EB5" w:rsidRPr="00676EB5">
          <w:rPr>
            <w:color w:val="0000FF"/>
            <w:u w:val="single"/>
            <w:rtl/>
          </w:rPr>
          <w:t xml:space="preserve"> </w:t>
        </w:r>
        <w:r w:rsidR="00676EB5" w:rsidRPr="00676EB5">
          <w:rPr>
            <w:rFonts w:hint="cs"/>
            <w:color w:val="0000FF"/>
            <w:u w:val="single"/>
            <w:rtl/>
          </w:rPr>
          <w:t>המסוכנים</w:t>
        </w:r>
      </w:hyperlink>
      <w:r w:rsidRPr="00B20945">
        <w:rPr>
          <w:rFonts w:hint="cs"/>
          <w:rtl/>
        </w:rPr>
        <w:t xml:space="preserve"> וזאת לתקופה של שנתיים מהיום. אם לא תיחתם ההתחייבות תוך 7 ימים, ייאסר הנאשם ל- 10 ימים.</w:t>
      </w:r>
    </w:p>
    <w:p w14:paraId="2953E3D1" w14:textId="77777777" w:rsidR="00DD7511" w:rsidRPr="00EE60CA" w:rsidRDefault="00DD7511" w:rsidP="00DD7511">
      <w:pPr>
        <w:pStyle w:val="ListParagraph"/>
        <w:numPr>
          <w:ilvl w:val="0"/>
          <w:numId w:val="4"/>
        </w:numPr>
        <w:rPr>
          <w:b/>
          <w:bCs/>
        </w:rPr>
      </w:pPr>
      <w:r w:rsidRPr="001049BB">
        <w:rPr>
          <w:rFonts w:hint="cs"/>
          <w:b/>
          <w:bCs/>
          <w:rtl/>
        </w:rPr>
        <w:t>אני פוסלת את הנאשם מלקבל או מלהחזיק רישיון נהיגה, וזאת למשך 6 חודשים</w:t>
      </w:r>
      <w:r w:rsidRPr="001049BB">
        <w:rPr>
          <w:rFonts w:eastAsia="Times New Roman" w:hint="cs"/>
          <w:b/>
          <w:bCs/>
          <w:rtl/>
        </w:rPr>
        <w:t xml:space="preserve"> מהיום</w:t>
      </w:r>
      <w:r w:rsidRPr="00B20945">
        <w:rPr>
          <w:rFonts w:eastAsia="Times New Roman" w:hint="cs"/>
          <w:rtl/>
        </w:rPr>
        <w:t>.</w:t>
      </w:r>
    </w:p>
    <w:p w14:paraId="12579488" w14:textId="77777777" w:rsidR="00DD7511" w:rsidRPr="001049BB" w:rsidRDefault="00DD7511" w:rsidP="00DD7511">
      <w:pPr>
        <w:pStyle w:val="ListParagraph"/>
        <w:ind w:firstLine="0"/>
        <w:rPr>
          <w:b/>
          <w:bCs/>
          <w:rtl/>
        </w:rPr>
      </w:pPr>
      <w:r>
        <w:rPr>
          <w:rFonts w:hint="cs"/>
          <w:b/>
          <w:bCs/>
          <w:rtl/>
        </w:rPr>
        <w:t xml:space="preserve">ניתנת בזאת אורכה להפקדת רישיון הנהיגה במזכירות ביהמ"ש עד ליום 06.12.2018 בשעה 13.00. יובהר, כי הנאשם יוכל להפקיד את רישיון הנהיגה במזכירות ביהמ"ש באשקלון. </w:t>
      </w:r>
    </w:p>
    <w:p w14:paraId="44E9E372" w14:textId="77777777" w:rsidR="00DD7511" w:rsidRDefault="00DD7511" w:rsidP="00DD7511">
      <w:pPr>
        <w:pStyle w:val="ListParagraph"/>
        <w:numPr>
          <w:ilvl w:val="0"/>
          <w:numId w:val="4"/>
        </w:numPr>
        <w:rPr>
          <w:rtl/>
        </w:rPr>
      </w:pPr>
      <w:r w:rsidRPr="001049BB">
        <w:rPr>
          <w:rFonts w:hint="cs"/>
          <w:b/>
          <w:bCs/>
          <w:rtl/>
        </w:rPr>
        <w:t>אני פוסלת את הנאשם מלקבל או מלהחזיק רישיון נהיגה למשך 12 חודשים, וזאת על תנאי שלא יעבור כל עבירה בניגוד ל</w:t>
      </w:r>
      <w:hyperlink r:id="rId67" w:history="1">
        <w:r w:rsidR="00676EB5" w:rsidRPr="00676EB5">
          <w:rPr>
            <w:rFonts w:hint="cs"/>
            <w:b/>
            <w:bCs/>
            <w:color w:val="0000FF"/>
            <w:u w:val="single"/>
            <w:rtl/>
          </w:rPr>
          <w:t>פקודת</w:t>
        </w:r>
        <w:r w:rsidR="00676EB5" w:rsidRPr="00676EB5">
          <w:rPr>
            <w:b/>
            <w:bCs/>
            <w:color w:val="0000FF"/>
            <w:u w:val="single"/>
            <w:rtl/>
          </w:rPr>
          <w:t xml:space="preserve"> </w:t>
        </w:r>
        <w:r w:rsidR="00676EB5" w:rsidRPr="00676EB5">
          <w:rPr>
            <w:rFonts w:hint="cs"/>
            <w:b/>
            <w:bCs/>
            <w:color w:val="0000FF"/>
            <w:u w:val="single"/>
            <w:rtl/>
          </w:rPr>
          <w:t>הסמים</w:t>
        </w:r>
        <w:r w:rsidR="00676EB5" w:rsidRPr="00676EB5">
          <w:rPr>
            <w:b/>
            <w:bCs/>
            <w:color w:val="0000FF"/>
            <w:u w:val="single"/>
            <w:rtl/>
          </w:rPr>
          <w:t xml:space="preserve"> </w:t>
        </w:r>
        <w:r w:rsidR="00676EB5" w:rsidRPr="00676EB5">
          <w:rPr>
            <w:rFonts w:hint="cs"/>
            <w:b/>
            <w:bCs/>
            <w:color w:val="0000FF"/>
            <w:u w:val="single"/>
            <w:rtl/>
          </w:rPr>
          <w:t>המסוכנים</w:t>
        </w:r>
      </w:hyperlink>
      <w:r w:rsidRPr="001049BB">
        <w:rPr>
          <w:rFonts w:hint="cs"/>
          <w:b/>
          <w:bCs/>
          <w:rtl/>
        </w:rPr>
        <w:t xml:space="preserve"> במשך שנתיים מהיום.</w:t>
      </w:r>
    </w:p>
    <w:p w14:paraId="5BC77589" w14:textId="77777777" w:rsidR="00DD7511" w:rsidRDefault="00DD7511" w:rsidP="00DD7511">
      <w:pPr>
        <w:spacing w:line="360" w:lineRule="auto"/>
        <w:rPr>
          <w:rtl/>
        </w:rPr>
      </w:pPr>
      <w:r w:rsidRPr="00B20945">
        <w:rPr>
          <w:rFonts w:hint="cs"/>
          <w:rtl/>
        </w:rPr>
        <w:t>מורה על השמדת המוצגים – סמים</w:t>
      </w:r>
      <w:r>
        <w:rPr>
          <w:rFonts w:hint="cs"/>
          <w:rtl/>
        </w:rPr>
        <w:t>,</w:t>
      </w:r>
      <w:r w:rsidRPr="00B20945">
        <w:rPr>
          <w:rFonts w:hint="cs"/>
          <w:rtl/>
        </w:rPr>
        <w:t xml:space="preserve"> בכפוף לחלוף תקופת הערעור.</w:t>
      </w:r>
    </w:p>
    <w:p w14:paraId="0DF502E8" w14:textId="77777777" w:rsidR="00DD7511" w:rsidRPr="00DD7511" w:rsidRDefault="00DD7511" w:rsidP="00DD7511">
      <w:pPr>
        <w:spacing w:line="360" w:lineRule="auto"/>
        <w:rPr>
          <w:rFonts w:eastAsia="Calibri"/>
          <w:rtl/>
        </w:rPr>
      </w:pPr>
      <w:r>
        <w:rPr>
          <w:rFonts w:hint="cs"/>
          <w:rtl/>
        </w:rPr>
        <w:t>ניתן צו להשבת הפלאפונים לבעליהם</w:t>
      </w:r>
      <w:r w:rsidRPr="00DD7511">
        <w:rPr>
          <w:rFonts w:eastAsia="Calibri" w:hint="cs"/>
          <w:rtl/>
        </w:rPr>
        <w:t xml:space="preserve">. ככל שהבעלים לא יאותרו תוך 60 יום, ניתן בזאת צו השמדה למוצגים. </w:t>
      </w:r>
    </w:p>
    <w:p w14:paraId="0B7D349C" w14:textId="77777777" w:rsidR="00DD7511" w:rsidRPr="001049BB" w:rsidRDefault="00DD7511" w:rsidP="00DD7511">
      <w:pPr>
        <w:spacing w:line="360" w:lineRule="auto"/>
        <w:ind w:firstLine="5"/>
        <w:jc w:val="both"/>
        <w:rPr>
          <w:b/>
          <w:bCs/>
          <w:rtl/>
        </w:rPr>
      </w:pPr>
    </w:p>
    <w:p w14:paraId="5D57EC3C" w14:textId="77777777" w:rsidR="00DD7511" w:rsidRPr="00B20945" w:rsidRDefault="00DD7511" w:rsidP="00DD7511">
      <w:pPr>
        <w:spacing w:line="360" w:lineRule="auto"/>
        <w:ind w:firstLine="5"/>
        <w:jc w:val="both"/>
        <w:rPr>
          <w:rtl/>
        </w:rPr>
      </w:pPr>
      <w:r w:rsidRPr="00B20945">
        <w:rPr>
          <w:rFonts w:hint="cs"/>
          <w:b/>
          <w:bCs/>
          <w:rtl/>
        </w:rPr>
        <w:t>זכות ערעור כחוק</w:t>
      </w:r>
      <w:r w:rsidRPr="00B20945">
        <w:rPr>
          <w:rFonts w:hint="cs"/>
          <w:rtl/>
        </w:rPr>
        <w:t>.</w:t>
      </w:r>
    </w:p>
    <w:p w14:paraId="110E900B" w14:textId="77777777" w:rsidR="00DD7511" w:rsidRDefault="00DD7511" w:rsidP="00DD7511">
      <w:pPr>
        <w:spacing w:line="360" w:lineRule="auto"/>
        <w:jc w:val="both"/>
        <w:rPr>
          <w:rFonts w:ascii="Arial" w:hAnsi="Arial"/>
          <w:b/>
          <w:bCs/>
          <w:noProof w:val="0"/>
          <w:rtl/>
        </w:rPr>
      </w:pPr>
    </w:p>
    <w:p w14:paraId="76B8AC17" w14:textId="77777777" w:rsidR="00DD7511" w:rsidRPr="00B20945" w:rsidRDefault="00DD7511" w:rsidP="00DD7511">
      <w:pPr>
        <w:spacing w:line="360" w:lineRule="auto"/>
        <w:jc w:val="both"/>
        <w:rPr>
          <w:rFonts w:ascii="Arial" w:hAnsi="Arial"/>
          <w:b/>
          <w:bCs/>
          <w:noProof w:val="0"/>
          <w:rtl/>
        </w:rPr>
      </w:pPr>
      <w:r w:rsidRPr="00B20945">
        <w:rPr>
          <w:rFonts w:ascii="Arial" w:hAnsi="Arial" w:hint="cs"/>
          <w:b/>
          <w:bCs/>
          <w:noProof w:val="0"/>
          <w:rtl/>
        </w:rPr>
        <w:t>נ</w:t>
      </w:r>
      <w:r w:rsidRPr="00B20945">
        <w:rPr>
          <w:rFonts w:ascii="Arial" w:hAnsi="Arial"/>
          <w:b/>
          <w:bCs/>
          <w:noProof w:val="0"/>
          <w:rtl/>
        </w:rPr>
        <w:t>ית</w:t>
      </w:r>
      <w:r w:rsidRPr="00B20945">
        <w:rPr>
          <w:rFonts w:ascii="Arial" w:hAnsi="Arial" w:hint="cs"/>
          <w:b/>
          <w:bCs/>
          <w:noProof w:val="0"/>
          <w:rtl/>
        </w:rPr>
        <w:t>ן</w:t>
      </w:r>
      <w:r w:rsidRPr="00B20945">
        <w:rPr>
          <w:rFonts w:ascii="Arial" w:hAnsi="Arial"/>
          <w:b/>
          <w:bCs/>
          <w:noProof w:val="0"/>
          <w:rtl/>
        </w:rPr>
        <w:t xml:space="preserve"> היום,  </w:t>
      </w:r>
      <w:r>
        <w:rPr>
          <w:rFonts w:ascii="Arial" w:hAnsi="Arial"/>
          <w:b/>
          <w:bCs/>
          <w:noProof w:val="0"/>
          <w:rtl/>
        </w:rPr>
        <w:t>כ"ה כסלו תשע"ט</w:t>
      </w:r>
      <w:r w:rsidRPr="00B20945">
        <w:rPr>
          <w:rFonts w:ascii="Arial" w:hAnsi="Arial"/>
          <w:b/>
          <w:bCs/>
          <w:noProof w:val="0"/>
          <w:rtl/>
        </w:rPr>
        <w:t xml:space="preserve">, </w:t>
      </w:r>
      <w:r>
        <w:rPr>
          <w:rFonts w:ascii="Arial" w:hAnsi="Arial"/>
          <w:b/>
          <w:bCs/>
          <w:noProof w:val="0"/>
          <w:rtl/>
        </w:rPr>
        <w:t>03 דצמבר 2018</w:t>
      </w:r>
      <w:r w:rsidRPr="00B20945">
        <w:rPr>
          <w:rFonts w:ascii="Arial" w:hAnsi="Arial"/>
          <w:b/>
          <w:bCs/>
          <w:noProof w:val="0"/>
          <w:rtl/>
        </w:rPr>
        <w:t>, ב</w:t>
      </w:r>
      <w:r w:rsidRPr="00B20945">
        <w:rPr>
          <w:rFonts w:ascii="Arial" w:hAnsi="Arial" w:hint="cs"/>
          <w:b/>
          <w:bCs/>
          <w:noProof w:val="0"/>
          <w:rtl/>
        </w:rPr>
        <w:t>מעמד</w:t>
      </w:r>
      <w:r w:rsidRPr="00B20945">
        <w:rPr>
          <w:rFonts w:ascii="Arial" w:hAnsi="Arial"/>
          <w:b/>
          <w:bCs/>
          <w:noProof w:val="0"/>
          <w:rtl/>
        </w:rPr>
        <w:t xml:space="preserve"> הצדדים.</w:t>
      </w:r>
    </w:p>
    <w:p w14:paraId="25AEF41B" w14:textId="77777777" w:rsidR="00DD7511" w:rsidRPr="00B20945" w:rsidRDefault="00DD7511" w:rsidP="00DD7511">
      <w:pPr>
        <w:spacing w:line="360" w:lineRule="auto"/>
        <w:jc w:val="both"/>
        <w:rPr>
          <w:rFonts w:ascii="Arial" w:hAnsi="Arial"/>
          <w:noProof w:val="0"/>
          <w:rtl/>
        </w:rPr>
      </w:pPr>
    </w:p>
    <w:p w14:paraId="43D76C20" w14:textId="77777777" w:rsidR="00DD7511" w:rsidRDefault="00DD7511" w:rsidP="00DD7511">
      <w:pPr>
        <w:suppressLineNumbers/>
        <w:spacing w:line="360" w:lineRule="auto"/>
        <w:rPr>
          <w:b/>
          <w:bCs/>
          <w:sz w:val="6"/>
          <w:szCs w:val="6"/>
          <w:rtl/>
        </w:rPr>
      </w:pPr>
      <w:r>
        <w:rPr>
          <w:rFonts w:hint="cs"/>
          <w:b/>
          <w:bCs/>
          <w:sz w:val="6"/>
          <w:szCs w:val="6"/>
          <w:rtl/>
        </w:rPr>
        <w:t>&lt;#7#&gt;</w:t>
      </w:r>
    </w:p>
    <w:p w14:paraId="3A5BE9EE" w14:textId="77777777" w:rsidR="00DD7511" w:rsidRDefault="00DD7511" w:rsidP="00DD7511">
      <w:pPr>
        <w:spacing w:line="360" w:lineRule="auto"/>
        <w:jc w:val="center"/>
        <w:rPr>
          <w:rFonts w:ascii="Arial" w:hAnsi="Arial"/>
          <w:b/>
          <w:bCs/>
          <w:sz w:val="28"/>
          <w:szCs w:val="28"/>
          <w:u w:val="single"/>
          <w:rtl/>
        </w:rPr>
      </w:pPr>
      <w:r>
        <w:rPr>
          <w:rFonts w:ascii="Arial" w:hAnsi="Arial" w:hint="cs"/>
          <w:b/>
          <w:bCs/>
          <w:sz w:val="28"/>
          <w:szCs w:val="28"/>
          <w:u w:val="single"/>
          <w:rtl/>
        </w:rPr>
        <w:t>החלטה</w:t>
      </w:r>
    </w:p>
    <w:p w14:paraId="732A3549" w14:textId="77777777" w:rsidR="00DD7511" w:rsidRDefault="00676EB5" w:rsidP="00DD7511">
      <w:pPr>
        <w:suppressLineNumbers/>
        <w:spacing w:line="360" w:lineRule="auto"/>
        <w:rPr>
          <w:rFonts w:hint="cs"/>
          <w:sz w:val="6"/>
          <w:szCs w:val="6"/>
          <w:rtl/>
        </w:rPr>
      </w:pPr>
      <w:r w:rsidRPr="00676EB5">
        <w:rPr>
          <w:color w:val="FFFFFF"/>
          <w:sz w:val="2"/>
          <w:szCs w:val="2"/>
          <w:rtl/>
        </w:rPr>
        <w:t>5129371</w:t>
      </w:r>
      <w:r w:rsidR="00DD7511">
        <w:rPr>
          <w:rFonts w:hint="cs"/>
          <w:rtl/>
        </w:rPr>
        <w:t xml:space="preserve">על מנת לאפשר למאשימה לשקול הגשת ערעור על רכיב השל"צ בגזר הדין, ועל מנת שלא להעמיד את ערכאת הערעור בפני עובדה מוגמרת, הנני מורה על עיכוב ביצוע עונש השל"צ למשך 45 יום. </w:t>
      </w:r>
      <w:r w:rsidR="00DD7511">
        <w:rPr>
          <w:rFonts w:hint="cs"/>
          <w:sz w:val="6"/>
          <w:szCs w:val="6"/>
          <w:rtl/>
        </w:rPr>
        <w:t>&lt;#3#&gt;</w:t>
      </w:r>
    </w:p>
    <w:p w14:paraId="354B2BF4" w14:textId="77777777" w:rsidR="00D52E94" w:rsidRDefault="00D52E94" w:rsidP="00DD7511">
      <w:pPr>
        <w:suppressLineNumbers/>
        <w:spacing w:line="360" w:lineRule="auto"/>
        <w:rPr>
          <w:rFonts w:hint="cs"/>
          <w:sz w:val="6"/>
          <w:szCs w:val="6"/>
          <w:rtl/>
        </w:rPr>
      </w:pPr>
    </w:p>
    <w:p w14:paraId="1FE201FD" w14:textId="77777777" w:rsidR="00D52E94" w:rsidRDefault="00D52E94" w:rsidP="00DD7511">
      <w:pPr>
        <w:suppressLineNumbers/>
        <w:spacing w:line="360" w:lineRule="auto"/>
        <w:rPr>
          <w:rFonts w:hint="cs"/>
          <w:sz w:val="6"/>
          <w:szCs w:val="6"/>
          <w:rtl/>
        </w:rPr>
      </w:pPr>
    </w:p>
    <w:p w14:paraId="3C73124A" w14:textId="77777777" w:rsidR="00D52E94" w:rsidRDefault="00D52E94" w:rsidP="00DD7511">
      <w:pPr>
        <w:suppressLineNumbers/>
        <w:spacing w:line="360" w:lineRule="auto"/>
        <w:rPr>
          <w:rFonts w:hint="cs"/>
          <w:sz w:val="6"/>
          <w:szCs w:val="6"/>
          <w:rtl/>
        </w:rPr>
      </w:pPr>
    </w:p>
    <w:p w14:paraId="25917062" w14:textId="77777777" w:rsidR="00D52E94" w:rsidRDefault="00D52E94" w:rsidP="00DD7511">
      <w:pPr>
        <w:suppressLineNumbers/>
        <w:spacing w:line="360" w:lineRule="auto"/>
        <w:rPr>
          <w:rFonts w:hint="cs"/>
          <w:sz w:val="6"/>
          <w:szCs w:val="6"/>
          <w:rtl/>
        </w:rPr>
      </w:pPr>
    </w:p>
    <w:p w14:paraId="57912EBA" w14:textId="77777777" w:rsidR="00D52E94" w:rsidRDefault="00D52E94" w:rsidP="00DD7511">
      <w:pPr>
        <w:suppressLineNumbers/>
        <w:spacing w:line="360" w:lineRule="auto"/>
        <w:rPr>
          <w:rFonts w:hint="cs"/>
          <w:sz w:val="6"/>
          <w:szCs w:val="6"/>
          <w:rtl/>
        </w:rPr>
      </w:pPr>
    </w:p>
    <w:p w14:paraId="77BA6837" w14:textId="77777777" w:rsidR="00D52E94" w:rsidRDefault="00D52E94" w:rsidP="00D52E94">
      <w:pPr>
        <w:jc w:val="center"/>
        <w:rPr>
          <w:rtl/>
        </w:rPr>
      </w:pPr>
      <w:r w:rsidRPr="00676EB5">
        <w:rPr>
          <w:b/>
          <w:bCs/>
          <w:color w:val="FFFFFF"/>
          <w:sz w:val="2"/>
          <w:szCs w:val="2"/>
          <w:rtl/>
        </w:rPr>
        <w:t>54678313</w:t>
      </w:r>
      <w:r>
        <w:rPr>
          <w:b/>
          <w:bCs/>
          <w:rtl/>
        </w:rPr>
        <w:t xml:space="preserve">ניתנה והודעה היום כ"ה כסלו תשע"ט, 03/12/2018 במעמד הנוכחים. </w:t>
      </w:r>
      <w:r w:rsidRPr="00DD7511">
        <w:rPr>
          <w:rFonts w:cs="Times New Roman"/>
          <w:rtl/>
        </w:rPr>
        <w:t xml:space="preserve">     </w:t>
      </w:r>
    </w:p>
    <w:p w14:paraId="453CED3B" w14:textId="77777777" w:rsidR="00D52E94" w:rsidRDefault="00D52E94" w:rsidP="00DD7511">
      <w:pPr>
        <w:suppressLineNumbers/>
        <w:spacing w:line="360" w:lineRule="auto"/>
        <w:rPr>
          <w:rFonts w:hint="cs"/>
          <w:sz w:val="6"/>
          <w:szCs w:val="6"/>
          <w:rtl/>
        </w:rPr>
      </w:pP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DD7511" w14:paraId="56CE1CED" w14:textId="77777777" w:rsidTr="00DD7511">
        <w:trPr>
          <w:trHeight w:val="316"/>
        </w:trPr>
        <w:tc>
          <w:tcPr>
            <w:tcW w:w="3936" w:type="dxa"/>
            <w:tcBorders>
              <w:top w:val="nil"/>
              <w:left w:val="nil"/>
              <w:bottom w:val="single" w:sz="4" w:space="0" w:color="auto"/>
              <w:right w:val="nil"/>
            </w:tcBorders>
            <w:shd w:val="clear" w:color="auto" w:fill="auto"/>
          </w:tcPr>
          <w:p w14:paraId="4D65D5F6" w14:textId="77777777" w:rsidR="00DD7511" w:rsidRDefault="00DD7511" w:rsidP="00D52E94">
            <w:pPr>
              <w:jc w:val="center"/>
            </w:pPr>
          </w:p>
        </w:tc>
      </w:tr>
      <w:tr w:rsidR="00DD7511" w14:paraId="4A93D969" w14:textId="77777777" w:rsidTr="00DD7511">
        <w:trPr>
          <w:trHeight w:val="361"/>
        </w:trPr>
        <w:tc>
          <w:tcPr>
            <w:tcW w:w="3936" w:type="dxa"/>
            <w:tcBorders>
              <w:top w:val="single" w:sz="4" w:space="0" w:color="auto"/>
              <w:left w:val="nil"/>
              <w:bottom w:val="nil"/>
              <w:right w:val="nil"/>
            </w:tcBorders>
            <w:shd w:val="clear" w:color="auto" w:fill="auto"/>
          </w:tcPr>
          <w:p w14:paraId="3C3892C7" w14:textId="77777777" w:rsidR="00DD7511" w:rsidRPr="00DD7511" w:rsidRDefault="00DD7511" w:rsidP="00DD7511">
            <w:pPr>
              <w:jc w:val="center"/>
              <w:rPr>
                <w:b/>
                <w:bCs/>
                <w:rtl/>
              </w:rPr>
            </w:pPr>
            <w:r w:rsidRPr="00DD7511">
              <w:rPr>
                <w:rFonts w:hint="cs"/>
                <w:b/>
                <w:bCs/>
                <w:rtl/>
              </w:rPr>
              <w:t xml:space="preserve">נגה שמואלי </w:t>
            </w:r>
            <w:r w:rsidRPr="00DD7511">
              <w:rPr>
                <w:rFonts w:hint="cs"/>
                <w:b/>
                <w:bCs/>
                <w:vertAlign w:val="superscript"/>
                <w:rtl/>
              </w:rPr>
              <w:t>–</w:t>
            </w:r>
            <w:r w:rsidRPr="00DD7511">
              <w:rPr>
                <w:rFonts w:hint="cs"/>
                <w:b/>
                <w:bCs/>
                <w:rtl/>
              </w:rPr>
              <w:t xml:space="preserve"> מאייר, שופטת </w:t>
            </w:r>
          </w:p>
          <w:p w14:paraId="6163BE99" w14:textId="77777777" w:rsidR="00DD7511" w:rsidRPr="00DD7511" w:rsidRDefault="00DD7511" w:rsidP="00DD7511">
            <w:pPr>
              <w:jc w:val="center"/>
              <w:rPr>
                <w:b/>
                <w:bCs/>
                <w:rtl/>
              </w:rPr>
            </w:pPr>
            <w:r w:rsidRPr="00DD7511">
              <w:rPr>
                <w:rFonts w:hint="cs"/>
                <w:b/>
                <w:bCs/>
                <w:rtl/>
              </w:rPr>
              <w:t>סגנית נשיאה</w:t>
            </w:r>
          </w:p>
        </w:tc>
      </w:tr>
    </w:tbl>
    <w:p w14:paraId="25086537" w14:textId="77777777" w:rsidR="00DD7511" w:rsidRDefault="00DD7511" w:rsidP="00DD7511">
      <w:pPr>
        <w:jc w:val="right"/>
        <w:rPr>
          <w:rFonts w:ascii="David" w:hAnsi="David"/>
          <w:szCs w:val="26"/>
          <w:rtl/>
        </w:rPr>
      </w:pPr>
    </w:p>
    <w:p w14:paraId="4E1FC12D" w14:textId="77777777" w:rsidR="007A064B" w:rsidRPr="00676EB5" w:rsidRDefault="007A064B" w:rsidP="00676EB5">
      <w:pPr>
        <w:keepNext/>
        <w:rPr>
          <w:rFonts w:ascii="David" w:hAnsi="David"/>
          <w:color w:val="000000"/>
          <w:sz w:val="22"/>
          <w:szCs w:val="22"/>
          <w:rtl/>
        </w:rPr>
      </w:pPr>
    </w:p>
    <w:p w14:paraId="3342BF27" w14:textId="77777777" w:rsidR="00676EB5" w:rsidRPr="00676EB5" w:rsidRDefault="00676EB5" w:rsidP="00676EB5">
      <w:pPr>
        <w:keepNext/>
        <w:rPr>
          <w:rFonts w:ascii="David" w:hAnsi="David"/>
          <w:color w:val="000000"/>
          <w:sz w:val="22"/>
          <w:szCs w:val="22"/>
          <w:rtl/>
        </w:rPr>
      </w:pPr>
      <w:r w:rsidRPr="00676EB5">
        <w:rPr>
          <w:rFonts w:ascii="David" w:hAnsi="David"/>
          <w:color w:val="000000"/>
          <w:sz w:val="22"/>
          <w:szCs w:val="22"/>
          <w:rtl/>
        </w:rPr>
        <w:t>נגה שמואלי מאייר 54678313</w:t>
      </w:r>
    </w:p>
    <w:p w14:paraId="22AC12E9" w14:textId="77777777" w:rsidR="00676EB5" w:rsidRDefault="00676EB5" w:rsidP="00676EB5">
      <w:r w:rsidRPr="00676EB5">
        <w:rPr>
          <w:color w:val="000000"/>
          <w:rtl/>
        </w:rPr>
        <w:t>נוסח מסמך זה כפוף לשינויי ניסוח ועריכה</w:t>
      </w:r>
    </w:p>
    <w:p w14:paraId="3E5E4305" w14:textId="77777777" w:rsidR="00676EB5" w:rsidRDefault="00676EB5" w:rsidP="00676EB5">
      <w:pPr>
        <w:rPr>
          <w:rtl/>
        </w:rPr>
      </w:pPr>
    </w:p>
    <w:p w14:paraId="413DF081" w14:textId="77777777" w:rsidR="00676EB5" w:rsidRDefault="00676EB5" w:rsidP="00676EB5">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00406EF7" w14:textId="77777777" w:rsidR="00676EB5" w:rsidRPr="00676EB5" w:rsidRDefault="00676EB5" w:rsidP="00676EB5">
      <w:pPr>
        <w:jc w:val="center"/>
        <w:rPr>
          <w:color w:val="0000FF"/>
          <w:u w:val="single"/>
        </w:rPr>
      </w:pPr>
    </w:p>
    <w:sectPr w:rsidR="00676EB5" w:rsidRPr="00676EB5" w:rsidSect="00676EB5">
      <w:headerReference w:type="even" r:id="rId69"/>
      <w:headerReference w:type="default" r:id="rId70"/>
      <w:footerReference w:type="even" r:id="rId71"/>
      <w:footerReference w:type="default" r:id="rId7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59058" w14:textId="77777777" w:rsidR="00604C8E" w:rsidRDefault="00604C8E" w:rsidP="00FE47E0">
      <w:r>
        <w:separator/>
      </w:r>
    </w:p>
  </w:endnote>
  <w:endnote w:type="continuationSeparator" w:id="0">
    <w:p w14:paraId="00B995D6" w14:textId="77777777" w:rsidR="00604C8E" w:rsidRDefault="00604C8E" w:rsidP="00FE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E27F" w14:textId="77777777" w:rsidR="003E29AB" w:rsidRDefault="003E29AB" w:rsidP="00676E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70C1634" w14:textId="77777777" w:rsidR="003E29AB" w:rsidRPr="00676EB5" w:rsidRDefault="003E29AB" w:rsidP="00676E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7881D" w14:textId="77777777" w:rsidR="003E29AB" w:rsidRDefault="003E29AB" w:rsidP="00676EB5">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A7177">
      <w:rPr>
        <w:rStyle w:val="a8"/>
        <w:rFonts w:ascii="FrankRuehl" w:hAnsi="FrankRuehl" w:cs="FrankRuehl"/>
        <w:rtl/>
      </w:rPr>
      <w:t>1</w:t>
    </w:r>
    <w:r>
      <w:rPr>
        <w:rStyle w:val="a8"/>
        <w:rFonts w:ascii="FrankRuehl" w:hAnsi="FrankRuehl" w:cs="FrankRuehl"/>
        <w:rtl/>
      </w:rPr>
      <w:fldChar w:fldCharType="end"/>
    </w:r>
  </w:p>
  <w:p w14:paraId="17BD67BA" w14:textId="77777777" w:rsidR="003E29AB" w:rsidRPr="00676EB5" w:rsidRDefault="003E29AB" w:rsidP="00676EB5">
    <w:pPr>
      <w:pStyle w:val="a5"/>
      <w:pBdr>
        <w:top w:val="single" w:sz="4" w:space="1" w:color="auto"/>
        <w:between w:val="single" w:sz="4" w:space="0" w:color="auto"/>
      </w:pBdr>
      <w:spacing w:after="60"/>
      <w:jc w:val="center"/>
      <w:rPr>
        <w:rStyle w:val="a8"/>
        <w:rFonts w:ascii="FrankRuehl" w:hAnsi="FrankRuehl" w:cs="FrankRuehl"/>
        <w:color w:val="000000"/>
      </w:rPr>
    </w:pPr>
    <w:r>
      <w:rPr>
        <w:rStyle w:val="a8"/>
        <w:rFonts w:ascii="FrankRuehl" w:hAnsi="FrankRuehl" w:cs="FrankRuehl"/>
        <w:color w:val="000000"/>
      </w:rPr>
      <w:pict w14:anchorId="75187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58E7A" w14:textId="77777777" w:rsidR="00604C8E" w:rsidRDefault="00604C8E" w:rsidP="00FE47E0">
      <w:r>
        <w:separator/>
      </w:r>
    </w:p>
  </w:footnote>
  <w:footnote w:type="continuationSeparator" w:id="0">
    <w:p w14:paraId="6BFA81E4" w14:textId="77777777" w:rsidR="00604C8E" w:rsidRDefault="00604C8E" w:rsidP="00FE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4CD62" w14:textId="77777777" w:rsidR="003E29AB" w:rsidRPr="00676EB5" w:rsidRDefault="003E29AB" w:rsidP="00676E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44280-01-18</w:t>
    </w:r>
    <w:r>
      <w:rPr>
        <w:rFonts w:ascii="David" w:hAnsi="David"/>
        <w:color w:val="000000"/>
        <w:sz w:val="22"/>
        <w:szCs w:val="22"/>
        <w:rtl/>
      </w:rPr>
      <w:tab/>
      <w:t xml:space="preserve"> מדינת ישראל נ' ינון קדוש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11A65" w14:textId="77777777" w:rsidR="003E29AB" w:rsidRPr="00676EB5" w:rsidRDefault="003E29AB" w:rsidP="00676E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44280-01-18</w:t>
    </w:r>
    <w:r>
      <w:rPr>
        <w:rFonts w:ascii="David" w:hAnsi="David"/>
        <w:color w:val="000000"/>
        <w:sz w:val="22"/>
        <w:szCs w:val="22"/>
        <w:rtl/>
      </w:rPr>
      <w:tab/>
      <w:t xml:space="preserve"> מדינת ישראל נ' ינון קדוש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1033E"/>
    <w:multiLevelType w:val="hybridMultilevel"/>
    <w:tmpl w:val="6C22E6B4"/>
    <w:lvl w:ilvl="0" w:tplc="26A6101A">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1790A"/>
    <w:multiLevelType w:val="hybridMultilevel"/>
    <w:tmpl w:val="1930C8F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6F5F9C"/>
    <w:multiLevelType w:val="hybridMultilevel"/>
    <w:tmpl w:val="828CB230"/>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DE78E7"/>
    <w:multiLevelType w:val="hybridMultilevel"/>
    <w:tmpl w:val="A5DEBE0C"/>
    <w:lvl w:ilvl="0" w:tplc="6052998E">
      <w:start w:val="1"/>
      <w:numFmt w:val="decimal"/>
      <w:lvlText w:val="%1."/>
      <w:lvlJc w:val="left"/>
      <w:pPr>
        <w:ind w:left="3696" w:right="946" w:hanging="360"/>
      </w:pPr>
      <w:rPr>
        <w:rFonts w:cs="David"/>
        <w:b w:val="0"/>
        <w:bCs w:val="0"/>
        <w:color w:val="auto"/>
        <w:lang w:bidi="he-IL"/>
      </w:rPr>
    </w:lvl>
    <w:lvl w:ilvl="1" w:tplc="04090019">
      <w:start w:val="1"/>
      <w:numFmt w:val="lowerLetter"/>
      <w:lvlText w:val="%2."/>
      <w:lvlJc w:val="left"/>
      <w:pPr>
        <w:ind w:left="4416" w:right="1666" w:hanging="360"/>
      </w:pPr>
    </w:lvl>
    <w:lvl w:ilvl="2" w:tplc="0409001B">
      <w:start w:val="1"/>
      <w:numFmt w:val="lowerRoman"/>
      <w:lvlText w:val="%3."/>
      <w:lvlJc w:val="right"/>
      <w:pPr>
        <w:ind w:left="5136" w:right="2386" w:hanging="180"/>
      </w:pPr>
    </w:lvl>
    <w:lvl w:ilvl="3" w:tplc="0409000F">
      <w:start w:val="1"/>
      <w:numFmt w:val="decimal"/>
      <w:lvlText w:val="%4."/>
      <w:lvlJc w:val="left"/>
      <w:pPr>
        <w:ind w:left="5856" w:right="3106" w:hanging="360"/>
      </w:pPr>
    </w:lvl>
    <w:lvl w:ilvl="4" w:tplc="04090019">
      <w:start w:val="1"/>
      <w:numFmt w:val="lowerLetter"/>
      <w:lvlText w:val="%5."/>
      <w:lvlJc w:val="left"/>
      <w:pPr>
        <w:ind w:left="6576" w:right="3826" w:hanging="360"/>
      </w:pPr>
    </w:lvl>
    <w:lvl w:ilvl="5" w:tplc="0409001B">
      <w:start w:val="1"/>
      <w:numFmt w:val="lowerRoman"/>
      <w:lvlText w:val="%6."/>
      <w:lvlJc w:val="right"/>
      <w:pPr>
        <w:ind w:left="7296" w:right="4546" w:hanging="180"/>
      </w:pPr>
    </w:lvl>
    <w:lvl w:ilvl="6" w:tplc="0409000F">
      <w:start w:val="1"/>
      <w:numFmt w:val="decimal"/>
      <w:lvlText w:val="%7."/>
      <w:lvlJc w:val="left"/>
      <w:pPr>
        <w:ind w:left="8016" w:right="5266" w:hanging="360"/>
      </w:pPr>
    </w:lvl>
    <w:lvl w:ilvl="7" w:tplc="04090019">
      <w:start w:val="1"/>
      <w:numFmt w:val="lowerLetter"/>
      <w:lvlText w:val="%8."/>
      <w:lvlJc w:val="left"/>
      <w:pPr>
        <w:ind w:left="8736" w:right="5986" w:hanging="360"/>
      </w:pPr>
    </w:lvl>
    <w:lvl w:ilvl="8" w:tplc="0409001B">
      <w:start w:val="1"/>
      <w:numFmt w:val="lowerRoman"/>
      <w:lvlText w:val="%9."/>
      <w:lvlJc w:val="right"/>
      <w:pPr>
        <w:ind w:left="9456" w:right="6706" w:hanging="180"/>
      </w:pPr>
    </w:lvl>
  </w:abstractNum>
  <w:num w:numId="1" w16cid:durableId="39326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33538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47621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284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7511"/>
    <w:rsid w:val="00143421"/>
    <w:rsid w:val="003E29AB"/>
    <w:rsid w:val="00413457"/>
    <w:rsid w:val="0044208B"/>
    <w:rsid w:val="0053655E"/>
    <w:rsid w:val="005E2DCF"/>
    <w:rsid w:val="00604C8E"/>
    <w:rsid w:val="00676EB5"/>
    <w:rsid w:val="00765423"/>
    <w:rsid w:val="00794AC9"/>
    <w:rsid w:val="007A064B"/>
    <w:rsid w:val="007A7177"/>
    <w:rsid w:val="00D52E94"/>
    <w:rsid w:val="00DD7511"/>
    <w:rsid w:val="00E2325F"/>
    <w:rsid w:val="00FE4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479B334"/>
  <w15:chartTrackingRefBased/>
  <w15:docId w15:val="{0BCCBBF0-6595-4C66-97B3-D3A82030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7511"/>
    <w:pPr>
      <w:bidi/>
    </w:pPr>
    <w:rPr>
      <w:rFonts w:ascii="Times New Roman" w:eastAsia="Times New Roman" w:hAnsi="Times New Roman" w:cs="David"/>
      <w:noProof/>
      <w:sz w:val="24"/>
      <w:szCs w:val="24"/>
    </w:rPr>
  </w:style>
  <w:style w:type="paragraph" w:styleId="1">
    <w:name w:val="heading 1"/>
    <w:basedOn w:val="a"/>
    <w:next w:val="a"/>
    <w:link w:val="10"/>
    <w:qFormat/>
    <w:rsid w:val="00DD7511"/>
    <w:pPr>
      <w:keepNext/>
      <w:keepLines/>
      <w:spacing w:before="240"/>
      <w:outlineLvl w:val="0"/>
    </w:pPr>
    <w:rPr>
      <w:rFonts w:ascii="Cambria" w:hAnsi="Cambria" w:cs="Times New Roman"/>
      <w:color w:val="365F9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D7511"/>
    <w:rPr>
      <w:rFonts w:ascii="Cambria" w:eastAsia="Times New Roman" w:hAnsi="Cambria" w:cs="Times New Roman"/>
      <w:noProof/>
      <w:color w:val="365F91"/>
      <w:sz w:val="32"/>
      <w:szCs w:val="32"/>
    </w:rPr>
  </w:style>
  <w:style w:type="paragraph" w:styleId="a3">
    <w:name w:val="header"/>
    <w:basedOn w:val="a"/>
    <w:link w:val="a4"/>
    <w:rsid w:val="00DD7511"/>
    <w:pPr>
      <w:tabs>
        <w:tab w:val="center" w:pos="4153"/>
        <w:tab w:val="right" w:pos="8306"/>
      </w:tabs>
    </w:pPr>
  </w:style>
  <w:style w:type="character" w:customStyle="1" w:styleId="a4">
    <w:name w:val="כותרת עליונה תו"/>
    <w:link w:val="a3"/>
    <w:rsid w:val="00DD7511"/>
    <w:rPr>
      <w:rFonts w:ascii="Times New Roman" w:eastAsia="Times New Roman" w:hAnsi="Times New Roman" w:cs="David"/>
      <w:noProof/>
      <w:sz w:val="24"/>
      <w:szCs w:val="24"/>
    </w:rPr>
  </w:style>
  <w:style w:type="paragraph" w:styleId="a5">
    <w:name w:val="footer"/>
    <w:basedOn w:val="a"/>
    <w:link w:val="a6"/>
    <w:rsid w:val="00DD7511"/>
    <w:pPr>
      <w:tabs>
        <w:tab w:val="center" w:pos="4153"/>
        <w:tab w:val="right" w:pos="8306"/>
      </w:tabs>
    </w:pPr>
  </w:style>
  <w:style w:type="character" w:customStyle="1" w:styleId="a6">
    <w:name w:val="כותרת תחתונה תו"/>
    <w:link w:val="a5"/>
    <w:rsid w:val="00DD7511"/>
    <w:rPr>
      <w:rFonts w:ascii="Times New Roman" w:eastAsia="Times New Roman" w:hAnsi="Times New Roman" w:cs="David"/>
      <w:noProof/>
      <w:sz w:val="24"/>
      <w:szCs w:val="24"/>
    </w:rPr>
  </w:style>
  <w:style w:type="table" w:styleId="a7">
    <w:name w:val="Table Grid"/>
    <w:basedOn w:val="a1"/>
    <w:rsid w:val="00DD75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7511"/>
  </w:style>
  <w:style w:type="character" w:styleId="Hyperlink">
    <w:name w:val="Hyperlink"/>
    <w:rsid w:val="00DD7511"/>
    <w:rPr>
      <w:rFonts w:ascii="Times New Roman" w:hAnsi="Times New Roman" w:cs="Times New Roman" w:hint="default"/>
      <w:color w:val="0000FF"/>
      <w:u w:val="single"/>
    </w:rPr>
  </w:style>
  <w:style w:type="paragraph" w:customStyle="1" w:styleId="ListParagraph">
    <w:name w:val="List Paragraph"/>
    <w:basedOn w:val="a"/>
    <w:qFormat/>
    <w:rsid w:val="00DD7511"/>
    <w:pPr>
      <w:spacing w:after="160" w:line="360" w:lineRule="auto"/>
      <w:ind w:left="720" w:hanging="357"/>
      <w:contextualSpacing/>
      <w:jc w:val="both"/>
    </w:pPr>
    <w:rPr>
      <w:rFonts w:ascii="Calibri" w:eastAsia="Calibri" w:hAnsi="Calibri"/>
      <w:noProof w:val="0"/>
    </w:rPr>
  </w:style>
  <w:style w:type="paragraph" w:customStyle="1" w:styleId="11">
    <w:name w:val="פיסקת רשימה1"/>
    <w:basedOn w:val="a"/>
    <w:rsid w:val="00DD7511"/>
    <w:pPr>
      <w:spacing w:after="160" w:line="360" w:lineRule="auto"/>
      <w:ind w:left="720" w:hanging="357"/>
      <w:contextualSpacing/>
      <w:jc w:val="both"/>
    </w:pPr>
    <w:rPr>
      <w:rFonts w:ascii="Calibri" w:eastAsia="Calibri" w:hAnsi="Calibr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6904503"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7941073" TargetMode="External"/><Relationship Id="rId47" Type="http://schemas.openxmlformats.org/officeDocument/2006/relationships/hyperlink" Target="http://www.nevo.co.il/case/21885394" TargetMode="External"/><Relationship Id="rId63" Type="http://schemas.openxmlformats.org/officeDocument/2006/relationships/hyperlink" Target="http://www.nevo.co.il/case/17997710"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ja.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2331295" TargetMode="External"/><Relationship Id="rId40" Type="http://schemas.openxmlformats.org/officeDocument/2006/relationships/hyperlink" Target="http://www.nevo.co.il/case/20867164" TargetMode="External"/><Relationship Id="rId45" Type="http://schemas.openxmlformats.org/officeDocument/2006/relationships/hyperlink" Target="http://www.nevo.co.il/case/6824952" TargetMode="External"/><Relationship Id="rId53" Type="http://schemas.openxmlformats.org/officeDocument/2006/relationships/hyperlink" Target="http://www.nevo.co.il/case/7688113" TargetMode="External"/><Relationship Id="rId58" Type="http://schemas.openxmlformats.org/officeDocument/2006/relationships/hyperlink" Target="http://www.nevo.co.il/case/12930657" TargetMode="External"/><Relationship Id="rId66" Type="http://schemas.openxmlformats.org/officeDocument/2006/relationships/hyperlink" Target="http://www.nevo.co.il/law/4216"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2140787"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5140836" TargetMode="External"/><Relationship Id="rId30" Type="http://schemas.openxmlformats.org/officeDocument/2006/relationships/hyperlink" Target="http://www.nevo.co.il/case/5573417" TargetMode="External"/><Relationship Id="rId35" Type="http://schemas.openxmlformats.org/officeDocument/2006/relationships/hyperlink" Target="http://www.nevo.co.il/case/6094597" TargetMode="External"/><Relationship Id="rId43" Type="http://schemas.openxmlformats.org/officeDocument/2006/relationships/hyperlink" Target="http://www.nevo.co.il/case/5880417" TargetMode="External"/><Relationship Id="rId48" Type="http://schemas.openxmlformats.org/officeDocument/2006/relationships/hyperlink" Target="http://www.nevo.co.il/case/8251788" TargetMode="External"/><Relationship Id="rId56" Type="http://schemas.openxmlformats.org/officeDocument/2006/relationships/hyperlink" Target="http://www.nevo.co.il/case/6824952" TargetMode="External"/><Relationship Id="rId64" Type="http://schemas.openxmlformats.org/officeDocument/2006/relationships/hyperlink" Target="http://www.nevo.co.il/case/18768481" TargetMode="External"/><Relationship Id="rId69"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hyperlink" Target="http://www.nevo.co.il/law/70301/40ja.3"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case/20033641"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0905674" TargetMode="External"/><Relationship Id="rId46" Type="http://schemas.openxmlformats.org/officeDocument/2006/relationships/hyperlink" Target="http://www.nevo.co.il/case/20539295" TargetMode="External"/><Relationship Id="rId59" Type="http://schemas.openxmlformats.org/officeDocument/2006/relationships/hyperlink" Target="http://www.nevo.co.il/case/7821838" TargetMode="External"/><Relationship Id="rId67" Type="http://schemas.openxmlformats.org/officeDocument/2006/relationships/hyperlink" Target="http://www.nevo.co.il/law/4216" TargetMode="External"/><Relationship Id="rId20" Type="http://schemas.openxmlformats.org/officeDocument/2006/relationships/hyperlink" Target="http://www.nevo.co.il/law/70301/244;25" TargetMode="External"/><Relationship Id="rId41" Type="http://schemas.openxmlformats.org/officeDocument/2006/relationships/hyperlink" Target="http://www.nevo.co.il/case/17074292" TargetMode="External"/><Relationship Id="rId54" Type="http://schemas.openxmlformats.org/officeDocument/2006/relationships/hyperlink" Target="http://www.nevo.co.il/law/70301/40d.a" TargetMode="External"/><Relationship Id="rId62" Type="http://schemas.openxmlformats.org/officeDocument/2006/relationships/hyperlink" Target="http://www.nevo.co.il/case/20498074"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7971983" TargetMode="External"/><Relationship Id="rId36" Type="http://schemas.openxmlformats.org/officeDocument/2006/relationships/hyperlink" Target="http://www.nevo.co.il/case/21015131" TargetMode="External"/><Relationship Id="rId49" Type="http://schemas.openxmlformats.org/officeDocument/2006/relationships/hyperlink" Target="http://www.nevo.co.il/law/70301/40ja" TargetMode="External"/><Relationship Id="rId57" Type="http://schemas.openxmlformats.org/officeDocument/2006/relationships/hyperlink" Target="http://www.nevo.co.il/case/10459128"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7667123"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6848505" TargetMode="External"/><Relationship Id="rId65" Type="http://schemas.openxmlformats.org/officeDocument/2006/relationships/hyperlink" Target="http://www.nevo.co.il/case/22113084"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4216/13;19.a" TargetMode="External"/><Relationship Id="rId39" Type="http://schemas.openxmlformats.org/officeDocument/2006/relationships/hyperlink" Target="http://www.nevo.co.il/case/5575158" TargetMode="External"/><Relationship Id="rId34" Type="http://schemas.openxmlformats.org/officeDocument/2006/relationships/hyperlink" Target="http://www.nevo.co.il/case/578682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5197</Words>
  <Characters>25987</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31122</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3670135</vt:i4>
      </vt:variant>
      <vt:variant>
        <vt:i4>174</vt:i4>
      </vt:variant>
      <vt:variant>
        <vt:i4>0</vt:i4>
      </vt:variant>
      <vt:variant>
        <vt:i4>5</vt:i4>
      </vt:variant>
      <vt:variant>
        <vt:lpwstr>http://www.nevo.co.il/case/22113084</vt:lpwstr>
      </vt:variant>
      <vt:variant>
        <vt:lpwstr/>
      </vt:variant>
      <vt:variant>
        <vt:i4>3539070</vt:i4>
      </vt:variant>
      <vt:variant>
        <vt:i4>171</vt:i4>
      </vt:variant>
      <vt:variant>
        <vt:i4>0</vt:i4>
      </vt:variant>
      <vt:variant>
        <vt:i4>5</vt:i4>
      </vt:variant>
      <vt:variant>
        <vt:lpwstr>http://www.nevo.co.il/case/18768481</vt:lpwstr>
      </vt:variant>
      <vt:variant>
        <vt:lpwstr/>
      </vt:variant>
      <vt:variant>
        <vt:i4>4063357</vt:i4>
      </vt:variant>
      <vt:variant>
        <vt:i4>168</vt:i4>
      </vt:variant>
      <vt:variant>
        <vt:i4>0</vt:i4>
      </vt:variant>
      <vt:variant>
        <vt:i4>5</vt:i4>
      </vt:variant>
      <vt:variant>
        <vt:lpwstr>http://www.nevo.co.il/case/17997710</vt:lpwstr>
      </vt:variant>
      <vt:variant>
        <vt:lpwstr/>
      </vt:variant>
      <vt:variant>
        <vt:i4>3735677</vt:i4>
      </vt:variant>
      <vt:variant>
        <vt:i4>165</vt:i4>
      </vt:variant>
      <vt:variant>
        <vt:i4>0</vt:i4>
      </vt:variant>
      <vt:variant>
        <vt:i4>5</vt:i4>
      </vt:variant>
      <vt:variant>
        <vt:lpwstr>http://www.nevo.co.il/case/20498074</vt:lpwstr>
      </vt:variant>
      <vt:variant>
        <vt:lpwstr/>
      </vt:variant>
      <vt:variant>
        <vt:i4>3866741</vt:i4>
      </vt:variant>
      <vt:variant>
        <vt:i4>162</vt:i4>
      </vt:variant>
      <vt:variant>
        <vt:i4>0</vt:i4>
      </vt:variant>
      <vt:variant>
        <vt:i4>5</vt:i4>
      </vt:variant>
      <vt:variant>
        <vt:lpwstr>http://www.nevo.co.il/case/22140787</vt:lpwstr>
      </vt:variant>
      <vt:variant>
        <vt:lpwstr/>
      </vt:variant>
      <vt:variant>
        <vt:i4>3276916</vt:i4>
      </vt:variant>
      <vt:variant>
        <vt:i4>159</vt:i4>
      </vt:variant>
      <vt:variant>
        <vt:i4>0</vt:i4>
      </vt:variant>
      <vt:variant>
        <vt:i4>5</vt:i4>
      </vt:variant>
      <vt:variant>
        <vt:lpwstr>http://www.nevo.co.il/case/6848505</vt:lpwstr>
      </vt:variant>
      <vt:variant>
        <vt:lpwstr/>
      </vt:variant>
      <vt:variant>
        <vt:i4>3473534</vt:i4>
      </vt:variant>
      <vt:variant>
        <vt:i4>156</vt:i4>
      </vt:variant>
      <vt:variant>
        <vt:i4>0</vt:i4>
      </vt:variant>
      <vt:variant>
        <vt:i4>5</vt:i4>
      </vt:variant>
      <vt:variant>
        <vt:lpwstr>http://www.nevo.co.il/case/7821838</vt:lpwstr>
      </vt:variant>
      <vt:variant>
        <vt:lpwstr/>
      </vt:variant>
      <vt:variant>
        <vt:i4>3997811</vt:i4>
      </vt:variant>
      <vt:variant>
        <vt:i4>153</vt:i4>
      </vt:variant>
      <vt:variant>
        <vt:i4>0</vt:i4>
      </vt:variant>
      <vt:variant>
        <vt:i4>5</vt:i4>
      </vt:variant>
      <vt:variant>
        <vt:lpwstr>http://www.nevo.co.il/case/12930657</vt:lpwstr>
      </vt:variant>
      <vt:variant>
        <vt:lpwstr/>
      </vt:variant>
      <vt:variant>
        <vt:i4>4063344</vt:i4>
      </vt:variant>
      <vt:variant>
        <vt:i4>150</vt:i4>
      </vt:variant>
      <vt:variant>
        <vt:i4>0</vt:i4>
      </vt:variant>
      <vt:variant>
        <vt:i4>5</vt:i4>
      </vt:variant>
      <vt:variant>
        <vt:lpwstr>http://www.nevo.co.il/case/10459128</vt:lpwstr>
      </vt:variant>
      <vt:variant>
        <vt:lpwstr/>
      </vt:variant>
      <vt:variant>
        <vt:i4>4128893</vt:i4>
      </vt:variant>
      <vt:variant>
        <vt:i4>147</vt:i4>
      </vt:variant>
      <vt:variant>
        <vt:i4>0</vt:i4>
      </vt:variant>
      <vt:variant>
        <vt:i4>5</vt:i4>
      </vt:variant>
      <vt:variant>
        <vt:lpwstr>http://www.nevo.co.il/case/6824952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4915205</vt:i4>
      </vt:variant>
      <vt:variant>
        <vt:i4>141</vt:i4>
      </vt:variant>
      <vt:variant>
        <vt:i4>0</vt:i4>
      </vt:variant>
      <vt:variant>
        <vt:i4>5</vt:i4>
      </vt:variant>
      <vt:variant>
        <vt:lpwstr>http://www.nevo.co.il/law/70301/40d.a</vt:lpwstr>
      </vt:variant>
      <vt:variant>
        <vt:lpwstr/>
      </vt:variant>
      <vt:variant>
        <vt:i4>3997819</vt:i4>
      </vt:variant>
      <vt:variant>
        <vt:i4>138</vt:i4>
      </vt:variant>
      <vt:variant>
        <vt:i4>0</vt:i4>
      </vt:variant>
      <vt:variant>
        <vt:i4>5</vt:i4>
      </vt:variant>
      <vt:variant>
        <vt:lpwstr>http://www.nevo.co.il/case/7688113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3604517</vt:i4>
      </vt:variant>
      <vt:variant>
        <vt:i4>132</vt:i4>
      </vt:variant>
      <vt:variant>
        <vt:i4>0</vt:i4>
      </vt:variant>
      <vt:variant>
        <vt:i4>5</vt:i4>
      </vt:variant>
      <vt:variant>
        <vt:lpwstr>http://www.nevo.co.il/law/70301/40ja.3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3276927</vt:i4>
      </vt:variant>
      <vt:variant>
        <vt:i4>123</vt:i4>
      </vt:variant>
      <vt:variant>
        <vt:i4>0</vt:i4>
      </vt:variant>
      <vt:variant>
        <vt:i4>5</vt:i4>
      </vt:variant>
      <vt:variant>
        <vt:lpwstr>http://www.nevo.co.il/case/8251788</vt:lpwstr>
      </vt:variant>
      <vt:variant>
        <vt:lpwstr/>
      </vt:variant>
      <vt:variant>
        <vt:i4>3539070</vt:i4>
      </vt:variant>
      <vt:variant>
        <vt:i4>120</vt:i4>
      </vt:variant>
      <vt:variant>
        <vt:i4>0</vt:i4>
      </vt:variant>
      <vt:variant>
        <vt:i4>5</vt:i4>
      </vt:variant>
      <vt:variant>
        <vt:lpwstr>http://www.nevo.co.il/case/21885394</vt:lpwstr>
      </vt:variant>
      <vt:variant>
        <vt:lpwstr/>
      </vt:variant>
      <vt:variant>
        <vt:i4>3604597</vt:i4>
      </vt:variant>
      <vt:variant>
        <vt:i4>117</vt:i4>
      </vt:variant>
      <vt:variant>
        <vt:i4>0</vt:i4>
      </vt:variant>
      <vt:variant>
        <vt:i4>5</vt:i4>
      </vt:variant>
      <vt:variant>
        <vt:lpwstr>http://www.nevo.co.il/case/20539295</vt:lpwstr>
      </vt:variant>
      <vt:variant>
        <vt:lpwstr/>
      </vt:variant>
      <vt:variant>
        <vt:i4>4128893</vt:i4>
      </vt:variant>
      <vt:variant>
        <vt:i4>114</vt:i4>
      </vt:variant>
      <vt:variant>
        <vt:i4>0</vt:i4>
      </vt:variant>
      <vt:variant>
        <vt:i4>5</vt:i4>
      </vt:variant>
      <vt:variant>
        <vt:lpwstr>http://www.nevo.co.il/case/6824952</vt:lpwstr>
      </vt:variant>
      <vt:variant>
        <vt:lpwstr/>
      </vt:variant>
      <vt:variant>
        <vt:i4>3342455</vt:i4>
      </vt:variant>
      <vt:variant>
        <vt:i4>111</vt:i4>
      </vt:variant>
      <vt:variant>
        <vt:i4>0</vt:i4>
      </vt:variant>
      <vt:variant>
        <vt:i4>5</vt:i4>
      </vt:variant>
      <vt:variant>
        <vt:lpwstr>http://www.nevo.co.il/case/7667123</vt:lpwstr>
      </vt:variant>
      <vt:variant>
        <vt:lpwstr/>
      </vt:variant>
      <vt:variant>
        <vt:i4>4063357</vt:i4>
      </vt:variant>
      <vt:variant>
        <vt:i4>108</vt:i4>
      </vt:variant>
      <vt:variant>
        <vt:i4>0</vt:i4>
      </vt:variant>
      <vt:variant>
        <vt:i4>5</vt:i4>
      </vt:variant>
      <vt:variant>
        <vt:lpwstr>http://www.nevo.co.il/case/5880417</vt:lpwstr>
      </vt:variant>
      <vt:variant>
        <vt:lpwstr/>
      </vt:variant>
      <vt:variant>
        <vt:i4>4063351</vt:i4>
      </vt:variant>
      <vt:variant>
        <vt:i4>105</vt:i4>
      </vt:variant>
      <vt:variant>
        <vt:i4>0</vt:i4>
      </vt:variant>
      <vt:variant>
        <vt:i4>5</vt:i4>
      </vt:variant>
      <vt:variant>
        <vt:lpwstr>http://www.nevo.co.il/case/17941073</vt:lpwstr>
      </vt:variant>
      <vt:variant>
        <vt:lpwstr/>
      </vt:variant>
      <vt:variant>
        <vt:i4>3932278</vt:i4>
      </vt:variant>
      <vt:variant>
        <vt:i4>102</vt:i4>
      </vt:variant>
      <vt:variant>
        <vt:i4>0</vt:i4>
      </vt:variant>
      <vt:variant>
        <vt:i4>5</vt:i4>
      </vt:variant>
      <vt:variant>
        <vt:lpwstr>http://www.nevo.co.il/case/17074292</vt:lpwstr>
      </vt:variant>
      <vt:variant>
        <vt:lpwstr/>
      </vt:variant>
      <vt:variant>
        <vt:i4>3866739</vt:i4>
      </vt:variant>
      <vt:variant>
        <vt:i4>99</vt:i4>
      </vt:variant>
      <vt:variant>
        <vt:i4>0</vt:i4>
      </vt:variant>
      <vt:variant>
        <vt:i4>5</vt:i4>
      </vt:variant>
      <vt:variant>
        <vt:lpwstr>http://www.nevo.co.il/case/20867164</vt:lpwstr>
      </vt:variant>
      <vt:variant>
        <vt:lpwstr/>
      </vt:variant>
      <vt:variant>
        <vt:i4>3866737</vt:i4>
      </vt:variant>
      <vt:variant>
        <vt:i4>96</vt:i4>
      </vt:variant>
      <vt:variant>
        <vt:i4>0</vt:i4>
      </vt:variant>
      <vt:variant>
        <vt:i4>5</vt:i4>
      </vt:variant>
      <vt:variant>
        <vt:lpwstr>http://www.nevo.co.il/case/5575158</vt:lpwstr>
      </vt:variant>
      <vt:variant>
        <vt:lpwstr/>
      </vt:variant>
      <vt:variant>
        <vt:i4>3735666</vt:i4>
      </vt:variant>
      <vt:variant>
        <vt:i4>93</vt:i4>
      </vt:variant>
      <vt:variant>
        <vt:i4>0</vt:i4>
      </vt:variant>
      <vt:variant>
        <vt:i4>5</vt:i4>
      </vt:variant>
      <vt:variant>
        <vt:lpwstr>http://www.nevo.co.il/case/20905674</vt:lpwstr>
      </vt:variant>
      <vt:variant>
        <vt:lpwstr/>
      </vt:variant>
      <vt:variant>
        <vt:i4>3735671</vt:i4>
      </vt:variant>
      <vt:variant>
        <vt:i4>90</vt:i4>
      </vt:variant>
      <vt:variant>
        <vt:i4>0</vt:i4>
      </vt:variant>
      <vt:variant>
        <vt:i4>5</vt:i4>
      </vt:variant>
      <vt:variant>
        <vt:lpwstr>http://www.nevo.co.il/case/22331295</vt:lpwstr>
      </vt:variant>
      <vt:variant>
        <vt:lpwstr/>
      </vt:variant>
      <vt:variant>
        <vt:i4>3407989</vt:i4>
      </vt:variant>
      <vt:variant>
        <vt:i4>87</vt:i4>
      </vt:variant>
      <vt:variant>
        <vt:i4>0</vt:i4>
      </vt:variant>
      <vt:variant>
        <vt:i4>5</vt:i4>
      </vt:variant>
      <vt:variant>
        <vt:lpwstr>http://www.nevo.co.il/case/21015131</vt:lpwstr>
      </vt:variant>
      <vt:variant>
        <vt:lpwstr/>
      </vt:variant>
      <vt:variant>
        <vt:i4>3997817</vt:i4>
      </vt:variant>
      <vt:variant>
        <vt:i4>84</vt:i4>
      </vt:variant>
      <vt:variant>
        <vt:i4>0</vt:i4>
      </vt:variant>
      <vt:variant>
        <vt:i4>5</vt:i4>
      </vt:variant>
      <vt:variant>
        <vt:lpwstr>http://www.nevo.co.il/case/6094597</vt:lpwstr>
      </vt:variant>
      <vt:variant>
        <vt:lpwstr/>
      </vt:variant>
      <vt:variant>
        <vt:i4>3407991</vt:i4>
      </vt:variant>
      <vt:variant>
        <vt:i4>81</vt:i4>
      </vt:variant>
      <vt:variant>
        <vt:i4>0</vt:i4>
      </vt:variant>
      <vt:variant>
        <vt:i4>5</vt:i4>
      </vt:variant>
      <vt:variant>
        <vt:lpwstr>http://www.nevo.co.il/case/5786821</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7995492</vt:i4>
      </vt:variant>
      <vt:variant>
        <vt:i4>66</vt:i4>
      </vt:variant>
      <vt:variant>
        <vt:i4>0</vt:i4>
      </vt:variant>
      <vt:variant>
        <vt:i4>5</vt:i4>
      </vt:variant>
      <vt:variant>
        <vt:lpwstr>http://www.nevo.co.il/law/70301</vt:lpwstr>
      </vt:variant>
      <vt:variant>
        <vt:lpwstr/>
      </vt:variant>
      <vt:variant>
        <vt:i4>3801204</vt:i4>
      </vt:variant>
      <vt:variant>
        <vt:i4>63</vt:i4>
      </vt:variant>
      <vt:variant>
        <vt:i4>0</vt:i4>
      </vt:variant>
      <vt:variant>
        <vt:i4>5</vt:i4>
      </vt:variant>
      <vt:variant>
        <vt:lpwstr>http://www.nevo.co.il/case/7971983</vt:lpwstr>
      </vt:variant>
      <vt:variant>
        <vt:lpwstr/>
      </vt:variant>
      <vt:variant>
        <vt:i4>4128886</vt:i4>
      </vt:variant>
      <vt:variant>
        <vt:i4>60</vt:i4>
      </vt:variant>
      <vt:variant>
        <vt:i4>0</vt:i4>
      </vt:variant>
      <vt:variant>
        <vt:i4>5</vt:i4>
      </vt:variant>
      <vt:variant>
        <vt:lpwstr>http://www.nevo.co.il/case/5140836</vt:lpwstr>
      </vt:variant>
      <vt:variant>
        <vt:lpwstr/>
      </vt:variant>
      <vt:variant>
        <vt:i4>3932279</vt:i4>
      </vt:variant>
      <vt:variant>
        <vt:i4>57</vt:i4>
      </vt:variant>
      <vt:variant>
        <vt:i4>0</vt:i4>
      </vt:variant>
      <vt:variant>
        <vt:i4>5</vt:i4>
      </vt:variant>
      <vt:variant>
        <vt:lpwstr>http://www.nevo.co.il/case/16904503</vt:lpwstr>
      </vt:variant>
      <vt:variant>
        <vt:lpwstr/>
      </vt:variant>
      <vt:variant>
        <vt:i4>3473521</vt:i4>
      </vt:variant>
      <vt:variant>
        <vt:i4>54</vt:i4>
      </vt:variant>
      <vt:variant>
        <vt:i4>0</vt:i4>
      </vt:variant>
      <vt:variant>
        <vt:i4>5</vt:i4>
      </vt:variant>
      <vt:variant>
        <vt:lpwstr>http://www.nevo.co.il/case/20033641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3604579</vt:i4>
      </vt:variant>
      <vt:variant>
        <vt:i4>45</vt:i4>
      </vt:variant>
      <vt:variant>
        <vt:i4>0</vt:i4>
      </vt:variant>
      <vt:variant>
        <vt:i4>5</vt:i4>
      </vt:variant>
      <vt:variant>
        <vt:lpwstr>http://www.nevo.co.il/law/70301/fCa(1)S</vt:lpwstr>
      </vt:variant>
      <vt:variant>
        <vt:lpwstr/>
      </vt:variant>
      <vt:variant>
        <vt:i4>7995492</vt:i4>
      </vt:variant>
      <vt:variant>
        <vt:i4>42</vt:i4>
      </vt:variant>
      <vt:variant>
        <vt:i4>0</vt:i4>
      </vt:variant>
      <vt:variant>
        <vt:i4>5</vt:i4>
      </vt:variant>
      <vt:variant>
        <vt:lpwstr>http://www.nevo.co.il/law/70301</vt:lpwstr>
      </vt:variant>
      <vt:variant>
        <vt:lpwstr/>
      </vt:variant>
      <vt:variant>
        <vt:i4>7274593</vt:i4>
      </vt:variant>
      <vt:variant>
        <vt:i4>39</vt:i4>
      </vt:variant>
      <vt:variant>
        <vt:i4>0</vt:i4>
      </vt:variant>
      <vt:variant>
        <vt:i4>5</vt:i4>
      </vt:variant>
      <vt:variant>
        <vt:lpwstr>http://www.nevo.co.il/law/70301/244;25</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3604579</vt:i4>
      </vt:variant>
      <vt:variant>
        <vt:i4>30</vt:i4>
      </vt:variant>
      <vt:variant>
        <vt:i4>0</vt:i4>
      </vt:variant>
      <vt:variant>
        <vt:i4>5</vt:i4>
      </vt:variant>
      <vt:variant>
        <vt:lpwstr>http://www.nevo.co.il/law/70301/fCa(1)S</vt:lpwstr>
      </vt:variant>
      <vt:variant>
        <vt:lpwstr/>
      </vt:variant>
      <vt:variant>
        <vt:i4>3604517</vt:i4>
      </vt:variant>
      <vt:variant>
        <vt:i4>27</vt:i4>
      </vt:variant>
      <vt:variant>
        <vt:i4>0</vt:i4>
      </vt:variant>
      <vt:variant>
        <vt:i4>5</vt:i4>
      </vt:variant>
      <vt:variant>
        <vt:lpwstr>http://www.nevo.co.il/law/70301/40ja.3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44280</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ינון קדוש</vt:lpwstr>
  </property>
  <property fmtid="{D5CDD505-2E9C-101B-9397-08002B2CF9AE}" pid="10" name="LAWYER">
    <vt:lpwstr>עמית חומרי;חן בן חיים</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20181203</vt:lpwstr>
  </property>
  <property fmtid="{D5CDD505-2E9C-101B-9397-08002B2CF9AE}" pid="14" name="TYPE_N_DATE">
    <vt:lpwstr>38020181203</vt:lpwstr>
  </property>
  <property fmtid="{D5CDD505-2E9C-101B-9397-08002B2CF9AE}" pid="15" name="WORDNUMPAGES">
    <vt:lpwstr>12</vt:lpwstr>
  </property>
  <property fmtid="{D5CDD505-2E9C-101B-9397-08002B2CF9AE}" pid="16" name="TYPE_ABS_DATE">
    <vt:lpwstr>380120181203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13093721;20033641;16904503;5140836;7971983;5573417;5786821;6094597;21015131;22331295;20905674;5575158;20867164;17074292;17941073;5880417;7667123;6824952:2;20539295;21885394;8251788;7688113;10459128;12930657;7821838;6848505;22140787;20498074;17997710</vt:lpwstr>
  </property>
  <property fmtid="{D5CDD505-2E9C-101B-9397-08002B2CF9AE}" pid="36" name="CASESLISTTMP2">
    <vt:lpwstr>18768481;22113084</vt:lpwstr>
  </property>
  <property fmtid="{D5CDD505-2E9C-101B-9397-08002B2CF9AE}" pid="37" name="LAWLISTTMP1">
    <vt:lpwstr>4216/013;019.a</vt:lpwstr>
  </property>
  <property fmtid="{D5CDD505-2E9C-101B-9397-08002B2CF9AE}" pid="38" name="LAWLISTTMP2">
    <vt:lpwstr>70301/244;025;fCa(1)S;040c.a;40ja;40ja.3;040d.a</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8991;14346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20190130</vt:lpwstr>
  </property>
  <property fmtid="{D5CDD505-2E9C-101B-9397-08002B2CF9AE}" pid="73" name="METAKZER">
    <vt:lpwstr>עומרי</vt:lpwstr>
  </property>
</Properties>
</file>