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2"/>
        <w:gridCol w:w="3561"/>
      </w:tblGrid>
      <w:tr w:rsidR="00FC017F" w:rsidRPr="00BE7D13" w14:paraId="77D851D0" w14:textId="77777777" w:rsidTr="001508D3">
        <w:trPr>
          <w:trHeight w:hRule="exact" w:val="418"/>
          <w:jc w:val="center"/>
        </w:trPr>
        <w:tc>
          <w:tcPr>
            <w:tcW w:w="8523" w:type="dxa"/>
            <w:gridSpan w:val="2"/>
          </w:tcPr>
          <w:p w14:paraId="5437B2EF" w14:textId="77777777" w:rsidR="00FC017F" w:rsidRPr="00BE7D13" w:rsidRDefault="00FC017F" w:rsidP="002A0C4D">
            <w:pPr>
              <w:pStyle w:val="a3"/>
              <w:jc w:val="center"/>
              <w:rPr>
                <w:rFonts w:ascii="Tahoma" w:hAnsi="Tahoma"/>
                <w:color w:val="000080"/>
                <w:sz w:val="32"/>
                <w:szCs w:val="32"/>
                <w:rtl/>
              </w:rPr>
            </w:pPr>
            <w:bookmarkStart w:id="0" w:name="LastJudge"/>
            <w:r w:rsidRPr="00BE7D13">
              <w:rPr>
                <w:rFonts w:ascii="Tahoma" w:hAnsi="Tahoma"/>
                <w:b/>
                <w:bCs/>
                <w:color w:val="000080"/>
                <w:sz w:val="32"/>
                <w:szCs w:val="32"/>
                <w:rtl/>
              </w:rPr>
              <w:t>בית משפט השלום בתל אביב - יפו</w:t>
            </w:r>
          </w:p>
        </w:tc>
      </w:tr>
      <w:tr w:rsidR="00FC017F" w:rsidRPr="00BE7D13" w14:paraId="7255CB36" w14:textId="77777777" w:rsidTr="001508D3">
        <w:trPr>
          <w:trHeight w:val="337"/>
          <w:jc w:val="center"/>
        </w:trPr>
        <w:tc>
          <w:tcPr>
            <w:tcW w:w="4962" w:type="dxa"/>
          </w:tcPr>
          <w:p w14:paraId="40C79458" w14:textId="77777777" w:rsidR="00FC017F" w:rsidRPr="00BE7D13" w:rsidRDefault="00FC017F" w:rsidP="002A0C4D">
            <w:pPr>
              <w:rPr>
                <w:sz w:val="26"/>
                <w:szCs w:val="26"/>
                <w:rtl/>
              </w:rPr>
            </w:pPr>
            <w:r w:rsidRPr="00BE7D13">
              <w:rPr>
                <w:sz w:val="26"/>
                <w:szCs w:val="26"/>
                <w:rtl/>
              </w:rPr>
              <w:t>ת"פ</w:t>
            </w:r>
            <w:r w:rsidRPr="00BE7D13">
              <w:rPr>
                <w:rFonts w:hint="cs"/>
                <w:sz w:val="26"/>
                <w:szCs w:val="26"/>
                <w:rtl/>
              </w:rPr>
              <w:t xml:space="preserve"> </w:t>
            </w:r>
            <w:r w:rsidRPr="00BE7D13">
              <w:rPr>
                <w:sz w:val="26"/>
                <w:szCs w:val="26"/>
                <w:rtl/>
              </w:rPr>
              <w:t>66041-01-18</w:t>
            </w:r>
            <w:r w:rsidRPr="00BE7D13">
              <w:rPr>
                <w:rFonts w:hint="cs"/>
                <w:sz w:val="26"/>
                <w:szCs w:val="26"/>
                <w:rtl/>
              </w:rPr>
              <w:t xml:space="preserve"> </w:t>
            </w:r>
            <w:r w:rsidRPr="00BE7D13">
              <w:rPr>
                <w:sz w:val="26"/>
                <w:szCs w:val="26"/>
                <w:rtl/>
              </w:rPr>
              <w:t>מדינת ישראל נ' קוקשרוב(עציר)</w:t>
            </w:r>
          </w:p>
        </w:tc>
        <w:tc>
          <w:tcPr>
            <w:tcW w:w="3561" w:type="dxa"/>
          </w:tcPr>
          <w:p w14:paraId="4392D081" w14:textId="77777777" w:rsidR="00FC017F" w:rsidRPr="00BE7D13" w:rsidRDefault="00FC017F" w:rsidP="002A0C4D">
            <w:pPr>
              <w:pStyle w:val="a3"/>
              <w:jc w:val="right"/>
              <w:rPr>
                <w:rFonts w:cs="FrankRuehl" w:hint="cs"/>
                <w:sz w:val="28"/>
                <w:szCs w:val="28"/>
                <w:rtl/>
              </w:rPr>
            </w:pPr>
          </w:p>
        </w:tc>
      </w:tr>
    </w:tbl>
    <w:p w14:paraId="6061DB77" w14:textId="77777777" w:rsidR="00FC017F" w:rsidRPr="00BE7D13" w:rsidRDefault="00FC017F" w:rsidP="00FC017F">
      <w:pPr>
        <w:pStyle w:val="a3"/>
        <w:rPr>
          <w:rtl/>
        </w:rPr>
      </w:pPr>
      <w:r w:rsidRPr="00BE7D13">
        <w:rPr>
          <w:rFonts w:hint="cs"/>
          <w:rtl/>
        </w:rPr>
        <w:t xml:space="preserve"> </w:t>
      </w:r>
    </w:p>
    <w:p w14:paraId="252D4005" w14:textId="77777777" w:rsidR="00FC017F" w:rsidRPr="00BE7D13" w:rsidRDefault="00FC017F" w:rsidP="00FC017F">
      <w:pPr>
        <w:rPr>
          <w:rtl/>
        </w:rPr>
      </w:pPr>
    </w:p>
    <w:p w14:paraId="53FDC6D9" w14:textId="77777777" w:rsidR="00FC017F" w:rsidRPr="00BE7D13" w:rsidRDefault="00FC017F" w:rsidP="00FC017F"/>
    <w:p w14:paraId="49C2542A" w14:textId="77777777" w:rsidR="001508D3" w:rsidRPr="00BE7D13" w:rsidRDefault="001508D3" w:rsidP="002A0C4D">
      <w:pPr>
        <w:rPr>
          <w:rFonts w:ascii="Arial" w:hAnsi="Arial"/>
          <w:b/>
          <w:bCs/>
          <w:sz w:val="26"/>
          <w:szCs w:val="26"/>
        </w:rPr>
      </w:pPr>
      <w:r w:rsidRPr="00BE7D13">
        <w:rPr>
          <w:rFonts w:ascii="Arial" w:hAnsi="Arial" w:hint="cs"/>
          <w:b/>
          <w:bCs/>
          <w:sz w:val="26"/>
          <w:szCs w:val="26"/>
          <w:rtl/>
        </w:rPr>
        <w:t>ל</w:t>
      </w:r>
      <w:r w:rsidRPr="00BE7D13">
        <w:rPr>
          <w:rFonts w:ascii="Arial" w:hAnsi="Arial"/>
          <w:b/>
          <w:bCs/>
          <w:sz w:val="26"/>
          <w:szCs w:val="26"/>
          <w:rtl/>
        </w:rPr>
        <w:t xml:space="preserve">פני </w:t>
      </w:r>
      <w:r w:rsidRPr="00BE7D13">
        <w:rPr>
          <w:rFonts w:ascii="Arial" w:hAnsi="Arial" w:hint="cs"/>
          <w:b/>
          <w:bCs/>
          <w:sz w:val="26"/>
          <w:szCs w:val="26"/>
          <w:rtl/>
        </w:rPr>
        <w:t>כבוד ה</w:t>
      </w:r>
      <w:r w:rsidRPr="00BE7D13">
        <w:rPr>
          <w:rFonts w:ascii="Arial" w:hAnsi="Arial"/>
          <w:b/>
          <w:bCs/>
          <w:sz w:val="26"/>
          <w:szCs w:val="26"/>
          <w:rtl/>
        </w:rPr>
        <w:t>שופט</w:t>
      </w:r>
      <w:r w:rsidRPr="00BE7D13">
        <w:rPr>
          <w:rFonts w:ascii="Arial" w:hAnsi="Arial" w:hint="cs"/>
          <w:b/>
          <w:bCs/>
          <w:sz w:val="26"/>
          <w:szCs w:val="26"/>
          <w:rtl/>
        </w:rPr>
        <w:t xml:space="preserve">  </w:t>
      </w:r>
      <w:r w:rsidRPr="00BE7D13">
        <w:rPr>
          <w:rFonts w:ascii="Arial" w:hAnsi="Arial"/>
          <w:b/>
          <w:bCs/>
          <w:sz w:val="26"/>
          <w:szCs w:val="26"/>
          <w:rtl/>
        </w:rPr>
        <w:t>שמאי בקר</w:t>
      </w:r>
      <w:r w:rsidRPr="00BE7D13">
        <w:rPr>
          <w:rFonts w:ascii="Arial" w:hAnsi="Arial"/>
          <w:b/>
          <w:bCs/>
          <w:sz w:val="26"/>
          <w:szCs w:val="26"/>
          <w:rtl/>
        </w:rPr>
        <w:br/>
      </w:r>
      <w:r w:rsidRPr="00BE7D13">
        <w:rPr>
          <w:sz w:val="26"/>
          <w:szCs w:val="26"/>
          <w:rtl/>
        </w:rPr>
        <w:br/>
      </w:r>
      <w:r w:rsidRPr="00BE7D13">
        <w:rPr>
          <w:sz w:val="26"/>
          <w:szCs w:val="26"/>
          <w:rtl/>
        </w:rPr>
        <w:br/>
      </w:r>
      <w:r w:rsidRPr="00BE7D13">
        <w:rPr>
          <w:sz w:val="26"/>
          <w:szCs w:val="26"/>
          <w:rtl/>
        </w:rPr>
        <w:br/>
      </w:r>
    </w:p>
    <w:p w14:paraId="3F23A739" w14:textId="77777777" w:rsidR="001508D3" w:rsidRPr="00BE7D13" w:rsidRDefault="001508D3" w:rsidP="00FC017F">
      <w:pPr>
        <w:jc w:val="both"/>
        <w:rPr>
          <w:rFonts w:ascii="Arial" w:hAnsi="Arial"/>
          <w:b/>
          <w:bCs/>
          <w:sz w:val="26"/>
          <w:szCs w:val="26"/>
        </w:rPr>
      </w:pPr>
      <w:bookmarkStart w:id="1" w:name="FirstAppellant"/>
      <w:bookmarkStart w:id="2" w:name="FirstLawyer"/>
      <w:r w:rsidRPr="00BE7D13">
        <w:rPr>
          <w:rFonts w:ascii="Arial" w:hAnsi="Arial" w:hint="cs"/>
          <w:b/>
          <w:bCs/>
          <w:sz w:val="26"/>
          <w:szCs w:val="26"/>
          <w:rtl/>
        </w:rPr>
        <w:t>ה</w:t>
      </w:r>
      <w:r w:rsidRPr="00BE7D13">
        <w:rPr>
          <w:rFonts w:ascii="Arial" w:hAnsi="Arial"/>
          <w:b/>
          <w:bCs/>
          <w:sz w:val="26"/>
          <w:szCs w:val="26"/>
          <w:rtl/>
        </w:rPr>
        <w:t>מאשימה</w:t>
      </w:r>
    </w:p>
    <w:p w14:paraId="55D318FC" w14:textId="77777777" w:rsidR="001508D3" w:rsidRPr="00BE7D13" w:rsidRDefault="001508D3" w:rsidP="00FC017F">
      <w:pPr>
        <w:ind w:firstLine="2135"/>
        <w:rPr>
          <w:b/>
          <w:bCs/>
          <w:sz w:val="26"/>
          <w:szCs w:val="26"/>
          <w:rtl/>
        </w:rPr>
      </w:pPr>
      <w:r w:rsidRPr="00BE7D13">
        <w:rPr>
          <w:rFonts w:ascii="Arial" w:hAnsi="Arial"/>
          <w:b/>
          <w:bCs/>
          <w:sz w:val="26"/>
          <w:szCs w:val="26"/>
          <w:rtl/>
        </w:rPr>
        <w:t>מדינת ישראל</w:t>
      </w:r>
    </w:p>
    <w:p w14:paraId="1E726F3D" w14:textId="77777777" w:rsidR="001508D3" w:rsidRPr="00BE7D13" w:rsidRDefault="001508D3" w:rsidP="00FC017F">
      <w:pPr>
        <w:ind w:firstLine="2135"/>
        <w:rPr>
          <w:b/>
          <w:bCs/>
          <w:sz w:val="26"/>
          <w:szCs w:val="26"/>
          <w:rtl/>
        </w:rPr>
      </w:pPr>
    </w:p>
    <w:p w14:paraId="27223C05" w14:textId="77777777" w:rsidR="001508D3" w:rsidRPr="00BE7D13" w:rsidRDefault="001508D3" w:rsidP="00FC017F">
      <w:pPr>
        <w:ind w:left="2419" w:hanging="284"/>
        <w:rPr>
          <w:sz w:val="26"/>
          <w:szCs w:val="26"/>
          <w:rtl/>
        </w:rPr>
      </w:pPr>
      <w:r w:rsidRPr="00BE7D13">
        <w:rPr>
          <w:rFonts w:hint="cs"/>
          <w:sz w:val="26"/>
          <w:szCs w:val="26"/>
          <w:rtl/>
        </w:rPr>
        <w:t xml:space="preserve">ע"י ב"כ עו"ד זוסמן, תביעות </w:t>
      </w:r>
    </w:p>
    <w:p w14:paraId="676562E2" w14:textId="77777777" w:rsidR="001508D3" w:rsidRPr="00BE7D13" w:rsidRDefault="001508D3" w:rsidP="00FC017F">
      <w:pPr>
        <w:ind w:left="2419" w:hanging="284"/>
        <w:rPr>
          <w:sz w:val="26"/>
          <w:szCs w:val="26"/>
        </w:rPr>
      </w:pPr>
      <w:r w:rsidRPr="00BE7D13">
        <w:rPr>
          <w:rFonts w:hint="cs"/>
          <w:sz w:val="26"/>
          <w:szCs w:val="26"/>
          <w:rtl/>
        </w:rPr>
        <w:t>תל אביב</w:t>
      </w:r>
    </w:p>
    <w:p w14:paraId="378F547D" w14:textId="77777777" w:rsidR="001508D3" w:rsidRPr="00BE7D13" w:rsidRDefault="001508D3" w:rsidP="00FC017F">
      <w:pPr>
        <w:jc w:val="both"/>
        <w:rPr>
          <w:rFonts w:ascii="Arial" w:hAnsi="Arial"/>
          <w:sz w:val="26"/>
          <w:szCs w:val="26"/>
        </w:rPr>
      </w:pPr>
    </w:p>
    <w:bookmarkEnd w:id="1"/>
    <w:bookmarkEnd w:id="2"/>
    <w:p w14:paraId="10A917D4" w14:textId="77777777" w:rsidR="001508D3" w:rsidRPr="00BE7D13" w:rsidRDefault="001508D3" w:rsidP="00FC017F">
      <w:pPr>
        <w:jc w:val="both"/>
        <w:rPr>
          <w:rFonts w:ascii="Arial" w:hAnsi="Arial"/>
          <w:sz w:val="26"/>
          <w:szCs w:val="26"/>
          <w:rtl/>
        </w:rPr>
      </w:pPr>
    </w:p>
    <w:p w14:paraId="4203E061" w14:textId="77777777" w:rsidR="001508D3" w:rsidRPr="00BE7D13" w:rsidRDefault="001508D3" w:rsidP="00FC017F">
      <w:pPr>
        <w:jc w:val="center"/>
        <w:rPr>
          <w:rFonts w:ascii="Arial" w:hAnsi="Arial"/>
          <w:b/>
          <w:bCs/>
          <w:sz w:val="26"/>
          <w:szCs w:val="26"/>
          <w:rtl/>
        </w:rPr>
      </w:pPr>
    </w:p>
    <w:p w14:paraId="29C3C434" w14:textId="77777777" w:rsidR="001508D3" w:rsidRPr="00BE7D13" w:rsidRDefault="001508D3" w:rsidP="00FC017F">
      <w:pPr>
        <w:jc w:val="center"/>
        <w:rPr>
          <w:rFonts w:ascii="Arial" w:hAnsi="Arial"/>
          <w:b/>
          <w:bCs/>
          <w:sz w:val="26"/>
          <w:szCs w:val="26"/>
          <w:rtl/>
        </w:rPr>
      </w:pPr>
      <w:r w:rsidRPr="00BE7D13">
        <w:rPr>
          <w:rFonts w:ascii="Arial" w:hAnsi="Arial"/>
          <w:b/>
          <w:bCs/>
          <w:sz w:val="26"/>
          <w:szCs w:val="26"/>
          <w:rtl/>
        </w:rPr>
        <w:t>נגד</w:t>
      </w:r>
    </w:p>
    <w:p w14:paraId="564AC5FF" w14:textId="77777777" w:rsidR="001508D3" w:rsidRPr="00BE7D13" w:rsidRDefault="001508D3" w:rsidP="00FC017F">
      <w:pPr>
        <w:jc w:val="both"/>
        <w:rPr>
          <w:rFonts w:ascii="Arial" w:hAnsi="Arial"/>
          <w:sz w:val="26"/>
          <w:szCs w:val="26"/>
        </w:rPr>
      </w:pPr>
    </w:p>
    <w:p w14:paraId="0D9AAFF1" w14:textId="77777777" w:rsidR="001508D3" w:rsidRPr="00BE7D13" w:rsidRDefault="001508D3" w:rsidP="002A0C4D">
      <w:pPr>
        <w:rPr>
          <w:rFonts w:ascii="Arial" w:hAnsi="Arial"/>
          <w:b/>
          <w:bCs/>
          <w:sz w:val="26"/>
          <w:szCs w:val="26"/>
          <w:rtl/>
        </w:rPr>
      </w:pPr>
      <w:r w:rsidRPr="00BE7D13">
        <w:rPr>
          <w:rFonts w:ascii="Arial" w:hAnsi="Arial" w:hint="cs"/>
          <w:b/>
          <w:bCs/>
          <w:sz w:val="26"/>
          <w:szCs w:val="26"/>
          <w:rtl/>
        </w:rPr>
        <w:t>ה</w:t>
      </w:r>
      <w:r w:rsidRPr="00BE7D13">
        <w:rPr>
          <w:rFonts w:ascii="Arial" w:hAnsi="Arial"/>
          <w:b/>
          <w:bCs/>
          <w:sz w:val="26"/>
          <w:szCs w:val="26"/>
          <w:rtl/>
        </w:rPr>
        <w:t>נאש</w:t>
      </w:r>
      <w:r w:rsidRPr="00BE7D13">
        <w:rPr>
          <w:rFonts w:ascii="Arial" w:hAnsi="Arial" w:hint="cs"/>
          <w:b/>
          <w:bCs/>
          <w:sz w:val="26"/>
          <w:szCs w:val="26"/>
          <w:rtl/>
        </w:rPr>
        <w:t>ם</w:t>
      </w:r>
    </w:p>
    <w:p w14:paraId="025C5E09" w14:textId="77777777" w:rsidR="001508D3" w:rsidRPr="00BE7D13" w:rsidRDefault="001508D3" w:rsidP="00FC017F">
      <w:pPr>
        <w:ind w:left="2135"/>
        <w:rPr>
          <w:b/>
          <w:bCs/>
          <w:sz w:val="26"/>
          <w:szCs w:val="26"/>
          <w:rtl/>
        </w:rPr>
      </w:pPr>
      <w:r w:rsidRPr="00BE7D13">
        <w:rPr>
          <w:rFonts w:ascii="Arial" w:hAnsi="Arial"/>
          <w:b/>
          <w:bCs/>
          <w:sz w:val="26"/>
          <w:szCs w:val="26"/>
          <w:rtl/>
        </w:rPr>
        <w:t>דמיטרי קוקשרוב</w:t>
      </w:r>
      <w:r w:rsidRPr="00BE7D13">
        <w:rPr>
          <w:rFonts w:ascii="Arial" w:hAnsi="Arial" w:hint="cs"/>
          <w:b/>
          <w:bCs/>
          <w:sz w:val="26"/>
          <w:szCs w:val="26"/>
          <w:rtl/>
        </w:rPr>
        <w:t xml:space="preserve"> </w:t>
      </w:r>
      <w:r w:rsidRPr="00BE7D13">
        <w:rPr>
          <w:rFonts w:ascii="Arial" w:hAnsi="Arial"/>
          <w:b/>
          <w:bCs/>
          <w:sz w:val="26"/>
          <w:szCs w:val="26"/>
          <w:rtl/>
        </w:rPr>
        <w:t xml:space="preserve"> (עציר)</w:t>
      </w:r>
      <w:r w:rsidRPr="00BE7D13">
        <w:rPr>
          <w:rFonts w:ascii="Arial" w:hAnsi="Arial"/>
          <w:b/>
          <w:bCs/>
          <w:sz w:val="26"/>
          <w:szCs w:val="26"/>
          <w:rtl/>
        </w:rPr>
        <w:br/>
      </w:r>
    </w:p>
    <w:p w14:paraId="2C903C90" w14:textId="77777777" w:rsidR="001508D3" w:rsidRPr="00BE7D13" w:rsidRDefault="001508D3" w:rsidP="00FC017F">
      <w:pPr>
        <w:ind w:left="2135"/>
        <w:rPr>
          <w:sz w:val="26"/>
          <w:szCs w:val="26"/>
          <w:rtl/>
        </w:rPr>
      </w:pPr>
      <w:r w:rsidRPr="00BE7D13">
        <w:rPr>
          <w:rFonts w:hint="cs"/>
          <w:sz w:val="26"/>
          <w:szCs w:val="26"/>
          <w:rtl/>
        </w:rPr>
        <w:t>ע"י ב"כ עו"ד מץ, סנגוריה ציבורית</w:t>
      </w:r>
    </w:p>
    <w:p w14:paraId="34702A1F" w14:textId="77777777" w:rsidR="001508D3" w:rsidRPr="00BE7D13" w:rsidRDefault="001508D3" w:rsidP="00FC017F">
      <w:pPr>
        <w:jc w:val="right"/>
        <w:rPr>
          <w:rFonts w:ascii="Arial" w:hAnsi="Arial"/>
          <w:sz w:val="26"/>
          <w:szCs w:val="26"/>
        </w:rPr>
      </w:pPr>
    </w:p>
    <w:p w14:paraId="4E0CAE85" w14:textId="77777777" w:rsidR="001508D3" w:rsidRPr="00BE7D13" w:rsidRDefault="001508D3" w:rsidP="001508D3">
      <w:pPr>
        <w:pStyle w:val="a3"/>
        <w:spacing w:before="120" w:after="120" w:line="240" w:lineRule="exact"/>
        <w:ind w:left="283" w:hanging="283"/>
        <w:jc w:val="both"/>
        <w:rPr>
          <w:rFonts w:ascii="FrankRuehl" w:hAnsi="FrankRuehl" w:cs="FrankRuehl"/>
          <w:rtl/>
        </w:rPr>
      </w:pPr>
    </w:p>
    <w:p w14:paraId="578FF430" w14:textId="77777777" w:rsidR="001508D3" w:rsidRPr="00BE7D13" w:rsidRDefault="001508D3" w:rsidP="001508D3">
      <w:pPr>
        <w:pStyle w:val="a3"/>
        <w:rPr>
          <w:rtl/>
        </w:rPr>
      </w:pPr>
    </w:p>
    <w:p w14:paraId="4897C767" w14:textId="77777777" w:rsidR="00FC017F" w:rsidRPr="00BE7D13" w:rsidRDefault="00FC017F" w:rsidP="00FC017F"/>
    <w:p w14:paraId="01C99ED3" w14:textId="77777777" w:rsidR="001508D3" w:rsidRPr="001508D3" w:rsidRDefault="001508D3" w:rsidP="001508D3">
      <w:pPr>
        <w:spacing w:before="120" w:after="120" w:line="240" w:lineRule="exact"/>
        <w:ind w:left="283" w:hanging="283"/>
        <w:jc w:val="both"/>
        <w:rPr>
          <w:rFonts w:ascii="FrankRuehl" w:hAnsi="FrankRuehl" w:cs="FrankRuehl"/>
          <w:rtl/>
        </w:rPr>
      </w:pPr>
      <w:bookmarkStart w:id="3" w:name="LawTable"/>
      <w:bookmarkEnd w:id="3"/>
      <w:r w:rsidRPr="001508D3">
        <w:rPr>
          <w:rFonts w:ascii="FrankRuehl" w:hAnsi="FrankRuehl" w:cs="FrankRuehl"/>
          <w:rtl/>
        </w:rPr>
        <w:t xml:space="preserve">חקיקה שאוזכרה: </w:t>
      </w:r>
    </w:p>
    <w:p w14:paraId="2EDEC76A" w14:textId="77777777" w:rsidR="001508D3" w:rsidRPr="001508D3" w:rsidRDefault="001508D3" w:rsidP="001508D3">
      <w:pPr>
        <w:spacing w:before="120" w:after="120" w:line="240" w:lineRule="exact"/>
        <w:ind w:left="283" w:hanging="283"/>
        <w:jc w:val="both"/>
        <w:rPr>
          <w:rFonts w:ascii="FrankRuehl" w:hAnsi="FrankRuehl" w:cs="FrankRuehl"/>
          <w:rtl/>
        </w:rPr>
      </w:pPr>
      <w:hyperlink r:id="rId7" w:history="1">
        <w:r w:rsidRPr="001508D3">
          <w:rPr>
            <w:rFonts w:ascii="FrankRuehl" w:hAnsi="FrankRuehl" w:cs="FrankRuehl"/>
            <w:color w:val="0000FF"/>
            <w:u w:val="single"/>
            <w:rtl/>
          </w:rPr>
          <w:t>חוק העונשין, תשל"ז-1977</w:t>
        </w:r>
      </w:hyperlink>
      <w:r w:rsidRPr="001508D3">
        <w:rPr>
          <w:rFonts w:ascii="FrankRuehl" w:hAnsi="FrankRuehl" w:cs="FrankRuehl"/>
          <w:rtl/>
        </w:rPr>
        <w:t xml:space="preserve">: סע'  </w:t>
      </w:r>
      <w:hyperlink r:id="rId8" w:history="1">
        <w:r w:rsidRPr="001508D3">
          <w:rPr>
            <w:rFonts w:ascii="FrankRuehl" w:hAnsi="FrankRuehl" w:cs="FrankRuehl"/>
            <w:color w:val="0000FF"/>
            <w:u w:val="single"/>
            <w:rtl/>
          </w:rPr>
          <w:t>25</w:t>
        </w:r>
      </w:hyperlink>
      <w:r w:rsidRPr="001508D3">
        <w:rPr>
          <w:rFonts w:ascii="FrankRuehl" w:hAnsi="FrankRuehl" w:cs="FrankRuehl"/>
          <w:rtl/>
        </w:rPr>
        <w:t xml:space="preserve">, </w:t>
      </w:r>
      <w:hyperlink r:id="rId9" w:history="1">
        <w:r w:rsidRPr="001508D3">
          <w:rPr>
            <w:rFonts w:ascii="FrankRuehl" w:hAnsi="FrankRuehl" w:cs="FrankRuehl"/>
            <w:color w:val="0000FF"/>
            <w:u w:val="single"/>
            <w:rtl/>
          </w:rPr>
          <w:t>40ט (9)</w:t>
        </w:r>
      </w:hyperlink>
      <w:r w:rsidRPr="001508D3">
        <w:rPr>
          <w:rFonts w:ascii="FrankRuehl" w:hAnsi="FrankRuehl" w:cs="FrankRuehl"/>
          <w:rtl/>
        </w:rPr>
        <w:t xml:space="preserve">, </w:t>
      </w:r>
      <w:hyperlink r:id="rId10" w:history="1">
        <w:r w:rsidRPr="001508D3">
          <w:rPr>
            <w:rFonts w:ascii="FrankRuehl" w:hAnsi="FrankRuehl" w:cs="FrankRuehl"/>
            <w:color w:val="0000FF"/>
            <w:u w:val="single"/>
            <w:rtl/>
          </w:rPr>
          <w:t>40י(ג)</w:t>
        </w:r>
      </w:hyperlink>
      <w:r w:rsidRPr="001508D3">
        <w:rPr>
          <w:rFonts w:ascii="FrankRuehl" w:hAnsi="FrankRuehl" w:cs="FrankRuehl"/>
          <w:rtl/>
        </w:rPr>
        <w:t xml:space="preserve">, </w:t>
      </w:r>
      <w:hyperlink r:id="rId11" w:history="1">
        <w:r w:rsidRPr="001508D3">
          <w:rPr>
            <w:rFonts w:ascii="FrankRuehl" w:hAnsi="FrankRuehl" w:cs="FrankRuehl"/>
            <w:color w:val="0000FF"/>
            <w:u w:val="single"/>
            <w:rtl/>
          </w:rPr>
          <w:t>192</w:t>
        </w:r>
      </w:hyperlink>
      <w:r w:rsidRPr="001508D3">
        <w:rPr>
          <w:rFonts w:ascii="FrankRuehl" w:hAnsi="FrankRuehl" w:cs="FrankRuehl"/>
          <w:rtl/>
        </w:rPr>
        <w:t xml:space="preserve">, </w:t>
      </w:r>
      <w:hyperlink r:id="rId12" w:history="1">
        <w:r w:rsidRPr="001508D3">
          <w:rPr>
            <w:rFonts w:ascii="FrankRuehl" w:hAnsi="FrankRuehl" w:cs="FrankRuehl"/>
            <w:color w:val="0000FF"/>
            <w:u w:val="single"/>
            <w:rtl/>
          </w:rPr>
          <w:t>244</w:t>
        </w:r>
      </w:hyperlink>
      <w:r w:rsidRPr="001508D3">
        <w:rPr>
          <w:rFonts w:ascii="FrankRuehl" w:hAnsi="FrankRuehl" w:cs="FrankRuehl"/>
          <w:rtl/>
        </w:rPr>
        <w:t xml:space="preserve">, </w:t>
      </w:r>
      <w:hyperlink r:id="rId13" w:history="1">
        <w:r w:rsidRPr="001508D3">
          <w:rPr>
            <w:rFonts w:ascii="FrankRuehl" w:hAnsi="FrankRuehl" w:cs="FrankRuehl"/>
            <w:color w:val="0000FF"/>
            <w:u w:val="single"/>
            <w:rtl/>
          </w:rPr>
          <w:t>287(ב)</w:t>
        </w:r>
      </w:hyperlink>
      <w:r w:rsidRPr="001508D3">
        <w:rPr>
          <w:rFonts w:ascii="FrankRuehl" w:hAnsi="FrankRuehl" w:cs="FrankRuehl"/>
          <w:rtl/>
        </w:rPr>
        <w:t xml:space="preserve">, </w:t>
      </w:r>
      <w:hyperlink r:id="rId14" w:history="1">
        <w:r w:rsidRPr="001508D3">
          <w:rPr>
            <w:rFonts w:ascii="FrankRuehl" w:hAnsi="FrankRuehl" w:cs="FrankRuehl"/>
            <w:color w:val="0000FF"/>
            <w:u w:val="single"/>
            <w:rtl/>
          </w:rPr>
          <w:t>382(ב)</w:t>
        </w:r>
      </w:hyperlink>
      <w:r w:rsidRPr="001508D3">
        <w:rPr>
          <w:rFonts w:ascii="FrankRuehl" w:hAnsi="FrankRuehl" w:cs="FrankRuehl"/>
          <w:rtl/>
        </w:rPr>
        <w:t xml:space="preserve">, </w:t>
      </w:r>
      <w:hyperlink r:id="rId15" w:history="1">
        <w:r w:rsidRPr="001508D3">
          <w:rPr>
            <w:rFonts w:ascii="FrankRuehl" w:hAnsi="FrankRuehl" w:cs="FrankRuehl"/>
            <w:color w:val="0000FF"/>
            <w:u w:val="single"/>
            <w:rtl/>
          </w:rPr>
          <w:t>382(ג)</w:t>
        </w:r>
      </w:hyperlink>
      <w:r w:rsidRPr="001508D3">
        <w:rPr>
          <w:rFonts w:ascii="FrankRuehl" w:hAnsi="FrankRuehl" w:cs="FrankRuehl"/>
          <w:rtl/>
        </w:rPr>
        <w:t xml:space="preserve">, </w:t>
      </w:r>
      <w:hyperlink r:id="rId16" w:history="1">
        <w:r w:rsidRPr="001508D3">
          <w:rPr>
            <w:rFonts w:ascii="FrankRuehl" w:hAnsi="FrankRuehl" w:cs="FrankRuehl"/>
            <w:color w:val="0000FF"/>
            <w:u w:val="single"/>
            <w:rtl/>
          </w:rPr>
          <w:t>40יא</w:t>
        </w:r>
      </w:hyperlink>
      <w:r w:rsidRPr="001508D3">
        <w:rPr>
          <w:rFonts w:ascii="FrankRuehl" w:hAnsi="FrankRuehl" w:cs="FrankRuehl"/>
          <w:rtl/>
        </w:rPr>
        <w:t xml:space="preserve">, </w:t>
      </w:r>
      <w:hyperlink r:id="rId17" w:history="1">
        <w:r w:rsidRPr="001508D3">
          <w:rPr>
            <w:rFonts w:ascii="FrankRuehl" w:hAnsi="FrankRuehl" w:cs="FrankRuehl"/>
            <w:color w:val="0000FF"/>
            <w:u w:val="single"/>
            <w:rtl/>
          </w:rPr>
          <w:t>452</w:t>
        </w:r>
      </w:hyperlink>
    </w:p>
    <w:p w14:paraId="33950148" w14:textId="77777777" w:rsidR="001508D3" w:rsidRPr="001508D3" w:rsidRDefault="001508D3" w:rsidP="001508D3">
      <w:pPr>
        <w:spacing w:before="120" w:after="120" w:line="240" w:lineRule="exact"/>
        <w:ind w:left="283" w:hanging="283"/>
        <w:jc w:val="both"/>
        <w:rPr>
          <w:rFonts w:ascii="FrankRuehl" w:hAnsi="FrankRuehl" w:cs="FrankRuehl"/>
          <w:rtl/>
        </w:rPr>
      </w:pPr>
      <w:hyperlink r:id="rId18" w:history="1">
        <w:r w:rsidRPr="001508D3">
          <w:rPr>
            <w:rFonts w:ascii="FrankRuehl" w:hAnsi="FrankRuehl" w:cs="FrankRuehl"/>
            <w:color w:val="0000FF"/>
            <w:u w:val="single"/>
            <w:rtl/>
          </w:rPr>
          <w:t>פקודת הסמים המסוכנים [נוסח חדש], תשל"ג-1973</w:t>
        </w:r>
      </w:hyperlink>
      <w:r w:rsidRPr="001508D3">
        <w:rPr>
          <w:rFonts w:ascii="FrankRuehl" w:hAnsi="FrankRuehl" w:cs="FrankRuehl"/>
          <w:rtl/>
        </w:rPr>
        <w:t xml:space="preserve">: סע'  </w:t>
      </w:r>
      <w:hyperlink r:id="rId19" w:history="1">
        <w:r w:rsidRPr="001508D3">
          <w:rPr>
            <w:rFonts w:ascii="FrankRuehl" w:hAnsi="FrankRuehl" w:cs="FrankRuehl"/>
            <w:color w:val="0000FF"/>
            <w:u w:val="single"/>
            <w:rtl/>
          </w:rPr>
          <w:t>7.א.</w:t>
        </w:r>
      </w:hyperlink>
      <w:r w:rsidRPr="001508D3">
        <w:rPr>
          <w:rFonts w:ascii="FrankRuehl" w:hAnsi="FrankRuehl" w:cs="FrankRuehl"/>
          <w:rtl/>
        </w:rPr>
        <w:t xml:space="preserve">, </w:t>
      </w:r>
      <w:hyperlink r:id="rId20" w:history="1">
        <w:r w:rsidRPr="001508D3">
          <w:rPr>
            <w:rFonts w:ascii="FrankRuehl" w:hAnsi="FrankRuehl" w:cs="FrankRuehl"/>
            <w:color w:val="0000FF"/>
            <w:u w:val="single"/>
            <w:rtl/>
          </w:rPr>
          <w:t>7.ג</w:t>
        </w:r>
      </w:hyperlink>
    </w:p>
    <w:p w14:paraId="765EF47B" w14:textId="77777777" w:rsidR="001508D3" w:rsidRPr="001508D3" w:rsidRDefault="001508D3" w:rsidP="001508D3">
      <w:pPr>
        <w:spacing w:before="120" w:after="120" w:line="240" w:lineRule="exact"/>
        <w:ind w:left="283" w:hanging="283"/>
        <w:jc w:val="both"/>
        <w:rPr>
          <w:rFonts w:ascii="FrankRuehl" w:hAnsi="FrankRuehl" w:cs="FrankRuehl"/>
          <w:rtl/>
        </w:rPr>
      </w:pPr>
      <w:hyperlink r:id="rId21" w:history="1">
        <w:r w:rsidRPr="001508D3">
          <w:rPr>
            <w:rFonts w:ascii="FrankRuehl" w:hAnsi="FrankRuehl" w:cs="FrankRuehl"/>
            <w:color w:val="0000FF"/>
            <w:u w:val="single"/>
            <w:rtl/>
          </w:rPr>
          <w:t>חוק טיפול בחולי נפש, תשנ"א-1991</w:t>
        </w:r>
      </w:hyperlink>
      <w:r w:rsidRPr="001508D3">
        <w:rPr>
          <w:rFonts w:ascii="FrankRuehl" w:hAnsi="FrankRuehl" w:cs="FrankRuehl"/>
          <w:rtl/>
        </w:rPr>
        <w:t xml:space="preserve">: סע'  </w:t>
      </w:r>
      <w:hyperlink r:id="rId22" w:history="1">
        <w:r w:rsidRPr="001508D3">
          <w:rPr>
            <w:rFonts w:ascii="FrankRuehl" w:hAnsi="FrankRuehl" w:cs="FrankRuehl"/>
            <w:color w:val="0000FF"/>
            <w:u w:val="single"/>
            <w:rtl/>
          </w:rPr>
          <w:t>9 (א)</w:t>
        </w:r>
      </w:hyperlink>
    </w:p>
    <w:p w14:paraId="33D5FDE8" w14:textId="77777777" w:rsidR="001508D3" w:rsidRDefault="001508D3" w:rsidP="001508D3">
      <w:pPr>
        <w:spacing w:before="120" w:after="120" w:line="240" w:lineRule="exact"/>
        <w:ind w:left="283" w:hanging="283"/>
        <w:jc w:val="both"/>
        <w:rPr>
          <w:rFonts w:ascii="FrankRuehl" w:hAnsi="FrankRuehl" w:cs="FrankRuehl" w:hint="cs"/>
          <w:rtl/>
        </w:rPr>
      </w:pPr>
      <w:hyperlink r:id="rId23" w:history="1">
        <w:r w:rsidRPr="001508D3">
          <w:rPr>
            <w:rFonts w:ascii="FrankRuehl" w:hAnsi="FrankRuehl" w:cs="FrankRuehl"/>
            <w:color w:val="0000FF"/>
            <w:u w:val="single"/>
            <w:rtl/>
          </w:rPr>
          <w:t>פקודת בתי הסוהר [נוסח חדש], תשל"ב-1971</w:t>
        </w:r>
      </w:hyperlink>
    </w:p>
    <w:p w14:paraId="337A846D" w14:textId="77777777" w:rsidR="00437AEB" w:rsidRPr="001508D3" w:rsidRDefault="00437AEB" w:rsidP="001508D3">
      <w:pPr>
        <w:spacing w:before="120" w:after="120" w:line="240" w:lineRule="exact"/>
        <w:ind w:left="283" w:hanging="283"/>
        <w:jc w:val="both"/>
        <w:rPr>
          <w:rFonts w:ascii="FrankRuehl" w:hAnsi="FrankRuehl" w:cs="FrankRuehl" w:hint="cs"/>
          <w:rtl/>
        </w:rPr>
      </w:pPr>
    </w:p>
    <w:p w14:paraId="7E370696" w14:textId="77777777" w:rsidR="001508D3" w:rsidRPr="001508D3" w:rsidRDefault="001508D3" w:rsidP="001508D3">
      <w:pPr>
        <w:jc w:val="center"/>
        <w:rPr>
          <w:rFonts w:ascii="FrankRuehl" w:hAnsi="FrankRuehl" w:cs="FrankRuehl" w:hint="cs"/>
          <w:rtl/>
        </w:rPr>
      </w:pPr>
      <w:bookmarkStart w:id="4" w:name="LawTable_End"/>
      <w:bookmarkEnd w:id="4"/>
    </w:p>
    <w:p w14:paraId="2004A327" w14:textId="77777777" w:rsidR="001508D3" w:rsidRPr="00BE7D13" w:rsidRDefault="001508D3" w:rsidP="001508D3">
      <w:pPr>
        <w:jc w:val="center"/>
        <w:rPr>
          <w:rFonts w:ascii="Arial" w:hAnsi="Arial"/>
          <w:sz w:val="36"/>
          <w:szCs w:val="36"/>
          <w:rtl/>
        </w:rPr>
      </w:pPr>
      <w:bookmarkStart w:id="5" w:name="PsakDin"/>
      <w:r>
        <w:rPr>
          <w:rFonts w:ascii="Arial" w:hAnsi="Arial" w:hint="cs"/>
          <w:b/>
          <w:bCs/>
          <w:sz w:val="36"/>
          <w:szCs w:val="36"/>
          <w:rtl/>
        </w:rPr>
        <w:t>ג</w:t>
      </w:r>
      <w:r w:rsidRPr="00BE7D13">
        <w:rPr>
          <w:rFonts w:ascii="Arial" w:hAnsi="Arial" w:hint="cs"/>
          <w:b/>
          <w:bCs/>
          <w:sz w:val="36"/>
          <w:szCs w:val="36"/>
          <w:rtl/>
        </w:rPr>
        <w:t xml:space="preserve">ז </w:t>
      </w:r>
      <w:bookmarkEnd w:id="5"/>
      <w:r w:rsidRPr="00BE7D13">
        <w:rPr>
          <w:rFonts w:ascii="Arial" w:hAnsi="Arial" w:hint="cs"/>
          <w:b/>
          <w:bCs/>
          <w:sz w:val="36"/>
          <w:szCs w:val="36"/>
          <w:rtl/>
        </w:rPr>
        <w:t>ר    ד י ן</w:t>
      </w:r>
    </w:p>
    <w:p w14:paraId="6CF3CFFB" w14:textId="77777777" w:rsidR="00FC017F" w:rsidRPr="00BE7D13" w:rsidRDefault="00FC017F" w:rsidP="00FC017F">
      <w:pPr>
        <w:spacing w:line="360" w:lineRule="auto"/>
        <w:jc w:val="both"/>
        <w:rPr>
          <w:b/>
          <w:bCs/>
          <w:rtl/>
        </w:rPr>
      </w:pPr>
    </w:p>
    <w:p w14:paraId="607EAE97" w14:textId="77777777" w:rsidR="00FC017F" w:rsidRPr="00BE7D13" w:rsidRDefault="00FC017F" w:rsidP="00FC017F">
      <w:pPr>
        <w:spacing w:line="360" w:lineRule="auto"/>
        <w:jc w:val="both"/>
        <w:rPr>
          <w:b/>
          <w:bCs/>
          <w:rtl/>
        </w:rPr>
      </w:pPr>
    </w:p>
    <w:p w14:paraId="76FCD1F6" w14:textId="77777777" w:rsidR="00FC017F" w:rsidRPr="00BE7D13" w:rsidRDefault="00FC017F" w:rsidP="00FC017F">
      <w:pPr>
        <w:spacing w:line="360" w:lineRule="auto"/>
        <w:jc w:val="both"/>
        <w:rPr>
          <w:b/>
          <w:bCs/>
          <w:rtl/>
        </w:rPr>
      </w:pPr>
      <w:r w:rsidRPr="00BE7D13">
        <w:rPr>
          <w:b/>
          <w:bCs/>
          <w:rtl/>
        </w:rPr>
        <w:t xml:space="preserve">ההסדר, הראיות לעונש והטיעונים לעונש </w:t>
      </w:r>
    </w:p>
    <w:p w14:paraId="5C0FB4EA" w14:textId="77777777" w:rsidR="00FC017F" w:rsidRPr="00BE7D13" w:rsidRDefault="00FC017F" w:rsidP="00FC017F">
      <w:pPr>
        <w:spacing w:line="360" w:lineRule="auto"/>
        <w:jc w:val="both"/>
        <w:rPr>
          <w:b/>
          <w:bCs/>
          <w:rtl/>
        </w:rPr>
      </w:pPr>
    </w:p>
    <w:p w14:paraId="619C5A3C" w14:textId="77777777" w:rsidR="00FC017F" w:rsidRPr="00BE7D13" w:rsidRDefault="00FC017F" w:rsidP="00FC017F">
      <w:pPr>
        <w:pStyle w:val="a9"/>
        <w:numPr>
          <w:ilvl w:val="0"/>
          <w:numId w:val="1"/>
        </w:numPr>
        <w:spacing w:line="360" w:lineRule="auto"/>
        <w:jc w:val="both"/>
        <w:rPr>
          <w:rtl/>
        </w:rPr>
      </w:pPr>
      <w:bookmarkStart w:id="6" w:name="ABSTRACT_START"/>
      <w:bookmarkEnd w:id="6"/>
      <w:r w:rsidRPr="00BE7D13">
        <w:rPr>
          <w:rtl/>
        </w:rPr>
        <w:t xml:space="preserve">הנאשם, דמיטרי קוקושרוב (להלן: קוקושרוב, או הנאשם) הורשע על פי הודאתו במסגרת הסדר טיעון, בעובדות כתב אישום מתוקן במסגרתו יוחסו לו עבירות של תקיפה הגורמת חבלה של ממש לבן-זוג, לפי </w:t>
      </w:r>
      <w:hyperlink r:id="rId24" w:history="1">
        <w:r w:rsidR="001508D3" w:rsidRPr="001508D3">
          <w:rPr>
            <w:color w:val="0000FF"/>
            <w:u w:val="single"/>
            <w:rtl/>
          </w:rPr>
          <w:t>סעיף 382(ג)</w:t>
        </w:r>
      </w:hyperlink>
      <w:r w:rsidRPr="00BE7D13">
        <w:rPr>
          <w:rtl/>
        </w:rPr>
        <w:t xml:space="preserve"> ל</w:t>
      </w:r>
      <w:hyperlink r:id="rId25" w:history="1">
        <w:r w:rsidR="00BE7D13" w:rsidRPr="00BE7D13">
          <w:rPr>
            <w:color w:val="0000FF"/>
            <w:u w:val="single"/>
            <w:rtl/>
          </w:rPr>
          <w:t>חוק העונשין</w:t>
        </w:r>
      </w:hyperlink>
      <w:r w:rsidRPr="00BE7D13">
        <w:rPr>
          <w:rtl/>
        </w:rPr>
        <w:t xml:space="preserve">; איומים, לפי </w:t>
      </w:r>
      <w:hyperlink r:id="rId26" w:history="1">
        <w:r w:rsidR="001508D3" w:rsidRPr="001508D3">
          <w:rPr>
            <w:color w:val="0000FF"/>
            <w:u w:val="single"/>
            <w:rtl/>
          </w:rPr>
          <w:t>סעיף 192</w:t>
        </w:r>
      </w:hyperlink>
      <w:r w:rsidRPr="00BE7D13">
        <w:rPr>
          <w:rtl/>
        </w:rPr>
        <w:t xml:space="preserve"> לחוק העונשין (2 עבירות); הפרת צו בית משפט שנועד להגן על אדם, לפי </w:t>
      </w:r>
      <w:hyperlink r:id="rId27" w:history="1">
        <w:r w:rsidR="001508D3" w:rsidRPr="001508D3">
          <w:rPr>
            <w:color w:val="0000FF"/>
            <w:u w:val="single"/>
            <w:rtl/>
          </w:rPr>
          <w:t>סעיף 287(ב)</w:t>
        </w:r>
      </w:hyperlink>
      <w:r w:rsidRPr="00BE7D13">
        <w:rPr>
          <w:rtl/>
        </w:rPr>
        <w:t xml:space="preserve"> לחוק העונשין (2 </w:t>
      </w:r>
      <w:r w:rsidRPr="00BE7D13">
        <w:rPr>
          <w:rtl/>
        </w:rPr>
        <w:lastRenderedPageBreak/>
        <w:t xml:space="preserve">עבירות); שיבוש מהלכי משפט, לפי </w:t>
      </w:r>
      <w:hyperlink r:id="rId28" w:history="1">
        <w:r w:rsidR="001508D3" w:rsidRPr="001508D3">
          <w:rPr>
            <w:color w:val="0000FF"/>
            <w:u w:val="single"/>
            <w:rtl/>
          </w:rPr>
          <w:t>סעיף 244</w:t>
        </w:r>
      </w:hyperlink>
      <w:r w:rsidRPr="00BE7D13">
        <w:rPr>
          <w:rtl/>
        </w:rPr>
        <w:t xml:space="preserve"> לחוק העונשין; היזק לרכוש במזיד, לפי </w:t>
      </w:r>
      <w:hyperlink r:id="rId29" w:history="1">
        <w:r w:rsidR="001508D3" w:rsidRPr="001508D3">
          <w:rPr>
            <w:color w:val="0000FF"/>
            <w:u w:val="single"/>
            <w:rtl/>
          </w:rPr>
          <w:t>סעיף 452</w:t>
        </w:r>
      </w:hyperlink>
      <w:r w:rsidRPr="00BE7D13">
        <w:rPr>
          <w:rtl/>
        </w:rPr>
        <w:t xml:space="preserve"> לחוק העונשין; תקיפה סתם של בן-זוג, לפי </w:t>
      </w:r>
      <w:hyperlink r:id="rId30" w:history="1">
        <w:r w:rsidR="001508D3" w:rsidRPr="001508D3">
          <w:rPr>
            <w:color w:val="0000FF"/>
            <w:u w:val="single"/>
            <w:rtl/>
          </w:rPr>
          <w:t>סעיף 382(ב)</w:t>
        </w:r>
      </w:hyperlink>
      <w:r w:rsidRPr="00BE7D13">
        <w:rPr>
          <w:rtl/>
        </w:rPr>
        <w:t xml:space="preserve"> לחוק העונשין; ניסיון תקיפה </w:t>
      </w:r>
      <w:bookmarkStart w:id="7" w:name="ABSTRACT_END"/>
      <w:bookmarkEnd w:id="7"/>
      <w:r w:rsidRPr="00BE7D13">
        <w:rPr>
          <w:rtl/>
        </w:rPr>
        <w:t xml:space="preserve">סתם של בן-זוג, לפי אותו סעיף יחד עם </w:t>
      </w:r>
      <w:hyperlink r:id="rId31" w:history="1">
        <w:r w:rsidR="001508D3" w:rsidRPr="001508D3">
          <w:rPr>
            <w:color w:val="0000FF"/>
            <w:u w:val="single"/>
            <w:rtl/>
          </w:rPr>
          <w:t>סעיף 25</w:t>
        </w:r>
      </w:hyperlink>
      <w:r w:rsidRPr="00BE7D13">
        <w:rPr>
          <w:rtl/>
        </w:rPr>
        <w:t xml:space="preserve"> לחוק העונשין; החזקת סמים לא לצריכה עצמית, לפי </w:t>
      </w:r>
      <w:hyperlink r:id="rId32" w:history="1">
        <w:r w:rsidR="001508D3" w:rsidRPr="001508D3">
          <w:rPr>
            <w:color w:val="0000FF"/>
            <w:u w:val="single"/>
            <w:rtl/>
          </w:rPr>
          <w:t>סעיף 7(א)+7(ג)</w:t>
        </w:r>
      </w:hyperlink>
      <w:r w:rsidRPr="00BE7D13">
        <w:rPr>
          <w:rtl/>
        </w:rPr>
        <w:t xml:space="preserve"> רישא ל</w:t>
      </w:r>
      <w:hyperlink r:id="rId33" w:history="1">
        <w:r w:rsidR="00BE7D13" w:rsidRPr="00BE7D13">
          <w:rPr>
            <w:color w:val="0000FF"/>
            <w:u w:val="single"/>
            <w:rtl/>
          </w:rPr>
          <w:t>פקודת הסמים המסוכנים</w:t>
        </w:r>
      </w:hyperlink>
      <w:r w:rsidRPr="00BE7D13">
        <w:rPr>
          <w:rtl/>
        </w:rPr>
        <w:t>.</w:t>
      </w:r>
    </w:p>
    <w:p w14:paraId="463E98D9" w14:textId="77777777" w:rsidR="00FC017F" w:rsidRPr="00BE7D13" w:rsidRDefault="00FC017F" w:rsidP="00FC017F">
      <w:pPr>
        <w:pStyle w:val="a9"/>
        <w:spacing w:line="360" w:lineRule="auto"/>
        <w:ind w:left="360"/>
        <w:jc w:val="both"/>
      </w:pPr>
    </w:p>
    <w:p w14:paraId="6A7A89A2" w14:textId="77777777" w:rsidR="00FC017F" w:rsidRPr="00BE7D13" w:rsidRDefault="00FC017F" w:rsidP="001508D3">
      <w:pPr>
        <w:pStyle w:val="a9"/>
        <w:spacing w:line="360" w:lineRule="auto"/>
        <w:ind w:left="360"/>
        <w:jc w:val="both"/>
        <w:rPr>
          <w:rtl/>
        </w:rPr>
      </w:pPr>
      <w:r w:rsidRPr="00BE7D13">
        <w:rPr>
          <w:rtl/>
        </w:rPr>
        <w:t xml:space="preserve">על פי עובדות כתב האישום המתוקן, בחלק הכללי, הנאשם </w:t>
      </w:r>
      <w:r w:rsidR="001508D3">
        <w:rPr>
          <w:rFonts w:hint="cs"/>
          <w:rtl/>
        </w:rPr>
        <w:t xml:space="preserve">פלונית </w:t>
      </w:r>
      <w:r w:rsidRPr="00BE7D13">
        <w:rPr>
          <w:rtl/>
        </w:rPr>
        <w:t xml:space="preserve"> (להלן: המתלוננת או </w:t>
      </w:r>
      <w:r w:rsidR="001508D3">
        <w:rPr>
          <w:rFonts w:hint="cs"/>
          <w:rtl/>
        </w:rPr>
        <w:t>פלונית</w:t>
      </w:r>
      <w:r w:rsidRPr="00BE7D13">
        <w:rPr>
          <w:rtl/>
        </w:rPr>
        <w:t xml:space="preserve">) הם בני זוג מזה כ-4 שנים, ובתקופה האחרונה מתגוררים יחדיו. </w:t>
      </w:r>
    </w:p>
    <w:p w14:paraId="79FEECA8" w14:textId="77777777" w:rsidR="00FC017F" w:rsidRPr="00BE7D13" w:rsidRDefault="00FC017F" w:rsidP="00FC017F">
      <w:pPr>
        <w:pStyle w:val="a9"/>
        <w:spacing w:line="360" w:lineRule="auto"/>
        <w:ind w:left="360"/>
        <w:jc w:val="both"/>
        <w:rPr>
          <w:rtl/>
        </w:rPr>
      </w:pPr>
    </w:p>
    <w:p w14:paraId="43C9DCF2" w14:textId="77777777" w:rsidR="00FC017F" w:rsidRPr="00BE7D13" w:rsidRDefault="00FC017F" w:rsidP="00FC017F">
      <w:pPr>
        <w:pStyle w:val="a9"/>
        <w:spacing w:line="360" w:lineRule="auto"/>
        <w:ind w:left="360"/>
        <w:jc w:val="both"/>
        <w:rPr>
          <w:rtl/>
        </w:rPr>
      </w:pPr>
      <w:r w:rsidRPr="00BE7D13">
        <w:rPr>
          <w:rtl/>
        </w:rPr>
        <w:t xml:space="preserve">עוד על פי החלק הכללי, הנאשם שהה בתנאים מגבילים הכוללים, בין היתר, הרחקה מהמתלוננת מיום 9.1.2018 למשך שלושים יום. </w:t>
      </w:r>
    </w:p>
    <w:p w14:paraId="322E09C1" w14:textId="77777777" w:rsidR="00FC017F" w:rsidRPr="00BE7D13" w:rsidRDefault="00FC017F" w:rsidP="00FC017F">
      <w:pPr>
        <w:pStyle w:val="a9"/>
        <w:spacing w:line="360" w:lineRule="auto"/>
        <w:ind w:left="360"/>
        <w:jc w:val="both"/>
        <w:rPr>
          <w:rtl/>
        </w:rPr>
      </w:pPr>
    </w:p>
    <w:p w14:paraId="2B3902C9" w14:textId="77777777" w:rsidR="00FC017F" w:rsidRPr="00BE7D13" w:rsidRDefault="00FC017F" w:rsidP="00FC017F">
      <w:pPr>
        <w:pStyle w:val="a9"/>
        <w:spacing w:line="360" w:lineRule="auto"/>
        <w:ind w:left="360"/>
        <w:jc w:val="both"/>
        <w:rPr>
          <w:rtl/>
        </w:rPr>
      </w:pPr>
      <w:r w:rsidRPr="00BE7D13">
        <w:rPr>
          <w:rtl/>
        </w:rPr>
        <w:t xml:space="preserve">על פי </w:t>
      </w:r>
      <w:r w:rsidRPr="00BE7D13">
        <w:rPr>
          <w:b/>
          <w:bCs/>
          <w:rtl/>
        </w:rPr>
        <w:t>האישום הראשון</w:t>
      </w:r>
      <w:r w:rsidRPr="00BE7D13">
        <w:rPr>
          <w:rtl/>
        </w:rPr>
        <w:t xml:space="preserve">, בתאריך 23.1.2018, במהלך ויכוח בין הנאשם למתלוננת, כינה אותה במילת הגנאי "זונה", הטיח בה ש"הרסה את חייו", ועזב את דירתם. כאשר ביקש הנאשם לשוב אל הדירה, סרבה המתלוננת לפתוח את הדלת, ואז שבר הנאשם את חלון הבית ונכנס פנימה. </w:t>
      </w:r>
    </w:p>
    <w:p w14:paraId="452CB269" w14:textId="77777777" w:rsidR="00FC017F" w:rsidRPr="00BE7D13" w:rsidRDefault="00FC017F" w:rsidP="00FC017F">
      <w:pPr>
        <w:pStyle w:val="a9"/>
        <w:spacing w:line="360" w:lineRule="auto"/>
        <w:ind w:left="360"/>
        <w:jc w:val="both"/>
        <w:rPr>
          <w:rtl/>
        </w:rPr>
      </w:pPr>
    </w:p>
    <w:p w14:paraId="5EC5345E" w14:textId="77777777" w:rsidR="00FC017F" w:rsidRPr="00BE7D13" w:rsidRDefault="00FC017F" w:rsidP="00FC017F">
      <w:pPr>
        <w:pStyle w:val="a9"/>
        <w:spacing w:line="360" w:lineRule="auto"/>
        <w:ind w:left="360"/>
        <w:jc w:val="both"/>
        <w:rPr>
          <w:rtl/>
        </w:rPr>
      </w:pPr>
      <w:r w:rsidRPr="00BE7D13">
        <w:rPr>
          <w:rtl/>
        </w:rPr>
        <w:t xml:space="preserve">בהמשך, ובמשך מספר שעות, הכה הנאשם את המתלוננת ואיים עליה באופן הבא: הכה בידיה ובראשה באמצעות ידיו ורגליו, הכה בפרצופה באמצעות נעליים, ובעט בחוזקה בגבה; כתוצאה מבעיטה זו נשכבה המתלוננת ללא יכולת לקום, משך רבע שעה. </w:t>
      </w:r>
    </w:p>
    <w:p w14:paraId="4E76EC43" w14:textId="77777777" w:rsidR="00FC017F" w:rsidRPr="00BE7D13" w:rsidRDefault="00FC017F" w:rsidP="00FC017F">
      <w:pPr>
        <w:pStyle w:val="a9"/>
        <w:spacing w:line="360" w:lineRule="auto"/>
        <w:ind w:left="360"/>
        <w:jc w:val="both"/>
        <w:rPr>
          <w:rtl/>
        </w:rPr>
      </w:pPr>
    </w:p>
    <w:p w14:paraId="4352B8AE" w14:textId="77777777" w:rsidR="00FC017F" w:rsidRPr="00BE7D13" w:rsidRDefault="00FC017F" w:rsidP="00FC017F">
      <w:pPr>
        <w:pStyle w:val="a9"/>
        <w:spacing w:line="360" w:lineRule="auto"/>
        <w:ind w:left="360"/>
        <w:jc w:val="both"/>
        <w:rPr>
          <w:rtl/>
        </w:rPr>
      </w:pPr>
      <w:r w:rsidRPr="00BE7D13">
        <w:rPr>
          <w:rtl/>
        </w:rPr>
        <w:t xml:space="preserve">הנאשם חנק את המתלוננת לפחות שלוש פעמים עד שהגישה חוסר בחמצן. </w:t>
      </w:r>
    </w:p>
    <w:bookmarkEnd w:id="0"/>
    <w:p w14:paraId="5783CC18" w14:textId="77777777" w:rsidR="00FC017F" w:rsidRDefault="00FC017F" w:rsidP="00FC017F">
      <w:pPr>
        <w:pStyle w:val="a9"/>
        <w:spacing w:line="360" w:lineRule="auto"/>
        <w:ind w:left="360"/>
        <w:jc w:val="both"/>
        <w:rPr>
          <w:rtl/>
        </w:rPr>
      </w:pPr>
    </w:p>
    <w:p w14:paraId="7639893C" w14:textId="77777777" w:rsidR="00FC017F" w:rsidRDefault="00FC017F" w:rsidP="00FC017F">
      <w:pPr>
        <w:pStyle w:val="a9"/>
        <w:spacing w:line="360" w:lineRule="auto"/>
        <w:ind w:left="360"/>
        <w:jc w:val="both"/>
        <w:rPr>
          <w:rtl/>
        </w:rPr>
      </w:pPr>
      <w:r>
        <w:rPr>
          <w:rtl/>
        </w:rPr>
        <w:t>בהמשך, אמר הנאשם למתלוננת לשכב על הרצפה "כמו כלב"; כאשר עברה המתלוננת לשכב במיטתה, בעט בה הנאשם והטיח בה "שיתן לה בעיטות כל הלילה".</w:t>
      </w:r>
    </w:p>
    <w:p w14:paraId="1852BECE" w14:textId="77777777" w:rsidR="00FC017F" w:rsidRDefault="00FC017F" w:rsidP="00FC017F">
      <w:pPr>
        <w:pStyle w:val="a9"/>
        <w:spacing w:line="360" w:lineRule="auto"/>
        <w:ind w:left="360"/>
        <w:jc w:val="both"/>
        <w:rPr>
          <w:rtl/>
        </w:rPr>
      </w:pPr>
    </w:p>
    <w:p w14:paraId="396EAFFD" w14:textId="77777777" w:rsidR="00FC017F" w:rsidRDefault="00FC017F" w:rsidP="00FC017F">
      <w:pPr>
        <w:pStyle w:val="a9"/>
        <w:spacing w:line="360" w:lineRule="auto"/>
        <w:ind w:left="360"/>
        <w:jc w:val="both"/>
        <w:rPr>
          <w:rtl/>
        </w:rPr>
      </w:pPr>
      <w:r>
        <w:rPr>
          <w:rtl/>
        </w:rPr>
        <w:t xml:space="preserve">הנאשם הטמין את מכשיר הטלפון של המתלוננת מתחת למזרון המיטה. </w:t>
      </w:r>
    </w:p>
    <w:p w14:paraId="66625DDE" w14:textId="77777777" w:rsidR="00FC017F" w:rsidRDefault="00FC017F" w:rsidP="00FC017F">
      <w:pPr>
        <w:pStyle w:val="a9"/>
        <w:spacing w:line="360" w:lineRule="auto"/>
        <w:ind w:left="360"/>
        <w:jc w:val="both"/>
        <w:rPr>
          <w:rtl/>
        </w:rPr>
      </w:pPr>
    </w:p>
    <w:p w14:paraId="66B7E922" w14:textId="77777777" w:rsidR="00FC017F" w:rsidRDefault="00FC017F" w:rsidP="00FC017F">
      <w:pPr>
        <w:pStyle w:val="a9"/>
        <w:spacing w:line="360" w:lineRule="auto"/>
        <w:ind w:left="360"/>
        <w:jc w:val="both"/>
        <w:rPr>
          <w:rtl/>
        </w:rPr>
      </w:pPr>
      <w:r>
        <w:rPr>
          <w:rtl/>
        </w:rPr>
        <w:t>כאשר ביקשה המתלוננת לצאת מהחדר בו שהתה יחד עם הנאשם, אחז האחרון  בשערות ראשה ודחף אותה לעבר מדרגות מפלס הבית, והמתלוננת נפלה במדרגות.</w:t>
      </w:r>
    </w:p>
    <w:p w14:paraId="3877B53D" w14:textId="77777777" w:rsidR="00FC017F" w:rsidRDefault="00FC017F" w:rsidP="00FC017F">
      <w:pPr>
        <w:pStyle w:val="a9"/>
        <w:spacing w:line="360" w:lineRule="auto"/>
        <w:ind w:left="360"/>
        <w:jc w:val="both"/>
        <w:rPr>
          <w:rtl/>
        </w:rPr>
      </w:pPr>
    </w:p>
    <w:p w14:paraId="6370B09C" w14:textId="77777777" w:rsidR="00FC017F" w:rsidRDefault="00FC017F" w:rsidP="00FC017F">
      <w:pPr>
        <w:pStyle w:val="a9"/>
        <w:spacing w:line="360" w:lineRule="auto"/>
        <w:ind w:left="360"/>
        <w:jc w:val="both"/>
        <w:rPr>
          <w:rtl/>
        </w:rPr>
      </w:pPr>
      <w:r>
        <w:rPr>
          <w:rtl/>
        </w:rPr>
        <w:t xml:space="preserve">בהמשך, בעט בנאשם במתלוננת לסירוגין במשך שעה. </w:t>
      </w:r>
    </w:p>
    <w:p w14:paraId="75344D80" w14:textId="77777777" w:rsidR="00FC017F" w:rsidRDefault="00FC017F" w:rsidP="00FC017F">
      <w:pPr>
        <w:pStyle w:val="a9"/>
        <w:spacing w:line="360" w:lineRule="auto"/>
        <w:ind w:left="360"/>
        <w:jc w:val="both"/>
        <w:rPr>
          <w:rtl/>
        </w:rPr>
      </w:pPr>
    </w:p>
    <w:p w14:paraId="728E18DD" w14:textId="77777777" w:rsidR="00FC017F" w:rsidRDefault="00FC017F" w:rsidP="00FC017F">
      <w:pPr>
        <w:pStyle w:val="a9"/>
        <w:spacing w:line="360" w:lineRule="auto"/>
        <w:ind w:left="360"/>
        <w:jc w:val="both"/>
        <w:rPr>
          <w:rtl/>
        </w:rPr>
      </w:pPr>
      <w:r>
        <w:rPr>
          <w:rtl/>
        </w:rPr>
        <w:t xml:space="preserve">על פי כתב האישום המתוקן, במהלך האירועים המתוארים לעיל, איים הנאשם על המתלוננת שישבור את ידיה ואת רגליה, שישים לה חגורה בצווארה וילך עמה "כמו כלב"; כמו כן עשה הנאשם "תנועות" עם אצבעותיו לעבר עיניה של המתלוננת כמבקש לפגוע בהן. </w:t>
      </w:r>
    </w:p>
    <w:p w14:paraId="505CCFBE" w14:textId="77777777" w:rsidR="00FC017F" w:rsidRDefault="00FC017F" w:rsidP="00FC017F">
      <w:pPr>
        <w:pStyle w:val="a9"/>
        <w:spacing w:line="360" w:lineRule="auto"/>
        <w:ind w:left="360"/>
        <w:jc w:val="both"/>
        <w:rPr>
          <w:rtl/>
        </w:rPr>
      </w:pPr>
    </w:p>
    <w:p w14:paraId="139A96CD" w14:textId="77777777" w:rsidR="00FC017F" w:rsidRDefault="00FC017F" w:rsidP="00FC017F">
      <w:pPr>
        <w:pStyle w:val="a9"/>
        <w:spacing w:line="360" w:lineRule="auto"/>
        <w:ind w:left="360"/>
        <w:jc w:val="both"/>
        <w:rPr>
          <w:rtl/>
        </w:rPr>
      </w:pPr>
      <w:r>
        <w:rPr>
          <w:rtl/>
        </w:rPr>
        <w:t xml:space="preserve">כאשר הגיעו שוטרים לדירתם של המתלוננת והנאשם, פנתה המתלוננת אליהם וביקשה מהם לעצור את הנאשם, ואז פנה הוא אליה בשפה הרוסית ואמר לה לשתוק ולא להגיד דבר. </w:t>
      </w:r>
    </w:p>
    <w:p w14:paraId="2C97E3BB" w14:textId="77777777" w:rsidR="00FC017F" w:rsidRDefault="00FC017F" w:rsidP="00FC017F">
      <w:pPr>
        <w:pStyle w:val="a9"/>
        <w:spacing w:line="360" w:lineRule="auto"/>
        <w:ind w:left="360"/>
        <w:jc w:val="both"/>
        <w:rPr>
          <w:rtl/>
        </w:rPr>
      </w:pPr>
    </w:p>
    <w:p w14:paraId="5A084BAF" w14:textId="77777777" w:rsidR="00FC017F" w:rsidRDefault="00FC017F" w:rsidP="00FC017F">
      <w:pPr>
        <w:pStyle w:val="a9"/>
        <w:spacing w:line="360" w:lineRule="auto"/>
        <w:ind w:left="360"/>
        <w:jc w:val="both"/>
        <w:rPr>
          <w:rtl/>
        </w:rPr>
      </w:pPr>
      <w:r>
        <w:rPr>
          <w:rtl/>
        </w:rPr>
        <w:t xml:space="preserve">כתוצאה מהתקיפה המתוארת לעיל, נשברו ארבעת שיניה התותבות הקדמיות של המתלוננת. כמו כן נגרמו לה המטומות בפנים ובקרקפת, וכן שפשופים ושריטות בפניה. </w:t>
      </w:r>
    </w:p>
    <w:p w14:paraId="0B4C4EBF" w14:textId="77777777" w:rsidR="00FC017F" w:rsidRDefault="00FC017F" w:rsidP="00FC017F">
      <w:pPr>
        <w:pStyle w:val="a9"/>
        <w:spacing w:line="360" w:lineRule="auto"/>
        <w:ind w:left="360"/>
        <w:jc w:val="both"/>
        <w:rPr>
          <w:rtl/>
        </w:rPr>
      </w:pPr>
    </w:p>
    <w:p w14:paraId="0975A485" w14:textId="77777777" w:rsidR="00FC017F" w:rsidRDefault="00FC017F" w:rsidP="00FC017F">
      <w:pPr>
        <w:pStyle w:val="a9"/>
        <w:spacing w:line="360" w:lineRule="auto"/>
        <w:ind w:left="360"/>
        <w:jc w:val="both"/>
        <w:rPr>
          <w:rtl/>
        </w:rPr>
      </w:pPr>
      <w:r>
        <w:rPr>
          <w:rtl/>
        </w:rPr>
        <w:t xml:space="preserve">על פי עובדות </w:t>
      </w:r>
      <w:r>
        <w:rPr>
          <w:b/>
          <w:bCs/>
          <w:rtl/>
        </w:rPr>
        <w:t>האישום השני</w:t>
      </w:r>
      <w:r>
        <w:rPr>
          <w:rtl/>
        </w:rPr>
        <w:t xml:space="preserve"> לכתב האישום המתוקן, ימים בודדים עובר לאירוע המתואר לעיל, ניסה הנאשם לתקוף את המתלוננת בכך שזרק לעברה שתי כוסות קפה, שהוטחו בקיר לידה. </w:t>
      </w:r>
    </w:p>
    <w:p w14:paraId="01353F76" w14:textId="77777777" w:rsidR="00FC017F" w:rsidRDefault="00FC017F" w:rsidP="00FC017F">
      <w:pPr>
        <w:pStyle w:val="a9"/>
        <w:spacing w:line="360" w:lineRule="auto"/>
        <w:ind w:left="360"/>
        <w:jc w:val="both"/>
        <w:rPr>
          <w:rtl/>
        </w:rPr>
      </w:pPr>
    </w:p>
    <w:p w14:paraId="72D04DBB" w14:textId="77777777" w:rsidR="00FC017F" w:rsidRDefault="00FC017F" w:rsidP="00FC017F">
      <w:pPr>
        <w:pStyle w:val="a9"/>
        <w:spacing w:line="360" w:lineRule="auto"/>
        <w:ind w:left="360"/>
        <w:jc w:val="both"/>
        <w:rPr>
          <w:rtl/>
        </w:rPr>
      </w:pPr>
      <w:r>
        <w:rPr>
          <w:rtl/>
        </w:rPr>
        <w:t xml:space="preserve">את האירועים נשוא האישום הראשון והשני ביצע הנאשם בעת שהיה בתנאים מגבילים שכללו הרחקה מהמתלוננת. </w:t>
      </w:r>
    </w:p>
    <w:p w14:paraId="3C430428" w14:textId="77777777" w:rsidR="00FC017F" w:rsidRDefault="00FC017F" w:rsidP="00FC017F">
      <w:pPr>
        <w:pStyle w:val="a9"/>
        <w:spacing w:line="360" w:lineRule="auto"/>
        <w:ind w:left="360"/>
        <w:jc w:val="both"/>
        <w:rPr>
          <w:rtl/>
        </w:rPr>
      </w:pPr>
    </w:p>
    <w:p w14:paraId="72035642" w14:textId="77777777" w:rsidR="00FC017F" w:rsidRDefault="00FC017F" w:rsidP="00FC017F">
      <w:pPr>
        <w:pStyle w:val="a9"/>
        <w:spacing w:line="360" w:lineRule="auto"/>
        <w:ind w:left="360"/>
        <w:jc w:val="both"/>
        <w:rPr>
          <w:rtl/>
        </w:rPr>
      </w:pPr>
      <w:r>
        <w:rPr>
          <w:rtl/>
        </w:rPr>
        <w:t xml:space="preserve">על פי </w:t>
      </w:r>
      <w:r>
        <w:rPr>
          <w:b/>
          <w:bCs/>
          <w:rtl/>
        </w:rPr>
        <w:t>האישום השלישי</w:t>
      </w:r>
      <w:r>
        <w:rPr>
          <w:rtl/>
        </w:rPr>
        <w:t xml:space="preserve"> לכתב האישום המתוקן, ביום 7.1.2018 איים הנאשם על המתלוננת בכך שיזרוק את חפציה החוצה "עם אקונומיקה", שהיא לא תצא מהדירה, ושישבור את שיניה. בהמשך סטר הנאשם למתלוננת בפניה. </w:t>
      </w:r>
    </w:p>
    <w:p w14:paraId="0511191E" w14:textId="77777777" w:rsidR="00FC017F" w:rsidRDefault="00FC017F" w:rsidP="00FC017F">
      <w:pPr>
        <w:pStyle w:val="a9"/>
        <w:spacing w:line="360" w:lineRule="auto"/>
        <w:ind w:left="360"/>
        <w:jc w:val="both"/>
        <w:rPr>
          <w:rtl/>
        </w:rPr>
      </w:pPr>
    </w:p>
    <w:p w14:paraId="7BFD402D" w14:textId="77777777" w:rsidR="00FC017F" w:rsidRDefault="00FC017F" w:rsidP="001508D3">
      <w:pPr>
        <w:pStyle w:val="a9"/>
        <w:spacing w:line="360" w:lineRule="auto"/>
        <w:ind w:left="360"/>
        <w:jc w:val="both"/>
        <w:rPr>
          <w:rtl/>
        </w:rPr>
      </w:pPr>
      <w:r>
        <w:rPr>
          <w:rtl/>
        </w:rPr>
        <w:t xml:space="preserve">עוד על פי אישום זה, החזיק הנאשם בדירתו, ביום בו איים על </w:t>
      </w:r>
      <w:r w:rsidR="001508D3">
        <w:rPr>
          <w:rFonts w:hint="cs"/>
          <w:rtl/>
        </w:rPr>
        <w:t>פלונית</w:t>
      </w:r>
      <w:r>
        <w:rPr>
          <w:rtl/>
        </w:rPr>
        <w:t xml:space="preserve">, 442.09 גרם ועוד 81.13 גרם ועוד 19.91 גרם של סם מסוכן מסוג </w:t>
      </w:r>
      <w:r>
        <w:t>FUB-AMB</w:t>
      </w:r>
      <w:r>
        <w:rPr>
          <w:rtl/>
        </w:rPr>
        <w:t xml:space="preserve">, בשלוש שקיות שונות, שלא לצריכתו העצמית. </w:t>
      </w:r>
    </w:p>
    <w:p w14:paraId="3D940BF6" w14:textId="77777777" w:rsidR="00FC017F" w:rsidRDefault="00FC017F" w:rsidP="00FC017F">
      <w:pPr>
        <w:spacing w:line="360" w:lineRule="auto"/>
        <w:jc w:val="both"/>
        <w:rPr>
          <w:rtl/>
        </w:rPr>
      </w:pPr>
    </w:p>
    <w:p w14:paraId="739BC1E4" w14:textId="77777777" w:rsidR="00FC017F" w:rsidRDefault="00FC017F" w:rsidP="00FC017F">
      <w:pPr>
        <w:pStyle w:val="a9"/>
        <w:numPr>
          <w:ilvl w:val="0"/>
          <w:numId w:val="1"/>
        </w:numPr>
        <w:spacing w:line="360" w:lineRule="auto"/>
        <w:jc w:val="both"/>
        <w:rPr>
          <w:u w:val="single"/>
          <w:rtl/>
        </w:rPr>
      </w:pPr>
      <w:r>
        <w:rPr>
          <w:rtl/>
        </w:rPr>
        <w:t xml:space="preserve">על פי הסדר הטיעון שהוצג על ידי הצדדים, לא גובשה הסכמה לעונש, והסניגור הבהיר כי בטיעוניה לעונש תטען ההגנה כי מתקיימת במקרה דנא קרבה לסייג לאחריות הפלילית. </w:t>
      </w:r>
    </w:p>
    <w:p w14:paraId="396A4CC0" w14:textId="77777777" w:rsidR="00FC017F" w:rsidRDefault="00FC017F" w:rsidP="00FC017F">
      <w:pPr>
        <w:spacing w:line="360" w:lineRule="auto"/>
        <w:jc w:val="both"/>
        <w:rPr>
          <w:u w:val="single"/>
        </w:rPr>
      </w:pPr>
    </w:p>
    <w:p w14:paraId="3E0F4495" w14:textId="77777777" w:rsidR="00FC017F" w:rsidRDefault="00FC017F" w:rsidP="00FC017F">
      <w:pPr>
        <w:pStyle w:val="a9"/>
        <w:spacing w:line="360" w:lineRule="auto"/>
        <w:ind w:left="360"/>
        <w:jc w:val="both"/>
        <w:rPr>
          <w:u w:val="single"/>
          <w:rtl/>
        </w:rPr>
      </w:pPr>
      <w:r>
        <w:rPr>
          <w:u w:val="single"/>
          <w:rtl/>
        </w:rPr>
        <w:t xml:space="preserve">חוות הדעת הפסיכיאטרית </w:t>
      </w:r>
    </w:p>
    <w:p w14:paraId="6AC6D202" w14:textId="77777777" w:rsidR="00FC017F" w:rsidRDefault="00FC017F" w:rsidP="00FC017F">
      <w:pPr>
        <w:pStyle w:val="a9"/>
        <w:spacing w:line="360" w:lineRule="auto"/>
        <w:ind w:left="360"/>
        <w:jc w:val="both"/>
        <w:rPr>
          <w:u w:val="single"/>
          <w:rtl/>
        </w:rPr>
      </w:pPr>
    </w:p>
    <w:p w14:paraId="6873744F" w14:textId="77777777" w:rsidR="00FC017F" w:rsidRDefault="00FC017F" w:rsidP="00FC017F">
      <w:pPr>
        <w:pStyle w:val="a9"/>
        <w:numPr>
          <w:ilvl w:val="0"/>
          <w:numId w:val="1"/>
        </w:numPr>
        <w:spacing w:line="360" w:lineRule="auto"/>
        <w:jc w:val="both"/>
        <w:rPr>
          <w:rtl/>
        </w:rPr>
      </w:pPr>
      <w:r>
        <w:rPr>
          <w:rtl/>
        </w:rPr>
        <w:t xml:space="preserve">על פי חוות הדעת הפסיכיאטרית, מיום 6.2.2018 – עליה נשענה ההגנה בטיעוניה לענין הקרבה לסייג – הרי </w:t>
      </w:r>
      <w:r>
        <w:rPr>
          <w:b/>
          <w:bCs/>
          <w:rtl/>
        </w:rPr>
        <w:t>שבעת ביצוע העבירות נשוא התיק דנא היה הנאשם "במצב פסיכוטי ובמצב של הרעלה חריפה של סמים מרצונו החופשי</w:t>
      </w:r>
      <w:r>
        <w:rPr>
          <w:rtl/>
        </w:rPr>
        <w:t xml:space="preserve">. יחד עם זאת, אין עדות לכך שהוא פעל תחת השפעת מחשבות שווא או הזיות פוקדות.". </w:t>
      </w:r>
    </w:p>
    <w:p w14:paraId="3041F5F5" w14:textId="77777777" w:rsidR="00FC017F" w:rsidRDefault="00FC017F" w:rsidP="00FC017F">
      <w:pPr>
        <w:pStyle w:val="a9"/>
        <w:spacing w:line="360" w:lineRule="auto"/>
        <w:ind w:left="360"/>
        <w:jc w:val="both"/>
      </w:pPr>
      <w:r>
        <w:rPr>
          <w:rtl/>
        </w:rPr>
        <w:br/>
        <w:t>יצוין, כי חוות הדעת הפסיכיאטרית מאת הפסיכיאטר המחוזי הוגשה לבית המשפט בשלב המעצר עד תום ההליכים, אולם הוסכם, ולו מכללא, כי היא תהווה מצע לדיון גם בטיעוני</w:t>
      </w:r>
      <w:r>
        <w:rPr>
          <w:rFonts w:hint="cs"/>
          <w:rtl/>
        </w:rPr>
        <w:t xml:space="preserve"> </w:t>
      </w:r>
      <w:r>
        <w:rPr>
          <w:rtl/>
        </w:rPr>
        <w:t>הצדדים</w:t>
      </w:r>
      <w:r>
        <w:rPr>
          <w:rFonts w:hint="cs"/>
          <w:rtl/>
        </w:rPr>
        <w:t xml:space="preserve"> </w:t>
      </w:r>
      <w:r>
        <w:rPr>
          <w:rtl/>
        </w:rPr>
        <w:t xml:space="preserve">לעונש. </w:t>
      </w:r>
      <w:r>
        <w:rPr>
          <w:rtl/>
        </w:rPr>
        <w:tab/>
      </w:r>
      <w:r>
        <w:rPr>
          <w:rtl/>
        </w:rPr>
        <w:br/>
      </w:r>
    </w:p>
    <w:p w14:paraId="6D858A1F" w14:textId="77777777" w:rsidR="00FC017F" w:rsidRDefault="00FC017F" w:rsidP="00FC017F">
      <w:pPr>
        <w:pStyle w:val="a9"/>
        <w:spacing w:line="360" w:lineRule="auto"/>
        <w:ind w:left="360"/>
        <w:jc w:val="both"/>
        <w:rPr>
          <w:rtl/>
        </w:rPr>
      </w:pPr>
      <w:r>
        <w:rPr>
          <w:rtl/>
        </w:rPr>
        <w:t xml:space="preserve">הפסיכיאטר המחוזי קבע בחוות דעתו כי בעת ביצוע העבירות המיוחסות לו בתיק זה היה הנאשם מסוגל להבדיל בין טוב לרע ובין מותר לאסור והיה מסוגל לשלוט בדחפיו התוקפניים ולהימנע מביצוען. </w:t>
      </w:r>
    </w:p>
    <w:p w14:paraId="3710CA76" w14:textId="77777777" w:rsidR="00FC017F" w:rsidRDefault="00FC017F" w:rsidP="00FC017F">
      <w:pPr>
        <w:pStyle w:val="a9"/>
        <w:spacing w:line="360" w:lineRule="auto"/>
        <w:ind w:left="360"/>
        <w:jc w:val="both"/>
        <w:rPr>
          <w:rtl/>
        </w:rPr>
      </w:pPr>
    </w:p>
    <w:p w14:paraId="1A33ECCF" w14:textId="77777777" w:rsidR="00FC017F" w:rsidRDefault="00FC017F" w:rsidP="00FC017F">
      <w:pPr>
        <w:pStyle w:val="a9"/>
        <w:spacing w:line="360" w:lineRule="auto"/>
        <w:ind w:left="360"/>
        <w:jc w:val="both"/>
        <w:rPr>
          <w:rtl/>
        </w:rPr>
      </w:pPr>
      <w:r>
        <w:rPr>
          <w:rtl/>
        </w:rPr>
        <w:t xml:space="preserve">הפסיכיאטר המחוזי המליץ אז (6.2.2018), כי בשל מצבו הנפשי של הנאשם "מצב פסיכוטי פרנואידי פעיל" ומסוכנותו, הוא זקוק להמשך טיפול בתנאי אשפוז ולכן הומלץ להורות על צו אשפוז בעניינו. </w:t>
      </w:r>
    </w:p>
    <w:p w14:paraId="55106FCE" w14:textId="77777777" w:rsidR="00FC017F" w:rsidRDefault="00FC017F" w:rsidP="00FC017F">
      <w:pPr>
        <w:pStyle w:val="a9"/>
        <w:spacing w:line="360" w:lineRule="auto"/>
        <w:ind w:left="360"/>
        <w:jc w:val="both"/>
        <w:rPr>
          <w:rtl/>
        </w:rPr>
      </w:pPr>
    </w:p>
    <w:p w14:paraId="729E0AEC" w14:textId="77777777" w:rsidR="00FC017F" w:rsidRDefault="00FC017F" w:rsidP="00FC017F">
      <w:pPr>
        <w:pStyle w:val="a9"/>
        <w:spacing w:line="360" w:lineRule="auto"/>
        <w:ind w:left="360"/>
        <w:jc w:val="both"/>
        <w:rPr>
          <w:rtl/>
        </w:rPr>
      </w:pPr>
      <w:r>
        <w:rPr>
          <w:rtl/>
        </w:rPr>
        <w:t>מטיעוני הצדדים עלה כי הנאשם אכן שהה באשפוז פסיכיאטרי במשך כשנה, ולאחר מכן חודשו ההליכים בתיק; בהתאם לכך הגענו עד הלום, לעת גזירת הדין.</w:t>
      </w:r>
    </w:p>
    <w:p w14:paraId="3415FED0" w14:textId="77777777" w:rsidR="00FC017F" w:rsidRDefault="00FC017F" w:rsidP="00FC017F">
      <w:pPr>
        <w:pStyle w:val="a9"/>
        <w:spacing w:line="360" w:lineRule="auto"/>
        <w:ind w:left="360"/>
        <w:jc w:val="both"/>
        <w:rPr>
          <w:rtl/>
        </w:rPr>
      </w:pPr>
    </w:p>
    <w:p w14:paraId="4ADD4DCD" w14:textId="77777777" w:rsidR="00FC017F" w:rsidRDefault="00FC017F" w:rsidP="00FC017F">
      <w:pPr>
        <w:pStyle w:val="a9"/>
        <w:spacing w:line="360" w:lineRule="auto"/>
        <w:ind w:left="360"/>
        <w:jc w:val="both"/>
        <w:rPr>
          <w:rtl/>
        </w:rPr>
      </w:pPr>
      <w:r>
        <w:rPr>
          <w:rtl/>
        </w:rPr>
        <w:t xml:space="preserve">מחוות הדעת הפסיכיאטרית עלה עוד, כי הנאשם מוכר למערכת הפסיכיאטרית מלא פחות מ-15 אשפוזים בעברו, בין השנים 2007-2018; באשפוזיו אלה אובחן הנאשם כלוקה בסכיזופרניה, הפרעות נפשיות והתנהגותיות כתוצאה משימוש בסמים וחומרים פסיכואקטיביים אחרים והפרעת אישיות דיסוציאלית. </w:t>
      </w:r>
    </w:p>
    <w:p w14:paraId="26FE7BF4" w14:textId="77777777" w:rsidR="00FC017F" w:rsidRDefault="00FC017F" w:rsidP="00FC017F">
      <w:pPr>
        <w:pStyle w:val="a9"/>
        <w:spacing w:line="360" w:lineRule="auto"/>
        <w:ind w:left="360"/>
        <w:jc w:val="both"/>
        <w:rPr>
          <w:rtl/>
        </w:rPr>
      </w:pPr>
      <w:r>
        <w:rPr>
          <w:rtl/>
        </w:rPr>
        <w:t xml:space="preserve">על פי חוות הדעת הפסיכיאטרית , מבדיקה שנערכה לנאשם בחדר מיון ביום 8.1.2018 (יום לאחר האירוע נשוא האישום השלישי לכתב האישום המתוקן), עלה כי לא היתה עדות להתנהגות חריגה מצידו, הוא דיווח על החמרה במצבו הנפשי בחודש האחרון, ועל שמיעת קולות של אלוהים, אשר שלל אותם בעת הבדיקה. עוד עלה מתעודת חדר המיון כי הנאשם הובא לבדיקה פסיכיאטרית על ידי שירות בתי הסוהר ביום 8.1.2018 בשעות הלילה, ולמחרת יצא לבית המשפט ולא שב, ועל כן שוחרר בטרם נבדק על ידי הצוות הרפואי של היחידה. </w:t>
      </w:r>
    </w:p>
    <w:p w14:paraId="0BE60840" w14:textId="77777777" w:rsidR="00FC017F" w:rsidRDefault="00FC017F" w:rsidP="00FC017F">
      <w:pPr>
        <w:pStyle w:val="a9"/>
        <w:spacing w:line="360" w:lineRule="auto"/>
        <w:ind w:left="360"/>
        <w:jc w:val="both"/>
        <w:rPr>
          <w:rtl/>
        </w:rPr>
      </w:pPr>
    </w:p>
    <w:p w14:paraId="12D7331A" w14:textId="77777777" w:rsidR="00FC017F" w:rsidRDefault="00FC017F" w:rsidP="00FC017F">
      <w:pPr>
        <w:pStyle w:val="a9"/>
        <w:spacing w:line="360" w:lineRule="auto"/>
        <w:ind w:left="360"/>
        <w:jc w:val="both"/>
        <w:rPr>
          <w:rtl/>
        </w:rPr>
      </w:pPr>
      <w:r>
        <w:rPr>
          <w:rtl/>
        </w:rPr>
        <w:t xml:space="preserve">ואף זאת: מבדיקה פסיכיאטרית בחדר מיון שנערכה לנאשם ביום 24.1.2018 (יום לאחר האירוע נשוא האישום הראשון לכתב האישום המתוקן) עלה כי הנאשם דיווח על החמרה במצבו הנפשי בזמן האחרון, על שמיעת קולות של אלוהים אשר שלל אותם במהלך הבדיקה... ללא סימני גמילה... "מכיוון שבמיון לא ניתן לעשות בדיקה מעמיקה מומלץ לפנות להסתכלות פסיכיאטרית בתנאי אשפוז.". </w:t>
      </w:r>
    </w:p>
    <w:p w14:paraId="64D03A98" w14:textId="77777777" w:rsidR="00FC017F" w:rsidRDefault="00FC017F" w:rsidP="00FC017F">
      <w:pPr>
        <w:pStyle w:val="a9"/>
        <w:spacing w:line="360" w:lineRule="auto"/>
        <w:ind w:left="360"/>
        <w:jc w:val="both"/>
        <w:rPr>
          <w:rtl/>
        </w:rPr>
      </w:pPr>
    </w:p>
    <w:p w14:paraId="2364C45E" w14:textId="77777777" w:rsidR="00FC017F" w:rsidRDefault="00FC017F" w:rsidP="00FC017F">
      <w:pPr>
        <w:pStyle w:val="a9"/>
        <w:spacing w:line="360" w:lineRule="auto"/>
        <w:ind w:left="360"/>
        <w:jc w:val="both"/>
        <w:rPr>
          <w:rtl/>
        </w:rPr>
      </w:pPr>
      <w:r>
        <w:rPr>
          <w:rtl/>
        </w:rPr>
        <w:t xml:space="preserve">מבדיקה פסיכיאטרית בחדר מיון שנערכה לנאשם ביום 29.1.2018 עלה כי הוא טען שתקף את בת זוגו כי "ראה מולו שטן אמיתי"... ובהמשך: </w:t>
      </w:r>
      <w:r>
        <w:rPr>
          <w:b/>
          <w:bCs/>
          <w:rtl/>
        </w:rPr>
        <w:t>"בוחן המציאות ושיפוט לקויים. חסר תובנה. סיכום: '.. בבדיקה במיון רושם למצב פסיכוטי עם מחשבות שווא'</w:t>
      </w:r>
      <w:r>
        <w:rPr>
          <w:rtl/>
        </w:rPr>
        <w:t xml:space="preserve">.". (ההדגשה כאן, ובכל המסמך – לא במקור). </w:t>
      </w:r>
    </w:p>
    <w:p w14:paraId="6BCE1A3F" w14:textId="77777777" w:rsidR="00FC017F" w:rsidRDefault="00FC017F" w:rsidP="00FC017F">
      <w:pPr>
        <w:pStyle w:val="a9"/>
        <w:spacing w:line="360" w:lineRule="auto"/>
        <w:ind w:left="360"/>
        <w:jc w:val="both"/>
        <w:rPr>
          <w:rtl/>
        </w:rPr>
      </w:pPr>
    </w:p>
    <w:p w14:paraId="5CD1C365" w14:textId="77777777" w:rsidR="00FC017F" w:rsidRDefault="00FC017F" w:rsidP="00FC017F">
      <w:pPr>
        <w:pStyle w:val="a9"/>
        <w:spacing w:line="360" w:lineRule="auto"/>
        <w:ind w:left="360"/>
        <w:jc w:val="both"/>
        <w:rPr>
          <w:rtl/>
        </w:rPr>
      </w:pPr>
      <w:r>
        <w:rPr>
          <w:rtl/>
        </w:rPr>
        <w:t>כן הוברר עוד,  כי במהלך האשפוז לצורך הסתכלות במסגרת הליך המעצר עד תום ההליכים (החל מיום 29.1.2018, חוות הדעת הוצגה לבית המשפט בהליך המעצר ביום 8.2.2018), עלה כי בתוכן החשיבה של הנאשם היו "</w:t>
      </w:r>
      <w:r>
        <w:rPr>
          <w:b/>
          <w:bCs/>
          <w:rtl/>
        </w:rPr>
        <w:t>מחשבות פרנואידיות של יחס ורדיפה כלפי הסובבים אותו ומחשבות שווא של גדלות מיסטיות, משיחיות. התנהגותו אינה הזייתית, בוחן השיפוט והמציאות פגומים, תובנה חלקית למצבו הנפשי ותובנה מלאה למצבו המשפטי</w:t>
      </w:r>
      <w:r>
        <w:rPr>
          <w:rtl/>
        </w:rPr>
        <w:t xml:space="preserve">.".  </w:t>
      </w:r>
    </w:p>
    <w:p w14:paraId="7641D1BB" w14:textId="77777777" w:rsidR="00FC017F" w:rsidRDefault="00FC017F" w:rsidP="00FC017F">
      <w:pPr>
        <w:pStyle w:val="a9"/>
        <w:spacing w:line="360" w:lineRule="auto"/>
        <w:ind w:left="360"/>
        <w:jc w:val="both"/>
        <w:rPr>
          <w:rtl/>
        </w:rPr>
      </w:pPr>
    </w:p>
    <w:p w14:paraId="5617DD2E" w14:textId="77777777" w:rsidR="00FC017F" w:rsidRDefault="00FC017F" w:rsidP="00FC017F">
      <w:pPr>
        <w:pStyle w:val="a9"/>
        <w:spacing w:line="360" w:lineRule="auto"/>
        <w:ind w:left="360"/>
        <w:jc w:val="both"/>
        <w:rPr>
          <w:rtl/>
        </w:rPr>
      </w:pPr>
      <w:r>
        <w:rPr>
          <w:rtl/>
        </w:rPr>
        <w:t xml:space="preserve">הפסיכיאטר המחוזי הדגיש: "בשל מצבו הנפשי, מצב פסיכוטי פעיל ומסוכנותו המידית לסובבים אותו, בתאריך 1.2.2018 הוצאה עבורו הוראת אשפוז כפוי דחוף, לפי סעיף </w:t>
      </w:r>
      <w:hyperlink r:id="rId34" w:history="1">
        <w:r w:rsidR="001508D3" w:rsidRPr="001508D3">
          <w:rPr>
            <w:color w:val="0000FF"/>
            <w:u w:val="single"/>
            <w:rtl/>
          </w:rPr>
          <w:t>9 (א)</w:t>
        </w:r>
      </w:hyperlink>
      <w:r>
        <w:rPr>
          <w:rtl/>
        </w:rPr>
        <w:t xml:space="preserve"> ל</w:t>
      </w:r>
      <w:hyperlink r:id="rId35" w:history="1">
        <w:r w:rsidR="00BE7D13" w:rsidRPr="00BE7D13">
          <w:rPr>
            <w:color w:val="0000FF"/>
            <w:u w:val="single"/>
            <w:rtl/>
          </w:rPr>
          <w:t>חוק טיפול בחולי נפש</w:t>
        </w:r>
      </w:hyperlink>
      <w:r>
        <w:rPr>
          <w:rtl/>
        </w:rPr>
        <w:t xml:space="preserve">-1991". </w:t>
      </w:r>
    </w:p>
    <w:p w14:paraId="6C8D1D6D" w14:textId="77777777" w:rsidR="00FC017F" w:rsidRDefault="00FC017F" w:rsidP="00FC017F">
      <w:pPr>
        <w:pStyle w:val="a9"/>
        <w:spacing w:line="360" w:lineRule="auto"/>
        <w:ind w:left="360"/>
        <w:jc w:val="both"/>
        <w:rPr>
          <w:rtl/>
        </w:rPr>
      </w:pPr>
    </w:p>
    <w:p w14:paraId="7CAED821" w14:textId="77777777" w:rsidR="00FC017F" w:rsidRDefault="00FC017F" w:rsidP="00FC017F">
      <w:pPr>
        <w:pStyle w:val="a9"/>
        <w:spacing w:line="360" w:lineRule="auto"/>
        <w:ind w:left="360"/>
        <w:jc w:val="both"/>
        <w:rPr>
          <w:rtl/>
        </w:rPr>
      </w:pPr>
      <w:r>
        <w:rPr>
          <w:rtl/>
        </w:rPr>
        <w:t xml:space="preserve">אשר לגרסתו של הנאשם ביחס  לעבירות שיוחסו לו, טען הלה בפני הפסיכיאטר, בין היתר, כי המתלוננת היא "שטן... אלף שמות יש לה...", ובמקום אחר "תקף את בת זוגו כי ראה מולו שטן אמיתי. מוסר שהשתמש בסמים לפני כן...". </w:t>
      </w:r>
    </w:p>
    <w:p w14:paraId="5AA65BCE" w14:textId="77777777" w:rsidR="00FC017F" w:rsidRDefault="00FC017F" w:rsidP="00FC017F">
      <w:pPr>
        <w:pStyle w:val="a9"/>
        <w:spacing w:line="360" w:lineRule="auto"/>
        <w:ind w:left="360"/>
        <w:jc w:val="both"/>
        <w:rPr>
          <w:rtl/>
        </w:rPr>
      </w:pPr>
    </w:p>
    <w:p w14:paraId="3B1CC461" w14:textId="77777777" w:rsidR="00FC017F" w:rsidRDefault="00FC017F" w:rsidP="00FC017F">
      <w:pPr>
        <w:pStyle w:val="a9"/>
        <w:spacing w:line="360" w:lineRule="auto"/>
        <w:ind w:left="360"/>
        <w:jc w:val="both"/>
        <w:rPr>
          <w:rtl/>
        </w:rPr>
      </w:pPr>
      <w:r>
        <w:rPr>
          <w:rtl/>
        </w:rPr>
        <w:t xml:space="preserve">על פי חוות הדעת, בבדיקותיו ביחידה נמצא הנאשם במצב פסיכוטי פרנואידי פעיל "אשר מתבטא באפקט חשדני, מתוח, לא מתגוון, מחשות שווא פרנואידיות של יחס ורדיפה כלפי הסובבים אותו מחשבות שווא של גדלות, מיסטיות, משחיות, הזיות שמיעה (לא בעת בדיקותיו), בוחן מציאות ושיפוט פגומים, תובנה חלקית למצבו הנפשי ותובנה מלאה למצבו המשפטי.". </w:t>
      </w:r>
    </w:p>
    <w:p w14:paraId="59A68F35" w14:textId="77777777" w:rsidR="00FC017F" w:rsidRDefault="00FC017F" w:rsidP="00FC017F">
      <w:pPr>
        <w:pStyle w:val="a9"/>
        <w:spacing w:line="360" w:lineRule="auto"/>
        <w:ind w:left="360"/>
        <w:jc w:val="both"/>
        <w:rPr>
          <w:rtl/>
        </w:rPr>
      </w:pPr>
    </w:p>
    <w:p w14:paraId="65D0D984" w14:textId="77777777" w:rsidR="00FC017F" w:rsidRDefault="00FC017F" w:rsidP="00FC017F">
      <w:pPr>
        <w:pStyle w:val="a9"/>
        <w:spacing w:line="360" w:lineRule="auto"/>
        <w:ind w:left="360"/>
        <w:jc w:val="both"/>
        <w:rPr>
          <w:rtl/>
        </w:rPr>
      </w:pPr>
      <w:r>
        <w:rPr>
          <w:rtl/>
        </w:rPr>
        <w:t xml:space="preserve">לאור האמור לעיל, קבע הפסיכיאטר המחוזי מסקנתו, כמפורט בהרחבה לעיל, כי בעת ביצוע העבירות המיוחסות לו בתיק זה היה הנאשם מסוגל להבדיל בין טוב לרע ובין מותר לאסור והיה מסוגל לשלוט בדחפיו התוקפניים ולהימנע מביצוען. </w:t>
      </w:r>
    </w:p>
    <w:p w14:paraId="1835810F" w14:textId="77777777" w:rsidR="00FC017F" w:rsidRDefault="00FC017F" w:rsidP="00FC017F">
      <w:pPr>
        <w:pStyle w:val="a9"/>
        <w:spacing w:line="360" w:lineRule="auto"/>
        <w:ind w:left="360"/>
        <w:jc w:val="both"/>
        <w:rPr>
          <w:u w:val="single"/>
          <w:rtl/>
        </w:rPr>
      </w:pPr>
    </w:p>
    <w:p w14:paraId="57A4E9B3" w14:textId="77777777" w:rsidR="00FC017F" w:rsidRDefault="00FC017F" w:rsidP="00FC017F">
      <w:pPr>
        <w:pStyle w:val="a9"/>
        <w:spacing w:line="360" w:lineRule="auto"/>
        <w:ind w:left="360"/>
        <w:jc w:val="both"/>
        <w:rPr>
          <w:u w:val="single"/>
          <w:rtl/>
        </w:rPr>
      </w:pPr>
      <w:r>
        <w:rPr>
          <w:u w:val="single"/>
          <w:rtl/>
        </w:rPr>
        <w:t xml:space="preserve">טיעוני הצדדים לעונש </w:t>
      </w:r>
    </w:p>
    <w:p w14:paraId="6CA65C47" w14:textId="77777777" w:rsidR="00FC017F" w:rsidRDefault="00FC017F" w:rsidP="00FC017F">
      <w:pPr>
        <w:pStyle w:val="a9"/>
        <w:spacing w:line="360" w:lineRule="auto"/>
        <w:ind w:left="360"/>
        <w:jc w:val="both"/>
        <w:rPr>
          <w:u w:val="single"/>
          <w:rtl/>
        </w:rPr>
      </w:pPr>
    </w:p>
    <w:p w14:paraId="452F1158" w14:textId="77777777" w:rsidR="00FC017F" w:rsidRDefault="00FC017F" w:rsidP="00FC017F">
      <w:pPr>
        <w:pStyle w:val="a9"/>
        <w:numPr>
          <w:ilvl w:val="0"/>
          <w:numId w:val="1"/>
        </w:numPr>
        <w:spacing w:line="360" w:lineRule="auto"/>
        <w:jc w:val="both"/>
        <w:rPr>
          <w:rtl/>
        </w:rPr>
      </w:pPr>
      <w:r>
        <w:rPr>
          <w:rtl/>
        </w:rPr>
        <w:t xml:space="preserve">התובע טען כי יש לקבוע מתחם נפרד לכל אחד משלושת האישומים בהם הורשע הנאשם: באשר לאישום הראשון, טען התובע כי מתחם העונש ההולם נע מ-15 ועד 30 חודשי מאסר בפועל;  לאישום השני – מספר חודשי מאסר ועד 8 חודשי מאסר בפועל; ולאישום השלישי – מ-10 ועד 18 חודשי מאסר. </w:t>
      </w:r>
    </w:p>
    <w:p w14:paraId="39B9390E" w14:textId="77777777" w:rsidR="00FC017F" w:rsidRDefault="00FC017F" w:rsidP="00FC017F">
      <w:pPr>
        <w:pStyle w:val="a9"/>
        <w:spacing w:line="360" w:lineRule="auto"/>
        <w:ind w:left="360"/>
        <w:jc w:val="both"/>
      </w:pPr>
    </w:p>
    <w:p w14:paraId="11CEB0FF" w14:textId="77777777" w:rsidR="00FC017F" w:rsidRDefault="00FC017F" w:rsidP="00FC017F">
      <w:pPr>
        <w:pStyle w:val="a9"/>
        <w:spacing w:line="360" w:lineRule="auto"/>
        <w:ind w:left="360"/>
        <w:jc w:val="both"/>
        <w:rPr>
          <w:rtl/>
        </w:rPr>
      </w:pPr>
      <w:r>
        <w:rPr>
          <w:rtl/>
        </w:rPr>
        <w:t xml:space="preserve">התובע ביקש מבית המשפט להשית על הנאשם עונש של 36 חודשי מאסר בפועל, מאסר על תנאי מרתיע, ופיצוי למתלוננת. </w:t>
      </w:r>
    </w:p>
    <w:p w14:paraId="4168D11F" w14:textId="77777777" w:rsidR="00FC017F" w:rsidRDefault="00FC017F" w:rsidP="00FC017F">
      <w:pPr>
        <w:pStyle w:val="a9"/>
        <w:spacing w:line="360" w:lineRule="auto"/>
        <w:ind w:left="360"/>
        <w:jc w:val="both"/>
        <w:rPr>
          <w:rtl/>
        </w:rPr>
      </w:pPr>
    </w:p>
    <w:p w14:paraId="6D2B6BB9" w14:textId="77777777" w:rsidR="00FC017F" w:rsidRDefault="00FC017F" w:rsidP="00FC017F">
      <w:pPr>
        <w:pStyle w:val="a9"/>
        <w:spacing w:line="360" w:lineRule="auto"/>
        <w:ind w:left="360"/>
        <w:jc w:val="both"/>
        <w:rPr>
          <w:rtl/>
        </w:rPr>
      </w:pPr>
      <w:r>
        <w:rPr>
          <w:rtl/>
        </w:rPr>
        <w:t xml:space="preserve">המדינה  עמדה על הערכים המוגנים שנפגעו כתוצאה ממעשיו של הנאשם, ובהם שמירה על גופה ובטחונה של המתלוננת. כמו כן ציין התובע, כי העבירות נשוא האישומים הראשון והשני בוצעו עת היה הנאשם בתנאים מגבילים, שעיקרם הרחקה מהמתלוננת. </w:t>
      </w:r>
    </w:p>
    <w:p w14:paraId="35D093C4" w14:textId="77777777" w:rsidR="00FC017F" w:rsidRDefault="00FC017F" w:rsidP="00FC017F">
      <w:pPr>
        <w:pStyle w:val="a9"/>
        <w:spacing w:line="360" w:lineRule="auto"/>
        <w:ind w:left="360"/>
        <w:jc w:val="both"/>
        <w:rPr>
          <w:rtl/>
        </w:rPr>
      </w:pPr>
    </w:p>
    <w:p w14:paraId="1DC18DE9" w14:textId="77777777" w:rsidR="00FC017F" w:rsidRDefault="00FC017F" w:rsidP="00FC017F">
      <w:pPr>
        <w:pStyle w:val="a9"/>
        <w:spacing w:line="360" w:lineRule="auto"/>
        <w:ind w:left="360"/>
        <w:jc w:val="both"/>
        <w:rPr>
          <w:rtl/>
        </w:rPr>
      </w:pPr>
      <w:r>
        <w:rPr>
          <w:rtl/>
        </w:rPr>
        <w:t xml:space="preserve">אשר לטענת ההגנה לפיה עניינו של הנאשם חוסה תחת קרבה לסייג לאחריות פלילית מסוג אי שפיות, טען התובע כי חוות הדעת בעניין זה ברורה, והנאשם ידע להבדיל בין טוב ולרע ובין אסור למותר. כמו כן טען התובע, כי הנאשם היה במצב פסיכוטי רק כתוצאה מהרעלת סמים, דהיינו - מרצונו החופשי. </w:t>
      </w:r>
    </w:p>
    <w:p w14:paraId="256DF6F7" w14:textId="77777777" w:rsidR="00FC017F" w:rsidRDefault="00FC017F" w:rsidP="00FC017F">
      <w:pPr>
        <w:pStyle w:val="a9"/>
        <w:spacing w:line="360" w:lineRule="auto"/>
        <w:ind w:left="360"/>
        <w:jc w:val="both"/>
        <w:rPr>
          <w:rtl/>
        </w:rPr>
      </w:pPr>
    </w:p>
    <w:p w14:paraId="06A83AF9" w14:textId="77777777" w:rsidR="00FC017F" w:rsidRDefault="00FC017F" w:rsidP="00FC017F">
      <w:pPr>
        <w:pStyle w:val="a9"/>
        <w:spacing w:line="360" w:lineRule="auto"/>
        <w:ind w:left="360"/>
        <w:jc w:val="both"/>
        <w:rPr>
          <w:rtl/>
        </w:rPr>
      </w:pPr>
      <w:r>
        <w:rPr>
          <w:rtl/>
        </w:rPr>
        <w:t xml:space="preserve">המאשימה הוסיפה כי הנאשם לא היה חסר יכולת של ממש להבין את הפסול שבמעשיו ולהימנע מהם, ובעניין זה הצביעה על פנייתו של הנאשם למתלוננת, עת הגיעו השוטרים לדירה, אז  הזהיר אותה "שלא תגיד דבר"; עוד ציין התובע לעניין זה, כי הנאשם אף הטמין את הטלפון הנייד של המתלוננת מתחת למזרון המיטה, וגם מכך ניתן ללמוד כי הבין את טיב מעשיו. </w:t>
      </w:r>
    </w:p>
    <w:p w14:paraId="7EEB22BE" w14:textId="77777777" w:rsidR="00FC017F" w:rsidRDefault="00FC017F" w:rsidP="00FC017F">
      <w:pPr>
        <w:pStyle w:val="a9"/>
        <w:spacing w:line="360" w:lineRule="auto"/>
        <w:ind w:left="360"/>
        <w:jc w:val="both"/>
        <w:rPr>
          <w:rtl/>
        </w:rPr>
      </w:pPr>
    </w:p>
    <w:p w14:paraId="1DA0CD62" w14:textId="77777777" w:rsidR="00FC017F" w:rsidRDefault="00FC017F" w:rsidP="00FC017F">
      <w:pPr>
        <w:pStyle w:val="a9"/>
        <w:spacing w:line="360" w:lineRule="auto"/>
        <w:ind w:left="360"/>
        <w:jc w:val="both"/>
        <w:rPr>
          <w:rtl/>
        </w:rPr>
      </w:pPr>
      <w:r>
        <w:rPr>
          <w:rtl/>
        </w:rPr>
        <w:t xml:space="preserve">ביחס לטענת ההגנה בקשר לקרבת הנאשם לסייג לאחריות פלילית מסוג הגנת השכרות, הפנה התובע לפסיקת בית המשפט העליון בעניין 9356/09 </w:t>
      </w:r>
      <w:r>
        <w:rPr>
          <w:b/>
          <w:bCs/>
          <w:rtl/>
        </w:rPr>
        <w:t>פלוני נ' מדינת ישראל</w:t>
      </w:r>
      <w:r>
        <w:rPr>
          <w:rtl/>
        </w:rPr>
        <w:t xml:space="preserve"> (ניתן ביום 24.10.2010) ולפסיקה נוספת. </w:t>
      </w:r>
    </w:p>
    <w:p w14:paraId="3CF3F3E8" w14:textId="77777777" w:rsidR="00FC017F" w:rsidRDefault="00FC017F" w:rsidP="00FC017F">
      <w:pPr>
        <w:pStyle w:val="a9"/>
        <w:spacing w:line="360" w:lineRule="auto"/>
        <w:ind w:left="360"/>
        <w:jc w:val="both"/>
        <w:rPr>
          <w:rtl/>
        </w:rPr>
      </w:pPr>
    </w:p>
    <w:p w14:paraId="75E0D3CF" w14:textId="77777777" w:rsidR="00FC017F" w:rsidRDefault="00FC017F" w:rsidP="00FC017F">
      <w:pPr>
        <w:pStyle w:val="a9"/>
        <w:spacing w:line="360" w:lineRule="auto"/>
        <w:ind w:left="360"/>
        <w:jc w:val="both"/>
        <w:rPr>
          <w:rtl/>
        </w:rPr>
      </w:pPr>
      <w:r>
        <w:rPr>
          <w:rtl/>
        </w:rPr>
        <w:t>התובע טען לבסוף, כי אין לנכות את ימי אשפוזו של הנאשם במחלקה הפסיכיאטרית מעונשו, והפנה בעניין זה ל</w:t>
      </w:r>
      <w:hyperlink r:id="rId36" w:history="1">
        <w:r w:rsidR="00BE7D13" w:rsidRPr="00BE7D13">
          <w:rPr>
            <w:color w:val="0000FF"/>
            <w:u w:val="single"/>
            <w:rtl/>
          </w:rPr>
          <w:t>ע"פ 6736/16</w:t>
        </w:r>
      </w:hyperlink>
      <w:r>
        <w:rPr>
          <w:rtl/>
        </w:rPr>
        <w:t xml:space="preserve"> </w:t>
      </w:r>
      <w:r>
        <w:rPr>
          <w:b/>
          <w:bCs/>
          <w:rtl/>
        </w:rPr>
        <w:t>פלוני נ' מדינת ישראל</w:t>
      </w:r>
      <w:r>
        <w:rPr>
          <w:rtl/>
        </w:rPr>
        <w:t xml:space="preserve"> (ניתן ביום 12.1.2017) שם נדונה שאלת ניכוי ימי שהיית קטין במעון נעול. </w:t>
      </w:r>
    </w:p>
    <w:p w14:paraId="4D2AA5CF" w14:textId="77777777" w:rsidR="00FC017F" w:rsidRDefault="00FC017F" w:rsidP="00FC017F">
      <w:pPr>
        <w:pStyle w:val="a9"/>
        <w:spacing w:line="360" w:lineRule="auto"/>
        <w:ind w:left="360"/>
        <w:jc w:val="both"/>
        <w:rPr>
          <w:rtl/>
        </w:rPr>
      </w:pPr>
    </w:p>
    <w:p w14:paraId="7827C88B" w14:textId="77777777" w:rsidR="00FC017F" w:rsidRDefault="00FC017F" w:rsidP="00FC017F">
      <w:pPr>
        <w:pStyle w:val="a9"/>
        <w:spacing w:line="360" w:lineRule="auto"/>
        <w:ind w:left="360"/>
        <w:jc w:val="both"/>
        <w:rPr>
          <w:rtl/>
        </w:rPr>
      </w:pPr>
      <w:r>
        <w:rPr>
          <w:rtl/>
        </w:rPr>
        <w:t xml:space="preserve">התובע הגיש פסיקה על מנת לתמוך בעתירתו העונשית. </w:t>
      </w:r>
    </w:p>
    <w:p w14:paraId="29456E3D" w14:textId="77777777" w:rsidR="00FC017F" w:rsidRDefault="00FC017F" w:rsidP="00FC017F">
      <w:pPr>
        <w:pStyle w:val="a9"/>
        <w:spacing w:line="360" w:lineRule="auto"/>
        <w:ind w:left="360"/>
        <w:jc w:val="both"/>
        <w:rPr>
          <w:rtl/>
        </w:rPr>
      </w:pPr>
    </w:p>
    <w:p w14:paraId="67A2E9CF" w14:textId="77777777" w:rsidR="00FC017F" w:rsidRDefault="00FC017F" w:rsidP="00FC017F">
      <w:pPr>
        <w:pStyle w:val="a9"/>
        <w:numPr>
          <w:ilvl w:val="0"/>
          <w:numId w:val="1"/>
        </w:numPr>
        <w:spacing w:line="360" w:lineRule="auto"/>
        <w:jc w:val="both"/>
        <w:rPr>
          <w:rtl/>
        </w:rPr>
      </w:pPr>
      <w:r>
        <w:rPr>
          <w:rtl/>
        </w:rPr>
        <w:t xml:space="preserve">ההגנה, מנגד, טענה כי יש לקבוע מתחם </w:t>
      </w:r>
      <w:r>
        <w:rPr>
          <w:b/>
          <w:bCs/>
          <w:rtl/>
        </w:rPr>
        <w:t>אחד</w:t>
      </w:r>
      <w:r>
        <w:rPr>
          <w:rtl/>
        </w:rPr>
        <w:t xml:space="preserve"> לכל העבירות בהן הורשע הנאשם, אשר נע בין שנת מאסר אחת לבין 30 חודשי מאסר, ובכל מקרה, לשיטתה, המתחם בקשר לאישום הראשון נע בין שנת מאסר ועד 30 חודשי מאסר, המתחם בקשר לאישום השני מתחיל ממאסר על תנאי, והמתחם בגין החזקת הסמים מתחיל במספר חודשי עבודות שירות ועד מספר חודשי מאסר לריצוי בפועל. </w:t>
      </w:r>
    </w:p>
    <w:p w14:paraId="6FF08742" w14:textId="77777777" w:rsidR="00FC017F" w:rsidRDefault="00FC017F" w:rsidP="00FC017F">
      <w:pPr>
        <w:pStyle w:val="a9"/>
        <w:spacing w:line="360" w:lineRule="auto"/>
        <w:ind w:left="360"/>
        <w:jc w:val="both"/>
      </w:pPr>
    </w:p>
    <w:p w14:paraId="7981DFBE" w14:textId="77777777" w:rsidR="00FC017F" w:rsidRDefault="00FC017F" w:rsidP="00FC017F">
      <w:pPr>
        <w:pStyle w:val="a9"/>
        <w:spacing w:line="360" w:lineRule="auto"/>
        <w:ind w:left="360"/>
        <w:jc w:val="both"/>
        <w:rPr>
          <w:rtl/>
        </w:rPr>
      </w:pPr>
      <w:r>
        <w:rPr>
          <w:rtl/>
        </w:rPr>
        <w:t xml:space="preserve">ההגנה טענה כי עניינו של הנאשם קרוב לסייג לאחריות פלילית הן באשר לאי שפיות, והן בנוגע להגנת השכרות. </w:t>
      </w:r>
    </w:p>
    <w:p w14:paraId="0671641A" w14:textId="77777777" w:rsidR="00FC017F" w:rsidRDefault="00FC017F" w:rsidP="00FC017F">
      <w:pPr>
        <w:pStyle w:val="a9"/>
        <w:spacing w:line="360" w:lineRule="auto"/>
        <w:ind w:left="360"/>
        <w:jc w:val="both"/>
        <w:rPr>
          <w:rtl/>
        </w:rPr>
      </w:pPr>
    </w:p>
    <w:p w14:paraId="4719F876" w14:textId="77777777" w:rsidR="00FC017F" w:rsidRDefault="00FC017F" w:rsidP="00FC017F">
      <w:pPr>
        <w:pStyle w:val="a9"/>
        <w:spacing w:line="360" w:lineRule="auto"/>
        <w:ind w:left="360"/>
        <w:jc w:val="both"/>
        <w:rPr>
          <w:rtl/>
        </w:rPr>
      </w:pPr>
      <w:r>
        <w:rPr>
          <w:rtl/>
        </w:rPr>
        <w:t xml:space="preserve">באשר לקרבה לסייג מסוג אי שפיות, הפנתה ההגנה את בית המשפט, בין היתר, להלכת בית המשפט העליון במסגרת </w:t>
      </w:r>
      <w:hyperlink r:id="rId37" w:history="1">
        <w:r w:rsidR="00BE7D13" w:rsidRPr="00BE7D13">
          <w:rPr>
            <w:color w:val="0000FF"/>
            <w:u w:val="single"/>
            <w:rtl/>
          </w:rPr>
          <w:t>ע"פ 4312/11</w:t>
        </w:r>
      </w:hyperlink>
      <w:r>
        <w:rPr>
          <w:rtl/>
        </w:rPr>
        <w:t xml:space="preserve"> </w:t>
      </w:r>
      <w:r>
        <w:rPr>
          <w:b/>
          <w:bCs/>
          <w:rtl/>
        </w:rPr>
        <w:t>פלוני נ' מדינת ישראל</w:t>
      </w:r>
      <w:r>
        <w:rPr>
          <w:rtl/>
        </w:rPr>
        <w:t xml:space="preserve"> (ניתן ביום 10.6.2013), וטענה כי היא עמדה בנטל להוכיח התקיימות הקרבה לסייג . </w:t>
      </w:r>
    </w:p>
    <w:p w14:paraId="4A5D977D" w14:textId="77777777" w:rsidR="00FC017F" w:rsidRDefault="00FC017F" w:rsidP="00FC017F">
      <w:pPr>
        <w:pStyle w:val="a9"/>
        <w:spacing w:line="360" w:lineRule="auto"/>
        <w:ind w:left="360"/>
        <w:jc w:val="both"/>
        <w:rPr>
          <w:rtl/>
        </w:rPr>
      </w:pPr>
    </w:p>
    <w:p w14:paraId="03898156" w14:textId="77777777" w:rsidR="00FC017F" w:rsidRDefault="00FC017F" w:rsidP="00FC017F">
      <w:pPr>
        <w:pStyle w:val="a9"/>
        <w:spacing w:line="360" w:lineRule="auto"/>
        <w:ind w:left="360"/>
        <w:jc w:val="both"/>
        <w:rPr>
          <w:rtl/>
        </w:rPr>
      </w:pPr>
      <w:r>
        <w:rPr>
          <w:rtl/>
        </w:rPr>
        <w:t>ההגנה טענה כי "בתקופת האשפוז 8 ועדות שונות שהתקיימו בעניינו באברבנאל מלמדים שהמצב הפסיכוטי שלו לא נבע רק מסמים שהשפעתם חלפה תוך חודש או חודשיים. למעלה משנה הוא הוחזק, הוועדות אמרו שהאיש לא כשיר להשתחרר מבית חולים פסיכיאטרי כי הוא במצב פסיכוטי.".</w:t>
      </w:r>
    </w:p>
    <w:p w14:paraId="4D337B6F" w14:textId="77777777" w:rsidR="00FC017F" w:rsidRDefault="00FC017F" w:rsidP="00FC017F">
      <w:pPr>
        <w:pStyle w:val="a9"/>
        <w:spacing w:line="360" w:lineRule="auto"/>
        <w:ind w:left="360"/>
        <w:jc w:val="both"/>
        <w:rPr>
          <w:rtl/>
        </w:rPr>
      </w:pPr>
    </w:p>
    <w:p w14:paraId="4B133E32" w14:textId="77777777" w:rsidR="00FC017F" w:rsidRDefault="00FC017F" w:rsidP="00FC017F">
      <w:pPr>
        <w:pStyle w:val="a9"/>
        <w:spacing w:line="360" w:lineRule="auto"/>
        <w:ind w:left="360"/>
        <w:jc w:val="both"/>
        <w:rPr>
          <w:rtl/>
        </w:rPr>
      </w:pPr>
      <w:r>
        <w:rPr>
          <w:rtl/>
        </w:rPr>
        <w:t>עוד הדגיש הסניגור, כי שלושה ימים לאחר הגשת כתב האישום והתאריך נשוא האישום הראשון, הוצאה הוראת אשפוז כפוי מאת הפסיכיאטר המחוזי בעניינו של הנאשם (כתב האישום הוגש ביום 29.1.2018, הוראת האשפוז ניתנה ביום 1.2.2018).</w:t>
      </w:r>
    </w:p>
    <w:p w14:paraId="3C45DB15" w14:textId="77777777" w:rsidR="00FC017F" w:rsidRDefault="00FC017F" w:rsidP="00FC017F">
      <w:pPr>
        <w:pStyle w:val="a9"/>
        <w:spacing w:line="360" w:lineRule="auto"/>
        <w:ind w:left="360"/>
        <w:jc w:val="both"/>
        <w:rPr>
          <w:rtl/>
        </w:rPr>
      </w:pPr>
    </w:p>
    <w:p w14:paraId="5EF28314" w14:textId="77777777" w:rsidR="00FC017F" w:rsidRDefault="00FC017F" w:rsidP="00FC017F">
      <w:pPr>
        <w:pStyle w:val="a9"/>
        <w:spacing w:line="360" w:lineRule="auto"/>
        <w:ind w:left="360"/>
        <w:jc w:val="both"/>
        <w:rPr>
          <w:rtl/>
        </w:rPr>
      </w:pPr>
      <w:r>
        <w:rPr>
          <w:rtl/>
        </w:rPr>
        <w:t xml:space="preserve">ההגנה הפנתה את בית המשפט להודעותיו של הנאשם במשטרה לאחר מעצרו והאירוע נשוא האישום הראשון, ולתיעודן, וטענה כי עלה מהן שמדובר במי שנמצא במצב נפשי קשה. </w:t>
      </w:r>
    </w:p>
    <w:p w14:paraId="189B76ED" w14:textId="77777777" w:rsidR="00FC017F" w:rsidRDefault="00FC017F" w:rsidP="00FC017F">
      <w:pPr>
        <w:pStyle w:val="a9"/>
        <w:spacing w:line="360" w:lineRule="auto"/>
        <w:ind w:left="360"/>
        <w:jc w:val="both"/>
        <w:rPr>
          <w:rtl/>
        </w:rPr>
      </w:pPr>
    </w:p>
    <w:p w14:paraId="1F2E21B7" w14:textId="77777777" w:rsidR="00FC017F" w:rsidRDefault="00FC017F" w:rsidP="00FC017F">
      <w:pPr>
        <w:pStyle w:val="a9"/>
        <w:spacing w:line="360" w:lineRule="auto"/>
        <w:ind w:left="360"/>
        <w:jc w:val="both"/>
        <w:rPr>
          <w:rtl/>
        </w:rPr>
      </w:pPr>
      <w:r>
        <w:rPr>
          <w:rtl/>
        </w:rPr>
        <w:t xml:space="preserve">באשר לקרבת הנאשם לסייג לאחריות פלילית מסוג הגנת השכרות, טענה ההגנה כי על פי </w:t>
      </w:r>
      <w:hyperlink r:id="rId38" w:history="1">
        <w:r w:rsidR="00BE7D13" w:rsidRPr="00BE7D13">
          <w:rPr>
            <w:color w:val="0000FF"/>
            <w:u w:val="single"/>
            <w:rtl/>
          </w:rPr>
          <w:t>רע"פ 6382/11</w:t>
        </w:r>
      </w:hyperlink>
      <w:r>
        <w:rPr>
          <w:rtl/>
        </w:rPr>
        <w:t xml:space="preserve"> </w:t>
      </w:r>
      <w:r>
        <w:rPr>
          <w:b/>
          <w:bCs/>
          <w:rtl/>
        </w:rPr>
        <w:t>קאדריה נ' מדינת ישראל</w:t>
      </w:r>
      <w:r>
        <w:rPr>
          <w:rtl/>
        </w:rPr>
        <w:t xml:space="preserve"> (ניתן ביום 9.6.2013) (להלן: הלכת קאדריה) ניתן לראות את הנאשם כקרוב להגנה, גם אם אינו פטור לחלוטין מלתת את הדין על עבירות האיומים שהורשע בגינן. </w:t>
      </w:r>
    </w:p>
    <w:p w14:paraId="47D02520" w14:textId="77777777" w:rsidR="00FC017F" w:rsidRDefault="00FC017F" w:rsidP="00FC017F">
      <w:pPr>
        <w:pStyle w:val="a9"/>
        <w:spacing w:line="360" w:lineRule="auto"/>
        <w:ind w:left="360"/>
        <w:jc w:val="both"/>
        <w:rPr>
          <w:rtl/>
        </w:rPr>
      </w:pPr>
    </w:p>
    <w:p w14:paraId="172D0695" w14:textId="77777777" w:rsidR="00FC017F" w:rsidRDefault="00FC017F" w:rsidP="00FC017F">
      <w:pPr>
        <w:pStyle w:val="a9"/>
        <w:spacing w:line="360" w:lineRule="auto"/>
        <w:ind w:left="360"/>
        <w:jc w:val="both"/>
        <w:rPr>
          <w:rtl/>
        </w:rPr>
      </w:pPr>
      <w:r>
        <w:rPr>
          <w:rtl/>
        </w:rPr>
        <w:t xml:space="preserve">הסניגור הגיש פסיקה על מנת לתמוך בעתירתו העונשית באשר למתחם העונש ההולם. </w:t>
      </w:r>
    </w:p>
    <w:p w14:paraId="35624052" w14:textId="77777777" w:rsidR="00FC017F" w:rsidRDefault="00FC017F" w:rsidP="00FC017F">
      <w:pPr>
        <w:pStyle w:val="a9"/>
        <w:spacing w:line="360" w:lineRule="auto"/>
        <w:ind w:left="360"/>
        <w:jc w:val="both"/>
        <w:rPr>
          <w:rtl/>
        </w:rPr>
      </w:pPr>
    </w:p>
    <w:p w14:paraId="154A5A7D" w14:textId="77777777" w:rsidR="00FC017F" w:rsidRDefault="00FC017F" w:rsidP="00FC017F">
      <w:pPr>
        <w:pStyle w:val="a9"/>
        <w:spacing w:line="360" w:lineRule="auto"/>
        <w:ind w:left="360"/>
        <w:jc w:val="both"/>
        <w:rPr>
          <w:rtl/>
        </w:rPr>
      </w:pPr>
      <w:r>
        <w:rPr>
          <w:rtl/>
        </w:rPr>
        <w:t xml:space="preserve">באשר למיקומו של הנאשם בתוך מתחם העונש ההולם, טען הסניגור כי יש להתחשב בהודייתו של הנאשם. </w:t>
      </w:r>
    </w:p>
    <w:p w14:paraId="607E38F0" w14:textId="77777777" w:rsidR="00FC017F" w:rsidRDefault="00FC017F" w:rsidP="00FC017F">
      <w:pPr>
        <w:pStyle w:val="a9"/>
        <w:spacing w:line="360" w:lineRule="auto"/>
        <w:ind w:left="360"/>
        <w:jc w:val="both"/>
        <w:rPr>
          <w:rtl/>
        </w:rPr>
      </w:pPr>
    </w:p>
    <w:p w14:paraId="655B2C9F" w14:textId="77777777" w:rsidR="00FC017F" w:rsidRDefault="00FC017F" w:rsidP="00FC017F">
      <w:pPr>
        <w:pStyle w:val="a9"/>
        <w:spacing w:line="360" w:lineRule="auto"/>
        <w:ind w:left="360"/>
        <w:jc w:val="both"/>
        <w:rPr>
          <w:rtl/>
        </w:rPr>
      </w:pPr>
      <w:r>
        <w:rPr>
          <w:rtl/>
        </w:rPr>
        <w:t xml:space="preserve">הסניגור ביקש מבית המשפט לנכות את תקופת אשפוזו של הנאשם מעונש המאסר, וביסס את טענתו בעניין זה על הלכת בית המשפט העליון במסגרת </w:t>
      </w:r>
      <w:hyperlink r:id="rId39" w:history="1">
        <w:r w:rsidR="00BE7D13" w:rsidRPr="00BE7D13">
          <w:rPr>
            <w:color w:val="0000FF"/>
            <w:u w:val="single"/>
            <w:rtl/>
          </w:rPr>
          <w:t>ע"פ 5738/12</w:t>
        </w:r>
      </w:hyperlink>
      <w:r>
        <w:rPr>
          <w:rtl/>
        </w:rPr>
        <w:t xml:space="preserve"> </w:t>
      </w:r>
      <w:r>
        <w:rPr>
          <w:b/>
          <w:bCs/>
          <w:rtl/>
        </w:rPr>
        <w:t>וולד טסגזשב נ' מדינת ישראל</w:t>
      </w:r>
      <w:r>
        <w:rPr>
          <w:rtl/>
        </w:rPr>
        <w:t xml:space="preserve"> (ניתן ביום 10.3.2014).</w:t>
      </w:r>
    </w:p>
    <w:p w14:paraId="75CBBD01" w14:textId="77777777" w:rsidR="00FC017F" w:rsidRDefault="00FC017F" w:rsidP="00FC017F">
      <w:pPr>
        <w:pStyle w:val="a9"/>
        <w:spacing w:line="360" w:lineRule="auto"/>
        <w:ind w:left="360"/>
        <w:jc w:val="both"/>
        <w:rPr>
          <w:rtl/>
        </w:rPr>
      </w:pPr>
    </w:p>
    <w:p w14:paraId="241EC920" w14:textId="77777777" w:rsidR="00FC017F" w:rsidRDefault="00FC017F" w:rsidP="00FC017F">
      <w:pPr>
        <w:pStyle w:val="a9"/>
        <w:numPr>
          <w:ilvl w:val="0"/>
          <w:numId w:val="1"/>
        </w:numPr>
        <w:spacing w:line="360" w:lineRule="auto"/>
        <w:jc w:val="both"/>
        <w:rPr>
          <w:rtl/>
        </w:rPr>
      </w:pPr>
      <w:r>
        <w:rPr>
          <w:rtl/>
        </w:rPr>
        <w:t xml:space="preserve">הנאשם, במילתו האחרונה, אמר לבית המשפט כך: "אני לא זוכר מה קרה באותו יום, אבל אם עשיתי את זה אני מאוד מצטער מעומק ליבי.". </w:t>
      </w:r>
    </w:p>
    <w:p w14:paraId="4C168A8B" w14:textId="77777777" w:rsidR="00FC017F" w:rsidRDefault="00FC017F" w:rsidP="00FC017F">
      <w:pPr>
        <w:pStyle w:val="a9"/>
        <w:spacing w:line="360" w:lineRule="auto"/>
        <w:ind w:left="360"/>
        <w:jc w:val="both"/>
        <w:rPr>
          <w:rtl/>
        </w:rPr>
      </w:pPr>
    </w:p>
    <w:p w14:paraId="17CDDFFF" w14:textId="77777777" w:rsidR="00FC017F" w:rsidRDefault="00FC017F" w:rsidP="00FC017F">
      <w:pPr>
        <w:pStyle w:val="a9"/>
        <w:spacing w:line="360" w:lineRule="auto"/>
        <w:ind w:left="360"/>
        <w:jc w:val="both"/>
        <w:rPr>
          <w:rtl/>
        </w:rPr>
      </w:pPr>
      <w:r>
        <w:rPr>
          <w:b/>
          <w:bCs/>
          <w:u w:val="single"/>
          <w:rtl/>
        </w:rPr>
        <w:t>מתחם העונש ההולם</w:t>
      </w:r>
    </w:p>
    <w:p w14:paraId="501709E2" w14:textId="77777777" w:rsidR="00FC017F" w:rsidRDefault="00FC017F" w:rsidP="00FC017F">
      <w:pPr>
        <w:pStyle w:val="a9"/>
        <w:spacing w:line="360" w:lineRule="auto"/>
        <w:ind w:left="360"/>
        <w:jc w:val="both"/>
        <w:rPr>
          <w:rtl/>
        </w:rPr>
      </w:pPr>
    </w:p>
    <w:p w14:paraId="1EE3118C" w14:textId="77777777" w:rsidR="00FC017F" w:rsidRDefault="00FC017F" w:rsidP="00FC017F">
      <w:pPr>
        <w:pStyle w:val="a9"/>
        <w:numPr>
          <w:ilvl w:val="0"/>
          <w:numId w:val="1"/>
        </w:numPr>
        <w:spacing w:line="360" w:lineRule="auto"/>
        <w:jc w:val="both"/>
        <w:rPr>
          <w:rtl/>
        </w:rPr>
      </w:pPr>
      <w:r>
        <w:rPr>
          <w:rtl/>
        </w:rPr>
        <w:t xml:space="preserve">ראשית, בהתאם ל"מבחן הקשר ההדוק" שנקבע במסגרת </w:t>
      </w:r>
      <w:hyperlink r:id="rId40" w:history="1">
        <w:r w:rsidR="00BE7D13" w:rsidRPr="00BE7D13">
          <w:rPr>
            <w:color w:val="0000FF"/>
            <w:u w:val="single"/>
            <w:rtl/>
          </w:rPr>
          <w:t>ע"פ 4910/13</w:t>
        </w:r>
      </w:hyperlink>
      <w:r>
        <w:rPr>
          <w:rtl/>
        </w:rPr>
        <w:t xml:space="preserve"> </w:t>
      </w:r>
      <w:r>
        <w:rPr>
          <w:b/>
          <w:bCs/>
          <w:rtl/>
        </w:rPr>
        <w:t>ג'אבר נ' מדינת ישראל</w:t>
      </w:r>
      <w:r>
        <w:rPr>
          <w:rtl/>
        </w:rPr>
        <w:t xml:space="preserve"> (ניתן ביום 29.10.2014), קשר הדוק בין עבירות המהוות אירוע אחד יימצא כאשר תהיה ביניהן סמיכות זמנים או כאשר הן תהיינה חלק מאותה תוכנית עבריינית אף כאשר הן בוצעו לאורך תקופת זמן שאינה קצרה. </w:t>
      </w:r>
      <w:r>
        <w:rPr>
          <w:rtl/>
        </w:rPr>
        <w:tab/>
      </w:r>
      <w:r>
        <w:rPr>
          <w:rtl/>
        </w:rPr>
        <w:br/>
      </w:r>
    </w:p>
    <w:p w14:paraId="0824F7A9" w14:textId="77777777" w:rsidR="00FC017F" w:rsidRDefault="00FC017F" w:rsidP="00FC017F">
      <w:pPr>
        <w:pStyle w:val="a9"/>
        <w:spacing w:line="360" w:lineRule="auto"/>
        <w:ind w:left="360"/>
        <w:jc w:val="both"/>
      </w:pPr>
      <w:r>
        <w:rPr>
          <w:rtl/>
        </w:rPr>
        <w:t xml:space="preserve">במקרה דנא, מעשיו של הנאשם בוצעו בסמיכות זמנים, נגד אותה מתלוננת, ועל רקע שימוש בסמים ויש בהם כדי להוות אירוע אחד. </w:t>
      </w:r>
    </w:p>
    <w:p w14:paraId="0D3DD308" w14:textId="77777777" w:rsidR="00FC017F" w:rsidRDefault="00FC017F" w:rsidP="00FC017F">
      <w:pPr>
        <w:pStyle w:val="a9"/>
        <w:spacing w:line="360" w:lineRule="auto"/>
        <w:ind w:left="360"/>
        <w:jc w:val="both"/>
      </w:pPr>
    </w:p>
    <w:p w14:paraId="17D59C12" w14:textId="77777777" w:rsidR="00FC017F" w:rsidRDefault="00FC017F" w:rsidP="00FC017F">
      <w:pPr>
        <w:pStyle w:val="a9"/>
        <w:numPr>
          <w:ilvl w:val="0"/>
          <w:numId w:val="1"/>
        </w:numPr>
        <w:spacing w:line="360" w:lineRule="auto"/>
        <w:jc w:val="both"/>
      </w:pPr>
      <w:r>
        <w:rPr>
          <w:rtl/>
        </w:rPr>
        <w:t xml:space="preserve">הערכים המוגנים שנפגעו כתוצאה ממעשיו של הנאשם מגלמים את הצורך לשמור על שלמות גופה ונפשה של המתלוננת. כמו כן פגע הנאשם בערכים של  סדרי שלטון ומשפט, בכך שהפר את תנאי השחרור שנקבעו בעניינו; בהרשעתו בעבירת החזקת הסמים פגע הנאשם בערך של ביעור נגע הסמים, על כל הנזקים וההשלכות הקשות הקשורות בשימוש בהם, ויעיד יותר מכל - מצבו של הנאשם עצמו. </w:t>
      </w:r>
    </w:p>
    <w:p w14:paraId="78D120EC" w14:textId="77777777" w:rsidR="00FC017F" w:rsidRDefault="00FC017F" w:rsidP="00FC017F">
      <w:pPr>
        <w:pStyle w:val="a9"/>
        <w:spacing w:line="360" w:lineRule="auto"/>
        <w:ind w:left="360"/>
        <w:jc w:val="both"/>
      </w:pPr>
    </w:p>
    <w:p w14:paraId="09E8FB65" w14:textId="77777777" w:rsidR="00FC017F" w:rsidRDefault="00FC017F" w:rsidP="00FC017F">
      <w:pPr>
        <w:pStyle w:val="a9"/>
        <w:numPr>
          <w:ilvl w:val="0"/>
          <w:numId w:val="1"/>
        </w:numPr>
        <w:spacing w:line="360" w:lineRule="auto"/>
        <w:jc w:val="both"/>
      </w:pPr>
      <w:r>
        <w:rPr>
          <w:rtl/>
        </w:rPr>
        <w:t xml:space="preserve">מידת הפגיעה בערכים המוגנים במקרה דנא היא בינונית - גבוהה. הנאשם ביצע עבירות קשות בעת ששוחרר ממעצר בתנאים מגבילים, עקב עבירות נגד אותה המתלוננת האומללה ממש. הנאשם הפר את אמון בית המשפט, ולא רק ש"התקרב" למתלוננת, אלא שביצע כלפיה עבירות אלימות קשות ומשפילות, כאמור, והוסיף וחטא (גם אם לא הורשע) בכך שאף דרש ממנה שלא לומר דבר למשטרה. </w:t>
      </w:r>
    </w:p>
    <w:p w14:paraId="4A00F655" w14:textId="77777777" w:rsidR="00FC017F" w:rsidRDefault="00FC017F" w:rsidP="00FC017F">
      <w:pPr>
        <w:pStyle w:val="a9"/>
        <w:spacing w:line="360" w:lineRule="auto"/>
        <w:ind w:left="360"/>
        <w:jc w:val="both"/>
      </w:pPr>
    </w:p>
    <w:p w14:paraId="21F6EDE7" w14:textId="77777777" w:rsidR="00FC017F" w:rsidRDefault="00FC017F" w:rsidP="00FC017F">
      <w:pPr>
        <w:pStyle w:val="a9"/>
        <w:spacing w:line="360" w:lineRule="auto"/>
        <w:ind w:left="360"/>
        <w:jc w:val="both"/>
        <w:rPr>
          <w:rtl/>
        </w:rPr>
      </w:pPr>
      <w:r>
        <w:rPr>
          <w:rtl/>
        </w:rPr>
        <w:t xml:space="preserve">לא ניתן שלא להביע שאט נפש ממש אל מול התנהגותו החייתית ממש של הנאשם כלפי אשה, בת זוג, באלימות קשה, ולא "רגילה", אלא כזו הטבולה באלמנט חוזר ונשנה של השפלת הקורבן. </w:t>
      </w:r>
    </w:p>
    <w:p w14:paraId="19117449" w14:textId="77777777" w:rsidR="00FC017F" w:rsidRDefault="00FC017F" w:rsidP="00FC017F">
      <w:pPr>
        <w:pStyle w:val="a9"/>
        <w:spacing w:line="360" w:lineRule="auto"/>
        <w:ind w:left="360"/>
        <w:jc w:val="both"/>
      </w:pPr>
    </w:p>
    <w:p w14:paraId="4DA6E54B" w14:textId="77777777" w:rsidR="00FC017F" w:rsidRDefault="00FC017F" w:rsidP="00FC017F">
      <w:pPr>
        <w:pStyle w:val="a9"/>
        <w:numPr>
          <w:ilvl w:val="0"/>
          <w:numId w:val="1"/>
        </w:numPr>
        <w:spacing w:line="360" w:lineRule="auto"/>
        <w:jc w:val="both"/>
      </w:pPr>
      <w:r>
        <w:rPr>
          <w:rtl/>
        </w:rPr>
        <w:t xml:space="preserve">אשר למדיניות הענישה הנהוגה: ידענו כי קיים טווח ענישה רחב מאוד בכל הנוגע לעבירות אלימות ואיומים נגד בת זוג, וכל מקרה מוכרע לגופו, ועל  פי נסיבותיו, אף בשלב קביעת המתחם העונשי. בכל זאת, אתייחס להלן לכמה פסקי הדין הרלוונטיים לענייננו: </w:t>
      </w:r>
    </w:p>
    <w:p w14:paraId="16B740BF" w14:textId="77777777" w:rsidR="00FC017F" w:rsidRDefault="00FC017F" w:rsidP="00FC017F">
      <w:pPr>
        <w:pStyle w:val="a9"/>
        <w:spacing w:line="360" w:lineRule="auto"/>
        <w:ind w:left="360"/>
        <w:jc w:val="both"/>
      </w:pPr>
    </w:p>
    <w:p w14:paraId="0F3B9257" w14:textId="77777777" w:rsidR="00FC017F" w:rsidRDefault="00FC017F" w:rsidP="00FC017F">
      <w:pPr>
        <w:pStyle w:val="a9"/>
        <w:numPr>
          <w:ilvl w:val="0"/>
          <w:numId w:val="2"/>
        </w:numPr>
        <w:spacing w:line="360" w:lineRule="auto"/>
        <w:jc w:val="both"/>
        <w:rPr>
          <w:rtl/>
        </w:rPr>
      </w:pPr>
      <w:r>
        <w:rPr>
          <w:rtl/>
        </w:rPr>
        <w:t>ב</w:t>
      </w:r>
      <w:hyperlink r:id="rId41" w:history="1">
        <w:r w:rsidR="00BE7D13" w:rsidRPr="00BE7D13">
          <w:rPr>
            <w:color w:val="0000FF"/>
            <w:u w:val="single"/>
            <w:rtl/>
          </w:rPr>
          <w:t>ת"פ (מחוזי חיפה) 25891-02-15</w:t>
        </w:r>
      </w:hyperlink>
      <w:r>
        <w:rPr>
          <w:rtl/>
        </w:rPr>
        <w:t xml:space="preserve"> </w:t>
      </w:r>
      <w:r>
        <w:rPr>
          <w:b/>
          <w:bCs/>
          <w:rtl/>
        </w:rPr>
        <w:t>מדינת ישראל נ' דמרי</w:t>
      </w:r>
      <w:r>
        <w:rPr>
          <w:rtl/>
        </w:rPr>
        <w:t xml:space="preserve"> (ניתן ביום 20.6.2016) הנאשם הורשע על פי הודאתו במעשי אלימות רבים שהביאו לפגיעה קשה מאוד בבת זוגו, ובאיומים נגדה. בית המשפט המחוזי קבע כי מתחם העונש ההולם נע בין 15 חודשי מאסר ועד 36 חודשי מאסר בפועל. בית המשפט המחוזי השית על נאשם עונש של 24 חודשי מאסר, בהתאם לנסיבותיו של הנאשם שם. </w:t>
      </w:r>
    </w:p>
    <w:p w14:paraId="7B69DADC" w14:textId="77777777" w:rsidR="00FC017F" w:rsidRDefault="00FC017F" w:rsidP="00FC017F">
      <w:pPr>
        <w:pStyle w:val="a9"/>
        <w:spacing w:line="360" w:lineRule="auto"/>
        <w:ind w:left="1080"/>
        <w:jc w:val="both"/>
      </w:pPr>
    </w:p>
    <w:p w14:paraId="26FE2029" w14:textId="77777777" w:rsidR="00FC017F" w:rsidRDefault="00FC017F" w:rsidP="00FC017F">
      <w:pPr>
        <w:pStyle w:val="a9"/>
        <w:spacing w:line="360" w:lineRule="auto"/>
        <w:ind w:left="1080"/>
        <w:jc w:val="both"/>
        <w:rPr>
          <w:rtl/>
        </w:rPr>
      </w:pPr>
      <w:r>
        <w:rPr>
          <w:rtl/>
        </w:rPr>
        <w:t xml:space="preserve">יצוין, כי בית המשפט העליון הקל בעונשו של הנאשם (הופחתו 4 חודשי מאסר), בהסכמה, נוכח ההליך השיקומי בעניינו (ראו ע"פ </w:t>
      </w:r>
      <w:hyperlink r:id="rId42" w:history="1">
        <w:r w:rsidR="00BE7D13" w:rsidRPr="00BE7D13">
          <w:rPr>
            <w:color w:val="0000FF"/>
            <w:u w:val="single"/>
            <w:rtl/>
          </w:rPr>
          <w:t>עפ 5383/16</w:t>
        </w:r>
      </w:hyperlink>
      <w:r>
        <w:rPr>
          <w:rtl/>
        </w:rPr>
        <w:t xml:space="preserve"> </w:t>
      </w:r>
      <w:r>
        <w:rPr>
          <w:b/>
          <w:bCs/>
          <w:rtl/>
        </w:rPr>
        <w:t>דמרי נ' מדינת ישראל</w:t>
      </w:r>
      <w:r>
        <w:rPr>
          <w:rtl/>
        </w:rPr>
        <w:t xml:space="preserve"> [ניתן ביום 9.1.2017). </w:t>
      </w:r>
    </w:p>
    <w:p w14:paraId="7E2490A5" w14:textId="77777777" w:rsidR="00FC017F" w:rsidRDefault="00FC017F" w:rsidP="00FC017F">
      <w:pPr>
        <w:pStyle w:val="a9"/>
        <w:spacing w:line="360" w:lineRule="auto"/>
        <w:ind w:left="1080"/>
        <w:jc w:val="both"/>
        <w:rPr>
          <w:rtl/>
        </w:rPr>
      </w:pPr>
    </w:p>
    <w:p w14:paraId="5BCDFC48" w14:textId="77777777" w:rsidR="00FC017F" w:rsidRDefault="00FC017F" w:rsidP="00FC017F">
      <w:pPr>
        <w:pStyle w:val="a9"/>
        <w:numPr>
          <w:ilvl w:val="0"/>
          <w:numId w:val="2"/>
        </w:numPr>
        <w:spacing w:line="360" w:lineRule="auto"/>
        <w:jc w:val="both"/>
        <w:rPr>
          <w:rtl/>
        </w:rPr>
      </w:pPr>
      <w:r>
        <w:rPr>
          <w:rtl/>
        </w:rPr>
        <w:t>ב</w:t>
      </w:r>
      <w:hyperlink r:id="rId43" w:history="1">
        <w:r w:rsidR="00BE7D13" w:rsidRPr="00BE7D13">
          <w:rPr>
            <w:color w:val="0000FF"/>
            <w:u w:val="single"/>
            <w:rtl/>
          </w:rPr>
          <w:t>ע"פ 669/12</w:t>
        </w:r>
      </w:hyperlink>
      <w:r>
        <w:rPr>
          <w:rtl/>
        </w:rPr>
        <w:t xml:space="preserve"> </w:t>
      </w:r>
      <w:r>
        <w:rPr>
          <w:b/>
          <w:bCs/>
          <w:rtl/>
        </w:rPr>
        <w:t>עמיאל נגד מדינת ישראל</w:t>
      </w:r>
      <w:r>
        <w:rPr>
          <w:rtl/>
        </w:rPr>
        <w:t xml:space="preserve"> (19.04.12) נדחה ערעורו של המערער נגד גזר הדין שניתן בעניינו על ידי בית המשפט המחוזי. המערער הורשע בכך שבמשך כל תקופת נישואיהם של מערער ובת זוגו, נהג כלפיה באלימות, ואיומים. בין היתר, כשהיתה בהריון תקף אותה גם בבטנה, קילל אותה, הילך עליה אימים, הצר את צעדיה והרבה להשפילה. בהיותם בחדר הלידה אף צעק לעברה "הלוואי שתמותי" ואיים עליה לבל תפנה למשטרה פן יגרום לה סבל וישלח חברים שלו להכותה. בשלב מסויים נאלצה המתלוננת לברוח למקלט לנשים מוכות.</w:t>
      </w:r>
    </w:p>
    <w:p w14:paraId="08543731" w14:textId="77777777" w:rsidR="00FC017F" w:rsidRDefault="00FC017F" w:rsidP="00FC017F">
      <w:pPr>
        <w:pStyle w:val="a9"/>
        <w:spacing w:line="360" w:lineRule="auto"/>
        <w:ind w:left="1080"/>
        <w:jc w:val="both"/>
      </w:pPr>
    </w:p>
    <w:p w14:paraId="21D60EE5" w14:textId="77777777" w:rsidR="00FC017F" w:rsidRDefault="00FC017F" w:rsidP="00FC017F">
      <w:pPr>
        <w:pStyle w:val="a9"/>
        <w:spacing w:line="360" w:lineRule="auto"/>
        <w:ind w:left="1080"/>
        <w:jc w:val="both"/>
        <w:rPr>
          <w:rtl/>
        </w:rPr>
      </w:pPr>
      <w:r>
        <w:rPr>
          <w:rtl/>
        </w:rPr>
        <w:t xml:space="preserve">בית המשפט המחוזי השית על המערער, בין היתר, עונש של 24 חודשי מאסר בפועל. ערעורו לבית המשפט העליון – נדחה. </w:t>
      </w:r>
    </w:p>
    <w:p w14:paraId="2C063498" w14:textId="77777777" w:rsidR="00FC017F" w:rsidRDefault="00FC017F" w:rsidP="00FC017F">
      <w:pPr>
        <w:pStyle w:val="a9"/>
        <w:spacing w:line="360" w:lineRule="auto"/>
        <w:ind w:left="1080"/>
        <w:jc w:val="both"/>
      </w:pPr>
    </w:p>
    <w:p w14:paraId="051C770D" w14:textId="77777777" w:rsidR="00FC017F" w:rsidRDefault="00FC017F" w:rsidP="00FC017F">
      <w:pPr>
        <w:pStyle w:val="a9"/>
        <w:numPr>
          <w:ilvl w:val="0"/>
          <w:numId w:val="2"/>
        </w:numPr>
        <w:spacing w:line="360" w:lineRule="auto"/>
        <w:jc w:val="both"/>
      </w:pPr>
      <w:r>
        <w:rPr>
          <w:rtl/>
        </w:rPr>
        <w:t>ב</w:t>
      </w:r>
      <w:hyperlink r:id="rId44" w:history="1">
        <w:r w:rsidR="00BE7D13" w:rsidRPr="00BE7D13">
          <w:rPr>
            <w:color w:val="0000FF"/>
            <w:u w:val="single"/>
            <w:rtl/>
          </w:rPr>
          <w:t>ע"פ 2358/14</w:t>
        </w:r>
      </w:hyperlink>
      <w:r>
        <w:rPr>
          <w:rtl/>
        </w:rPr>
        <w:t xml:space="preserve"> </w:t>
      </w:r>
      <w:r>
        <w:rPr>
          <w:b/>
          <w:bCs/>
          <w:rtl/>
        </w:rPr>
        <w:t>פלוני נגד מדינת ישראל</w:t>
      </w:r>
      <w:r>
        <w:rPr>
          <w:rtl/>
        </w:rPr>
        <w:t xml:space="preserve"> (ניתן ביום 21.05.14) נדחה ערעורו של המערער נגד גזר הדין שניתן בעניינו בביית המשפט המחוזי. המערער הורשע בכך שתקף את בת זוגו פעמים רבות ואיים עליה, בין היתר בכך שאמר לה כי "אם תרדם הוא ישפוך עליה מים רותחים, היא תהיה עיוורת, מלאת כוויות ואף אחד לא יסתכל עליה". כמו כן, דחף אותה, סטר לה ונהג להתנהג כלפיה באלימות פיזית ומילולית באורך קבע. </w:t>
      </w:r>
    </w:p>
    <w:p w14:paraId="300FDA4E" w14:textId="77777777" w:rsidR="00FC017F" w:rsidRDefault="00FC017F" w:rsidP="00FC017F">
      <w:pPr>
        <w:pStyle w:val="a9"/>
        <w:spacing w:line="360" w:lineRule="auto"/>
        <w:ind w:left="1080"/>
        <w:jc w:val="both"/>
      </w:pPr>
    </w:p>
    <w:p w14:paraId="6B36BF18" w14:textId="77777777" w:rsidR="00FC017F" w:rsidRDefault="00FC017F" w:rsidP="00FC017F">
      <w:pPr>
        <w:pStyle w:val="a9"/>
        <w:spacing w:line="360" w:lineRule="auto"/>
        <w:ind w:left="1080"/>
        <w:jc w:val="both"/>
        <w:rPr>
          <w:rtl/>
        </w:rPr>
      </w:pPr>
      <w:r>
        <w:rPr>
          <w:rtl/>
        </w:rPr>
        <w:t xml:space="preserve">בית המשפט המחוזי גזר על המערער עונש של 15 חודשי מאסר בפועל. ערעורו נגד חומרת גזר הדין נדחה. </w:t>
      </w:r>
    </w:p>
    <w:p w14:paraId="2E4DF6FA" w14:textId="77777777" w:rsidR="00FC017F" w:rsidRDefault="00FC017F" w:rsidP="00FC017F">
      <w:pPr>
        <w:pStyle w:val="a9"/>
        <w:spacing w:line="360" w:lineRule="auto"/>
        <w:ind w:left="1080"/>
        <w:jc w:val="both"/>
        <w:rPr>
          <w:rtl/>
        </w:rPr>
      </w:pPr>
      <w:r>
        <w:rPr>
          <w:rtl/>
        </w:rPr>
        <w:t xml:space="preserve"> </w:t>
      </w:r>
    </w:p>
    <w:p w14:paraId="0008A705" w14:textId="77777777" w:rsidR="00FC017F" w:rsidRDefault="00FC017F" w:rsidP="00FC017F">
      <w:pPr>
        <w:spacing w:line="360" w:lineRule="auto"/>
        <w:jc w:val="both"/>
        <w:rPr>
          <w:rtl/>
        </w:rPr>
      </w:pPr>
    </w:p>
    <w:p w14:paraId="66FC2841" w14:textId="77777777" w:rsidR="00FC017F" w:rsidRDefault="00FC017F" w:rsidP="00FC017F">
      <w:pPr>
        <w:spacing w:line="360" w:lineRule="auto"/>
        <w:jc w:val="both"/>
        <w:rPr>
          <w:rtl/>
        </w:rPr>
      </w:pPr>
    </w:p>
    <w:p w14:paraId="72A143B7" w14:textId="77777777" w:rsidR="00FC017F" w:rsidRDefault="00FC017F" w:rsidP="00FC017F">
      <w:pPr>
        <w:spacing w:line="360" w:lineRule="auto"/>
        <w:jc w:val="both"/>
        <w:rPr>
          <w:rtl/>
        </w:rPr>
      </w:pPr>
    </w:p>
    <w:p w14:paraId="2FAFC5DB" w14:textId="77777777" w:rsidR="00FC017F" w:rsidRDefault="00FC017F" w:rsidP="00FC017F">
      <w:pPr>
        <w:spacing w:line="360" w:lineRule="auto"/>
        <w:jc w:val="both"/>
        <w:rPr>
          <w:rtl/>
        </w:rPr>
      </w:pPr>
    </w:p>
    <w:p w14:paraId="05463E80" w14:textId="77777777" w:rsidR="00FC017F" w:rsidRDefault="00FC017F" w:rsidP="00FC017F">
      <w:pPr>
        <w:spacing w:line="360" w:lineRule="auto"/>
        <w:jc w:val="both"/>
      </w:pPr>
    </w:p>
    <w:p w14:paraId="72D8631A" w14:textId="77777777" w:rsidR="00FC017F" w:rsidRDefault="00FC017F" w:rsidP="00FC017F">
      <w:pPr>
        <w:spacing w:line="360" w:lineRule="auto"/>
        <w:jc w:val="both"/>
        <w:rPr>
          <w:u w:val="single"/>
          <w:rtl/>
        </w:rPr>
      </w:pPr>
      <w:r>
        <w:rPr>
          <w:u w:val="single"/>
          <w:rtl/>
        </w:rPr>
        <w:t xml:space="preserve">קרבת הנאשם לסייגים השונים לאחריות פלילית </w:t>
      </w:r>
    </w:p>
    <w:p w14:paraId="725EDBE5" w14:textId="77777777" w:rsidR="00FC017F" w:rsidRDefault="00FC017F" w:rsidP="00FC017F">
      <w:pPr>
        <w:spacing w:line="360" w:lineRule="auto"/>
        <w:jc w:val="both"/>
        <w:rPr>
          <w:u w:val="single"/>
          <w:rtl/>
        </w:rPr>
      </w:pPr>
    </w:p>
    <w:p w14:paraId="3C26DF58" w14:textId="77777777" w:rsidR="00FC017F" w:rsidRDefault="00FC017F" w:rsidP="00FC017F">
      <w:pPr>
        <w:pStyle w:val="a9"/>
        <w:numPr>
          <w:ilvl w:val="0"/>
          <w:numId w:val="1"/>
        </w:numPr>
        <w:spacing w:line="360" w:lineRule="auto"/>
        <w:jc w:val="both"/>
        <w:rPr>
          <w:rtl/>
        </w:rPr>
      </w:pPr>
      <w:r>
        <w:rPr>
          <w:rtl/>
        </w:rPr>
        <w:t xml:space="preserve">על פי סעיף </w:t>
      </w:r>
      <w:hyperlink r:id="rId45" w:history="1">
        <w:r w:rsidR="001508D3" w:rsidRPr="001508D3">
          <w:rPr>
            <w:color w:val="0000FF"/>
            <w:u w:val="single"/>
            <w:rtl/>
          </w:rPr>
          <w:t>40ט (9)</w:t>
        </w:r>
      </w:hyperlink>
      <w:r>
        <w:rPr>
          <w:rtl/>
        </w:rPr>
        <w:t xml:space="preserve"> ל</w:t>
      </w:r>
      <w:hyperlink r:id="rId46" w:history="1">
        <w:r w:rsidR="00BE7D13" w:rsidRPr="00BE7D13">
          <w:rPr>
            <w:color w:val="0000FF"/>
            <w:u w:val="single"/>
            <w:rtl/>
          </w:rPr>
          <w:t>חוק העונשין</w:t>
        </w:r>
      </w:hyperlink>
      <w:r>
        <w:rPr>
          <w:rtl/>
        </w:rPr>
        <w:t xml:space="preserve">, בית המשפט רשאי להתחשב בקרבת הנאשם לסייג לאחריות פלילית כאמור בסימן ב' לפרק ה'1, אם זו הוכחה ברמת ההוכחה הנדרשת במשפט אזרחי (ראו </w:t>
      </w:r>
      <w:hyperlink r:id="rId47" w:history="1">
        <w:r w:rsidR="001508D3" w:rsidRPr="001508D3">
          <w:rPr>
            <w:color w:val="0000FF"/>
            <w:u w:val="single"/>
            <w:rtl/>
          </w:rPr>
          <w:t>סעיף 40י(ג)</w:t>
        </w:r>
      </w:hyperlink>
      <w:r>
        <w:rPr>
          <w:rtl/>
        </w:rPr>
        <w:t xml:space="preserve"> לחוק העונשין). </w:t>
      </w:r>
    </w:p>
    <w:p w14:paraId="3A531640" w14:textId="77777777" w:rsidR="00FC017F" w:rsidRDefault="00FC017F" w:rsidP="00FC017F">
      <w:pPr>
        <w:pStyle w:val="a9"/>
        <w:spacing w:line="360" w:lineRule="auto"/>
        <w:ind w:left="360"/>
        <w:jc w:val="both"/>
        <w:rPr>
          <w:rtl/>
        </w:rPr>
      </w:pPr>
    </w:p>
    <w:p w14:paraId="20896294" w14:textId="77777777" w:rsidR="00FC017F" w:rsidRDefault="00FC017F" w:rsidP="00FC017F">
      <w:pPr>
        <w:pStyle w:val="a9"/>
        <w:numPr>
          <w:ilvl w:val="0"/>
          <w:numId w:val="1"/>
        </w:numPr>
        <w:spacing w:line="360" w:lineRule="auto"/>
        <w:jc w:val="both"/>
      </w:pPr>
      <w:r>
        <w:rPr>
          <w:rtl/>
        </w:rPr>
        <w:t xml:space="preserve">טענת ההגנה באשר לקרבה לסייג לאחריות פלילית מסוג הגנת השכרות לא יכולה להתקבל במקרה דנא, וראו בעניין זה קביעות בית המשפט העליון במסגרת </w:t>
      </w:r>
      <w:hyperlink r:id="rId48" w:history="1">
        <w:r w:rsidR="00BE7D13" w:rsidRPr="00BE7D13">
          <w:rPr>
            <w:color w:val="0000FF"/>
            <w:u w:val="single"/>
            <w:rtl/>
          </w:rPr>
          <w:t>ע"פ 6001/13</w:t>
        </w:r>
      </w:hyperlink>
      <w:r>
        <w:rPr>
          <w:rtl/>
        </w:rPr>
        <w:t xml:space="preserve"> </w:t>
      </w:r>
      <w:r>
        <w:rPr>
          <w:b/>
          <w:bCs/>
          <w:rtl/>
        </w:rPr>
        <w:t>קסה נ' מדינת ישראל</w:t>
      </w:r>
      <w:r>
        <w:rPr>
          <w:rtl/>
        </w:rPr>
        <w:t xml:space="preserve"> (ניתן ביום 29.1.2014), </w:t>
      </w:r>
      <w:hyperlink r:id="rId49" w:history="1">
        <w:r w:rsidR="00BE7D13" w:rsidRPr="00BE7D13">
          <w:rPr>
            <w:color w:val="0000FF"/>
            <w:u w:val="single"/>
            <w:rtl/>
          </w:rPr>
          <w:t>ע"פ 7701/14</w:t>
        </w:r>
      </w:hyperlink>
      <w:r>
        <w:rPr>
          <w:rtl/>
        </w:rPr>
        <w:t xml:space="preserve"> </w:t>
      </w:r>
      <w:r>
        <w:rPr>
          <w:b/>
          <w:bCs/>
          <w:rtl/>
        </w:rPr>
        <w:t>טייב נ' מדינת ישראל</w:t>
      </w:r>
      <w:r>
        <w:rPr>
          <w:rtl/>
        </w:rPr>
        <w:t xml:space="preserve"> (ניתן ביום 16.5.2016) (להלן: עניין טייב) ו</w:t>
      </w:r>
      <w:hyperlink r:id="rId50" w:history="1">
        <w:r w:rsidR="00BE7D13" w:rsidRPr="00BE7D13">
          <w:rPr>
            <w:color w:val="0000FF"/>
            <w:u w:val="single"/>
            <w:rtl/>
          </w:rPr>
          <w:t>ע"פ 9356/09</w:t>
        </w:r>
      </w:hyperlink>
      <w:r>
        <w:rPr>
          <w:rtl/>
        </w:rPr>
        <w:t xml:space="preserve"> </w:t>
      </w:r>
      <w:r>
        <w:rPr>
          <w:b/>
          <w:bCs/>
          <w:rtl/>
        </w:rPr>
        <w:t>פלוני נ' מדינת ישראל</w:t>
      </w:r>
      <w:r>
        <w:rPr>
          <w:rtl/>
        </w:rPr>
        <w:t xml:space="preserve"> (ניתן ביום 24.10.2010). </w:t>
      </w:r>
    </w:p>
    <w:p w14:paraId="51978CA0" w14:textId="77777777" w:rsidR="00FC017F" w:rsidRDefault="00FC017F" w:rsidP="00FC017F">
      <w:pPr>
        <w:pStyle w:val="a9"/>
        <w:spacing w:line="360" w:lineRule="auto"/>
        <w:ind w:left="360"/>
        <w:jc w:val="both"/>
      </w:pPr>
    </w:p>
    <w:p w14:paraId="3DFAAD31" w14:textId="77777777" w:rsidR="00FC017F" w:rsidRDefault="00FC017F" w:rsidP="00FC017F">
      <w:pPr>
        <w:pStyle w:val="a9"/>
        <w:spacing w:line="360" w:lineRule="auto"/>
        <w:ind w:left="360"/>
        <w:jc w:val="both"/>
        <w:rPr>
          <w:rtl/>
        </w:rPr>
      </w:pPr>
      <w:r>
        <w:rPr>
          <w:rtl/>
        </w:rPr>
        <w:t xml:space="preserve">על פי פסיקת בית המשפט העליון, כלל הוא, שכאשר הנאשם נכנס למצב של שכרות כתוצאה מהתנהגותו, אין מקום להקלה בעונשו (ראו בעניין זה קביעות השופטים השונות בעניין טייב). </w:t>
      </w:r>
    </w:p>
    <w:p w14:paraId="54D30D30" w14:textId="77777777" w:rsidR="00FC017F" w:rsidRDefault="00FC017F" w:rsidP="00FC017F">
      <w:pPr>
        <w:pStyle w:val="a9"/>
        <w:spacing w:line="360" w:lineRule="auto"/>
        <w:ind w:left="360"/>
        <w:jc w:val="both"/>
        <w:rPr>
          <w:rtl/>
        </w:rPr>
      </w:pPr>
    </w:p>
    <w:p w14:paraId="3FADC2DA" w14:textId="77777777" w:rsidR="00FC017F" w:rsidRDefault="00FC017F" w:rsidP="00FC017F">
      <w:pPr>
        <w:pStyle w:val="a9"/>
        <w:spacing w:line="360" w:lineRule="auto"/>
        <w:ind w:left="360"/>
        <w:jc w:val="both"/>
        <w:rPr>
          <w:rtl/>
        </w:rPr>
      </w:pPr>
      <w:r>
        <w:rPr>
          <w:rtl/>
        </w:rPr>
        <w:t xml:space="preserve">במקרה דנא, הנאשם היה מכור לסמים מרצונו, ואין נסיבות מיוחדות שיש בהן כדי לסטות מקביעת בית המשפט העליון (ראו גם: ת"פ [שלום כ"ס] 71184-01-14 </w:t>
      </w:r>
      <w:r>
        <w:rPr>
          <w:b/>
          <w:bCs/>
          <w:rtl/>
        </w:rPr>
        <w:t>מדינת ישראל נ' ראבי</w:t>
      </w:r>
      <w:r>
        <w:rPr>
          <w:rtl/>
        </w:rPr>
        <w:t xml:space="preserve"> [ניתן ביום 9.5.2017]). </w:t>
      </w:r>
    </w:p>
    <w:p w14:paraId="08190BED" w14:textId="77777777" w:rsidR="00FC017F" w:rsidRDefault="00FC017F" w:rsidP="00FC017F">
      <w:pPr>
        <w:pStyle w:val="a9"/>
        <w:spacing w:line="360" w:lineRule="auto"/>
        <w:ind w:left="360"/>
        <w:jc w:val="both"/>
        <w:rPr>
          <w:rtl/>
        </w:rPr>
      </w:pPr>
    </w:p>
    <w:p w14:paraId="43EB37B3" w14:textId="77777777" w:rsidR="00FC017F" w:rsidRDefault="00FC017F" w:rsidP="00FC017F">
      <w:pPr>
        <w:pStyle w:val="a9"/>
        <w:numPr>
          <w:ilvl w:val="0"/>
          <w:numId w:val="1"/>
        </w:numPr>
        <w:spacing w:line="360" w:lineRule="auto"/>
        <w:jc w:val="both"/>
      </w:pPr>
      <w:r>
        <w:rPr>
          <w:rtl/>
        </w:rPr>
        <w:t xml:space="preserve">שונים הם פני הדברים באשר לקרבת נאשם זה לסייג לאחריות פלילית מסוג אי שפיות. </w:t>
      </w:r>
    </w:p>
    <w:p w14:paraId="31C49523" w14:textId="77777777" w:rsidR="00FC017F" w:rsidRDefault="00FC017F" w:rsidP="00FC017F">
      <w:pPr>
        <w:spacing w:line="360" w:lineRule="auto"/>
        <w:jc w:val="both"/>
      </w:pPr>
    </w:p>
    <w:p w14:paraId="5D9A21A6" w14:textId="77777777" w:rsidR="00FC017F" w:rsidRDefault="00FC017F" w:rsidP="00FC017F">
      <w:pPr>
        <w:pStyle w:val="a9"/>
        <w:numPr>
          <w:ilvl w:val="0"/>
          <w:numId w:val="1"/>
        </w:numPr>
        <w:spacing w:line="360" w:lineRule="auto"/>
        <w:jc w:val="both"/>
      </w:pPr>
      <w:r>
        <w:rPr>
          <w:rtl/>
        </w:rPr>
        <w:t>בית המשפט העליון קבע כי ניתן להתחשב במצבו הנפשי של הנאשם במסגרת שאלת אשמו, גם אם ברקע למצבו הנפשי יש שימוש בסמים.</w:t>
      </w:r>
    </w:p>
    <w:p w14:paraId="7D09D782" w14:textId="77777777" w:rsidR="00FC017F" w:rsidRDefault="00FC017F" w:rsidP="00FC017F">
      <w:pPr>
        <w:pStyle w:val="a9"/>
      </w:pPr>
    </w:p>
    <w:p w14:paraId="7D9DA03E" w14:textId="77777777" w:rsidR="00FC017F" w:rsidRDefault="00FC017F" w:rsidP="00FC017F">
      <w:pPr>
        <w:pStyle w:val="a9"/>
        <w:spacing w:line="360" w:lineRule="auto"/>
        <w:ind w:left="360"/>
        <w:jc w:val="both"/>
      </w:pPr>
      <w:r>
        <w:rPr>
          <w:rtl/>
        </w:rPr>
        <w:t xml:space="preserve">ראו לעניין זה את קביעת בית המשפט העליון במסגרת הלכת קאדריה, לפיה להתמכרותו של נאשם ניתן, בנסיבות מסוימות, ליתן משקל בעת גזירת עונשו (ראו פסקה "ע" לפסק הדין). </w:t>
      </w:r>
      <w:r>
        <w:rPr>
          <w:rtl/>
        </w:rPr>
        <w:tab/>
      </w:r>
    </w:p>
    <w:p w14:paraId="23195AD8" w14:textId="77777777" w:rsidR="00FC017F" w:rsidRDefault="00FC017F" w:rsidP="00FC017F">
      <w:pPr>
        <w:pStyle w:val="a9"/>
        <w:numPr>
          <w:ilvl w:val="0"/>
          <w:numId w:val="1"/>
        </w:numPr>
        <w:spacing w:line="360" w:lineRule="auto"/>
        <w:jc w:val="both"/>
        <w:rPr>
          <w:rtl/>
        </w:rPr>
      </w:pPr>
      <w:r>
        <w:rPr>
          <w:rtl/>
        </w:rPr>
        <w:t xml:space="preserve">כמו כן ראו את קביעת בית המשפט העליון, במסגרת </w:t>
      </w:r>
      <w:hyperlink r:id="rId51" w:history="1">
        <w:r w:rsidR="00BE7D13" w:rsidRPr="00BE7D13">
          <w:rPr>
            <w:color w:val="0000FF"/>
            <w:u w:val="single"/>
            <w:rtl/>
          </w:rPr>
          <w:t>ע"פ 10416/07</w:t>
        </w:r>
      </w:hyperlink>
      <w:r>
        <w:rPr>
          <w:rtl/>
        </w:rPr>
        <w:t xml:space="preserve"> ‏</w:t>
      </w:r>
      <w:r>
        <w:rPr>
          <w:b/>
          <w:bCs/>
          <w:rtl/>
        </w:rPr>
        <w:t>דולינסקי נ' מדינת ישראל</w:t>
      </w:r>
      <w:r>
        <w:rPr>
          <w:rtl/>
        </w:rPr>
        <w:t xml:space="preserve"> (ניתן ביום 7.12.2009) (להלן: עניין דולינסקי) לפיה "השאלה מה המשקל שיש ליתן למצבו הנפשי של הנאשם בעת ביצוע העבירה לצורך הקלה בעונש, היא שאלה "כמותית", שאיני רואה לקבוע בה מסמרות. </w:t>
      </w:r>
      <w:r>
        <w:rPr>
          <w:b/>
          <w:bCs/>
          <w:rtl/>
        </w:rPr>
        <w:t>כל מקרה יש לבחון לגופו על פי נסיבות ביצוע העבירה וחומרתה ועל פי נסיבותיו האישיות של הנאשם</w:t>
      </w:r>
      <w:r>
        <w:rPr>
          <w:rtl/>
        </w:rPr>
        <w:t>...".</w:t>
      </w:r>
    </w:p>
    <w:p w14:paraId="1EBECEBD" w14:textId="77777777" w:rsidR="00FC017F" w:rsidRDefault="00FC017F" w:rsidP="00FC017F">
      <w:pPr>
        <w:pStyle w:val="a9"/>
        <w:spacing w:line="360" w:lineRule="auto"/>
        <w:ind w:left="360"/>
        <w:jc w:val="both"/>
        <w:rPr>
          <w:rtl/>
        </w:rPr>
      </w:pPr>
    </w:p>
    <w:p w14:paraId="190DD9F7" w14:textId="77777777" w:rsidR="00FC017F" w:rsidRDefault="00FC017F" w:rsidP="00FC017F">
      <w:pPr>
        <w:pStyle w:val="a9"/>
        <w:spacing w:line="360" w:lineRule="auto"/>
        <w:ind w:left="360"/>
        <w:jc w:val="both"/>
        <w:rPr>
          <w:rtl/>
        </w:rPr>
      </w:pPr>
      <w:r>
        <w:rPr>
          <w:rtl/>
        </w:rPr>
        <w:t xml:space="preserve">יודגש, כי בעניין דולינסקי, היה מדובר במערער אשר עלה מחוות הדעת הפסיכיאטרית שאומצה שם על ידי הצדדים בעניינו כי: "בעת ביצוע העבירה המיוחסת לו, הנבדק היה שרוי במצב פסיכוטי פרנואידלי, בעיקר, דלוזיונלי אשר להערכתי, </w:t>
      </w:r>
      <w:r>
        <w:rPr>
          <w:b/>
          <w:bCs/>
          <w:rtl/>
        </w:rPr>
        <w:t>נגרם ע"י שימוש מסיבי בסמים</w:t>
      </w:r>
      <w:r>
        <w:rPr>
          <w:rtl/>
        </w:rPr>
        <w:t xml:space="preserve">. מצב זה גרם לפגיעה בוחן המציאות של הנבדק אשר התבטאה במחשבות שווא של יחס ורדיפה כלפי הקורבן. יחד עם זאת, שיפוטו החברתי נשאר שמור...". </w:t>
      </w:r>
    </w:p>
    <w:p w14:paraId="436FA023" w14:textId="77777777" w:rsidR="00FC017F" w:rsidRDefault="00FC017F" w:rsidP="00FC017F">
      <w:pPr>
        <w:pStyle w:val="a9"/>
        <w:spacing w:line="360" w:lineRule="auto"/>
        <w:ind w:left="360"/>
        <w:jc w:val="both"/>
      </w:pPr>
    </w:p>
    <w:p w14:paraId="2C5F3C87" w14:textId="77777777" w:rsidR="00FC017F" w:rsidRDefault="00FC017F" w:rsidP="00FC017F">
      <w:pPr>
        <w:pStyle w:val="a9"/>
        <w:spacing w:line="360" w:lineRule="auto"/>
        <w:ind w:left="360"/>
        <w:jc w:val="both"/>
        <w:rPr>
          <w:rtl/>
        </w:rPr>
      </w:pPr>
      <w:r>
        <w:rPr>
          <w:rtl/>
        </w:rPr>
        <w:t xml:space="preserve">בית המשפט העליון קיבל את ערעורו של המערער, וקבע, בין היתר, כך: </w:t>
      </w:r>
      <w:r>
        <w:rPr>
          <w:b/>
          <w:bCs/>
          <w:rtl/>
        </w:rPr>
        <w:t>"שמתי נגד עיני כי המערער החל לצרוך סמים מגיל 14-13 ואין להחיל עליו את אותה אמת המידה שיש להחיל על בגיר שנכנס מרצון וממשיך מרצון לצרוך סמים.</w:t>
      </w:r>
      <w:r>
        <w:rPr>
          <w:rtl/>
        </w:rPr>
        <w:t xml:space="preserve"> </w:t>
      </w:r>
      <w:r>
        <w:rPr>
          <w:b/>
          <w:bCs/>
          <w:u w:val="single"/>
          <w:rtl/>
        </w:rPr>
        <w:t>מצבו הנפשי של המערער בעת ביצוע העבירה עקב השימוש בסמים, מפחית במידת מה את אשמו המוסרי, בשל התרופפות העכבות והחסמים המאפשרים לכל בן אנוש להפעיל ביקורת עצמית על מעשיו במישור ההכרתי והרגשי</w:t>
      </w:r>
      <w:r>
        <w:rPr>
          <w:rtl/>
        </w:rPr>
        <w:t xml:space="preserve">. מנגד, השמירה על קדושת החיים היא בבסיס תכלית הענישה". </w:t>
      </w:r>
    </w:p>
    <w:p w14:paraId="5CA1CA67" w14:textId="77777777" w:rsidR="00FC017F" w:rsidRDefault="00FC017F" w:rsidP="00FC017F">
      <w:pPr>
        <w:pStyle w:val="a9"/>
        <w:spacing w:line="360" w:lineRule="auto"/>
        <w:ind w:left="360"/>
        <w:jc w:val="both"/>
        <w:rPr>
          <w:rtl/>
        </w:rPr>
      </w:pPr>
    </w:p>
    <w:p w14:paraId="45DEB692" w14:textId="77777777" w:rsidR="00FC017F" w:rsidRDefault="00FC017F" w:rsidP="00FC017F">
      <w:pPr>
        <w:pStyle w:val="a9"/>
        <w:numPr>
          <w:ilvl w:val="0"/>
          <w:numId w:val="1"/>
        </w:numPr>
        <w:spacing w:line="360" w:lineRule="auto"/>
        <w:jc w:val="both"/>
      </w:pPr>
      <w:r>
        <w:rPr>
          <w:rtl/>
        </w:rPr>
        <w:t xml:space="preserve">עוד ראוי לציין כי במסגרת </w:t>
      </w:r>
      <w:hyperlink r:id="rId52" w:history="1">
        <w:r w:rsidR="00BE7D13" w:rsidRPr="00BE7D13">
          <w:rPr>
            <w:color w:val="0000FF"/>
            <w:u w:val="single"/>
            <w:rtl/>
          </w:rPr>
          <w:t>ע"פ 4312/11</w:t>
        </w:r>
      </w:hyperlink>
      <w:r>
        <w:rPr>
          <w:rtl/>
        </w:rPr>
        <w:t xml:space="preserve"> </w:t>
      </w:r>
      <w:r>
        <w:rPr>
          <w:b/>
          <w:bCs/>
          <w:rtl/>
        </w:rPr>
        <w:t>פלוני נ' מדינת ישראל</w:t>
      </w:r>
      <w:r>
        <w:rPr>
          <w:rtl/>
        </w:rPr>
        <w:t xml:space="preserve"> (ניתן ביום 10.6.2013) קבע בית המשפט העליון כי "כדי להביא בחשבון את מצבו הנפשי של נאשם לצורך הקלה מסוימת בעונשו, אין צורך ברור ...לקבוע אם הנאשם חולה בהכרח במחלת נפש...".</w:t>
      </w:r>
    </w:p>
    <w:p w14:paraId="0C0EE120" w14:textId="77777777" w:rsidR="00FC017F" w:rsidRDefault="00FC017F" w:rsidP="00FC017F">
      <w:pPr>
        <w:pStyle w:val="a9"/>
        <w:spacing w:line="360" w:lineRule="auto"/>
        <w:ind w:left="360"/>
        <w:jc w:val="both"/>
      </w:pPr>
    </w:p>
    <w:p w14:paraId="31DF332F" w14:textId="77777777" w:rsidR="00FC017F" w:rsidRDefault="00FC017F" w:rsidP="00FC017F">
      <w:pPr>
        <w:pStyle w:val="a9"/>
        <w:numPr>
          <w:ilvl w:val="0"/>
          <w:numId w:val="1"/>
        </w:numPr>
        <w:spacing w:line="360" w:lineRule="auto"/>
        <w:jc w:val="both"/>
      </w:pPr>
      <w:r>
        <w:rPr>
          <w:rtl/>
        </w:rPr>
        <w:t xml:space="preserve">ראו בעניין זה גם את </w:t>
      </w:r>
      <w:hyperlink r:id="rId53" w:history="1">
        <w:r w:rsidR="00BE7D13" w:rsidRPr="00BE7D13">
          <w:rPr>
            <w:color w:val="0000FF"/>
            <w:u w:val="single"/>
            <w:rtl/>
          </w:rPr>
          <w:t>ת"פ (מרכז) 22481-01-18</w:t>
        </w:r>
      </w:hyperlink>
      <w:r>
        <w:rPr>
          <w:rtl/>
        </w:rPr>
        <w:t xml:space="preserve">  </w:t>
      </w:r>
      <w:r>
        <w:rPr>
          <w:b/>
          <w:bCs/>
          <w:rtl/>
        </w:rPr>
        <w:t>מדינת ישראל נ' אבו גאבר</w:t>
      </w:r>
      <w:r>
        <w:rPr>
          <w:rtl/>
        </w:rPr>
        <w:t xml:space="preserve"> (ניתן ביום 12.3.2019) שם סקר בית המשפט המחוזי את הייחודיות של קרבת הנאשם לסייג לאחריות פלילית במסגרת קביעת מתחם העונש ההולם:</w:t>
      </w:r>
    </w:p>
    <w:p w14:paraId="5ABB7281" w14:textId="77777777" w:rsidR="00FC017F" w:rsidRDefault="00FC017F" w:rsidP="00FC017F">
      <w:pPr>
        <w:pStyle w:val="a9"/>
      </w:pPr>
    </w:p>
    <w:p w14:paraId="6424B64C" w14:textId="77777777" w:rsidR="00FC017F" w:rsidRDefault="00FC017F" w:rsidP="00FC017F">
      <w:pPr>
        <w:pStyle w:val="a9"/>
        <w:spacing w:line="360" w:lineRule="auto"/>
        <w:ind w:left="360"/>
        <w:jc w:val="both"/>
        <w:rPr>
          <w:rtl/>
        </w:rPr>
      </w:pPr>
      <w:r>
        <w:rPr>
          <w:rtl/>
        </w:rPr>
        <w:t>"...</w:t>
      </w:r>
      <w:r>
        <w:rPr>
          <w:b/>
          <w:bCs/>
          <w:rtl/>
        </w:rPr>
        <w:t>במובן זה מתחם העונש ההולם לוקח בחשבון את נתוניו האינדיבידואליים של העושה כחלק מנסיבות ביצוע העבירה (</w:t>
      </w:r>
      <w:hyperlink r:id="rId54" w:history="1">
        <w:r w:rsidR="00BE7D13" w:rsidRPr="00BE7D13">
          <w:rPr>
            <w:b/>
            <w:bCs/>
            <w:color w:val="0000FF"/>
            <w:u w:val="single"/>
            <w:rtl/>
          </w:rPr>
          <w:t>ת"פ (מח' מרכז-לוד) 12596-01-15</w:t>
        </w:r>
      </w:hyperlink>
      <w:r>
        <w:rPr>
          <w:b/>
          <w:bCs/>
          <w:rtl/>
        </w:rPr>
        <w:t xml:space="preserve"> מדינת ישראל נ' לוין (22.12.16))</w:t>
      </w:r>
      <w:r>
        <w:rPr>
          <w:rtl/>
        </w:rPr>
        <w:t xml:space="preserve">. </w:t>
      </w:r>
      <w:r>
        <w:rPr>
          <w:b/>
          <w:bCs/>
          <w:rtl/>
        </w:rPr>
        <w:t>מידת ההפחתה של מתחם העונש ההולם נגזרת מסוג ההפרעה הנפשית ועוצמתה, ועד כמה קרוב המקרה לסייג לאחריות הפלילית או עד כמה הוגבלה בעטיה של ההפרעה נפשית יכולתו של הנאשם להבין את אשר הוא עושה או להימנע מעשיית המעשה</w:t>
      </w:r>
      <w:r>
        <w:rPr>
          <w:rtl/>
        </w:rPr>
        <w:t xml:space="preserve">. כידוע, מצבם הנפשי של אנשים הלוקים במחלות נפש או בהפרעות נפשיות, אינו מצב בינארי, שכולל רק שתי אפשרויות של "אחראי למעשיו" או "שאינו אחראי למעשיו", אלא קיים מנעד שלם, ספקטרום, של מצבים נפשיים של נאשמים שהם אמנם אחראים למעשיהם, אך יכולתם להבין את מעשיהם או לשלוט בהתנהגותם מוגבלת במידה כזו או אחרת עקב מחלת הנפש או ההפרעה הנפשית.". </w:t>
      </w:r>
    </w:p>
    <w:p w14:paraId="6F726FFA" w14:textId="77777777" w:rsidR="00FC017F" w:rsidRDefault="00FC017F" w:rsidP="00FC017F">
      <w:pPr>
        <w:pStyle w:val="a9"/>
        <w:spacing w:line="360" w:lineRule="auto"/>
        <w:ind w:left="360"/>
        <w:jc w:val="both"/>
      </w:pPr>
    </w:p>
    <w:p w14:paraId="143EB904" w14:textId="77777777" w:rsidR="00FC017F" w:rsidRDefault="00FC017F" w:rsidP="00FC017F">
      <w:pPr>
        <w:pStyle w:val="a9"/>
        <w:numPr>
          <w:ilvl w:val="0"/>
          <w:numId w:val="1"/>
        </w:numPr>
        <w:spacing w:line="360" w:lineRule="auto"/>
        <w:jc w:val="both"/>
        <w:rPr>
          <w:rtl/>
        </w:rPr>
      </w:pPr>
      <w:r>
        <w:rPr>
          <w:rtl/>
        </w:rPr>
        <w:t xml:space="preserve">במקרה דנא, עלה מחוות הדעת הפסיכיאטרית שהוגשה בעניינו של הנאשם כי בעת ביצוע העבירות הוא היה במצב פסיכוטי ובמצב של הרעלה חריפה של סמים, מרצונו החופשי. עוד עלה מחוות הדעת, כי בשנת 2007 אובחן הנאשם כלוקה בהפרעה פסיכוטית חריפה דמוית סכיזופרניה, ובשנת 2013 אובחן כלוקה בסכיזופרניה. אבחנה זו חזרה גם באשפוזיו של הנאשם בין השנים 2013-2018, שם נקבע כי מעבר למחלה זו הוא לוקה גם בהפרעות נפשיות והתנהגותיות כתוצאה משימוש בסמים וחומרים פסיכואקטיביים אחרים. </w:t>
      </w:r>
    </w:p>
    <w:p w14:paraId="454C9735" w14:textId="77777777" w:rsidR="00FC017F" w:rsidRDefault="00FC017F" w:rsidP="00FC017F">
      <w:pPr>
        <w:pStyle w:val="a9"/>
        <w:spacing w:line="360" w:lineRule="auto"/>
      </w:pPr>
    </w:p>
    <w:p w14:paraId="2651B468" w14:textId="77777777" w:rsidR="00FC017F" w:rsidRDefault="00FC017F" w:rsidP="00FC017F">
      <w:pPr>
        <w:pStyle w:val="a9"/>
        <w:spacing w:line="360" w:lineRule="auto"/>
        <w:ind w:left="360"/>
        <w:jc w:val="both"/>
        <w:rPr>
          <w:rtl/>
        </w:rPr>
      </w:pPr>
      <w:r>
        <w:rPr>
          <w:rtl/>
        </w:rPr>
        <w:t xml:space="preserve">באשר לשימוש בסמים, עלה מחוות הדעת כי מיום 10.8.2017 השתמש הנאשם באופן יום-יומי ב"נייס גאי", וכן דיווח על שימוש בקוקאין. בבדיקתו במיון ביום 29.1.2018 נכתב : "סמים: קנבינואידים. גראס, חשיש, נייס גאי בעברו הירואין, קוקאין. לדבריו מזה כ-6 חודשים לא משתמש. מאשר שימוש מופרז בכדורי הרגעה. אלכוהול: שתייה קבועה, ידוע על שתיית אלכוהול".  </w:t>
      </w:r>
    </w:p>
    <w:p w14:paraId="2782BFB1" w14:textId="77777777" w:rsidR="00FC017F" w:rsidRDefault="00FC017F" w:rsidP="00FC017F">
      <w:pPr>
        <w:spacing w:line="360" w:lineRule="auto"/>
        <w:jc w:val="both"/>
      </w:pPr>
    </w:p>
    <w:p w14:paraId="5E00AED5" w14:textId="77777777" w:rsidR="00FC017F" w:rsidRDefault="00FC017F" w:rsidP="00FC017F">
      <w:pPr>
        <w:pStyle w:val="a9"/>
        <w:numPr>
          <w:ilvl w:val="0"/>
          <w:numId w:val="1"/>
        </w:numPr>
        <w:spacing w:line="360" w:lineRule="auto"/>
        <w:jc w:val="both"/>
      </w:pPr>
      <w:r>
        <w:rPr>
          <w:rtl/>
        </w:rPr>
        <w:t xml:space="preserve">חוות הדעת הפסיכיאטרית לא קבעה באופן מוחלט האם המצב הפסיכוטי בו היה שרוי  הנאשם בעת ביצוע העבירות נבע אך ורק כתוצאה מהרעלת הסמים, או מהפרעות ההתנהגות שנגרמו בעטיה של התמכרות הנאשם לסמים או ממחלת הסכיזופרניה בה לקה מזה כ-6 שנים. </w:t>
      </w:r>
    </w:p>
    <w:p w14:paraId="5B4010CC" w14:textId="77777777" w:rsidR="00FC017F" w:rsidRDefault="00FC017F" w:rsidP="00FC017F">
      <w:pPr>
        <w:pStyle w:val="a9"/>
        <w:spacing w:line="360" w:lineRule="auto"/>
        <w:ind w:left="360"/>
        <w:jc w:val="both"/>
      </w:pPr>
    </w:p>
    <w:p w14:paraId="43D13FC5" w14:textId="77777777" w:rsidR="00FC017F" w:rsidRDefault="00FC017F" w:rsidP="00FC017F">
      <w:pPr>
        <w:pStyle w:val="a9"/>
        <w:spacing w:line="360" w:lineRule="auto"/>
        <w:ind w:left="360"/>
        <w:jc w:val="both"/>
      </w:pPr>
      <w:r>
        <w:rPr>
          <w:rtl/>
        </w:rPr>
        <w:t xml:space="preserve">בנסיבות אלו, ומשאין חולק כי הנאשם חולה במחלת הסכיזופרניה לאורך שנים רבות, הרי שבהחלט יש מקום להתחשבות במצבו הנפשי בעת ביצוע העבירות, חרף ובמנותק מן הסלידה מהן. </w:t>
      </w:r>
    </w:p>
    <w:p w14:paraId="4D88445A" w14:textId="77777777" w:rsidR="00FC017F" w:rsidRDefault="00FC017F" w:rsidP="00FC017F">
      <w:pPr>
        <w:pStyle w:val="a9"/>
        <w:spacing w:line="360" w:lineRule="auto"/>
        <w:ind w:left="360"/>
        <w:jc w:val="both"/>
      </w:pPr>
    </w:p>
    <w:p w14:paraId="7FB31E16" w14:textId="77777777" w:rsidR="00FC017F" w:rsidRDefault="00FC017F" w:rsidP="00FC017F">
      <w:pPr>
        <w:pStyle w:val="a9"/>
        <w:numPr>
          <w:ilvl w:val="0"/>
          <w:numId w:val="1"/>
        </w:numPr>
        <w:spacing w:line="360" w:lineRule="auto"/>
        <w:jc w:val="both"/>
        <w:rPr>
          <w:rtl/>
        </w:rPr>
      </w:pPr>
      <w:r>
        <w:rPr>
          <w:rtl/>
        </w:rPr>
        <w:t xml:space="preserve">חיזוק למסקנה זו נעוץ בעובדה שעל פי חוות הדעת הפסיכיאטרית, ביום 29.1.2018 (מספר ימים לאחר האישום הראשון) </w:t>
      </w:r>
      <w:r>
        <w:rPr>
          <w:b/>
          <w:bCs/>
          <w:rtl/>
        </w:rPr>
        <w:t>היו בוחן המציאות והשיפוט של הנאשם לקויים, והוא היה "חסר תובנה... רושם למצב פסיכוטי עם מחשבות שווא</w:t>
      </w:r>
      <w:r>
        <w:rPr>
          <w:rtl/>
        </w:rPr>
        <w:t xml:space="preserve">". </w:t>
      </w:r>
    </w:p>
    <w:p w14:paraId="159639B1" w14:textId="77777777" w:rsidR="00FC017F" w:rsidRDefault="00FC017F" w:rsidP="00FC017F">
      <w:pPr>
        <w:pStyle w:val="a9"/>
        <w:spacing w:line="360" w:lineRule="auto"/>
        <w:ind w:left="360"/>
        <w:jc w:val="both"/>
        <w:rPr>
          <w:rtl/>
        </w:rPr>
      </w:pPr>
    </w:p>
    <w:p w14:paraId="3F2FECFB" w14:textId="77777777" w:rsidR="00FC017F" w:rsidRDefault="00FC017F" w:rsidP="00FC017F">
      <w:pPr>
        <w:pStyle w:val="a9"/>
        <w:spacing w:line="360" w:lineRule="auto"/>
        <w:ind w:left="360"/>
        <w:jc w:val="both"/>
        <w:rPr>
          <w:rtl/>
        </w:rPr>
      </w:pPr>
      <w:r>
        <w:rPr>
          <w:rtl/>
        </w:rPr>
        <w:t xml:space="preserve">כמו כן, העובדה שהפסיכיאטר המחוזי הורה לאשפז את הנאשם אשפוז כפוי לאור מצבו הנפשי בסמוך לאחר ביצוע העבירות, מחזקת אף היא מסקנה זו. </w:t>
      </w:r>
    </w:p>
    <w:p w14:paraId="2CA31D12" w14:textId="77777777" w:rsidR="00FC017F" w:rsidRDefault="00FC017F" w:rsidP="00FC017F">
      <w:pPr>
        <w:pStyle w:val="a9"/>
        <w:spacing w:line="360" w:lineRule="auto"/>
        <w:ind w:left="360"/>
        <w:jc w:val="both"/>
        <w:rPr>
          <w:rtl/>
        </w:rPr>
      </w:pPr>
    </w:p>
    <w:p w14:paraId="089F04BF" w14:textId="77777777" w:rsidR="00FC017F" w:rsidRDefault="00FC017F" w:rsidP="00FC017F">
      <w:pPr>
        <w:pStyle w:val="a9"/>
        <w:numPr>
          <w:ilvl w:val="0"/>
          <w:numId w:val="1"/>
        </w:numPr>
        <w:spacing w:line="360" w:lineRule="auto"/>
        <w:jc w:val="both"/>
        <w:rPr>
          <w:rtl/>
        </w:rPr>
      </w:pPr>
      <w:r>
        <w:rPr>
          <w:rtl/>
        </w:rPr>
        <w:t xml:space="preserve">גרסתו של הנאשם לגבי האירועים נשוא כתב האישום, כפי שעלתה מחוות הדעת, והן בחקירותיו במשטרה, עולה בקנה אחד עם התוצאה לפיה יש מקום, במקרה זה, להתחשבות במצבו הנפשי של הנאשם: </w:t>
      </w:r>
    </w:p>
    <w:p w14:paraId="5785D89F" w14:textId="77777777" w:rsidR="00FC017F" w:rsidRDefault="00FC017F" w:rsidP="00FC017F">
      <w:pPr>
        <w:pStyle w:val="a9"/>
        <w:spacing w:line="360" w:lineRule="auto"/>
        <w:ind w:left="360"/>
        <w:jc w:val="both"/>
        <w:rPr>
          <w:rtl/>
        </w:rPr>
      </w:pPr>
    </w:p>
    <w:p w14:paraId="44D41F4F" w14:textId="77777777" w:rsidR="00FC017F" w:rsidRDefault="00FC017F" w:rsidP="00FC017F">
      <w:pPr>
        <w:pStyle w:val="a9"/>
        <w:spacing w:line="360" w:lineRule="auto"/>
        <w:ind w:left="360"/>
        <w:jc w:val="both"/>
        <w:rPr>
          <w:rtl/>
        </w:rPr>
      </w:pPr>
      <w:r>
        <w:rPr>
          <w:rtl/>
        </w:rPr>
        <w:t xml:space="preserve">הנאשם טען בחקירתו במשטרה מיום 24.1.2018 כי הוא "לא מכיר" את בת זוגו והיא "שטן", כך: </w:t>
      </w:r>
    </w:p>
    <w:p w14:paraId="18C1E17C" w14:textId="77777777" w:rsidR="00FC017F" w:rsidRDefault="00FC017F" w:rsidP="00FC017F">
      <w:pPr>
        <w:pStyle w:val="a9"/>
        <w:spacing w:line="360" w:lineRule="auto"/>
        <w:ind w:left="360"/>
        <w:jc w:val="both"/>
        <w:rPr>
          <w:rtl/>
        </w:rPr>
      </w:pPr>
    </w:p>
    <w:p w14:paraId="60F405F8" w14:textId="77777777" w:rsidR="00FC017F" w:rsidRDefault="00FC017F" w:rsidP="00FC017F">
      <w:pPr>
        <w:pStyle w:val="a9"/>
        <w:spacing w:line="360" w:lineRule="auto"/>
        <w:ind w:left="360"/>
        <w:jc w:val="both"/>
        <w:rPr>
          <w:rtl/>
        </w:rPr>
      </w:pPr>
      <w:r>
        <w:rPr>
          <w:rtl/>
        </w:rPr>
        <w:t xml:space="preserve">" אני לא מכיר את יוליה אני מכיר את עזאל וגיהנום זה לא יוליה אלף חיות חי בגוף הזה אלף... זה גהנום זה לא יוליה זה עזעזל.. אני לא יודע מה היא רוצה ממני, מי זאת אני לא יודע, אני אומר לך זה גיהנום זה עזאזל זה לא יוליה הגהינום ועזעזל חי בבית לשי (שלי) גהינום שטן...". </w:t>
      </w:r>
    </w:p>
    <w:p w14:paraId="0C95F694" w14:textId="77777777" w:rsidR="00FC017F" w:rsidRDefault="00FC017F" w:rsidP="00FC017F">
      <w:pPr>
        <w:pStyle w:val="a9"/>
        <w:spacing w:line="360" w:lineRule="auto"/>
        <w:ind w:left="360"/>
        <w:jc w:val="both"/>
        <w:rPr>
          <w:rtl/>
        </w:rPr>
      </w:pPr>
    </w:p>
    <w:p w14:paraId="70214C6D" w14:textId="77777777" w:rsidR="00FC017F" w:rsidRDefault="00FC017F" w:rsidP="00FC017F">
      <w:pPr>
        <w:pStyle w:val="a9"/>
        <w:spacing w:line="360" w:lineRule="auto"/>
        <w:ind w:left="360"/>
        <w:jc w:val="both"/>
        <w:rPr>
          <w:rtl/>
        </w:rPr>
      </w:pPr>
      <w:r>
        <w:rPr>
          <w:rtl/>
        </w:rPr>
        <w:t xml:space="preserve">מחוות הדעת הפסיכיאטרית עלה תוכן דומה, כמפורט בהרחבה לעיל. </w:t>
      </w:r>
    </w:p>
    <w:p w14:paraId="487DE86F" w14:textId="77777777" w:rsidR="00FC017F" w:rsidRDefault="00FC017F" w:rsidP="00FC017F">
      <w:pPr>
        <w:pStyle w:val="a9"/>
        <w:spacing w:line="360" w:lineRule="auto"/>
        <w:ind w:left="360"/>
        <w:jc w:val="both"/>
        <w:rPr>
          <w:rtl/>
        </w:rPr>
      </w:pPr>
      <w:r>
        <w:rPr>
          <w:rtl/>
        </w:rPr>
        <w:br/>
        <w:t xml:space="preserve">לא למותר לציין, כי צפיה בתיעוד חקירת הנאשם אינה מותירה ספק: אין המדובר ב"הצגה" או בהתחזות; נאשם זה אינו כאחד האדם. </w:t>
      </w:r>
      <w:r>
        <w:rPr>
          <w:rtl/>
        </w:rPr>
        <w:tab/>
      </w:r>
      <w:r>
        <w:rPr>
          <w:rtl/>
        </w:rPr>
        <w:br/>
      </w:r>
    </w:p>
    <w:p w14:paraId="214AC776" w14:textId="77777777" w:rsidR="00FC017F" w:rsidRDefault="00FC017F" w:rsidP="00FC017F">
      <w:pPr>
        <w:pStyle w:val="a9"/>
        <w:numPr>
          <w:ilvl w:val="0"/>
          <w:numId w:val="1"/>
        </w:numPr>
        <w:spacing w:line="360" w:lineRule="auto"/>
        <w:jc w:val="both"/>
        <w:rPr>
          <w:rtl/>
        </w:rPr>
      </w:pPr>
      <w:r>
        <w:rPr>
          <w:rtl/>
        </w:rPr>
        <w:t xml:space="preserve">בנוסף, כאמור, הנאשם מוכר למערכת הפסיכיאטרית משנת 2007, מ-15 אשפוזים קודמים, ובעברו הפלילי קיימות הפסקות הליכים כתוצאה ממחלתו. </w:t>
      </w:r>
    </w:p>
    <w:p w14:paraId="4CD2CB3D" w14:textId="77777777" w:rsidR="00FC017F" w:rsidRDefault="00FC017F" w:rsidP="00FC017F">
      <w:pPr>
        <w:pStyle w:val="a9"/>
        <w:spacing w:line="360" w:lineRule="auto"/>
        <w:ind w:left="360"/>
        <w:jc w:val="both"/>
      </w:pPr>
    </w:p>
    <w:p w14:paraId="4DCBC70A" w14:textId="77777777" w:rsidR="00FC017F" w:rsidRDefault="00FC017F" w:rsidP="00FC017F">
      <w:pPr>
        <w:pStyle w:val="a9"/>
        <w:numPr>
          <w:ilvl w:val="0"/>
          <w:numId w:val="1"/>
        </w:numPr>
        <w:spacing w:line="360" w:lineRule="auto"/>
        <w:jc w:val="both"/>
      </w:pPr>
      <w:r>
        <w:rPr>
          <w:rtl/>
        </w:rPr>
        <w:t xml:space="preserve">אשר לנסיבות נוספות הקשורות לביצוע העבירה, מעשיו של הנאשם לא "תוכננו", וברי כי מצבו הנפשי הקשה היה ברקע לביצוע העבירות. </w:t>
      </w:r>
    </w:p>
    <w:p w14:paraId="1D9FA958" w14:textId="77777777" w:rsidR="00FC017F" w:rsidRDefault="00FC017F" w:rsidP="00FC017F">
      <w:pPr>
        <w:pStyle w:val="a9"/>
        <w:spacing w:line="360" w:lineRule="auto"/>
      </w:pPr>
    </w:p>
    <w:p w14:paraId="11305F3A" w14:textId="77777777" w:rsidR="00FC017F" w:rsidRDefault="00FC017F" w:rsidP="00FC017F">
      <w:pPr>
        <w:pStyle w:val="a9"/>
        <w:spacing w:line="360" w:lineRule="auto"/>
        <w:ind w:left="360"/>
        <w:jc w:val="both"/>
        <w:rPr>
          <w:rtl/>
        </w:rPr>
      </w:pPr>
      <w:r>
        <w:rPr>
          <w:rtl/>
        </w:rPr>
        <w:t xml:space="preserve">למתלוננת נגרם נזק, כמתואר לעיל, גם פיזי וגם נפשי, לבטח; אני קובע כך, הגם שלא הובאו ראיות לענין הנפשי, אולם נסיון החיים וההגיון הבריא מחייב לטעמי קביעה שכזו. אין בן אנוש שיעבור לילה מן הגיהנום שכזה – מבלי שהדבר יותיר בו צלקת. </w:t>
      </w:r>
    </w:p>
    <w:p w14:paraId="07C1E7C6" w14:textId="77777777" w:rsidR="00FC017F" w:rsidRDefault="00FC017F" w:rsidP="00FC017F">
      <w:pPr>
        <w:pStyle w:val="a9"/>
        <w:spacing w:line="360" w:lineRule="auto"/>
        <w:ind w:left="360"/>
        <w:jc w:val="both"/>
        <w:rPr>
          <w:rtl/>
        </w:rPr>
      </w:pPr>
    </w:p>
    <w:p w14:paraId="34E55725" w14:textId="77777777" w:rsidR="00FC017F" w:rsidRDefault="00FC017F" w:rsidP="00FC017F">
      <w:pPr>
        <w:pStyle w:val="a9"/>
        <w:numPr>
          <w:ilvl w:val="0"/>
          <w:numId w:val="1"/>
        </w:numPr>
        <w:spacing w:line="360" w:lineRule="auto"/>
        <w:jc w:val="both"/>
        <w:rPr>
          <w:rtl/>
        </w:rPr>
      </w:pPr>
      <w:r>
        <w:rPr>
          <w:rtl/>
        </w:rPr>
        <w:t xml:space="preserve">לו היה הנאשם סדיסט "רגיל", עוד גבר – גיבור על חלשים - המתעלל בבת זוג, כך סתם, היה המתחם העונשי, ברף התחתון, מתייצב על לפחות שנתיים ימים. </w:t>
      </w:r>
      <w:r>
        <w:rPr>
          <w:rtl/>
        </w:rPr>
        <w:tab/>
      </w:r>
      <w:r>
        <w:rPr>
          <w:rtl/>
        </w:rPr>
        <w:br/>
      </w:r>
      <w:r>
        <w:rPr>
          <w:rtl/>
        </w:rPr>
        <w:br/>
        <w:t xml:space="preserve">ברם, נוכח מיהותו ומחלותיו של הנאשם, לאור העובדה כי אין המדובר באדם נורמטיבי, מן הישוב, בכל הקשור למצבו הנפשי, הרי שקרבתו המסוימת לסייג הפלילי בשל מצבו הנפשי, כל אלה מחייבים מתחם אחר, מתאים יותר. </w:t>
      </w:r>
      <w:r>
        <w:rPr>
          <w:rtl/>
        </w:rPr>
        <w:tab/>
      </w:r>
      <w:r>
        <w:rPr>
          <w:rtl/>
        </w:rPr>
        <w:br/>
      </w:r>
      <w:r>
        <w:rPr>
          <w:rtl/>
        </w:rPr>
        <w:br/>
        <w:t xml:space="preserve">על כן, אני קובע כי מתחם העונש ההולם, לעבירות שביצע הנאשם נע בין 18 ועד 36 חודשי מאסר. </w:t>
      </w:r>
    </w:p>
    <w:p w14:paraId="5D4CF377" w14:textId="77777777" w:rsidR="00FC017F" w:rsidRDefault="00FC017F" w:rsidP="00FC017F">
      <w:pPr>
        <w:pStyle w:val="a9"/>
        <w:spacing w:line="360" w:lineRule="auto"/>
        <w:ind w:left="1080"/>
        <w:jc w:val="both"/>
      </w:pPr>
    </w:p>
    <w:p w14:paraId="6C2511F1" w14:textId="77777777" w:rsidR="00FC017F" w:rsidRDefault="00FC017F" w:rsidP="00FC017F">
      <w:pPr>
        <w:pStyle w:val="a9"/>
        <w:spacing w:line="360" w:lineRule="auto"/>
        <w:ind w:left="360"/>
        <w:jc w:val="both"/>
        <w:rPr>
          <w:rtl/>
        </w:rPr>
      </w:pPr>
      <w:r>
        <w:rPr>
          <w:b/>
          <w:bCs/>
          <w:u w:val="single"/>
          <w:rtl/>
        </w:rPr>
        <w:t>העונש המתאים לנאשם</w:t>
      </w:r>
    </w:p>
    <w:p w14:paraId="652E321A" w14:textId="77777777" w:rsidR="00FC017F" w:rsidRDefault="00FC017F" w:rsidP="00FC017F">
      <w:pPr>
        <w:pStyle w:val="a9"/>
        <w:spacing w:line="360" w:lineRule="auto"/>
        <w:ind w:left="360"/>
        <w:jc w:val="both"/>
        <w:rPr>
          <w:rtl/>
        </w:rPr>
      </w:pPr>
    </w:p>
    <w:p w14:paraId="3844EA7C" w14:textId="77777777" w:rsidR="00FC017F" w:rsidRDefault="00FC017F" w:rsidP="00FC017F">
      <w:pPr>
        <w:pStyle w:val="a9"/>
        <w:numPr>
          <w:ilvl w:val="0"/>
          <w:numId w:val="1"/>
        </w:numPr>
        <w:spacing w:line="360" w:lineRule="auto"/>
        <w:jc w:val="both"/>
        <w:rPr>
          <w:rtl/>
        </w:rPr>
      </w:pPr>
      <w:r>
        <w:rPr>
          <w:rtl/>
        </w:rPr>
        <w:t xml:space="preserve">הנאשם הודה בעובדות כתב האישום המתוקן, והביע חרטה על מעשיו. בכך חסך הנאשם את עדות המתלוננת (שכאמור, הביעה במפורש את חוסר רצונה לקחת חלק במשפט, ולמען הסר ספק לא התרשמתי כי מדובר באשה מוכה ומפוחדת; המתלוננת באה לבית המשפט ובקול ברור, ובאורח אסרטיבי, מסרה את דברה); גם החסכון בזמן שיפוטי משחק לטובת הנאשם. </w:t>
      </w:r>
      <w:r>
        <w:rPr>
          <w:rtl/>
        </w:rPr>
        <w:tab/>
      </w:r>
      <w:r>
        <w:rPr>
          <w:rtl/>
        </w:rPr>
        <w:br/>
        <w:t xml:space="preserve">כל אלה מחייבים, לטעמי, הליכה לקראת הנאשם, גם בתוך המתחם, ולא בצעד או שניים, אלא בכברת דרך נאה. </w:t>
      </w:r>
    </w:p>
    <w:p w14:paraId="46E4651F" w14:textId="77777777" w:rsidR="00FC017F" w:rsidRDefault="00FC017F" w:rsidP="00FC017F">
      <w:pPr>
        <w:pStyle w:val="a9"/>
        <w:spacing w:line="360" w:lineRule="auto"/>
        <w:ind w:left="360"/>
      </w:pPr>
    </w:p>
    <w:p w14:paraId="43083A71" w14:textId="77777777" w:rsidR="00FC017F" w:rsidRDefault="00FC017F" w:rsidP="00FC017F">
      <w:pPr>
        <w:pStyle w:val="a9"/>
        <w:numPr>
          <w:ilvl w:val="0"/>
          <w:numId w:val="1"/>
        </w:numPr>
        <w:spacing w:line="360" w:lineRule="auto"/>
        <w:jc w:val="both"/>
      </w:pPr>
      <w:r>
        <w:rPr>
          <w:rtl/>
        </w:rPr>
        <w:t xml:space="preserve">בעברו של הנאשם שלוש הרשעות פליליות, בעבירות של איומים ושיבוש הליכי משפט (הרשעה משנת 2007), חבלה חמורה (הרשעה משנת 2004), ועבירות תקיפה ואיומים (הרשעה משנת 2002). כמו כן בעברו שלוש הפסקות הליכים על רקע המחלה ממנה הוא סובל.  </w:t>
      </w:r>
    </w:p>
    <w:p w14:paraId="2DB6D546" w14:textId="77777777" w:rsidR="00FC017F" w:rsidRDefault="00FC017F" w:rsidP="00FC017F">
      <w:pPr>
        <w:pStyle w:val="a9"/>
        <w:spacing w:line="360" w:lineRule="auto"/>
        <w:ind w:left="360"/>
        <w:jc w:val="both"/>
      </w:pPr>
    </w:p>
    <w:p w14:paraId="5A209833" w14:textId="77777777" w:rsidR="00FC017F" w:rsidRDefault="00FC017F" w:rsidP="00FC017F">
      <w:pPr>
        <w:pStyle w:val="a9"/>
        <w:numPr>
          <w:ilvl w:val="0"/>
          <w:numId w:val="1"/>
        </w:numPr>
        <w:spacing w:line="360" w:lineRule="auto"/>
        <w:jc w:val="both"/>
      </w:pPr>
      <w:r>
        <w:rPr>
          <w:rtl/>
        </w:rPr>
        <w:t xml:space="preserve">לא מצאתי עוד גורמים מיוחדים המנויים </w:t>
      </w:r>
      <w:hyperlink r:id="rId55" w:history="1">
        <w:r w:rsidR="001508D3" w:rsidRPr="001508D3">
          <w:rPr>
            <w:color w:val="0000FF"/>
            <w:u w:val="single"/>
            <w:rtl/>
          </w:rPr>
          <w:t>בסעיף 40יא</w:t>
        </w:r>
      </w:hyperlink>
      <w:r>
        <w:rPr>
          <w:rtl/>
        </w:rPr>
        <w:t xml:space="preserve"> ל</w:t>
      </w:r>
      <w:hyperlink r:id="rId56" w:history="1">
        <w:r w:rsidR="00BE7D13" w:rsidRPr="00BE7D13">
          <w:rPr>
            <w:color w:val="0000FF"/>
            <w:u w:val="single"/>
            <w:rtl/>
          </w:rPr>
          <w:t>חוק העונשין</w:t>
        </w:r>
      </w:hyperlink>
      <w:r>
        <w:rPr>
          <w:rtl/>
        </w:rPr>
        <w:t xml:space="preserve"> אשר יש לקחתם בחשבון בפרשה זו, ביחס לנאשם.</w:t>
      </w:r>
    </w:p>
    <w:p w14:paraId="2F7BB817" w14:textId="77777777" w:rsidR="00FC017F" w:rsidRDefault="00FC017F" w:rsidP="00FC017F">
      <w:pPr>
        <w:pStyle w:val="a9"/>
      </w:pPr>
    </w:p>
    <w:p w14:paraId="385222D9" w14:textId="77777777" w:rsidR="00FC017F" w:rsidRDefault="00FC017F" w:rsidP="00FC017F">
      <w:pPr>
        <w:pStyle w:val="a9"/>
        <w:numPr>
          <w:ilvl w:val="0"/>
          <w:numId w:val="1"/>
        </w:numPr>
        <w:spacing w:line="360" w:lineRule="auto"/>
        <w:jc w:val="both"/>
        <w:rPr>
          <w:rtl/>
        </w:rPr>
      </w:pPr>
      <w:r>
        <w:rPr>
          <w:rtl/>
        </w:rPr>
        <w:t xml:space="preserve">אני מקבל את טענת ההגנה וקובע כי ימי אשפוזו של הנאשם ינוכו מעונש המאסר, וזאת בהתאם להלכת בית המשפט העליון במסגרת </w:t>
      </w:r>
      <w:hyperlink r:id="rId57" w:history="1">
        <w:r w:rsidR="00BE7D13" w:rsidRPr="00BE7D13">
          <w:rPr>
            <w:color w:val="0000FF"/>
            <w:u w:val="single"/>
            <w:rtl/>
          </w:rPr>
          <w:t>ע"פ 5738/12</w:t>
        </w:r>
      </w:hyperlink>
      <w:r>
        <w:rPr>
          <w:rtl/>
        </w:rPr>
        <w:t xml:space="preserve"> </w:t>
      </w:r>
      <w:r>
        <w:rPr>
          <w:b/>
          <w:bCs/>
          <w:rtl/>
        </w:rPr>
        <w:t>וולד טסגזשב נ' מדינת ישראל</w:t>
      </w:r>
      <w:r>
        <w:rPr>
          <w:rtl/>
        </w:rPr>
        <w:t xml:space="preserve"> (ניתן ביום 10.3.2014); בית המשפט העליון קבע בעניין זה כי:</w:t>
      </w:r>
    </w:p>
    <w:p w14:paraId="420FA62A" w14:textId="77777777" w:rsidR="00FC017F" w:rsidRDefault="00FC017F" w:rsidP="00FC017F">
      <w:pPr>
        <w:pStyle w:val="a9"/>
        <w:spacing w:line="360" w:lineRule="auto"/>
        <w:ind w:left="360"/>
        <w:jc w:val="both"/>
      </w:pPr>
    </w:p>
    <w:p w14:paraId="6D667019" w14:textId="77777777" w:rsidR="00FC017F" w:rsidRDefault="00FC017F" w:rsidP="00FC017F">
      <w:pPr>
        <w:pStyle w:val="a9"/>
        <w:spacing w:line="360" w:lineRule="auto"/>
        <w:ind w:left="360"/>
        <w:jc w:val="both"/>
        <w:rPr>
          <w:rtl/>
        </w:rPr>
      </w:pPr>
      <w:r>
        <w:rPr>
          <w:rtl/>
        </w:rPr>
        <w:t>"בקשת המערער להורות על ניכוי תקופת אשפוזו ממניין ימי המאסר בדין יסודה. נקודת המוצא היא שתקופת המאסר מחושבת החל מיום גזר הדין, אלא אם הורה בית המשפט אחרת (</w:t>
      </w:r>
      <w:r w:rsidR="001508D3" w:rsidRPr="001508D3">
        <w:rPr>
          <w:rtl/>
        </w:rPr>
        <w:t>סעיף 43</w:t>
      </w:r>
      <w:r>
        <w:rPr>
          <w:rtl/>
        </w:rPr>
        <w:t xml:space="preserve"> לחוק). במקרה דנן, בית המשפט המחוזי הורה אחרת. הוא קבע כי תקופת מאסרו של המערער תחושב "החל מיום מעצרו". יוצא כי  בית המשפט המחוזי לא החריג את תקופת האשפוז, והורה על התחלת המניין ביום המעצר לראשונה. תקופה זו כוללת, בין היתר, את תקופות ההסתכלות ואת תקופת האשפוז לפי סעיף 15(א) לחוק הטיפול. בהחלטה זו של בית המשפט המחוזי יש טעם. מימד הכפייה הטמון בצו לפי סעיף 15 מדמה את תקופת האשפוז לפי סעיף זה, מבחינה עניינית, לתקופת מעצר. [למאפייניו של צו האשפוז ראו: גבריאל הלוי תורת הדין הפלילי כרך ד 555 (2011)]. ניתן להקיש לעניין זה מהגיונו של סעיף 15(ח) ל</w:t>
      </w:r>
      <w:hyperlink r:id="rId58" w:history="1">
        <w:r w:rsidR="00BE7D13" w:rsidRPr="00BE7D13">
          <w:rPr>
            <w:color w:val="0000FF"/>
            <w:u w:val="single"/>
            <w:rtl/>
          </w:rPr>
          <w:t>פקודת בתי הסוהר</w:t>
        </w:r>
      </w:hyperlink>
      <w:r>
        <w:rPr>
          <w:rtl/>
        </w:rPr>
        <w:t xml:space="preserve"> [נוסח חדש], התשל"ב-1971, הקובע כי אשפוזו של אסיר חולה נפש בבית חולים "ייחשב כאילו הוא במשמורת כדין". מסקנה זו נכונה ביתר שאת לגבי זמני שהיית המערער בהסתכלות, הסתכלות בכפייה אליה נשלח בצו בית משפט.". </w:t>
      </w:r>
      <w:r>
        <w:rPr>
          <w:rtl/>
        </w:rPr>
        <w:tab/>
      </w:r>
      <w:r>
        <w:rPr>
          <w:rtl/>
        </w:rPr>
        <w:br/>
      </w:r>
      <w:r>
        <w:rPr>
          <w:rtl/>
        </w:rPr>
        <w:br/>
      </w:r>
      <w:r>
        <w:rPr>
          <w:rFonts w:hint="cs"/>
          <w:rtl/>
        </w:rPr>
        <w:t xml:space="preserve">כל האמור לעיל יפה גם לענייננו. </w:t>
      </w:r>
    </w:p>
    <w:p w14:paraId="0DE75CEE" w14:textId="77777777" w:rsidR="00FC017F" w:rsidRDefault="00FC017F" w:rsidP="00FC017F">
      <w:pPr>
        <w:pStyle w:val="a9"/>
        <w:rPr>
          <w:rtl/>
        </w:rPr>
      </w:pPr>
    </w:p>
    <w:p w14:paraId="7FE4D506" w14:textId="77777777" w:rsidR="00FC017F" w:rsidRDefault="00FC017F" w:rsidP="00FC017F">
      <w:pPr>
        <w:pStyle w:val="a9"/>
        <w:numPr>
          <w:ilvl w:val="0"/>
          <w:numId w:val="1"/>
        </w:numPr>
        <w:spacing w:line="360" w:lineRule="auto"/>
        <w:jc w:val="both"/>
        <w:rPr>
          <w:rtl/>
        </w:rPr>
      </w:pPr>
      <w:r>
        <w:rPr>
          <w:rtl/>
        </w:rPr>
        <w:t>לאור כל האמור לעיל, אני גוזר על הנאשם את העונשים הבאים:</w:t>
      </w:r>
      <w:r>
        <w:rPr>
          <w:rtl/>
        </w:rPr>
        <w:tab/>
      </w:r>
      <w:r>
        <w:rPr>
          <w:rtl/>
        </w:rPr>
        <w:br/>
      </w:r>
    </w:p>
    <w:p w14:paraId="08CD3AB9" w14:textId="77777777" w:rsidR="00FC017F" w:rsidRDefault="00FC017F" w:rsidP="00FC017F">
      <w:pPr>
        <w:pStyle w:val="a9"/>
        <w:numPr>
          <w:ilvl w:val="1"/>
          <w:numId w:val="1"/>
        </w:numPr>
        <w:spacing w:line="360" w:lineRule="auto"/>
        <w:jc w:val="both"/>
      </w:pPr>
      <w:r>
        <w:rPr>
          <w:rtl/>
        </w:rPr>
        <w:t>מאסר בפועל למשך</w:t>
      </w:r>
      <w:r>
        <w:rPr>
          <w:rFonts w:hint="cs"/>
          <w:rtl/>
        </w:rPr>
        <w:t xml:space="preserve"> 22 </w:t>
      </w:r>
      <w:r>
        <w:rPr>
          <w:rtl/>
        </w:rPr>
        <w:t>חודשים</w:t>
      </w:r>
      <w:r>
        <w:rPr>
          <w:rFonts w:hint="cs"/>
          <w:rtl/>
        </w:rPr>
        <w:t xml:space="preserve">, </w:t>
      </w:r>
      <w:r>
        <w:rPr>
          <w:rtl/>
        </w:rPr>
        <w:t>בניכוי ימי מעצרו</w:t>
      </w:r>
      <w:r>
        <w:rPr>
          <w:rFonts w:hint="cs"/>
          <w:rtl/>
        </w:rPr>
        <w:t xml:space="preserve"> (לרבות אשפוזו, כאמור לעיל).</w:t>
      </w:r>
      <w:r>
        <w:rPr>
          <w:rtl/>
        </w:rPr>
        <w:t xml:space="preserve"> </w:t>
      </w:r>
    </w:p>
    <w:p w14:paraId="44528248" w14:textId="77777777" w:rsidR="00FC017F" w:rsidRDefault="00FC017F" w:rsidP="00FC017F">
      <w:pPr>
        <w:pStyle w:val="a9"/>
        <w:numPr>
          <w:ilvl w:val="1"/>
          <w:numId w:val="1"/>
        </w:numPr>
        <w:spacing w:line="360" w:lineRule="auto"/>
        <w:jc w:val="both"/>
      </w:pPr>
      <w:r>
        <w:rPr>
          <w:rtl/>
        </w:rPr>
        <w:t xml:space="preserve">מאסר </w:t>
      </w:r>
      <w:r>
        <w:rPr>
          <w:rFonts w:hint="cs"/>
          <w:rtl/>
        </w:rPr>
        <w:t>למשך 6 חודשים אולם הנאשם לא יישא בעונש זה אלא אם יעבור עבירות של אלימות נגד הגוף במשפחה תוך 36 חודשים מיום שחרורו.</w:t>
      </w:r>
    </w:p>
    <w:p w14:paraId="2C5CCB0A" w14:textId="77777777" w:rsidR="00FC017F" w:rsidRDefault="00FC017F" w:rsidP="00FC017F">
      <w:pPr>
        <w:pStyle w:val="a9"/>
        <w:numPr>
          <w:ilvl w:val="1"/>
          <w:numId w:val="1"/>
        </w:numPr>
        <w:spacing w:line="360" w:lineRule="auto"/>
        <w:jc w:val="both"/>
      </w:pPr>
      <w:r>
        <w:rPr>
          <w:rtl/>
        </w:rPr>
        <w:t xml:space="preserve">מאסר </w:t>
      </w:r>
      <w:r>
        <w:rPr>
          <w:rFonts w:hint="cs"/>
          <w:rtl/>
        </w:rPr>
        <w:t>למשך 3 חודשים אולם הנאשם לא יישא בעונש זה אלא אם יעבור את יתר העבירות אותן עבר בפרשה זו, תוך 36 חודשים מיום שחרורו.</w:t>
      </w:r>
    </w:p>
    <w:p w14:paraId="7EE61206" w14:textId="77777777" w:rsidR="00FC017F" w:rsidRDefault="00FC017F" w:rsidP="00FC017F">
      <w:pPr>
        <w:pStyle w:val="a9"/>
        <w:numPr>
          <w:ilvl w:val="1"/>
          <w:numId w:val="1"/>
        </w:numPr>
        <w:spacing w:line="360" w:lineRule="auto"/>
        <w:jc w:val="both"/>
      </w:pPr>
      <w:r>
        <w:rPr>
          <w:rFonts w:hint="cs"/>
          <w:rtl/>
        </w:rPr>
        <w:t xml:space="preserve">הנאשם יפצה את המתלוננת בסכום של 3000 ₪, שישולם תוך 120 יום מיום שחרורו. </w:t>
      </w:r>
    </w:p>
    <w:p w14:paraId="5B4E76C0" w14:textId="77777777" w:rsidR="00FC017F" w:rsidRPr="00BE7D13" w:rsidRDefault="00BE7D13" w:rsidP="00FC017F">
      <w:pPr>
        <w:rPr>
          <w:color w:val="FFFFFF"/>
          <w:sz w:val="2"/>
          <w:szCs w:val="2"/>
          <w:rtl/>
        </w:rPr>
      </w:pPr>
      <w:r w:rsidRPr="00BE7D13">
        <w:rPr>
          <w:color w:val="FFFFFF"/>
          <w:sz w:val="2"/>
          <w:szCs w:val="2"/>
          <w:rtl/>
        </w:rPr>
        <w:t>5129371</w:t>
      </w:r>
    </w:p>
    <w:p w14:paraId="6C2E8647" w14:textId="77777777" w:rsidR="00FC017F" w:rsidRPr="00250B83" w:rsidRDefault="00BE7D13" w:rsidP="00FC017F">
      <w:pPr>
        <w:rPr>
          <w:rtl/>
        </w:rPr>
      </w:pPr>
      <w:bookmarkStart w:id="8" w:name="Nitan"/>
      <w:r w:rsidRPr="00BE7D13">
        <w:rPr>
          <w:rFonts w:ascii="Arial" w:hAnsi="Arial"/>
          <w:color w:val="FFFFFF"/>
          <w:sz w:val="2"/>
          <w:szCs w:val="2"/>
          <w:rtl/>
        </w:rPr>
        <w:t>54678313</w:t>
      </w:r>
      <w:r>
        <w:rPr>
          <w:rFonts w:ascii="Arial" w:hAnsi="Arial"/>
          <w:rtl/>
        </w:rPr>
        <w:t xml:space="preserve">ניתן היום,  כ"ו כסלו תש"פ, 24 דצמבר 2019, בהעדר הצדדים. </w:t>
      </w:r>
      <w:bookmarkEnd w:id="8"/>
    </w:p>
    <w:p w14:paraId="4FE24C86" w14:textId="77777777" w:rsidR="00FC017F" w:rsidRPr="00250B83" w:rsidRDefault="00FC017F" w:rsidP="00BE7D13">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79E9EE6" w14:textId="77777777" w:rsidR="00FC017F" w:rsidRPr="00250B83" w:rsidRDefault="00FC017F" w:rsidP="00FC017F">
      <w:pPr>
        <w:jc w:val="center"/>
        <w:rPr>
          <w:rFonts w:ascii="Arial" w:hAnsi="Arial"/>
          <w:rtl/>
        </w:rPr>
      </w:pPr>
    </w:p>
    <w:p w14:paraId="5B42BECF" w14:textId="77777777" w:rsidR="00FC017F" w:rsidRPr="00250B83" w:rsidRDefault="00FC017F" w:rsidP="00FC017F">
      <w:pPr>
        <w:rPr>
          <w:rtl/>
        </w:rPr>
      </w:pPr>
    </w:p>
    <w:p w14:paraId="2A9F0290" w14:textId="77777777" w:rsidR="00FC017F" w:rsidRPr="001508D3" w:rsidRDefault="001508D3" w:rsidP="00FC017F">
      <w:pPr>
        <w:pStyle w:val="a3"/>
        <w:jc w:val="center"/>
        <w:rPr>
          <w:color w:val="FFFFFF"/>
          <w:sz w:val="2"/>
          <w:szCs w:val="2"/>
          <w:rtl/>
        </w:rPr>
      </w:pPr>
      <w:r w:rsidRPr="001508D3">
        <w:rPr>
          <w:color w:val="FFFFFF"/>
          <w:sz w:val="2"/>
          <w:szCs w:val="2"/>
          <w:rtl/>
        </w:rPr>
        <w:t>5129371</w:t>
      </w:r>
    </w:p>
    <w:p w14:paraId="31320F5A" w14:textId="77777777" w:rsidR="00BE7D13" w:rsidRDefault="001508D3" w:rsidP="00BE7D13">
      <w:r w:rsidRPr="001508D3">
        <w:rPr>
          <w:rFonts w:ascii="David" w:hAnsi="David"/>
          <w:color w:val="FFFFFF"/>
          <w:sz w:val="2"/>
          <w:szCs w:val="2"/>
          <w:rtl/>
        </w:rPr>
        <w:t>54678313</w:t>
      </w:r>
    </w:p>
    <w:p w14:paraId="6883BCA5" w14:textId="77777777" w:rsidR="00BE7D13" w:rsidRDefault="00BE7D13" w:rsidP="00BE7D13">
      <w:pPr>
        <w:rPr>
          <w:rtl/>
        </w:rPr>
      </w:pPr>
    </w:p>
    <w:p w14:paraId="20E8F4B0" w14:textId="77777777" w:rsidR="00BE7D13" w:rsidRDefault="00BE7D13" w:rsidP="00BE7D13">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23FFC940" w14:textId="77777777" w:rsidR="001508D3" w:rsidRPr="001508D3" w:rsidRDefault="001508D3" w:rsidP="001508D3">
      <w:pPr>
        <w:keepNext/>
        <w:rPr>
          <w:rFonts w:ascii="David" w:hAnsi="David"/>
          <w:color w:val="000000"/>
          <w:sz w:val="22"/>
          <w:szCs w:val="22"/>
          <w:rtl/>
        </w:rPr>
      </w:pPr>
    </w:p>
    <w:p w14:paraId="26D85067" w14:textId="77777777" w:rsidR="001508D3" w:rsidRPr="001508D3" w:rsidRDefault="001508D3" w:rsidP="001508D3">
      <w:pPr>
        <w:keepNext/>
        <w:rPr>
          <w:rFonts w:ascii="David" w:hAnsi="David"/>
          <w:color w:val="000000"/>
          <w:sz w:val="22"/>
          <w:szCs w:val="22"/>
          <w:rtl/>
        </w:rPr>
      </w:pPr>
      <w:r w:rsidRPr="001508D3">
        <w:rPr>
          <w:rFonts w:ascii="David" w:hAnsi="David"/>
          <w:color w:val="000000"/>
          <w:sz w:val="22"/>
          <w:szCs w:val="22"/>
          <w:rtl/>
        </w:rPr>
        <w:t>שמאי בקר 54678313-/</w:t>
      </w:r>
    </w:p>
    <w:p w14:paraId="53914314" w14:textId="77777777" w:rsidR="00BE7D13" w:rsidRPr="00BE7D13" w:rsidRDefault="001508D3" w:rsidP="001508D3">
      <w:pPr>
        <w:rPr>
          <w:color w:val="0000FF"/>
          <w:u w:val="single"/>
        </w:rPr>
      </w:pPr>
      <w:r w:rsidRPr="001508D3">
        <w:rPr>
          <w:color w:val="000000"/>
          <w:u w:val="single"/>
          <w:rtl/>
        </w:rPr>
        <w:t>נוסח מסמך זה כפוף לשינויי ניסוח ועריכה</w:t>
      </w:r>
    </w:p>
    <w:sectPr w:rsidR="00BE7D13" w:rsidRPr="00BE7D13" w:rsidSect="001508D3">
      <w:headerReference w:type="even" r:id="rId60"/>
      <w:headerReference w:type="default" r:id="rId61"/>
      <w:footerReference w:type="even" r:id="rId62"/>
      <w:footerReference w:type="default" r:id="rId6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631F9" w14:textId="77777777" w:rsidR="00E70DBE" w:rsidRDefault="00E70DBE" w:rsidP="00357054">
      <w:r>
        <w:separator/>
      </w:r>
    </w:p>
  </w:endnote>
  <w:endnote w:type="continuationSeparator" w:id="0">
    <w:p w14:paraId="7A4BE2C6" w14:textId="77777777" w:rsidR="00E70DBE" w:rsidRDefault="00E70DBE" w:rsidP="0035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A40D7" w14:textId="77777777" w:rsidR="005D49A0" w:rsidRDefault="005D49A0" w:rsidP="001508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967157" w14:textId="77777777" w:rsidR="005D49A0" w:rsidRPr="001508D3" w:rsidRDefault="005D49A0" w:rsidP="001508D3">
    <w:pPr>
      <w:pStyle w:val="a5"/>
      <w:pBdr>
        <w:top w:val="single" w:sz="4" w:space="1" w:color="auto"/>
        <w:between w:val="single" w:sz="4" w:space="0" w:color="auto"/>
      </w:pBdr>
      <w:spacing w:after="60"/>
      <w:jc w:val="center"/>
      <w:rPr>
        <w:rFonts w:ascii="FrankRuehl" w:hAnsi="FrankRuehl" w:cs="FrankRuehl"/>
        <w:color w:val="000000"/>
      </w:rPr>
    </w:pPr>
    <w:r w:rsidRPr="001508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D9DD0" w14:textId="77777777" w:rsidR="005D49A0" w:rsidRDefault="005D49A0" w:rsidP="001508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1759">
      <w:rPr>
        <w:rFonts w:ascii="FrankRuehl" w:hAnsi="FrankRuehl" w:cs="FrankRuehl"/>
        <w:noProof/>
        <w:rtl/>
      </w:rPr>
      <w:t>1</w:t>
    </w:r>
    <w:r>
      <w:rPr>
        <w:rFonts w:ascii="FrankRuehl" w:hAnsi="FrankRuehl" w:cs="FrankRuehl"/>
        <w:rtl/>
      </w:rPr>
      <w:fldChar w:fldCharType="end"/>
    </w:r>
  </w:p>
  <w:p w14:paraId="310BFE12" w14:textId="77777777" w:rsidR="005D49A0" w:rsidRPr="001508D3" w:rsidRDefault="005D49A0" w:rsidP="001508D3">
    <w:pPr>
      <w:pStyle w:val="a5"/>
      <w:pBdr>
        <w:top w:val="single" w:sz="4" w:space="1" w:color="auto"/>
        <w:between w:val="single" w:sz="4" w:space="0" w:color="auto"/>
      </w:pBdr>
      <w:spacing w:after="60"/>
      <w:jc w:val="center"/>
      <w:rPr>
        <w:rFonts w:ascii="FrankRuehl" w:hAnsi="FrankRuehl" w:cs="FrankRuehl"/>
        <w:color w:val="000000"/>
      </w:rPr>
    </w:pPr>
    <w:r w:rsidRPr="001508D3">
      <w:rPr>
        <w:rFonts w:ascii="FrankRuehl" w:hAnsi="FrankRuehl" w:cs="FrankRuehl"/>
        <w:color w:val="000000"/>
      </w:rPr>
      <w:pict w14:anchorId="1A92AF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CEC0F" w14:textId="77777777" w:rsidR="00E70DBE" w:rsidRDefault="00E70DBE" w:rsidP="00357054">
      <w:r>
        <w:separator/>
      </w:r>
    </w:p>
  </w:footnote>
  <w:footnote w:type="continuationSeparator" w:id="0">
    <w:p w14:paraId="242EB65C" w14:textId="77777777" w:rsidR="00E70DBE" w:rsidRDefault="00E70DBE" w:rsidP="00357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E8308" w14:textId="77777777" w:rsidR="005D49A0" w:rsidRPr="001508D3" w:rsidRDefault="005D49A0" w:rsidP="001508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66041-01-18</w:t>
    </w:r>
    <w:r>
      <w:rPr>
        <w:rFonts w:ascii="David" w:hAnsi="David"/>
        <w:color w:val="000000"/>
        <w:sz w:val="22"/>
        <w:szCs w:val="22"/>
        <w:rtl/>
      </w:rPr>
      <w:tab/>
      <w:t xml:space="preserve"> מדינת ישראל נ' דמיטרי קוקשרוב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310FC" w14:textId="77777777" w:rsidR="005D49A0" w:rsidRPr="001508D3" w:rsidRDefault="005D49A0" w:rsidP="001508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66041-01-18</w:t>
    </w:r>
    <w:r>
      <w:rPr>
        <w:rFonts w:ascii="David" w:hAnsi="David"/>
        <w:color w:val="000000"/>
        <w:sz w:val="22"/>
        <w:szCs w:val="22"/>
        <w:rtl/>
      </w:rPr>
      <w:tab/>
      <w:t xml:space="preserve"> מדינת ישראל נ' דמיטרי קוקשרוב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707"/>
    <w:multiLevelType w:val="hybridMultilevel"/>
    <w:tmpl w:val="846225E4"/>
    <w:lvl w:ilvl="0" w:tplc="D05E29B2">
      <w:start w:val="1"/>
      <w:numFmt w:val="bullet"/>
      <w:lvlText w:val=""/>
      <w:lvlJc w:val="left"/>
      <w:pPr>
        <w:ind w:left="1080" w:hanging="360"/>
      </w:pPr>
      <w:rPr>
        <w:rFonts w:ascii="Wingdings" w:hAnsi="Wingdings" w:hint="default"/>
      </w:rPr>
    </w:lvl>
    <w:lvl w:ilvl="1" w:tplc="E35E0C28">
      <w:start w:val="1"/>
      <w:numFmt w:val="bullet"/>
      <w:lvlText w:val="o"/>
      <w:lvlJc w:val="left"/>
      <w:pPr>
        <w:ind w:left="1800" w:hanging="360"/>
      </w:pPr>
      <w:rPr>
        <w:rFonts w:ascii="Courier New" w:hAnsi="Courier New" w:cs="Courier New" w:hint="default"/>
      </w:rPr>
    </w:lvl>
    <w:lvl w:ilvl="2" w:tplc="AFCCC86E">
      <w:start w:val="1"/>
      <w:numFmt w:val="bullet"/>
      <w:lvlText w:val=""/>
      <w:lvlJc w:val="left"/>
      <w:pPr>
        <w:ind w:left="2520" w:hanging="360"/>
      </w:pPr>
      <w:rPr>
        <w:rFonts w:ascii="Wingdings" w:hAnsi="Wingdings" w:hint="default"/>
      </w:rPr>
    </w:lvl>
    <w:lvl w:ilvl="3" w:tplc="B31814C4">
      <w:start w:val="1"/>
      <w:numFmt w:val="bullet"/>
      <w:lvlText w:val=""/>
      <w:lvlJc w:val="left"/>
      <w:pPr>
        <w:ind w:left="3240" w:hanging="360"/>
      </w:pPr>
      <w:rPr>
        <w:rFonts w:ascii="Symbol" w:hAnsi="Symbol" w:hint="default"/>
      </w:rPr>
    </w:lvl>
    <w:lvl w:ilvl="4" w:tplc="FFFAD7FA">
      <w:start w:val="1"/>
      <w:numFmt w:val="bullet"/>
      <w:lvlText w:val="o"/>
      <w:lvlJc w:val="left"/>
      <w:pPr>
        <w:ind w:left="3960" w:hanging="360"/>
      </w:pPr>
      <w:rPr>
        <w:rFonts w:ascii="Courier New" w:hAnsi="Courier New" w:cs="Courier New" w:hint="default"/>
      </w:rPr>
    </w:lvl>
    <w:lvl w:ilvl="5" w:tplc="316ED7C8">
      <w:start w:val="1"/>
      <w:numFmt w:val="bullet"/>
      <w:lvlText w:val=""/>
      <w:lvlJc w:val="left"/>
      <w:pPr>
        <w:ind w:left="4680" w:hanging="360"/>
      </w:pPr>
      <w:rPr>
        <w:rFonts w:ascii="Wingdings" w:hAnsi="Wingdings" w:hint="default"/>
      </w:rPr>
    </w:lvl>
    <w:lvl w:ilvl="6" w:tplc="9A5AE99A">
      <w:start w:val="1"/>
      <w:numFmt w:val="bullet"/>
      <w:lvlText w:val=""/>
      <w:lvlJc w:val="left"/>
      <w:pPr>
        <w:ind w:left="5400" w:hanging="360"/>
      </w:pPr>
      <w:rPr>
        <w:rFonts w:ascii="Symbol" w:hAnsi="Symbol" w:hint="default"/>
      </w:rPr>
    </w:lvl>
    <w:lvl w:ilvl="7" w:tplc="7AE4E2F6">
      <w:start w:val="1"/>
      <w:numFmt w:val="bullet"/>
      <w:lvlText w:val="o"/>
      <w:lvlJc w:val="left"/>
      <w:pPr>
        <w:ind w:left="6120" w:hanging="360"/>
      </w:pPr>
      <w:rPr>
        <w:rFonts w:ascii="Courier New" w:hAnsi="Courier New" w:cs="Courier New" w:hint="default"/>
      </w:rPr>
    </w:lvl>
    <w:lvl w:ilvl="8" w:tplc="BAC0021C">
      <w:start w:val="1"/>
      <w:numFmt w:val="bullet"/>
      <w:lvlText w:val=""/>
      <w:lvlJc w:val="left"/>
      <w:pPr>
        <w:ind w:left="6840" w:hanging="360"/>
      </w:pPr>
      <w:rPr>
        <w:rFonts w:ascii="Wingdings" w:hAnsi="Wingdings" w:hint="default"/>
      </w:rPr>
    </w:lvl>
  </w:abstractNum>
  <w:abstractNum w:abstractNumId="1" w15:restartNumberingAfterBreak="0">
    <w:nsid w:val="79627211"/>
    <w:multiLevelType w:val="hybridMultilevel"/>
    <w:tmpl w:val="059C7FC8"/>
    <w:lvl w:ilvl="0" w:tplc="10BC5E28">
      <w:start w:val="1"/>
      <w:numFmt w:val="decimal"/>
      <w:lvlText w:val="%1."/>
      <w:lvlJc w:val="left"/>
      <w:pPr>
        <w:ind w:left="360" w:hanging="360"/>
      </w:pPr>
    </w:lvl>
    <w:lvl w:ilvl="1" w:tplc="04090013">
      <w:start w:val="1"/>
      <w:numFmt w:val="hebrew1"/>
      <w:lvlText w:val="%2."/>
      <w:lvlJc w:val="center"/>
      <w:pPr>
        <w:ind w:left="1080" w:hanging="360"/>
      </w:pPr>
    </w:lvl>
    <w:lvl w:ilvl="2" w:tplc="71B6E874">
      <w:start w:val="1"/>
      <w:numFmt w:val="lowerRoman"/>
      <w:lvlText w:val="%3."/>
      <w:lvlJc w:val="right"/>
      <w:pPr>
        <w:ind w:left="1800" w:hanging="180"/>
      </w:pPr>
    </w:lvl>
    <w:lvl w:ilvl="3" w:tplc="4FFE304E">
      <w:start w:val="1"/>
      <w:numFmt w:val="decimal"/>
      <w:lvlText w:val="%4."/>
      <w:lvlJc w:val="left"/>
      <w:pPr>
        <w:ind w:left="2520" w:hanging="360"/>
      </w:pPr>
    </w:lvl>
    <w:lvl w:ilvl="4" w:tplc="98DA4AD6">
      <w:start w:val="1"/>
      <w:numFmt w:val="lowerLetter"/>
      <w:lvlText w:val="%5."/>
      <w:lvlJc w:val="left"/>
      <w:pPr>
        <w:ind w:left="3240" w:hanging="360"/>
      </w:pPr>
    </w:lvl>
    <w:lvl w:ilvl="5" w:tplc="4B6276F0">
      <w:start w:val="1"/>
      <w:numFmt w:val="lowerRoman"/>
      <w:lvlText w:val="%6."/>
      <w:lvlJc w:val="right"/>
      <w:pPr>
        <w:ind w:left="3960" w:hanging="180"/>
      </w:pPr>
    </w:lvl>
    <w:lvl w:ilvl="6" w:tplc="79C27B08">
      <w:start w:val="1"/>
      <w:numFmt w:val="decimal"/>
      <w:lvlText w:val="%7."/>
      <w:lvlJc w:val="left"/>
      <w:pPr>
        <w:ind w:left="4680" w:hanging="360"/>
      </w:pPr>
    </w:lvl>
    <w:lvl w:ilvl="7" w:tplc="53F8C73C">
      <w:start w:val="1"/>
      <w:numFmt w:val="lowerLetter"/>
      <w:lvlText w:val="%8."/>
      <w:lvlJc w:val="left"/>
      <w:pPr>
        <w:ind w:left="5400" w:hanging="360"/>
      </w:pPr>
    </w:lvl>
    <w:lvl w:ilvl="8" w:tplc="CE284B8E">
      <w:start w:val="1"/>
      <w:numFmt w:val="lowerRoman"/>
      <w:lvlText w:val="%9."/>
      <w:lvlJc w:val="right"/>
      <w:pPr>
        <w:ind w:left="6120" w:hanging="180"/>
      </w:pPr>
    </w:lvl>
  </w:abstractNum>
  <w:num w:numId="1" w16cid:durableId="1491821980">
    <w:abstractNumId w:val="1"/>
  </w:num>
  <w:num w:numId="2" w16cid:durableId="143304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017F"/>
    <w:rsid w:val="001508D3"/>
    <w:rsid w:val="002A0C4D"/>
    <w:rsid w:val="00357054"/>
    <w:rsid w:val="00437AEB"/>
    <w:rsid w:val="004A0356"/>
    <w:rsid w:val="005D49A0"/>
    <w:rsid w:val="00921759"/>
    <w:rsid w:val="00B04FF7"/>
    <w:rsid w:val="00BE7D13"/>
    <w:rsid w:val="00C355D7"/>
    <w:rsid w:val="00CB63BD"/>
    <w:rsid w:val="00E70DBE"/>
    <w:rsid w:val="00FC01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05F4C1"/>
  <w15:chartTrackingRefBased/>
  <w15:docId w15:val="{95FA06CF-B57D-4152-B621-B83BC016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1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017F"/>
    <w:pPr>
      <w:tabs>
        <w:tab w:val="center" w:pos="4153"/>
        <w:tab w:val="right" w:pos="8306"/>
      </w:tabs>
    </w:pPr>
  </w:style>
  <w:style w:type="character" w:customStyle="1" w:styleId="a4">
    <w:name w:val="כותרת עליונה תו"/>
    <w:link w:val="a3"/>
    <w:rsid w:val="00FC017F"/>
    <w:rPr>
      <w:rFonts w:ascii="Times New Roman" w:eastAsia="Times New Roman" w:hAnsi="Times New Roman" w:cs="David"/>
      <w:sz w:val="24"/>
      <w:szCs w:val="24"/>
    </w:rPr>
  </w:style>
  <w:style w:type="paragraph" w:styleId="a5">
    <w:name w:val="footer"/>
    <w:basedOn w:val="a"/>
    <w:link w:val="a6"/>
    <w:rsid w:val="00FC017F"/>
    <w:pPr>
      <w:tabs>
        <w:tab w:val="center" w:pos="4153"/>
        <w:tab w:val="right" w:pos="8306"/>
      </w:tabs>
    </w:pPr>
  </w:style>
  <w:style w:type="character" w:customStyle="1" w:styleId="a6">
    <w:name w:val="כותרת תחתונה תו"/>
    <w:link w:val="a5"/>
    <w:rsid w:val="00FC017F"/>
    <w:rPr>
      <w:rFonts w:ascii="Times New Roman" w:eastAsia="Times New Roman" w:hAnsi="Times New Roman" w:cs="David"/>
      <w:sz w:val="24"/>
      <w:szCs w:val="24"/>
    </w:rPr>
  </w:style>
  <w:style w:type="table" w:styleId="a7">
    <w:name w:val="Table Grid"/>
    <w:basedOn w:val="a1"/>
    <w:rsid w:val="00FC01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017F"/>
  </w:style>
  <w:style w:type="paragraph" w:styleId="a9">
    <w:name w:val="List Paragraph"/>
    <w:basedOn w:val="a"/>
    <w:qFormat/>
    <w:rsid w:val="00FC017F"/>
    <w:pPr>
      <w:ind w:left="720"/>
      <w:contextualSpacing/>
    </w:pPr>
  </w:style>
  <w:style w:type="character" w:styleId="Hyperlink">
    <w:name w:val="Hyperlink"/>
    <w:rsid w:val="00BE7D1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92" TargetMode="External"/><Relationship Id="rId21" Type="http://schemas.openxmlformats.org/officeDocument/2006/relationships/hyperlink" Target="http://www.nevo.co.il/law/70314" TargetMode="External"/><Relationship Id="rId34" Type="http://schemas.openxmlformats.org/officeDocument/2006/relationships/hyperlink" Target="http://www.nevo.co.il/law/70314/9.a" TargetMode="External"/><Relationship Id="rId42" Type="http://schemas.openxmlformats.org/officeDocument/2006/relationships/hyperlink" Target="http://www.nevo.co.il/case/21476108" TargetMode="External"/><Relationship Id="rId47" Type="http://schemas.openxmlformats.org/officeDocument/2006/relationships/hyperlink" Target="http://www.nevo.co.il/law/70301/40j.c" TargetMode="External"/><Relationship Id="rId50" Type="http://schemas.openxmlformats.org/officeDocument/2006/relationships/hyperlink" Target="http://www.nevo.co.il/case/6249109" TargetMode="External"/><Relationship Id="rId55" Type="http://schemas.openxmlformats.org/officeDocument/2006/relationships/hyperlink" Target="http://www.nevo.co.il/law/70301/40ja"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452"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382.c" TargetMode="External"/><Relationship Id="rId32" Type="http://schemas.openxmlformats.org/officeDocument/2006/relationships/hyperlink" Target="http://www.nevo.co.il/law/4216/7.a.;7.c" TargetMode="External"/><Relationship Id="rId37" Type="http://schemas.openxmlformats.org/officeDocument/2006/relationships/hyperlink" Target="http://www.nevo.co.il/case/6245551"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law/70301/40i.9" TargetMode="External"/><Relationship Id="rId53" Type="http://schemas.openxmlformats.org/officeDocument/2006/relationships/hyperlink" Target="http://www.nevo.co.il/case/23536866" TargetMode="External"/><Relationship Id="rId58" Type="http://schemas.openxmlformats.org/officeDocument/2006/relationships/hyperlink" Target="http://www.nevo.co.il/law/75015"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7.a." TargetMode="External"/><Relationship Id="rId14" Type="http://schemas.openxmlformats.org/officeDocument/2006/relationships/hyperlink" Target="http://www.nevo.co.il/law/70301/382.b" TargetMode="External"/><Relationship Id="rId22" Type="http://schemas.openxmlformats.org/officeDocument/2006/relationships/hyperlink" Target="http://www.nevo.co.il/law/70314/9.a" TargetMode="External"/><Relationship Id="rId27" Type="http://schemas.openxmlformats.org/officeDocument/2006/relationships/hyperlink" Target="http://www.nevo.co.il/law/70301/287.b" TargetMode="External"/><Relationship Id="rId30" Type="http://schemas.openxmlformats.org/officeDocument/2006/relationships/hyperlink" Target="http://www.nevo.co.il/law/70301/382.b" TargetMode="External"/><Relationship Id="rId35" Type="http://schemas.openxmlformats.org/officeDocument/2006/relationships/hyperlink" Target="http://www.nevo.co.il/law/70314" TargetMode="External"/><Relationship Id="rId43" Type="http://schemas.openxmlformats.org/officeDocument/2006/relationships/hyperlink" Target="http://www.nevo.co.il/case/5573266" TargetMode="External"/><Relationship Id="rId48" Type="http://schemas.openxmlformats.org/officeDocument/2006/relationships/hyperlink" Target="http://www.nevo.co.il/case/10502090"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case/5782187"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hyperlink" Target="http://www.nevo.co.il/case/5590115" TargetMode="External"/><Relationship Id="rId46" Type="http://schemas.openxmlformats.org/officeDocument/2006/relationships/hyperlink" Target="http://www.nevo.co.il/law/70301"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20022959" TargetMode="External"/><Relationship Id="rId54" Type="http://schemas.openxmlformats.org/officeDocument/2006/relationships/hyperlink" Target="http://www.nevo.co.il/case/18797109"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2.c" TargetMode="External"/><Relationship Id="rId23" Type="http://schemas.openxmlformats.org/officeDocument/2006/relationships/hyperlink" Target="http://www.nevo.co.il/law/75015" TargetMode="External"/><Relationship Id="rId28" Type="http://schemas.openxmlformats.org/officeDocument/2006/relationships/hyperlink" Target="http://www.nevo.co.il/law/70301/244" TargetMode="External"/><Relationship Id="rId36" Type="http://schemas.openxmlformats.org/officeDocument/2006/relationships/hyperlink" Target="http://www.nevo.co.il/case/22303052" TargetMode="External"/><Relationship Id="rId49" Type="http://schemas.openxmlformats.org/officeDocument/2006/relationships/hyperlink" Target="http://www.nevo.co.il/case/18653966" TargetMode="External"/><Relationship Id="rId57" Type="http://schemas.openxmlformats.org/officeDocument/2006/relationships/hyperlink" Target="http://www.nevo.co.il/case/5579220" TargetMode="External"/><Relationship Id="rId10" Type="http://schemas.openxmlformats.org/officeDocument/2006/relationships/hyperlink" Target="http://www.nevo.co.il/law/70301/40j.c"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13087561" TargetMode="External"/><Relationship Id="rId52" Type="http://schemas.openxmlformats.org/officeDocument/2006/relationships/hyperlink" Target="http://www.nevo.co.il/case/6245551"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9" TargetMode="External"/><Relationship Id="rId13" Type="http://schemas.openxmlformats.org/officeDocument/2006/relationships/hyperlink" Target="http://www.nevo.co.il/law/70301/287.b" TargetMode="External"/><Relationship Id="rId18" Type="http://schemas.openxmlformats.org/officeDocument/2006/relationships/hyperlink" Target="http://www.nevo.co.il/law/4216" TargetMode="External"/><Relationship Id="rId39" Type="http://schemas.openxmlformats.org/officeDocument/2006/relationships/hyperlink" Target="http://www.nevo.co.il/case/55792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4313</Words>
  <Characters>21567</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25829</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8257639</vt:i4>
      </vt:variant>
      <vt:variant>
        <vt:i4>153</vt:i4>
      </vt:variant>
      <vt:variant>
        <vt:i4>0</vt:i4>
      </vt:variant>
      <vt:variant>
        <vt:i4>5</vt:i4>
      </vt:variant>
      <vt:variant>
        <vt:lpwstr>http://www.nevo.co.il/law/75015</vt:lpwstr>
      </vt:variant>
      <vt:variant>
        <vt:lpwstr/>
      </vt:variant>
      <vt:variant>
        <vt:i4>3145850</vt:i4>
      </vt:variant>
      <vt:variant>
        <vt:i4>150</vt:i4>
      </vt:variant>
      <vt:variant>
        <vt:i4>0</vt:i4>
      </vt:variant>
      <vt:variant>
        <vt:i4>5</vt:i4>
      </vt:variant>
      <vt:variant>
        <vt:lpwstr>http://www.nevo.co.il/case/5579220</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3211380</vt:i4>
      </vt:variant>
      <vt:variant>
        <vt:i4>141</vt:i4>
      </vt:variant>
      <vt:variant>
        <vt:i4>0</vt:i4>
      </vt:variant>
      <vt:variant>
        <vt:i4>5</vt:i4>
      </vt:variant>
      <vt:variant>
        <vt:lpwstr>http://www.nevo.co.il/case/18797109</vt:lpwstr>
      </vt:variant>
      <vt:variant>
        <vt:lpwstr/>
      </vt:variant>
      <vt:variant>
        <vt:i4>3604604</vt:i4>
      </vt:variant>
      <vt:variant>
        <vt:i4>138</vt:i4>
      </vt:variant>
      <vt:variant>
        <vt:i4>0</vt:i4>
      </vt:variant>
      <vt:variant>
        <vt:i4>5</vt:i4>
      </vt:variant>
      <vt:variant>
        <vt:lpwstr>http://www.nevo.co.il/case/23536866</vt:lpwstr>
      </vt:variant>
      <vt:variant>
        <vt:lpwstr/>
      </vt:variant>
      <vt:variant>
        <vt:i4>3539062</vt:i4>
      </vt:variant>
      <vt:variant>
        <vt:i4>135</vt:i4>
      </vt:variant>
      <vt:variant>
        <vt:i4>0</vt:i4>
      </vt:variant>
      <vt:variant>
        <vt:i4>5</vt:i4>
      </vt:variant>
      <vt:variant>
        <vt:lpwstr>http://www.nevo.co.il/case/6245551</vt:lpwstr>
      </vt:variant>
      <vt:variant>
        <vt:lpwstr/>
      </vt:variant>
      <vt:variant>
        <vt:i4>3866745</vt:i4>
      </vt:variant>
      <vt:variant>
        <vt:i4>132</vt:i4>
      </vt:variant>
      <vt:variant>
        <vt:i4>0</vt:i4>
      </vt:variant>
      <vt:variant>
        <vt:i4>5</vt:i4>
      </vt:variant>
      <vt:variant>
        <vt:lpwstr>http://www.nevo.co.il/case/5782187</vt:lpwstr>
      </vt:variant>
      <vt:variant>
        <vt:lpwstr/>
      </vt:variant>
      <vt:variant>
        <vt:i4>3801215</vt:i4>
      </vt:variant>
      <vt:variant>
        <vt:i4>129</vt:i4>
      </vt:variant>
      <vt:variant>
        <vt:i4>0</vt:i4>
      </vt:variant>
      <vt:variant>
        <vt:i4>5</vt:i4>
      </vt:variant>
      <vt:variant>
        <vt:lpwstr>http://www.nevo.co.il/case/6249109</vt:lpwstr>
      </vt:variant>
      <vt:variant>
        <vt:lpwstr/>
      </vt:variant>
      <vt:variant>
        <vt:i4>3276912</vt:i4>
      </vt:variant>
      <vt:variant>
        <vt:i4>126</vt:i4>
      </vt:variant>
      <vt:variant>
        <vt:i4>0</vt:i4>
      </vt:variant>
      <vt:variant>
        <vt:i4>5</vt:i4>
      </vt:variant>
      <vt:variant>
        <vt:lpwstr>http://www.nevo.co.il/case/18653966</vt:lpwstr>
      </vt:variant>
      <vt:variant>
        <vt:lpwstr/>
      </vt:variant>
      <vt:variant>
        <vt:i4>4128884</vt:i4>
      </vt:variant>
      <vt:variant>
        <vt:i4>123</vt:i4>
      </vt:variant>
      <vt:variant>
        <vt:i4>0</vt:i4>
      </vt:variant>
      <vt:variant>
        <vt:i4>5</vt:i4>
      </vt:variant>
      <vt:variant>
        <vt:lpwstr>http://www.nevo.co.il/case/10502090</vt:lpwstr>
      </vt:variant>
      <vt:variant>
        <vt:lpwstr/>
      </vt:variant>
      <vt:variant>
        <vt:i4>4915211</vt:i4>
      </vt:variant>
      <vt:variant>
        <vt:i4>120</vt:i4>
      </vt:variant>
      <vt:variant>
        <vt:i4>0</vt:i4>
      </vt:variant>
      <vt:variant>
        <vt:i4>5</vt:i4>
      </vt:variant>
      <vt:variant>
        <vt:lpwstr>http://www.nevo.co.il/law/70301/40j.c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4915208</vt:i4>
      </vt:variant>
      <vt:variant>
        <vt:i4>114</vt:i4>
      </vt:variant>
      <vt:variant>
        <vt:i4>0</vt:i4>
      </vt:variant>
      <vt:variant>
        <vt:i4>5</vt:i4>
      </vt:variant>
      <vt:variant>
        <vt:lpwstr>http://www.nevo.co.il/law/70301/40i.9</vt:lpwstr>
      </vt:variant>
      <vt:variant>
        <vt:lpwstr/>
      </vt:variant>
      <vt:variant>
        <vt:i4>3145850</vt:i4>
      </vt:variant>
      <vt:variant>
        <vt:i4>111</vt:i4>
      </vt:variant>
      <vt:variant>
        <vt:i4>0</vt:i4>
      </vt:variant>
      <vt:variant>
        <vt:i4>5</vt:i4>
      </vt:variant>
      <vt:variant>
        <vt:lpwstr>http://www.nevo.co.il/case/13087561</vt:lpwstr>
      </vt:variant>
      <vt:variant>
        <vt:lpwstr/>
      </vt:variant>
      <vt:variant>
        <vt:i4>3539060</vt:i4>
      </vt:variant>
      <vt:variant>
        <vt:i4>108</vt:i4>
      </vt:variant>
      <vt:variant>
        <vt:i4>0</vt:i4>
      </vt:variant>
      <vt:variant>
        <vt:i4>5</vt:i4>
      </vt:variant>
      <vt:variant>
        <vt:lpwstr>http://www.nevo.co.il/case/5573266</vt:lpwstr>
      </vt:variant>
      <vt:variant>
        <vt:lpwstr/>
      </vt:variant>
      <vt:variant>
        <vt:i4>3145843</vt:i4>
      </vt:variant>
      <vt:variant>
        <vt:i4>105</vt:i4>
      </vt:variant>
      <vt:variant>
        <vt:i4>0</vt:i4>
      </vt:variant>
      <vt:variant>
        <vt:i4>5</vt:i4>
      </vt:variant>
      <vt:variant>
        <vt:lpwstr>http://www.nevo.co.il/case/21476108</vt:lpwstr>
      </vt:variant>
      <vt:variant>
        <vt:lpwstr/>
      </vt:variant>
      <vt:variant>
        <vt:i4>3473535</vt:i4>
      </vt:variant>
      <vt:variant>
        <vt:i4>102</vt:i4>
      </vt:variant>
      <vt:variant>
        <vt:i4>0</vt:i4>
      </vt:variant>
      <vt:variant>
        <vt:i4>5</vt:i4>
      </vt:variant>
      <vt:variant>
        <vt:lpwstr>http://www.nevo.co.il/case/20022959</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3145850</vt:i4>
      </vt:variant>
      <vt:variant>
        <vt:i4>96</vt:i4>
      </vt:variant>
      <vt:variant>
        <vt:i4>0</vt:i4>
      </vt:variant>
      <vt:variant>
        <vt:i4>5</vt:i4>
      </vt:variant>
      <vt:variant>
        <vt:lpwstr>http://www.nevo.co.il/case/5579220</vt:lpwstr>
      </vt:variant>
      <vt:variant>
        <vt:lpwstr/>
      </vt:variant>
      <vt:variant>
        <vt:i4>3670128</vt:i4>
      </vt:variant>
      <vt:variant>
        <vt:i4>93</vt:i4>
      </vt:variant>
      <vt:variant>
        <vt:i4>0</vt:i4>
      </vt:variant>
      <vt:variant>
        <vt:i4>5</vt:i4>
      </vt:variant>
      <vt:variant>
        <vt:lpwstr>http://www.nevo.co.il/case/5590115</vt:lpwstr>
      </vt:variant>
      <vt:variant>
        <vt:lpwstr/>
      </vt:variant>
      <vt:variant>
        <vt:i4>3539062</vt:i4>
      </vt:variant>
      <vt:variant>
        <vt:i4>90</vt:i4>
      </vt:variant>
      <vt:variant>
        <vt:i4>0</vt:i4>
      </vt:variant>
      <vt:variant>
        <vt:i4>5</vt:i4>
      </vt:variant>
      <vt:variant>
        <vt:lpwstr>http://www.nevo.co.il/case/6245551</vt:lpwstr>
      </vt:variant>
      <vt:variant>
        <vt:lpwstr/>
      </vt:variant>
      <vt:variant>
        <vt:i4>3604598</vt:i4>
      </vt:variant>
      <vt:variant>
        <vt:i4>87</vt:i4>
      </vt:variant>
      <vt:variant>
        <vt:i4>0</vt:i4>
      </vt:variant>
      <vt:variant>
        <vt:i4>5</vt:i4>
      </vt:variant>
      <vt:variant>
        <vt:lpwstr>http://www.nevo.co.il/case/22303052</vt:lpwstr>
      </vt:variant>
      <vt:variant>
        <vt:lpwstr/>
      </vt:variant>
      <vt:variant>
        <vt:i4>8061028</vt:i4>
      </vt:variant>
      <vt:variant>
        <vt:i4>84</vt:i4>
      </vt:variant>
      <vt:variant>
        <vt:i4>0</vt:i4>
      </vt:variant>
      <vt:variant>
        <vt:i4>5</vt:i4>
      </vt:variant>
      <vt:variant>
        <vt:lpwstr>http://www.nevo.co.il/law/70314</vt:lpwstr>
      </vt:variant>
      <vt:variant>
        <vt:lpwstr/>
      </vt:variant>
      <vt:variant>
        <vt:i4>7995497</vt:i4>
      </vt:variant>
      <vt:variant>
        <vt:i4>81</vt:i4>
      </vt:variant>
      <vt:variant>
        <vt:i4>0</vt:i4>
      </vt:variant>
      <vt:variant>
        <vt:i4>5</vt:i4>
      </vt:variant>
      <vt:variant>
        <vt:lpwstr>http://www.nevo.co.il/law/70314/9.a</vt:lpwstr>
      </vt:variant>
      <vt:variant>
        <vt:lpwstr/>
      </vt:variant>
      <vt:variant>
        <vt:i4>8257637</vt:i4>
      </vt:variant>
      <vt:variant>
        <vt:i4>78</vt:i4>
      </vt:variant>
      <vt:variant>
        <vt:i4>0</vt:i4>
      </vt:variant>
      <vt:variant>
        <vt:i4>5</vt:i4>
      </vt:variant>
      <vt:variant>
        <vt:lpwstr>http://www.nevo.co.il/law/4216</vt:lpwstr>
      </vt:variant>
      <vt:variant>
        <vt:lpwstr/>
      </vt:variant>
      <vt:variant>
        <vt:i4>3997821</vt:i4>
      </vt:variant>
      <vt:variant>
        <vt:i4>75</vt:i4>
      </vt:variant>
      <vt:variant>
        <vt:i4>0</vt:i4>
      </vt:variant>
      <vt:variant>
        <vt:i4>5</vt:i4>
      </vt:variant>
      <vt:variant>
        <vt:lpwstr>http://www.nevo.co.il/law/4216/7.a.;7.c</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4390996</vt:i4>
      </vt:variant>
      <vt:variant>
        <vt:i4>69</vt:i4>
      </vt:variant>
      <vt:variant>
        <vt:i4>0</vt:i4>
      </vt:variant>
      <vt:variant>
        <vt:i4>5</vt:i4>
      </vt:variant>
      <vt:variant>
        <vt:lpwstr>http://www.nevo.co.il/law/70301/382.b</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4390992</vt:i4>
      </vt:variant>
      <vt:variant>
        <vt:i4>60</vt:i4>
      </vt:variant>
      <vt:variant>
        <vt:i4>0</vt:i4>
      </vt:variant>
      <vt:variant>
        <vt:i4>5</vt:i4>
      </vt:variant>
      <vt:variant>
        <vt:lpwstr>http://www.nevo.co.il/law/70301/287.b</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7995492</vt:i4>
      </vt:variant>
      <vt:variant>
        <vt:i4>54</vt:i4>
      </vt:variant>
      <vt:variant>
        <vt:i4>0</vt:i4>
      </vt:variant>
      <vt:variant>
        <vt:i4>5</vt:i4>
      </vt:variant>
      <vt:variant>
        <vt:lpwstr>http://www.nevo.co.il/law/70301</vt:lpwstr>
      </vt:variant>
      <vt:variant>
        <vt:lpwstr/>
      </vt:variant>
      <vt:variant>
        <vt:i4>4390996</vt:i4>
      </vt:variant>
      <vt:variant>
        <vt:i4>51</vt:i4>
      </vt:variant>
      <vt:variant>
        <vt:i4>0</vt:i4>
      </vt:variant>
      <vt:variant>
        <vt:i4>5</vt:i4>
      </vt:variant>
      <vt:variant>
        <vt:lpwstr>http://www.nevo.co.il/law/70301/382.c</vt:lpwstr>
      </vt:variant>
      <vt:variant>
        <vt:lpwstr/>
      </vt:variant>
      <vt:variant>
        <vt:i4>8257639</vt:i4>
      </vt:variant>
      <vt:variant>
        <vt:i4>48</vt:i4>
      </vt:variant>
      <vt:variant>
        <vt:i4>0</vt:i4>
      </vt:variant>
      <vt:variant>
        <vt:i4>5</vt:i4>
      </vt:variant>
      <vt:variant>
        <vt:lpwstr>http://www.nevo.co.il/law/75015</vt:lpwstr>
      </vt:variant>
      <vt:variant>
        <vt:lpwstr/>
      </vt:variant>
      <vt:variant>
        <vt:i4>7995497</vt:i4>
      </vt:variant>
      <vt:variant>
        <vt:i4>45</vt:i4>
      </vt:variant>
      <vt:variant>
        <vt:i4>0</vt:i4>
      </vt:variant>
      <vt:variant>
        <vt:i4>5</vt:i4>
      </vt:variant>
      <vt:variant>
        <vt:lpwstr>http://www.nevo.co.il/law/70314/9.a</vt:lpwstr>
      </vt:variant>
      <vt:variant>
        <vt:lpwstr/>
      </vt:variant>
      <vt:variant>
        <vt:i4>8061028</vt:i4>
      </vt:variant>
      <vt:variant>
        <vt:i4>42</vt:i4>
      </vt:variant>
      <vt:variant>
        <vt:i4>0</vt:i4>
      </vt:variant>
      <vt:variant>
        <vt:i4>5</vt:i4>
      </vt:variant>
      <vt:variant>
        <vt:lpwstr>http://www.nevo.co.il/law/70314</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4390996</vt:i4>
      </vt:variant>
      <vt:variant>
        <vt:i4>24</vt:i4>
      </vt:variant>
      <vt:variant>
        <vt:i4>0</vt:i4>
      </vt:variant>
      <vt:variant>
        <vt:i4>5</vt:i4>
      </vt:variant>
      <vt:variant>
        <vt:lpwstr>http://www.nevo.co.il/law/70301/382.c</vt:lpwstr>
      </vt:variant>
      <vt:variant>
        <vt:lpwstr/>
      </vt:variant>
      <vt:variant>
        <vt:i4>4390996</vt:i4>
      </vt:variant>
      <vt:variant>
        <vt:i4>21</vt:i4>
      </vt:variant>
      <vt:variant>
        <vt:i4>0</vt:i4>
      </vt:variant>
      <vt:variant>
        <vt:i4>5</vt:i4>
      </vt:variant>
      <vt:variant>
        <vt:lpwstr>http://www.nevo.co.il/law/70301/382.b</vt:lpwstr>
      </vt:variant>
      <vt:variant>
        <vt:lpwstr/>
      </vt:variant>
      <vt:variant>
        <vt:i4>4390992</vt:i4>
      </vt:variant>
      <vt:variant>
        <vt:i4>18</vt:i4>
      </vt:variant>
      <vt:variant>
        <vt:i4>0</vt:i4>
      </vt:variant>
      <vt:variant>
        <vt:i4>5</vt:i4>
      </vt:variant>
      <vt:variant>
        <vt:lpwstr>http://www.nevo.co.il/law/70301/287.b</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4915211</vt:i4>
      </vt:variant>
      <vt:variant>
        <vt:i4>9</vt:i4>
      </vt:variant>
      <vt:variant>
        <vt:i4>0</vt:i4>
      </vt:variant>
      <vt:variant>
        <vt:i4>5</vt:i4>
      </vt:variant>
      <vt:variant>
        <vt:lpwstr>http://www.nevo.co.il/law/70301/40j.c</vt:lpwstr>
      </vt:variant>
      <vt:variant>
        <vt:lpwstr/>
      </vt:variant>
      <vt:variant>
        <vt:i4>4915208</vt:i4>
      </vt:variant>
      <vt:variant>
        <vt:i4>6</vt:i4>
      </vt:variant>
      <vt:variant>
        <vt:i4>0</vt:i4>
      </vt:variant>
      <vt:variant>
        <vt:i4>5</vt:i4>
      </vt:variant>
      <vt:variant>
        <vt:lpwstr>http://www.nevo.co.il/law/70301/40i.9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2025-04-22T23:39:00Z</dcterms:created>
  <dcterms:modified xsi:type="dcterms:W3CDTF">2025-04-22T23:39:00Z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66041</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דמיטרי קוקשרוב</vt:lpwstr>
  </property>
  <property fmtid="{D5CDD505-2E9C-101B-9397-08002B2CF9AE}" pid="10" name="LAWYER">
    <vt:lpwstr>זוסמן;מץ</vt:lpwstr>
  </property>
  <property fmtid="{D5CDD505-2E9C-101B-9397-08002B2CF9AE}" pid="11" name="JUDGE">
    <vt:lpwstr>שמאי בקר</vt:lpwstr>
  </property>
  <property fmtid="{D5CDD505-2E9C-101B-9397-08002B2CF9AE}" pid="12" name="CITY">
    <vt:lpwstr>ת"א</vt:lpwstr>
  </property>
  <property fmtid="{D5CDD505-2E9C-101B-9397-08002B2CF9AE}" pid="13" name="DATE">
    <vt:lpwstr>20191224</vt:lpwstr>
  </property>
  <property fmtid="{D5CDD505-2E9C-101B-9397-08002B2CF9AE}" pid="14" name="TYPE_N_DATE">
    <vt:lpwstr>38020191224</vt:lpwstr>
  </property>
  <property fmtid="{D5CDD505-2E9C-101B-9397-08002B2CF9AE}" pid="15" name="CASESLISTTMP1">
    <vt:lpwstr>22303052;6245551:2;5590115;5579220:2;13093721;20022959;21476108;5573266;13087561;10502090;18653966;6249109;5782187;23536866;18797109</vt:lpwstr>
  </property>
  <property fmtid="{D5CDD505-2E9C-101B-9397-08002B2CF9AE}" pid="16" name="CASENOTES1">
    <vt:lpwstr>ProcID=209&amp;PartA=71184&amp;PartB=01&amp;PartC=14</vt:lpwstr>
  </property>
  <property fmtid="{D5CDD505-2E9C-101B-9397-08002B2CF9AE}" pid="17" name="WORDNUMPAGES">
    <vt:lpwstr>14</vt:lpwstr>
  </property>
  <property fmtid="{D5CDD505-2E9C-101B-9397-08002B2CF9AE}" pid="18" name="TYPE_ABS_DATE">
    <vt:lpwstr>380020191224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70301/382.c;192;287.b;244;452;382.b;025;040i.9;040j.c;40ja</vt:lpwstr>
  </property>
  <property fmtid="{D5CDD505-2E9C-101B-9397-08002B2CF9AE}" pid="38" name="LAWLISTTMP2">
    <vt:lpwstr>4216/007.a;007.c</vt:lpwstr>
  </property>
  <property fmtid="{D5CDD505-2E9C-101B-9397-08002B2CF9AE}" pid="39" name="LAWLISTTMP3">
    <vt:lpwstr>70314/009.a</vt:lpwstr>
  </property>
  <property fmtid="{D5CDD505-2E9C-101B-9397-08002B2CF9AE}" pid="40" name="LAWLISTTMP4">
    <vt:lpwstr>75015</vt:lpwstr>
  </property>
</Properties>
</file>