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A38E7" w:rsidRPr="000F5802" w14:paraId="6312CD84" w14:textId="77777777" w:rsidTr="008549D0">
        <w:trPr>
          <w:trHeight w:hRule="exact" w:val="418"/>
          <w:jc w:val="center"/>
        </w:trPr>
        <w:tc>
          <w:tcPr>
            <w:tcW w:w="8721" w:type="dxa"/>
            <w:gridSpan w:val="2"/>
          </w:tcPr>
          <w:p w14:paraId="4A84C8A9" w14:textId="77777777" w:rsidR="004A38E7" w:rsidRPr="000F5802" w:rsidRDefault="004A38E7" w:rsidP="00DE3C20">
            <w:pPr>
              <w:pStyle w:val="a3"/>
              <w:jc w:val="center"/>
              <w:rPr>
                <w:rFonts w:ascii="FrankRuehl" w:hAnsi="FrankRuehl" w:cs="FrankRuehl"/>
                <w:color w:val="000080"/>
                <w:rtl/>
              </w:rPr>
            </w:pPr>
            <w:bookmarkStart w:id="0" w:name="FirstLawyer"/>
            <w:bookmarkStart w:id="1" w:name="LastJudge"/>
            <w:r w:rsidRPr="000F5802">
              <w:rPr>
                <w:rFonts w:ascii="FrankRuehl" w:hAnsi="FrankRuehl" w:cs="FrankRuehl"/>
                <w:b/>
                <w:bCs/>
                <w:color w:val="000080"/>
                <w:sz w:val="28"/>
                <w:szCs w:val="28"/>
                <w:rtl/>
              </w:rPr>
              <w:t>בית משפט השלום בירושלים</w:t>
            </w:r>
          </w:p>
        </w:tc>
      </w:tr>
      <w:tr w:rsidR="004A38E7" w:rsidRPr="000F5802" w14:paraId="5148E1C0" w14:textId="77777777" w:rsidTr="008549D0">
        <w:trPr>
          <w:trHeight w:val="337"/>
          <w:jc w:val="center"/>
        </w:trPr>
        <w:tc>
          <w:tcPr>
            <w:tcW w:w="5059" w:type="dxa"/>
          </w:tcPr>
          <w:p w14:paraId="63631DCA" w14:textId="77777777" w:rsidR="004A38E7" w:rsidRPr="000F5802" w:rsidRDefault="004A38E7" w:rsidP="00DE3C20">
            <w:pPr>
              <w:rPr>
                <w:rFonts w:ascii="FrankRuehl" w:hAnsi="FrankRuehl" w:cs="FrankRuehl"/>
                <w:rtl/>
              </w:rPr>
            </w:pPr>
            <w:r w:rsidRPr="000F5802">
              <w:rPr>
                <w:rFonts w:ascii="FrankRuehl" w:hAnsi="FrankRuehl" w:cs="FrankRuehl"/>
                <w:rtl/>
              </w:rPr>
              <w:t>ת"פ 27467-02-18 מדינת ישראל נ' מור(אחר/נוסף)</w:t>
            </w:r>
          </w:p>
          <w:p w14:paraId="6C7AAA3E" w14:textId="77777777" w:rsidR="004A38E7" w:rsidRPr="000F5802" w:rsidRDefault="004A38E7" w:rsidP="00DE3C20">
            <w:pPr>
              <w:pStyle w:val="a3"/>
              <w:rPr>
                <w:rFonts w:ascii="FrankRuehl" w:hAnsi="FrankRuehl" w:cs="FrankRuehl"/>
                <w:rtl/>
              </w:rPr>
            </w:pPr>
          </w:p>
        </w:tc>
        <w:tc>
          <w:tcPr>
            <w:tcW w:w="3662" w:type="dxa"/>
          </w:tcPr>
          <w:p w14:paraId="38E200E3" w14:textId="77777777" w:rsidR="004A38E7" w:rsidRPr="000F5802" w:rsidRDefault="004A38E7" w:rsidP="00DE3C20">
            <w:pPr>
              <w:pStyle w:val="a3"/>
              <w:jc w:val="right"/>
              <w:rPr>
                <w:rFonts w:ascii="FrankRuehl" w:hAnsi="FrankRuehl" w:cs="FrankRuehl"/>
                <w:rtl/>
              </w:rPr>
            </w:pPr>
          </w:p>
        </w:tc>
      </w:tr>
    </w:tbl>
    <w:p w14:paraId="7409620E" w14:textId="77777777" w:rsidR="004A38E7" w:rsidRPr="000F5802" w:rsidRDefault="004A38E7" w:rsidP="004A38E7">
      <w:pPr>
        <w:pStyle w:val="a3"/>
        <w:rPr>
          <w:rFonts w:ascii="FrankRuehl" w:hAnsi="FrankRuehl" w:cs="FrankRuehl"/>
          <w:rtl/>
        </w:rPr>
      </w:pPr>
      <w:r w:rsidRPr="000F5802">
        <w:rPr>
          <w:rFonts w:ascii="FrankRuehl" w:hAnsi="FrankRuehl" w:cs="FrankRuehl"/>
          <w:rtl/>
        </w:rPr>
        <w:t xml:space="preserve"> </w:t>
      </w:r>
    </w:p>
    <w:p w14:paraId="2703B517" w14:textId="77777777" w:rsidR="004A38E7" w:rsidRPr="000F5802" w:rsidRDefault="004A38E7" w:rsidP="004A38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38E7" w:rsidRPr="000F5802" w14:paraId="29F665A3" w14:textId="77777777" w:rsidTr="004A38E7">
        <w:trPr>
          <w:trHeight w:val="295"/>
          <w:jc w:val="center"/>
        </w:trPr>
        <w:tc>
          <w:tcPr>
            <w:tcW w:w="923" w:type="dxa"/>
            <w:tcBorders>
              <w:top w:val="nil"/>
              <w:left w:val="nil"/>
              <w:bottom w:val="nil"/>
              <w:right w:val="nil"/>
            </w:tcBorders>
            <w:shd w:val="clear" w:color="auto" w:fill="auto"/>
          </w:tcPr>
          <w:p w14:paraId="5446EC86" w14:textId="77777777" w:rsidR="004A38E7" w:rsidRPr="000F5802" w:rsidRDefault="004A38E7" w:rsidP="004A38E7">
            <w:pPr>
              <w:jc w:val="both"/>
              <w:rPr>
                <w:rFonts w:ascii="FrankRuehl" w:hAnsi="FrankRuehl" w:cs="FrankRuehl"/>
                <w:sz w:val="28"/>
                <w:szCs w:val="28"/>
              </w:rPr>
            </w:pPr>
            <w:r w:rsidRPr="000F5802">
              <w:rPr>
                <w:rFonts w:ascii="FrankRuehl" w:hAnsi="FrankRuehl" w:cs="FrankRuehl"/>
                <w:sz w:val="28"/>
                <w:szCs w:val="28"/>
                <w:rtl/>
              </w:rPr>
              <w:t xml:space="preserve">בפני </w:t>
            </w:r>
          </w:p>
        </w:tc>
        <w:tc>
          <w:tcPr>
            <w:tcW w:w="7897" w:type="dxa"/>
            <w:gridSpan w:val="2"/>
            <w:tcBorders>
              <w:top w:val="nil"/>
              <w:left w:val="nil"/>
              <w:bottom w:val="nil"/>
              <w:right w:val="nil"/>
            </w:tcBorders>
            <w:shd w:val="clear" w:color="auto" w:fill="auto"/>
          </w:tcPr>
          <w:p w14:paraId="3FECC139" w14:textId="77777777" w:rsidR="004A38E7" w:rsidRPr="000F5802" w:rsidRDefault="004A38E7" w:rsidP="00DE3C20">
            <w:pPr>
              <w:rPr>
                <w:rFonts w:ascii="FrankRuehl" w:hAnsi="FrankRuehl" w:cs="FrankRuehl"/>
                <w:b/>
                <w:bCs/>
                <w:rtl/>
              </w:rPr>
            </w:pPr>
            <w:r w:rsidRPr="000F5802">
              <w:rPr>
                <w:rFonts w:ascii="FrankRuehl" w:hAnsi="FrankRuehl" w:cs="FrankRuehl"/>
                <w:b/>
                <w:bCs/>
                <w:rtl/>
              </w:rPr>
              <w:t>כבוד השופט  דוד שאול גבאי ריכטר</w:t>
            </w:r>
          </w:p>
          <w:p w14:paraId="78BD7ACD" w14:textId="77777777" w:rsidR="004A38E7" w:rsidRPr="000F5802" w:rsidRDefault="004A38E7" w:rsidP="00DE3C20">
            <w:pPr>
              <w:rPr>
                <w:rFonts w:ascii="FrankRuehl" w:hAnsi="FrankRuehl" w:cs="FrankRuehl"/>
                <w:rtl/>
              </w:rPr>
            </w:pPr>
          </w:p>
          <w:p w14:paraId="181CF52C" w14:textId="77777777" w:rsidR="004A38E7" w:rsidRPr="000F5802" w:rsidRDefault="004A38E7" w:rsidP="004A38E7">
            <w:pPr>
              <w:jc w:val="both"/>
              <w:rPr>
                <w:rFonts w:ascii="FrankRuehl" w:hAnsi="FrankRuehl" w:cs="FrankRuehl"/>
                <w:sz w:val="28"/>
                <w:szCs w:val="28"/>
              </w:rPr>
            </w:pPr>
          </w:p>
        </w:tc>
      </w:tr>
      <w:tr w:rsidR="004A38E7" w:rsidRPr="000F5802" w14:paraId="0809C0E4" w14:textId="77777777" w:rsidTr="004A38E7">
        <w:trPr>
          <w:trHeight w:val="355"/>
          <w:jc w:val="center"/>
        </w:trPr>
        <w:tc>
          <w:tcPr>
            <w:tcW w:w="923" w:type="dxa"/>
            <w:tcBorders>
              <w:top w:val="nil"/>
              <w:left w:val="nil"/>
              <w:bottom w:val="nil"/>
              <w:right w:val="nil"/>
            </w:tcBorders>
            <w:shd w:val="clear" w:color="auto" w:fill="auto"/>
          </w:tcPr>
          <w:p w14:paraId="6CA5F115" w14:textId="77777777" w:rsidR="004A38E7" w:rsidRPr="000F5802" w:rsidRDefault="004A38E7" w:rsidP="004A38E7">
            <w:pPr>
              <w:jc w:val="both"/>
              <w:rPr>
                <w:rFonts w:ascii="FrankRuehl" w:hAnsi="FrankRuehl" w:cs="FrankRuehl"/>
                <w:sz w:val="28"/>
                <w:szCs w:val="28"/>
              </w:rPr>
            </w:pPr>
            <w:bookmarkStart w:id="2" w:name="FirstAppellant"/>
            <w:r w:rsidRPr="000F5802">
              <w:rPr>
                <w:rFonts w:ascii="FrankRuehl" w:hAnsi="FrankRuehl" w:cs="FrankRuehl"/>
                <w:sz w:val="28"/>
                <w:szCs w:val="28"/>
                <w:rtl/>
              </w:rPr>
              <w:t>בעניין:</w:t>
            </w:r>
          </w:p>
        </w:tc>
        <w:tc>
          <w:tcPr>
            <w:tcW w:w="4126" w:type="dxa"/>
            <w:tcBorders>
              <w:top w:val="nil"/>
              <w:left w:val="nil"/>
              <w:bottom w:val="nil"/>
              <w:right w:val="nil"/>
            </w:tcBorders>
            <w:shd w:val="clear" w:color="auto" w:fill="auto"/>
          </w:tcPr>
          <w:p w14:paraId="351EAEC9" w14:textId="77777777" w:rsidR="004A38E7" w:rsidRPr="000F5802" w:rsidRDefault="004A38E7" w:rsidP="00DE3C20">
            <w:pPr>
              <w:rPr>
                <w:rFonts w:ascii="FrankRuehl" w:hAnsi="FrankRuehl" w:cs="FrankRuehl"/>
              </w:rPr>
            </w:pPr>
            <w:r w:rsidRPr="000F5802">
              <w:rPr>
                <w:rFonts w:ascii="FrankRuehl" w:hAnsi="FrankRuehl" w:cs="FrankRuehl"/>
                <w:sz w:val="28"/>
                <w:szCs w:val="28"/>
                <w:rtl/>
              </w:rPr>
              <w:t>מדינת ישראל</w:t>
            </w:r>
          </w:p>
        </w:tc>
        <w:tc>
          <w:tcPr>
            <w:tcW w:w="3771" w:type="dxa"/>
            <w:tcBorders>
              <w:top w:val="nil"/>
              <w:left w:val="nil"/>
              <w:bottom w:val="nil"/>
              <w:right w:val="nil"/>
            </w:tcBorders>
            <w:shd w:val="clear" w:color="auto" w:fill="auto"/>
          </w:tcPr>
          <w:p w14:paraId="75242E1B" w14:textId="77777777" w:rsidR="004A38E7" w:rsidRPr="000F5802" w:rsidRDefault="004A38E7" w:rsidP="004A38E7">
            <w:pPr>
              <w:jc w:val="both"/>
              <w:rPr>
                <w:rFonts w:ascii="FrankRuehl" w:hAnsi="FrankRuehl" w:cs="FrankRuehl"/>
                <w:sz w:val="28"/>
                <w:szCs w:val="28"/>
              </w:rPr>
            </w:pPr>
          </w:p>
        </w:tc>
      </w:tr>
      <w:bookmarkEnd w:id="2"/>
      <w:tr w:rsidR="004A38E7" w:rsidRPr="000F5802" w14:paraId="43D4095B" w14:textId="77777777" w:rsidTr="004A38E7">
        <w:trPr>
          <w:trHeight w:val="355"/>
          <w:jc w:val="center"/>
        </w:trPr>
        <w:tc>
          <w:tcPr>
            <w:tcW w:w="923" w:type="dxa"/>
            <w:tcBorders>
              <w:top w:val="nil"/>
              <w:left w:val="nil"/>
              <w:bottom w:val="nil"/>
              <w:right w:val="nil"/>
            </w:tcBorders>
            <w:shd w:val="clear" w:color="auto" w:fill="auto"/>
          </w:tcPr>
          <w:p w14:paraId="7939A0B3" w14:textId="77777777" w:rsidR="004A38E7" w:rsidRPr="000F5802" w:rsidRDefault="004A38E7" w:rsidP="004A38E7">
            <w:pPr>
              <w:jc w:val="both"/>
              <w:rPr>
                <w:rFonts w:ascii="FrankRuehl" w:hAnsi="FrankRuehl" w:cs="FrankRuehl"/>
                <w:sz w:val="28"/>
                <w:szCs w:val="28"/>
                <w:rtl/>
              </w:rPr>
            </w:pPr>
          </w:p>
        </w:tc>
        <w:tc>
          <w:tcPr>
            <w:tcW w:w="4126" w:type="dxa"/>
            <w:tcBorders>
              <w:top w:val="nil"/>
              <w:left w:val="nil"/>
              <w:bottom w:val="nil"/>
              <w:right w:val="nil"/>
            </w:tcBorders>
            <w:shd w:val="clear" w:color="auto" w:fill="auto"/>
          </w:tcPr>
          <w:p w14:paraId="32D6E3DF" w14:textId="77777777" w:rsidR="004A38E7" w:rsidRPr="000F5802" w:rsidRDefault="004A38E7" w:rsidP="004A38E7">
            <w:pPr>
              <w:jc w:val="both"/>
              <w:rPr>
                <w:rFonts w:ascii="FrankRuehl" w:hAnsi="FrankRuehl" w:cs="FrankRuehl"/>
                <w:rtl/>
              </w:rPr>
            </w:pPr>
            <w:r w:rsidRPr="000F5802">
              <w:rPr>
                <w:rFonts w:ascii="FrankRuehl" w:hAnsi="FrankRuehl" w:cs="FrankRuehl" w:hint="cs"/>
                <w:rtl/>
              </w:rPr>
              <w:t>ע"י תביעות ירושלים</w:t>
            </w:r>
          </w:p>
        </w:tc>
        <w:tc>
          <w:tcPr>
            <w:tcW w:w="3771" w:type="dxa"/>
            <w:tcBorders>
              <w:top w:val="nil"/>
              <w:left w:val="nil"/>
              <w:bottom w:val="nil"/>
              <w:right w:val="nil"/>
            </w:tcBorders>
            <w:shd w:val="clear" w:color="auto" w:fill="auto"/>
          </w:tcPr>
          <w:p w14:paraId="78F0AAC4" w14:textId="77777777" w:rsidR="004A38E7" w:rsidRPr="000F5802" w:rsidRDefault="004A38E7" w:rsidP="004A38E7">
            <w:pPr>
              <w:jc w:val="right"/>
              <w:rPr>
                <w:rFonts w:ascii="FrankRuehl" w:hAnsi="FrankRuehl" w:cs="FrankRuehl"/>
                <w:sz w:val="28"/>
                <w:szCs w:val="28"/>
                <w:rtl/>
              </w:rPr>
            </w:pPr>
            <w:r w:rsidRPr="000F5802">
              <w:rPr>
                <w:rFonts w:ascii="FrankRuehl" w:hAnsi="FrankRuehl" w:cs="FrankRuehl"/>
                <w:sz w:val="28"/>
                <w:szCs w:val="28"/>
                <w:rtl/>
              </w:rPr>
              <w:t>המאשימה</w:t>
            </w:r>
          </w:p>
        </w:tc>
      </w:tr>
      <w:tr w:rsidR="004A38E7" w:rsidRPr="000F5802" w14:paraId="52FF0C0E" w14:textId="77777777" w:rsidTr="004A38E7">
        <w:trPr>
          <w:trHeight w:val="355"/>
          <w:jc w:val="center"/>
        </w:trPr>
        <w:tc>
          <w:tcPr>
            <w:tcW w:w="923" w:type="dxa"/>
            <w:tcBorders>
              <w:top w:val="nil"/>
              <w:left w:val="nil"/>
              <w:bottom w:val="nil"/>
              <w:right w:val="nil"/>
            </w:tcBorders>
            <w:shd w:val="clear" w:color="auto" w:fill="auto"/>
          </w:tcPr>
          <w:p w14:paraId="3877AE1E" w14:textId="77777777" w:rsidR="004A38E7" w:rsidRPr="000F5802" w:rsidRDefault="004A38E7" w:rsidP="004A38E7">
            <w:pPr>
              <w:jc w:val="both"/>
              <w:rPr>
                <w:rFonts w:ascii="FrankRuehl" w:hAnsi="FrankRuehl" w:cs="FrankRuehl"/>
                <w:sz w:val="28"/>
                <w:szCs w:val="28"/>
                <w:rtl/>
              </w:rPr>
            </w:pPr>
          </w:p>
        </w:tc>
        <w:tc>
          <w:tcPr>
            <w:tcW w:w="7897" w:type="dxa"/>
            <w:gridSpan w:val="2"/>
            <w:tcBorders>
              <w:top w:val="nil"/>
              <w:left w:val="nil"/>
              <w:bottom w:val="nil"/>
              <w:right w:val="nil"/>
            </w:tcBorders>
            <w:shd w:val="clear" w:color="auto" w:fill="auto"/>
          </w:tcPr>
          <w:p w14:paraId="625F885E" w14:textId="77777777" w:rsidR="004A38E7" w:rsidRPr="000F5802" w:rsidRDefault="004A38E7" w:rsidP="004A38E7">
            <w:pPr>
              <w:jc w:val="center"/>
              <w:rPr>
                <w:rFonts w:ascii="FrankRuehl" w:hAnsi="FrankRuehl" w:cs="FrankRuehl"/>
                <w:b/>
                <w:bCs/>
                <w:sz w:val="28"/>
                <w:szCs w:val="28"/>
                <w:rtl/>
              </w:rPr>
            </w:pPr>
          </w:p>
          <w:p w14:paraId="05FF6554" w14:textId="77777777" w:rsidR="004A38E7" w:rsidRPr="000F5802" w:rsidRDefault="004A38E7" w:rsidP="004A38E7">
            <w:pPr>
              <w:jc w:val="center"/>
              <w:rPr>
                <w:rFonts w:ascii="FrankRuehl" w:hAnsi="FrankRuehl" w:cs="FrankRuehl"/>
                <w:b/>
                <w:bCs/>
                <w:sz w:val="28"/>
                <w:szCs w:val="28"/>
                <w:rtl/>
              </w:rPr>
            </w:pPr>
            <w:r w:rsidRPr="000F5802">
              <w:rPr>
                <w:rFonts w:ascii="FrankRuehl" w:hAnsi="FrankRuehl" w:cs="FrankRuehl"/>
                <w:b/>
                <w:bCs/>
                <w:sz w:val="28"/>
                <w:szCs w:val="28"/>
                <w:rtl/>
              </w:rPr>
              <w:t>נגד</w:t>
            </w:r>
          </w:p>
          <w:p w14:paraId="31DEFF90" w14:textId="77777777" w:rsidR="004A38E7" w:rsidRPr="000F5802" w:rsidRDefault="004A38E7" w:rsidP="004A38E7">
            <w:pPr>
              <w:jc w:val="both"/>
              <w:rPr>
                <w:rFonts w:ascii="FrankRuehl" w:hAnsi="FrankRuehl" w:cs="FrankRuehl"/>
                <w:sz w:val="28"/>
                <w:szCs w:val="28"/>
              </w:rPr>
            </w:pPr>
          </w:p>
        </w:tc>
      </w:tr>
      <w:tr w:rsidR="004A38E7" w:rsidRPr="000F5802" w14:paraId="201ECB73" w14:textId="77777777" w:rsidTr="004A38E7">
        <w:trPr>
          <w:trHeight w:val="355"/>
          <w:jc w:val="center"/>
        </w:trPr>
        <w:tc>
          <w:tcPr>
            <w:tcW w:w="923" w:type="dxa"/>
            <w:tcBorders>
              <w:top w:val="nil"/>
              <w:left w:val="nil"/>
              <w:bottom w:val="nil"/>
              <w:right w:val="nil"/>
            </w:tcBorders>
            <w:shd w:val="clear" w:color="auto" w:fill="auto"/>
          </w:tcPr>
          <w:p w14:paraId="1D7E5FA3" w14:textId="77777777" w:rsidR="004A38E7" w:rsidRPr="000F5802" w:rsidRDefault="004A38E7" w:rsidP="00DE3C20">
            <w:pPr>
              <w:rPr>
                <w:rFonts w:ascii="FrankRuehl" w:hAnsi="FrankRuehl" w:cs="FrankRuehl"/>
                <w:sz w:val="28"/>
                <w:szCs w:val="28"/>
                <w:rtl/>
              </w:rPr>
            </w:pPr>
          </w:p>
        </w:tc>
        <w:tc>
          <w:tcPr>
            <w:tcW w:w="4126" w:type="dxa"/>
            <w:tcBorders>
              <w:top w:val="nil"/>
              <w:left w:val="nil"/>
              <w:bottom w:val="nil"/>
              <w:right w:val="nil"/>
            </w:tcBorders>
            <w:shd w:val="clear" w:color="auto" w:fill="auto"/>
          </w:tcPr>
          <w:p w14:paraId="1427AEEF" w14:textId="77777777" w:rsidR="004A38E7" w:rsidRPr="000F5802" w:rsidRDefault="004A38E7" w:rsidP="00DE3C20">
            <w:pPr>
              <w:rPr>
                <w:rFonts w:ascii="FrankRuehl" w:hAnsi="FrankRuehl" w:cs="FrankRuehl"/>
                <w:rtl/>
              </w:rPr>
            </w:pPr>
            <w:r w:rsidRPr="000F5802">
              <w:rPr>
                <w:rFonts w:ascii="FrankRuehl" w:hAnsi="FrankRuehl" w:cs="FrankRuehl"/>
                <w:sz w:val="28"/>
                <w:szCs w:val="28"/>
                <w:rtl/>
              </w:rPr>
              <w:t>תומר מור</w:t>
            </w:r>
            <w:r w:rsidRPr="000F5802">
              <w:rPr>
                <w:rFonts w:ascii="FrankRuehl" w:hAnsi="FrankRuehl" w:cs="FrankRuehl"/>
                <w:sz w:val="28"/>
                <w:szCs w:val="28"/>
                <w:rtl/>
              </w:rPr>
              <w:br/>
            </w:r>
            <w:r w:rsidRPr="000F5802">
              <w:rPr>
                <w:rFonts w:ascii="FrankRuehl" w:hAnsi="FrankRuehl" w:cs="FrankRuehl" w:hint="cs"/>
                <w:rtl/>
              </w:rPr>
              <w:t>ע"י ב"כ עו"ד ארז בר-צבי</w:t>
            </w:r>
          </w:p>
        </w:tc>
        <w:tc>
          <w:tcPr>
            <w:tcW w:w="3771" w:type="dxa"/>
            <w:tcBorders>
              <w:top w:val="nil"/>
              <w:left w:val="nil"/>
              <w:bottom w:val="nil"/>
              <w:right w:val="nil"/>
            </w:tcBorders>
            <w:shd w:val="clear" w:color="auto" w:fill="auto"/>
          </w:tcPr>
          <w:p w14:paraId="516EBB93" w14:textId="77777777" w:rsidR="004A38E7" w:rsidRPr="000F5802" w:rsidRDefault="004A38E7" w:rsidP="004A38E7">
            <w:pPr>
              <w:jc w:val="right"/>
              <w:rPr>
                <w:rFonts w:ascii="FrankRuehl" w:hAnsi="FrankRuehl" w:cs="FrankRuehl"/>
                <w:sz w:val="28"/>
                <w:szCs w:val="28"/>
              </w:rPr>
            </w:pPr>
          </w:p>
        </w:tc>
      </w:tr>
      <w:tr w:rsidR="004A38E7" w:rsidRPr="000F5802" w14:paraId="0DCF6BB4" w14:textId="77777777" w:rsidTr="004A38E7">
        <w:trPr>
          <w:trHeight w:val="355"/>
          <w:jc w:val="center"/>
        </w:trPr>
        <w:tc>
          <w:tcPr>
            <w:tcW w:w="923" w:type="dxa"/>
            <w:tcBorders>
              <w:top w:val="nil"/>
              <w:left w:val="nil"/>
              <w:bottom w:val="nil"/>
              <w:right w:val="nil"/>
            </w:tcBorders>
            <w:shd w:val="clear" w:color="auto" w:fill="auto"/>
          </w:tcPr>
          <w:p w14:paraId="586FB479" w14:textId="77777777" w:rsidR="004A38E7" w:rsidRPr="000F5802" w:rsidRDefault="004A38E7" w:rsidP="004A38E7">
            <w:pPr>
              <w:jc w:val="both"/>
              <w:rPr>
                <w:rFonts w:ascii="FrankRuehl" w:hAnsi="FrankRuehl" w:cs="FrankRuehl"/>
                <w:sz w:val="28"/>
                <w:szCs w:val="28"/>
                <w:rtl/>
              </w:rPr>
            </w:pPr>
          </w:p>
        </w:tc>
        <w:tc>
          <w:tcPr>
            <w:tcW w:w="4126" w:type="dxa"/>
            <w:tcBorders>
              <w:top w:val="nil"/>
              <w:left w:val="nil"/>
              <w:bottom w:val="nil"/>
              <w:right w:val="nil"/>
            </w:tcBorders>
            <w:shd w:val="clear" w:color="auto" w:fill="auto"/>
          </w:tcPr>
          <w:p w14:paraId="506B5A8D" w14:textId="77777777" w:rsidR="004A38E7" w:rsidRPr="000F5802" w:rsidRDefault="004A38E7" w:rsidP="004A38E7">
            <w:pPr>
              <w:jc w:val="both"/>
              <w:rPr>
                <w:rFonts w:ascii="FrankRuehl" w:hAnsi="FrankRuehl" w:cs="FrankRuehl"/>
                <w:rtl/>
              </w:rPr>
            </w:pPr>
          </w:p>
        </w:tc>
        <w:tc>
          <w:tcPr>
            <w:tcW w:w="3771" w:type="dxa"/>
            <w:tcBorders>
              <w:top w:val="nil"/>
              <w:left w:val="nil"/>
              <w:bottom w:val="nil"/>
              <w:right w:val="nil"/>
            </w:tcBorders>
            <w:shd w:val="clear" w:color="auto" w:fill="auto"/>
          </w:tcPr>
          <w:p w14:paraId="417DAFD6" w14:textId="77777777" w:rsidR="004A38E7" w:rsidRPr="000F5802" w:rsidRDefault="004A38E7" w:rsidP="004A38E7">
            <w:pPr>
              <w:jc w:val="right"/>
              <w:rPr>
                <w:rFonts w:ascii="FrankRuehl" w:hAnsi="FrankRuehl" w:cs="FrankRuehl"/>
                <w:sz w:val="28"/>
                <w:szCs w:val="28"/>
              </w:rPr>
            </w:pPr>
            <w:r w:rsidRPr="000F5802">
              <w:rPr>
                <w:rFonts w:ascii="FrankRuehl" w:hAnsi="FrankRuehl" w:cs="FrankRuehl"/>
                <w:sz w:val="28"/>
                <w:szCs w:val="28"/>
                <w:rtl/>
              </w:rPr>
              <w:t>הנאשם</w:t>
            </w:r>
          </w:p>
        </w:tc>
      </w:tr>
    </w:tbl>
    <w:p w14:paraId="69638C63" w14:textId="77777777" w:rsidR="008549D0" w:rsidRDefault="008549D0" w:rsidP="004A38E7">
      <w:pPr>
        <w:rPr>
          <w:rtl/>
        </w:rPr>
      </w:pPr>
    </w:p>
    <w:p w14:paraId="2B0DB46B" w14:textId="77777777" w:rsidR="008549D0" w:rsidRPr="008549D0" w:rsidRDefault="008549D0" w:rsidP="008549D0">
      <w:pPr>
        <w:spacing w:after="120" w:line="240" w:lineRule="exact"/>
        <w:ind w:left="283" w:hanging="283"/>
        <w:jc w:val="both"/>
        <w:rPr>
          <w:rFonts w:ascii="FrankRuehl" w:hAnsi="FrankRuehl" w:cs="FrankRuehl"/>
          <w:rtl/>
        </w:rPr>
      </w:pPr>
    </w:p>
    <w:p w14:paraId="47CF296A" w14:textId="77777777" w:rsidR="007B7394" w:rsidRPr="007B7394" w:rsidRDefault="007B7394" w:rsidP="007B7394">
      <w:pPr>
        <w:spacing w:before="120" w:after="120" w:line="240" w:lineRule="exact"/>
        <w:ind w:left="283" w:hanging="283"/>
        <w:jc w:val="both"/>
        <w:rPr>
          <w:rFonts w:ascii="FrankRuehl" w:hAnsi="FrankRuehl" w:cs="FrankRuehl"/>
          <w:rtl/>
        </w:rPr>
      </w:pPr>
      <w:bookmarkStart w:id="3" w:name="LawTable"/>
      <w:bookmarkEnd w:id="3"/>
    </w:p>
    <w:p w14:paraId="7174985A" w14:textId="77777777" w:rsidR="007B7394" w:rsidRPr="007B7394" w:rsidRDefault="007B7394" w:rsidP="007B7394">
      <w:pPr>
        <w:spacing w:before="120" w:after="120" w:line="240" w:lineRule="exact"/>
        <w:ind w:left="283" w:hanging="283"/>
        <w:jc w:val="both"/>
        <w:rPr>
          <w:rFonts w:ascii="FrankRuehl" w:hAnsi="FrankRuehl" w:cs="FrankRuehl"/>
          <w:rtl/>
        </w:rPr>
      </w:pPr>
    </w:p>
    <w:p w14:paraId="2105B486" w14:textId="77777777" w:rsidR="007B7394" w:rsidRPr="007B7394" w:rsidRDefault="007B7394" w:rsidP="007B7394">
      <w:pPr>
        <w:spacing w:before="120" w:after="120" w:line="240" w:lineRule="exact"/>
        <w:ind w:left="283" w:hanging="283"/>
        <w:jc w:val="both"/>
        <w:rPr>
          <w:rFonts w:ascii="FrankRuehl" w:hAnsi="FrankRuehl" w:cs="FrankRuehl"/>
          <w:rtl/>
        </w:rPr>
      </w:pPr>
      <w:r w:rsidRPr="007B7394">
        <w:rPr>
          <w:rFonts w:ascii="FrankRuehl" w:hAnsi="FrankRuehl" w:cs="FrankRuehl"/>
          <w:rtl/>
        </w:rPr>
        <w:t xml:space="preserve">חקיקה שאוזכרה: </w:t>
      </w:r>
    </w:p>
    <w:p w14:paraId="72EB4E05" w14:textId="77777777" w:rsidR="007B7394" w:rsidRPr="007B7394" w:rsidRDefault="007B7394" w:rsidP="007B7394">
      <w:pPr>
        <w:spacing w:before="120" w:after="120" w:line="240" w:lineRule="exact"/>
        <w:ind w:left="283" w:hanging="283"/>
        <w:jc w:val="both"/>
        <w:rPr>
          <w:rFonts w:ascii="FrankRuehl" w:hAnsi="FrankRuehl" w:cs="FrankRuehl"/>
          <w:color w:val="0000FF"/>
          <w:u w:val="single"/>
          <w:rtl/>
        </w:rPr>
      </w:pPr>
      <w:hyperlink r:id="rId7" w:history="1">
        <w:r w:rsidRPr="007B7394">
          <w:rPr>
            <w:rStyle w:val="Hyperlink"/>
            <w:rFonts w:ascii="FrankRuehl" w:hAnsi="FrankRuehl" w:cs="FrankRuehl"/>
            <w:rtl/>
          </w:rPr>
          <w:t>פקודת הסמים המסוכנים [נוסח חדש], תשל"ג-1973</w:t>
        </w:r>
      </w:hyperlink>
      <w:r w:rsidRPr="007B7394">
        <w:rPr>
          <w:rFonts w:ascii="FrankRuehl" w:hAnsi="FrankRuehl" w:cs="FrankRuehl"/>
          <w:color w:val="0000FF"/>
          <w:u w:val="single"/>
          <w:rtl/>
        </w:rPr>
        <w:t xml:space="preserve">: סע'  </w:t>
      </w:r>
      <w:hyperlink r:id="rId8" w:history="1">
        <w:r w:rsidRPr="007B7394">
          <w:rPr>
            <w:rStyle w:val="Hyperlink"/>
            <w:rFonts w:ascii="FrankRuehl" w:hAnsi="FrankRuehl" w:cs="FrankRuehl"/>
          </w:rPr>
          <w:t>7.</w:t>
        </w:r>
        <w:r w:rsidRPr="007B7394">
          <w:rPr>
            <w:rStyle w:val="Hyperlink"/>
            <w:rFonts w:ascii="FrankRuehl" w:hAnsi="FrankRuehl" w:cs="FrankRuehl"/>
            <w:rtl/>
          </w:rPr>
          <w:t>א</w:t>
        </w:r>
        <w:r w:rsidRPr="007B7394">
          <w:rPr>
            <w:rStyle w:val="Hyperlink"/>
            <w:rFonts w:ascii="FrankRuehl" w:hAnsi="FrankRuehl" w:cs="FrankRuehl"/>
          </w:rPr>
          <w:t>.</w:t>
        </w:r>
      </w:hyperlink>
      <w:r w:rsidRPr="007B7394">
        <w:rPr>
          <w:rFonts w:ascii="FrankRuehl" w:hAnsi="FrankRuehl" w:cs="FrankRuehl"/>
          <w:color w:val="0000FF"/>
          <w:u w:val="single"/>
          <w:rtl/>
        </w:rPr>
        <w:t xml:space="preserve">, </w:t>
      </w:r>
      <w:hyperlink r:id="rId9" w:history="1">
        <w:r w:rsidRPr="007B7394">
          <w:rPr>
            <w:rStyle w:val="Hyperlink"/>
            <w:rFonts w:ascii="FrankRuehl" w:hAnsi="FrankRuehl" w:cs="FrankRuehl"/>
          </w:rPr>
          <w:t>7.</w:t>
        </w:r>
        <w:r w:rsidRPr="007B7394">
          <w:rPr>
            <w:rStyle w:val="Hyperlink"/>
            <w:rFonts w:ascii="FrankRuehl" w:hAnsi="FrankRuehl" w:cs="FrankRuehl"/>
            <w:rtl/>
          </w:rPr>
          <w:t>ג</w:t>
        </w:r>
      </w:hyperlink>
      <w:r w:rsidRPr="007B7394">
        <w:rPr>
          <w:rFonts w:ascii="FrankRuehl" w:hAnsi="FrankRuehl" w:cs="FrankRuehl"/>
          <w:color w:val="0000FF"/>
          <w:u w:val="single"/>
          <w:rtl/>
        </w:rPr>
        <w:t xml:space="preserve">, </w:t>
      </w:r>
      <w:hyperlink r:id="rId10" w:history="1">
        <w:r w:rsidRPr="007B7394">
          <w:rPr>
            <w:rStyle w:val="Hyperlink"/>
            <w:rFonts w:ascii="FrankRuehl" w:hAnsi="FrankRuehl" w:cs="FrankRuehl"/>
          </w:rPr>
          <w:t>13</w:t>
        </w:r>
      </w:hyperlink>
      <w:r w:rsidRPr="007B7394">
        <w:rPr>
          <w:rFonts w:ascii="FrankRuehl" w:hAnsi="FrankRuehl" w:cs="FrankRuehl"/>
          <w:color w:val="0000FF"/>
          <w:u w:val="single"/>
          <w:rtl/>
        </w:rPr>
        <w:t xml:space="preserve">, </w:t>
      </w:r>
      <w:hyperlink r:id="rId11" w:history="1">
        <w:r w:rsidRPr="007B7394">
          <w:rPr>
            <w:rStyle w:val="Hyperlink"/>
            <w:rFonts w:ascii="FrankRuehl" w:hAnsi="FrankRuehl" w:cs="FrankRuehl"/>
          </w:rPr>
          <w:t>19.</w:t>
        </w:r>
        <w:r w:rsidRPr="007B7394">
          <w:rPr>
            <w:rStyle w:val="Hyperlink"/>
            <w:rFonts w:ascii="FrankRuehl" w:hAnsi="FrankRuehl" w:cs="FrankRuehl"/>
            <w:rtl/>
          </w:rPr>
          <w:t>א</w:t>
        </w:r>
      </w:hyperlink>
    </w:p>
    <w:p w14:paraId="481D11BF" w14:textId="77777777" w:rsidR="007B7394" w:rsidRPr="007B7394" w:rsidRDefault="007B7394" w:rsidP="007B7394">
      <w:pPr>
        <w:spacing w:before="120" w:after="120" w:line="240" w:lineRule="exact"/>
        <w:ind w:left="283" w:hanging="283"/>
        <w:jc w:val="both"/>
        <w:rPr>
          <w:rFonts w:ascii="FrankRuehl" w:hAnsi="FrankRuehl" w:cs="FrankRuehl"/>
          <w:color w:val="0000FF"/>
          <w:u w:val="single"/>
          <w:rtl/>
        </w:rPr>
      </w:pPr>
      <w:hyperlink r:id="rId12" w:history="1">
        <w:r w:rsidRPr="007B7394">
          <w:rPr>
            <w:rStyle w:val="Hyperlink"/>
            <w:rFonts w:ascii="FrankRuehl" w:hAnsi="FrankRuehl" w:cs="FrankRuehl"/>
            <w:rtl/>
          </w:rPr>
          <w:t>חוק העונשין, תשל"ז-1977</w:t>
        </w:r>
      </w:hyperlink>
      <w:r w:rsidRPr="007B7394">
        <w:rPr>
          <w:rFonts w:ascii="FrankRuehl" w:hAnsi="FrankRuehl" w:cs="FrankRuehl"/>
          <w:color w:val="0000FF"/>
          <w:u w:val="single"/>
          <w:rtl/>
        </w:rPr>
        <w:t xml:space="preserve">: סע'  </w:t>
      </w:r>
      <w:hyperlink r:id="rId13" w:history="1">
        <w:r w:rsidRPr="007B7394">
          <w:rPr>
            <w:rStyle w:val="Hyperlink"/>
            <w:rFonts w:ascii="FrankRuehl" w:hAnsi="FrankRuehl" w:cs="FrankRuehl"/>
          </w:rPr>
          <w:t>40</w:t>
        </w:r>
        <w:r w:rsidRPr="007B7394">
          <w:rPr>
            <w:rStyle w:val="Hyperlink"/>
            <w:rFonts w:ascii="FrankRuehl" w:hAnsi="FrankRuehl" w:cs="FrankRuehl"/>
            <w:rtl/>
          </w:rPr>
          <w:t>ט</w:t>
        </w:r>
        <w:r w:rsidRPr="007B7394">
          <w:rPr>
            <w:rStyle w:val="Hyperlink"/>
            <w:rFonts w:ascii="FrankRuehl" w:hAnsi="FrankRuehl" w:cs="FrankRuehl"/>
          </w:rPr>
          <w:t>'</w:t>
        </w:r>
      </w:hyperlink>
      <w:r w:rsidRPr="007B7394">
        <w:rPr>
          <w:rFonts w:ascii="FrankRuehl" w:hAnsi="FrankRuehl" w:cs="FrankRuehl"/>
          <w:color w:val="0000FF"/>
          <w:u w:val="single"/>
          <w:rtl/>
        </w:rPr>
        <w:t xml:space="preserve">, </w:t>
      </w:r>
      <w:hyperlink r:id="rId14" w:history="1">
        <w:r w:rsidRPr="007B7394">
          <w:rPr>
            <w:rStyle w:val="Hyperlink"/>
            <w:rFonts w:ascii="FrankRuehl" w:hAnsi="FrankRuehl" w:cs="FrankRuehl"/>
          </w:rPr>
          <w:t>40</w:t>
        </w:r>
        <w:r w:rsidRPr="007B7394">
          <w:rPr>
            <w:rStyle w:val="Hyperlink"/>
            <w:rFonts w:ascii="FrankRuehl" w:hAnsi="FrankRuehl" w:cs="FrankRuehl"/>
            <w:rtl/>
          </w:rPr>
          <w:t>יא</w:t>
        </w:r>
      </w:hyperlink>
    </w:p>
    <w:p w14:paraId="1E3EB703" w14:textId="77777777" w:rsidR="004A38E7" w:rsidRPr="007B7394" w:rsidRDefault="004A38E7" w:rsidP="007B739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38E7" w14:paraId="7BD7F826" w14:textId="77777777" w:rsidTr="004A38E7">
        <w:trPr>
          <w:trHeight w:val="355"/>
          <w:jc w:val="center"/>
        </w:trPr>
        <w:tc>
          <w:tcPr>
            <w:tcW w:w="8820" w:type="dxa"/>
            <w:tcBorders>
              <w:top w:val="nil"/>
              <w:left w:val="nil"/>
              <w:bottom w:val="nil"/>
              <w:right w:val="nil"/>
            </w:tcBorders>
            <w:shd w:val="clear" w:color="auto" w:fill="auto"/>
          </w:tcPr>
          <w:p w14:paraId="66FFB3C5" w14:textId="77777777" w:rsidR="000F5802" w:rsidRPr="000F5802" w:rsidRDefault="000F5802" w:rsidP="000F5802">
            <w:pPr>
              <w:jc w:val="center"/>
              <w:rPr>
                <w:rFonts w:ascii="Arial" w:hAnsi="Arial" w:cs="FrankRuehl"/>
                <w:b/>
                <w:bCs/>
                <w:sz w:val="32"/>
                <w:szCs w:val="32"/>
                <w:u w:val="single"/>
                <w:rtl/>
              </w:rPr>
            </w:pPr>
            <w:bookmarkStart w:id="5" w:name="PsakDin" w:colFirst="0" w:colLast="0"/>
            <w:bookmarkEnd w:id="0"/>
            <w:bookmarkEnd w:id="1"/>
            <w:r w:rsidRPr="000F5802">
              <w:rPr>
                <w:rFonts w:ascii="Arial" w:hAnsi="Arial" w:cs="FrankRuehl"/>
                <w:b/>
                <w:bCs/>
                <w:sz w:val="32"/>
                <w:szCs w:val="32"/>
                <w:u w:val="single"/>
                <w:rtl/>
              </w:rPr>
              <w:t>גזר דין</w:t>
            </w:r>
          </w:p>
          <w:p w14:paraId="7AA089EB" w14:textId="77777777" w:rsidR="004A38E7" w:rsidRPr="000F5802" w:rsidRDefault="004A38E7" w:rsidP="000F5802">
            <w:pPr>
              <w:jc w:val="center"/>
              <w:rPr>
                <w:rFonts w:ascii="Arial" w:hAnsi="Arial" w:cs="FrankRuehl"/>
                <w:bCs/>
                <w:sz w:val="32"/>
                <w:szCs w:val="32"/>
                <w:u w:val="single"/>
                <w:rtl/>
              </w:rPr>
            </w:pPr>
          </w:p>
        </w:tc>
      </w:tr>
      <w:bookmarkEnd w:id="5"/>
    </w:tbl>
    <w:p w14:paraId="2757CCB5" w14:textId="77777777" w:rsidR="004A38E7" w:rsidRPr="00B05847" w:rsidRDefault="004A38E7" w:rsidP="004A38E7">
      <w:pPr>
        <w:rPr>
          <w:rFonts w:ascii="Arial" w:hAnsi="Arial"/>
          <w:rtl/>
        </w:rPr>
      </w:pPr>
    </w:p>
    <w:p w14:paraId="6E54FBD1" w14:textId="77777777" w:rsidR="004A38E7" w:rsidRPr="00B05847" w:rsidRDefault="004A38E7" w:rsidP="004A38E7">
      <w:pPr>
        <w:rPr>
          <w:rFonts w:ascii="Arial" w:hAnsi="Arial"/>
          <w:rtl/>
        </w:rPr>
      </w:pPr>
    </w:p>
    <w:p w14:paraId="4D4D6661" w14:textId="77777777" w:rsidR="004A38E7" w:rsidRPr="00B05847" w:rsidRDefault="004A38E7" w:rsidP="004A38E7">
      <w:pPr>
        <w:rPr>
          <w:rtl/>
        </w:rPr>
      </w:pPr>
    </w:p>
    <w:p w14:paraId="2D5D6EFB" w14:textId="77777777" w:rsidR="004A38E7" w:rsidRDefault="004A38E7" w:rsidP="004A38E7">
      <w:pPr>
        <w:rPr>
          <w:rFonts w:cs="FrankRuehl"/>
          <w:b/>
          <w:bCs/>
          <w:u w:val="single"/>
        </w:rPr>
      </w:pPr>
      <w:r>
        <w:rPr>
          <w:rFonts w:cs="FrankRuehl" w:hint="cs"/>
          <w:b/>
          <w:bCs/>
          <w:u w:val="single"/>
          <w:rtl/>
        </w:rPr>
        <w:t>כתב האישום</w:t>
      </w:r>
    </w:p>
    <w:p w14:paraId="7477618E" w14:textId="77777777" w:rsidR="004A38E7" w:rsidRPr="004A38E7" w:rsidRDefault="004A38E7" w:rsidP="004A38E7">
      <w:pPr>
        <w:spacing w:after="160" w:line="360" w:lineRule="auto"/>
        <w:jc w:val="both"/>
        <w:rPr>
          <w:rFonts w:ascii="Calibri" w:hAnsi="Calibri" w:cs="FrankRuehl"/>
          <w:rtl/>
        </w:rPr>
      </w:pPr>
      <w:bookmarkStart w:id="6" w:name="ABSTRACT_START"/>
      <w:bookmarkEnd w:id="6"/>
      <w:r w:rsidRPr="004A38E7">
        <w:rPr>
          <w:rFonts w:ascii="Calibri" w:hAnsi="Calibri" w:cs="FrankRuehl" w:hint="cs"/>
          <w:rtl/>
        </w:rPr>
        <w:t>נגד הנאשם הוגש כתב אישום המייחס לו עבירות סמים.</w:t>
      </w:r>
    </w:p>
    <w:p w14:paraId="22E684A4"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rtl/>
        </w:rPr>
        <w:t>מהאישום הראשון</w:t>
      </w:r>
      <w:r w:rsidRPr="004A38E7">
        <w:rPr>
          <w:rFonts w:ascii="Calibri" w:hAnsi="Calibri" w:cs="FrankRuehl" w:hint="cs"/>
          <w:rtl/>
        </w:rPr>
        <w:t xml:space="preserve"> עולה, כי הנאשם פעל בקבוצה באפליקציית טלגראס תחת השם "יאנוש קורצ'ק", ובאמצעותה תיאם עסקאות מכר סמים. ביום 14.1.2018 תואמה עסקת סמים בינו לבין שוטר סמוי, ובמועד המוסכם מכר הנאשם לשוטר קנבוס במשקל 3.20 גרם נטו תמורת 300 ₪.</w:t>
      </w:r>
    </w:p>
    <w:p w14:paraId="007B4B64"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rtl/>
        </w:rPr>
        <w:t>מהאישום השני</w:t>
      </w:r>
      <w:r w:rsidRPr="004A38E7">
        <w:rPr>
          <w:rFonts w:ascii="Calibri" w:hAnsi="Calibri" w:cs="FrankRuehl" w:hint="cs"/>
          <w:rtl/>
        </w:rPr>
        <w:t xml:space="preserve"> עולה, כי ביום 16.1.2018 תיאם הנאשם באותו אופן עסקה עם השוטר, וזו התבצעה, ובמסגרתה מכר הנאשם לשוטר קנבוס במשקל 5.12 גרם תמורת 450 ₪.</w:t>
      </w:r>
    </w:p>
    <w:p w14:paraId="1507FD91"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rtl/>
        </w:rPr>
        <w:t>מהאישום השלישי</w:t>
      </w:r>
      <w:r w:rsidRPr="004A38E7">
        <w:rPr>
          <w:rFonts w:ascii="Calibri" w:hAnsi="Calibri" w:cs="FrankRuehl" w:hint="cs"/>
          <w:rtl/>
        </w:rPr>
        <w:t xml:space="preserve"> עולה, כי ביום 22.1.2018 מכר הנאשם לשוטר באותו אופן קנבוס במשקל 5.31 גרם תמורת</w:t>
      </w:r>
      <w:r w:rsidRPr="004A38E7">
        <w:rPr>
          <w:rFonts w:ascii="Calibri" w:hAnsi="Calibri" w:cs="FrankRuehl"/>
          <w:rtl/>
        </w:rPr>
        <w:br/>
      </w:r>
      <w:r w:rsidRPr="004A38E7">
        <w:rPr>
          <w:rFonts w:ascii="Calibri" w:hAnsi="Calibri" w:cs="FrankRuehl" w:hint="cs"/>
          <w:rtl/>
        </w:rPr>
        <w:t>450 ₪. במהלך ביצוע העסקה התרברב הנאשם באוזני השוטר, כי הוא מפעיל קבוצה של 63 קליינטים ומפיק מכך רווח גדול.</w:t>
      </w:r>
    </w:p>
    <w:p w14:paraId="6E976D07" w14:textId="77777777" w:rsidR="004A38E7" w:rsidRPr="004A38E7" w:rsidRDefault="004A38E7" w:rsidP="004A38E7">
      <w:pPr>
        <w:spacing w:after="160" w:line="360" w:lineRule="auto"/>
        <w:jc w:val="both"/>
        <w:rPr>
          <w:rFonts w:ascii="Calibri" w:hAnsi="Calibri" w:cs="FrankRuehl"/>
          <w:rtl/>
        </w:rPr>
      </w:pPr>
      <w:bookmarkStart w:id="7" w:name="ABSTRACT_END"/>
      <w:bookmarkEnd w:id="7"/>
      <w:r w:rsidRPr="004A38E7">
        <w:rPr>
          <w:rFonts w:ascii="Calibri" w:hAnsi="Calibri" w:cs="FrankRuehl" w:hint="cs"/>
          <w:b/>
          <w:bCs/>
          <w:rtl/>
        </w:rPr>
        <w:lastRenderedPageBreak/>
        <w:t>מהאישום הרביעי</w:t>
      </w:r>
      <w:r w:rsidRPr="004A38E7">
        <w:rPr>
          <w:rFonts w:ascii="Calibri" w:hAnsi="Calibri" w:cs="FrankRuehl" w:hint="cs"/>
          <w:rtl/>
        </w:rPr>
        <w:t xml:space="preserve"> עולה, כי בעת חיפוש שנערך בביתו של הנאשם נתפס סם מסוג קנבוס במשקל 5.22 גרם.</w:t>
      </w:r>
    </w:p>
    <w:p w14:paraId="423EAA94"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בגין כל אלו הודה הנאשם והורשע בביצוע 3 עבירות של </w:t>
      </w:r>
      <w:r w:rsidRPr="004A38E7">
        <w:rPr>
          <w:rFonts w:ascii="Calibri" w:hAnsi="Calibri" w:cs="FrankRuehl" w:hint="cs"/>
          <w:b/>
          <w:bCs/>
          <w:rtl/>
        </w:rPr>
        <w:t>סחר בסם מסוכן</w:t>
      </w:r>
      <w:r w:rsidRPr="004A38E7">
        <w:rPr>
          <w:rFonts w:ascii="Calibri" w:hAnsi="Calibri" w:cs="FrankRuehl" w:hint="cs"/>
          <w:rtl/>
        </w:rPr>
        <w:t xml:space="preserve">, לפי סעיפים </w:t>
      </w:r>
      <w:hyperlink r:id="rId15" w:history="1">
        <w:r w:rsidR="008549D0" w:rsidRPr="008549D0">
          <w:rPr>
            <w:rStyle w:val="Hyperlink"/>
            <w:rFonts w:ascii="Calibri" w:hAnsi="Calibri" w:cs="FrankRuehl"/>
            <w:color w:val="0000FF"/>
            <w:rtl/>
          </w:rPr>
          <w:t xml:space="preserve">13 </w:t>
        </w:r>
        <w:r w:rsidR="008549D0" w:rsidRPr="008549D0">
          <w:rPr>
            <w:rStyle w:val="Hyperlink"/>
            <w:rFonts w:ascii="Calibri" w:hAnsi="Calibri" w:cs="FrankRuehl" w:hint="eastAsia"/>
            <w:color w:val="0000FF"/>
            <w:rtl/>
          </w:rPr>
          <w:t>ו</w:t>
        </w:r>
        <w:r w:rsidR="008549D0" w:rsidRPr="008549D0">
          <w:rPr>
            <w:rStyle w:val="Hyperlink"/>
            <w:rFonts w:ascii="Calibri" w:hAnsi="Calibri" w:cs="FrankRuehl"/>
            <w:color w:val="0000FF"/>
            <w:rtl/>
          </w:rPr>
          <w:t>-19</w:t>
        </w:r>
        <w:r w:rsidR="008549D0" w:rsidRPr="008549D0">
          <w:rPr>
            <w:rStyle w:val="Hyperlink"/>
            <w:rFonts w:ascii="Calibri" w:hAnsi="Calibri" w:cs="FrankRuehl" w:hint="eastAsia"/>
            <w:color w:val="0000FF"/>
            <w:rtl/>
          </w:rPr>
          <w:t>א</w:t>
        </w:r>
      </w:hyperlink>
      <w:r w:rsidRPr="004A38E7">
        <w:rPr>
          <w:rFonts w:ascii="Calibri" w:hAnsi="Calibri" w:cs="FrankRuehl" w:hint="cs"/>
          <w:rtl/>
        </w:rPr>
        <w:t xml:space="preserve"> ל</w:t>
      </w:r>
      <w:hyperlink r:id="rId16" w:history="1">
        <w:r w:rsidR="000F5802" w:rsidRPr="000F5802">
          <w:rPr>
            <w:rFonts w:ascii="Calibri" w:hAnsi="Calibri" w:cs="FrankRuehl" w:hint="eastAsia"/>
            <w:color w:val="0000FF"/>
            <w:u w:val="single"/>
            <w:rtl/>
          </w:rPr>
          <w:t>פקודת</w:t>
        </w:r>
        <w:r w:rsidR="000F5802" w:rsidRPr="000F5802">
          <w:rPr>
            <w:rFonts w:ascii="Calibri" w:hAnsi="Calibri" w:cs="FrankRuehl"/>
            <w:color w:val="0000FF"/>
            <w:u w:val="single"/>
            <w:rtl/>
          </w:rPr>
          <w:t xml:space="preserve"> </w:t>
        </w:r>
        <w:r w:rsidR="000F5802" w:rsidRPr="000F5802">
          <w:rPr>
            <w:rFonts w:ascii="Calibri" w:hAnsi="Calibri" w:cs="FrankRuehl" w:hint="eastAsia"/>
            <w:color w:val="0000FF"/>
            <w:u w:val="single"/>
            <w:rtl/>
          </w:rPr>
          <w:t>הסמים</w:t>
        </w:r>
        <w:r w:rsidR="000F5802" w:rsidRPr="000F5802">
          <w:rPr>
            <w:rFonts w:ascii="Calibri" w:hAnsi="Calibri" w:cs="FrankRuehl"/>
            <w:color w:val="0000FF"/>
            <w:u w:val="single"/>
            <w:rtl/>
          </w:rPr>
          <w:t xml:space="preserve"> </w:t>
        </w:r>
        <w:r w:rsidR="000F5802" w:rsidRPr="000F5802">
          <w:rPr>
            <w:rFonts w:ascii="Calibri" w:hAnsi="Calibri" w:cs="FrankRuehl" w:hint="eastAsia"/>
            <w:color w:val="0000FF"/>
            <w:u w:val="single"/>
            <w:rtl/>
          </w:rPr>
          <w:t>המסוכנים</w:t>
        </w:r>
      </w:hyperlink>
      <w:r w:rsidRPr="004A38E7">
        <w:rPr>
          <w:rFonts w:ascii="Calibri" w:hAnsi="Calibri" w:cs="FrankRuehl" w:hint="cs"/>
          <w:rtl/>
        </w:rPr>
        <w:t xml:space="preserve"> (נוסח חדש) התשל"ג-1973, ועבירה של </w:t>
      </w:r>
      <w:r w:rsidRPr="004A38E7">
        <w:rPr>
          <w:rFonts w:ascii="Calibri" w:hAnsi="Calibri" w:cs="FrankRuehl" w:hint="cs"/>
          <w:b/>
          <w:bCs/>
          <w:rtl/>
        </w:rPr>
        <w:t>החזקת סם שלא לצריכה עצמית</w:t>
      </w:r>
      <w:r w:rsidRPr="004A38E7">
        <w:rPr>
          <w:rFonts w:ascii="Calibri" w:hAnsi="Calibri" w:cs="FrankRuehl" w:hint="cs"/>
          <w:rtl/>
        </w:rPr>
        <w:t xml:space="preserve">, לפי סעיפים </w:t>
      </w:r>
      <w:hyperlink r:id="rId17" w:history="1">
        <w:r w:rsidR="008549D0" w:rsidRPr="008549D0">
          <w:rPr>
            <w:rFonts w:ascii="Calibri" w:hAnsi="Calibri" w:cs="FrankRuehl"/>
            <w:color w:val="0000FF"/>
            <w:u w:val="single"/>
            <w:rtl/>
          </w:rPr>
          <w:t>7</w:t>
        </w:r>
        <w:r w:rsidR="008549D0" w:rsidRPr="008549D0">
          <w:rPr>
            <w:rFonts w:ascii="Calibri" w:hAnsi="Calibri" w:cs="FrankRuehl" w:hint="eastAsia"/>
            <w:color w:val="0000FF"/>
            <w:u w:val="single"/>
            <w:rtl/>
          </w:rPr>
          <w:t>א</w:t>
        </w:r>
        <w:r w:rsidR="008549D0" w:rsidRPr="008549D0">
          <w:rPr>
            <w:rFonts w:ascii="Calibri" w:hAnsi="Calibri" w:cs="FrankRuehl"/>
            <w:color w:val="0000FF"/>
            <w:u w:val="single"/>
            <w:rtl/>
          </w:rPr>
          <w:t xml:space="preserve"> + 7</w:t>
        </w:r>
        <w:r w:rsidR="008549D0" w:rsidRPr="008549D0">
          <w:rPr>
            <w:rFonts w:ascii="Calibri" w:hAnsi="Calibri" w:cs="FrankRuehl" w:hint="eastAsia"/>
            <w:color w:val="0000FF"/>
            <w:u w:val="single"/>
            <w:rtl/>
          </w:rPr>
          <w:t>ג</w:t>
        </w:r>
        <w:r w:rsidR="008549D0" w:rsidRPr="008549D0">
          <w:rPr>
            <w:rFonts w:ascii="Calibri" w:hAnsi="Calibri" w:cs="FrankRuehl"/>
            <w:color w:val="0000FF"/>
            <w:u w:val="single"/>
            <w:rtl/>
          </w:rPr>
          <w:t>'</w:t>
        </w:r>
      </w:hyperlink>
      <w:r w:rsidRPr="004A38E7">
        <w:rPr>
          <w:rFonts w:ascii="Calibri" w:hAnsi="Calibri" w:cs="FrankRuehl" w:hint="cs"/>
          <w:rtl/>
        </w:rPr>
        <w:t xml:space="preserve"> (רישא) לפקודת הסמים.</w:t>
      </w:r>
    </w:p>
    <w:p w14:paraId="7922C9C0" w14:textId="77777777" w:rsidR="004A38E7" w:rsidRPr="004A38E7" w:rsidRDefault="004A38E7" w:rsidP="004A38E7">
      <w:pPr>
        <w:spacing w:line="360" w:lineRule="auto"/>
        <w:jc w:val="both"/>
        <w:rPr>
          <w:rFonts w:ascii="Calibri" w:hAnsi="Calibri" w:cs="FrankRuehl"/>
          <w:b/>
          <w:bCs/>
          <w:u w:val="single"/>
          <w:rtl/>
        </w:rPr>
      </w:pPr>
    </w:p>
    <w:p w14:paraId="46A2D0B9" w14:textId="77777777" w:rsidR="004A38E7" w:rsidRPr="004A38E7" w:rsidRDefault="004A38E7" w:rsidP="004A38E7">
      <w:pPr>
        <w:spacing w:line="360" w:lineRule="auto"/>
        <w:jc w:val="both"/>
        <w:rPr>
          <w:rFonts w:ascii="Calibri" w:hAnsi="Calibri" w:cs="FrankRuehl"/>
          <w:b/>
          <w:bCs/>
          <w:u w:val="single"/>
          <w:rtl/>
        </w:rPr>
      </w:pPr>
      <w:r w:rsidRPr="004A38E7">
        <w:rPr>
          <w:rFonts w:ascii="Calibri" w:hAnsi="Calibri" w:cs="FrankRuehl" w:hint="cs"/>
          <w:b/>
          <w:bCs/>
          <w:u w:val="single"/>
          <w:rtl/>
        </w:rPr>
        <w:t>מהלך הדיון</w:t>
      </w:r>
    </w:p>
    <w:p w14:paraId="6F2E1A5A" w14:textId="77777777" w:rsidR="004A38E7" w:rsidRPr="004A38E7" w:rsidRDefault="004A38E7" w:rsidP="004A38E7">
      <w:pPr>
        <w:spacing w:line="360" w:lineRule="auto"/>
        <w:jc w:val="both"/>
        <w:rPr>
          <w:rFonts w:ascii="Calibri" w:hAnsi="Calibri" w:cs="FrankRuehl"/>
          <w:rtl/>
        </w:rPr>
      </w:pPr>
      <w:r w:rsidRPr="004A38E7">
        <w:rPr>
          <w:rFonts w:ascii="Calibri" w:hAnsi="Calibri" w:cs="FrankRuehl" w:hint="cs"/>
          <w:rtl/>
        </w:rPr>
        <w:t>הנאשם שלפניי הובא לבית המשפט במסגרת בקשה למעצר עד לתום ההליכים. הוריתי על שחרורו ללא תסקיר, לאחר ששמעתי חלופות בעניינו, ואולם החלטה זו נהפכה בבית המשפט המחוזי (</w:t>
      </w:r>
      <w:hyperlink r:id="rId18" w:history="1">
        <w:r w:rsidR="000F5802" w:rsidRPr="000F5802">
          <w:rPr>
            <w:rFonts w:ascii="Calibri" w:hAnsi="Calibri" w:cs="FrankRuehl" w:hint="eastAsia"/>
            <w:color w:val="0000FF"/>
            <w:u w:val="single"/>
            <w:rtl/>
          </w:rPr>
          <w:t>עמ</w:t>
        </w:r>
        <w:r w:rsidR="000F5802" w:rsidRPr="000F5802">
          <w:rPr>
            <w:rFonts w:ascii="Calibri" w:hAnsi="Calibri" w:cs="FrankRuehl"/>
            <w:color w:val="0000FF"/>
            <w:u w:val="single"/>
            <w:rtl/>
          </w:rPr>
          <w:t>"</w:t>
        </w:r>
        <w:r w:rsidR="000F5802" w:rsidRPr="000F5802">
          <w:rPr>
            <w:rFonts w:ascii="Calibri" w:hAnsi="Calibri" w:cs="FrankRuehl" w:hint="eastAsia"/>
            <w:color w:val="0000FF"/>
            <w:u w:val="single"/>
            <w:rtl/>
          </w:rPr>
          <w:t>ת</w:t>
        </w:r>
        <w:r w:rsidR="000F5802" w:rsidRPr="000F5802">
          <w:rPr>
            <w:rFonts w:ascii="Calibri" w:hAnsi="Calibri" w:cs="FrankRuehl"/>
            <w:color w:val="0000FF"/>
            <w:u w:val="single"/>
            <w:rtl/>
          </w:rPr>
          <w:t xml:space="preserve"> 36243-02-18</w:t>
        </w:r>
      </w:hyperlink>
      <w:r w:rsidRPr="004A38E7">
        <w:rPr>
          <w:rFonts w:ascii="Calibri" w:hAnsi="Calibri" w:cs="FrankRuehl" w:hint="cs"/>
          <w:rtl/>
        </w:rPr>
        <w:t xml:space="preserve">) והנאשם נותר עצור מספר ימים נוספים, עד שהוחלט בבית המשפט העליון לשחררו באותם תנאים שקבעתי [(בש"פ 1545/18 </w:t>
      </w:r>
      <w:r w:rsidRPr="004A38E7">
        <w:rPr>
          <w:rFonts w:ascii="Calibri" w:hAnsi="Calibri" w:cs="FrankRuehl" w:hint="cs"/>
          <w:b/>
          <w:bCs/>
          <w:u w:val="single"/>
          <w:rtl/>
        </w:rPr>
        <w:t>מור</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22.2.2018)].  הנאשם היה עצור בתיק זה בין התאריכים 6.2.2019 עד ליום 22.2.2019 (סה"כ 16 יום). במהלך חודש מרץ 2018 הוטל על הנאשם צו פיקוח מעצרים ובמקביל, הכרעתי את דינו על-פי הודאתו בעובדות כתב האישום ללא כל שינוי או הסדר טיעון. במהלך חודש יולי 2018 הקלתי בתנאים והותרתי מעצר בית לילי והמשך צו פיקוח. במהלך חודש אוקטובר 2018 הוריתי על הסרת התנאים המגבילים.</w:t>
      </w:r>
    </w:p>
    <w:p w14:paraId="56B5E408" w14:textId="77777777" w:rsidR="004A38E7" w:rsidRPr="004A38E7" w:rsidRDefault="004A38E7" w:rsidP="004A38E7">
      <w:pPr>
        <w:spacing w:after="160" w:line="360" w:lineRule="auto"/>
        <w:jc w:val="both"/>
        <w:rPr>
          <w:rFonts w:ascii="Calibri" w:hAnsi="Calibri" w:cs="FrankRuehl"/>
          <w:b/>
          <w:bCs/>
          <w:u w:val="single"/>
          <w:rtl/>
        </w:rPr>
      </w:pPr>
    </w:p>
    <w:p w14:paraId="1AF9F222" w14:textId="77777777" w:rsidR="004A38E7" w:rsidRPr="004A38E7" w:rsidRDefault="004A38E7" w:rsidP="004A38E7">
      <w:pPr>
        <w:spacing w:after="160" w:line="360" w:lineRule="auto"/>
        <w:jc w:val="both"/>
        <w:rPr>
          <w:rFonts w:ascii="Calibri" w:hAnsi="Calibri" w:cs="FrankRuehl"/>
          <w:b/>
          <w:bCs/>
          <w:u w:val="single"/>
          <w:rtl/>
        </w:rPr>
      </w:pPr>
      <w:r w:rsidRPr="004A38E7">
        <w:rPr>
          <w:rFonts w:ascii="Calibri" w:hAnsi="Calibri" w:cs="FrankRuehl" w:hint="cs"/>
          <w:b/>
          <w:bCs/>
          <w:u w:val="single"/>
          <w:rtl/>
        </w:rPr>
        <w:t>תסקירי שירות המבחן</w:t>
      </w:r>
    </w:p>
    <w:p w14:paraId="01CAB30F"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בעניינו של הנאשם הוגשו מספר תסקירים. מהתסקירים עולה, כי מדובר בנאשם כבן 33, רווק, השלישי מבין ארבעה ילדים, כשהוריו התגרשו בשנות העשרה שלו. הוא נפל קורבן לאלימות מתמשכת וקשה בשנות ילדותו. על רקע מצוקותיו, פנה הנאשם בשנת 2016 לגורמי בריאות הנפש, אובחן כסובל מהפרעה ומאז הוא מטופל בגינה.  אמו של הנאשם נפטרה לפני כשנתיים בשל מחלה ממארת. למרות הישגים טובים בבית הספר, בשל הנסיבות האישיות והמשפחתיות, הנאשם עזב את הלימודים בגיל 15 לערך והחל לעבוד ולפרנס את עצמו בתחום הצילום, ולחיות חיים עצמאיים. הוא סיים 12 שנות לימוד והתגייס לצה"ל שם שירת במשך 7 חודשים והשתחרר על רקע רפואי. לדבריו, במקביל לכל אלה, סייע לאוכלוסיות מוחלשות בדגש על בני נוער מנותקים ואנשים עם מוגבלות. בשנים האחרונות הנאשם עובד גם בתחום אימון ספורט וכושר. לדבריו, לפני כשלוש שנים החל לצרוך סמים מסוג חשיש, ובמהלך כל הבדיקות שמסר לשירות המבחן במסגרת ההליך הפלילי, הן נמצאו נקיות (למעט הראשונה). לנאשם אין רישום פלילי. שירות המבחן התרשם כי הנאשם שיתף פעולה עם הטיפול בו שולב (טיפול פרטני שבועי ומתן בדיקות) וכן נטל אחריות למעשיו, תוך שטען כי ביצע את המעשים בעקבות מצוקה כלכלית אליה נקלע. שירות המבחן התרשם, כי לנוכח מאפייני אישיותו של הנאשם, קורות חייו והקושי שלו לתת אמון בזולת, אין מקום להטיל עליו צו פיקוח וכי אינו מתאים לביצוע של"ץ. לכן המליץ שירות המבחן על הטלת עונש של מאסר לריצוי בעבודות שירות, מאסר על תנאי וקנס. יצוין, כי בהמשך, הוגשו שני תסקירים נוספים. גם אם הנאשם ניתק מגע לתקופה קצרה עם שירות המבחן ולא מסר בדיקות שתן במהלכה, הרי שבהמשך מסר בדיקות שתן שנמצאו נקיות, ולא נפתחו נגדו תיקים חדשים. שירות המבחן חזר על המלצותיו כפי שפורטו לעיל. </w:t>
      </w:r>
    </w:p>
    <w:p w14:paraId="5843FC79" w14:textId="77777777" w:rsidR="004A38E7" w:rsidRPr="004A38E7" w:rsidRDefault="004A38E7" w:rsidP="004A38E7">
      <w:pPr>
        <w:spacing w:after="160" w:line="360" w:lineRule="auto"/>
        <w:jc w:val="both"/>
        <w:rPr>
          <w:rFonts w:ascii="Calibri" w:hAnsi="Calibri" w:cs="FrankRuehl"/>
          <w:b/>
          <w:bCs/>
          <w:u w:val="single"/>
          <w:rtl/>
        </w:rPr>
      </w:pPr>
    </w:p>
    <w:p w14:paraId="43398660" w14:textId="77777777" w:rsidR="004A38E7" w:rsidRPr="004A38E7" w:rsidRDefault="004A38E7" w:rsidP="004A38E7">
      <w:pPr>
        <w:spacing w:after="160" w:line="360" w:lineRule="auto"/>
        <w:jc w:val="both"/>
        <w:rPr>
          <w:rFonts w:ascii="Calibri" w:hAnsi="Calibri" w:cs="FrankRuehl"/>
          <w:b/>
          <w:bCs/>
          <w:u w:val="single"/>
          <w:rtl/>
        </w:rPr>
      </w:pPr>
      <w:r w:rsidRPr="004A38E7">
        <w:rPr>
          <w:rFonts w:ascii="Calibri" w:hAnsi="Calibri" w:cs="FrankRuehl" w:hint="cs"/>
          <w:b/>
          <w:bCs/>
          <w:u w:val="single"/>
          <w:rtl/>
        </w:rPr>
        <w:lastRenderedPageBreak/>
        <w:t>חוות דעת של הממונה על עבודות השירות</w:t>
      </w:r>
    </w:p>
    <w:p w14:paraId="10E4E83F"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הממונה הגיש חוות דעת על אודות כשירות הנאשם לבצע מאסר בעבודות שירות. מחוות הדעת עולה, כי הוא כשיר לבצע עבודות שירות במגבלות מסוימות כמצוין בחווה"ד.</w:t>
      </w:r>
    </w:p>
    <w:p w14:paraId="38AE646C" w14:textId="77777777" w:rsidR="004A38E7" w:rsidRPr="004A38E7" w:rsidRDefault="004A38E7" w:rsidP="004A38E7">
      <w:pPr>
        <w:spacing w:after="160" w:line="360" w:lineRule="auto"/>
        <w:jc w:val="both"/>
        <w:rPr>
          <w:rFonts w:ascii="Calibri" w:hAnsi="Calibri" w:cs="FrankRuehl"/>
          <w:b/>
          <w:bCs/>
          <w:u w:val="single"/>
          <w:rtl/>
        </w:rPr>
      </w:pPr>
    </w:p>
    <w:p w14:paraId="154F4B2B" w14:textId="77777777" w:rsidR="004A38E7" w:rsidRPr="004A38E7" w:rsidRDefault="004A38E7" w:rsidP="004A38E7">
      <w:pPr>
        <w:spacing w:after="160" w:line="360" w:lineRule="auto"/>
        <w:jc w:val="both"/>
        <w:rPr>
          <w:rFonts w:ascii="Calibri" w:hAnsi="Calibri" w:cs="FrankRuehl"/>
          <w:b/>
          <w:bCs/>
          <w:u w:val="single"/>
          <w:rtl/>
        </w:rPr>
      </w:pPr>
      <w:r w:rsidRPr="004A38E7">
        <w:rPr>
          <w:rFonts w:ascii="Calibri" w:hAnsi="Calibri" w:cs="FrankRuehl" w:hint="cs"/>
          <w:b/>
          <w:bCs/>
          <w:u w:val="single"/>
          <w:rtl/>
        </w:rPr>
        <w:t>טיעונים לעונש</w:t>
      </w:r>
    </w:p>
    <w:p w14:paraId="1E03727C"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הצדדים לא הגיעו להסכמה עונשית. </w:t>
      </w:r>
    </w:p>
    <w:p w14:paraId="054BCBED"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מחד, המאשימה טוענת כי יש להטיל על המשיב עונש שלא יפחת מ-12 חודשי מאסר, על בסיס מתחם ענישה שבין 6 ל-12 חודשי מאסר לכל אישום של סחר בסמים, וזאת בהתייחס לנסיבות ביצוע העבירות וחומרתן מחד, והיעדר עברו הפלילי, הודאת הנאשם ונסיבותיו האישיות מאידך. </w:t>
      </w:r>
    </w:p>
    <w:p w14:paraId="47DB0483"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מאידך, הסניגור טוען כי ניתן להסתפק בעונש של של"ץ לנוכח נסיבותיו האישיות הקשות של הנאשם, כעולה מן התסקירים שהוגשו בעניינו. כמו כן היפנה לתהליך השיקומי שעבר הנאשם ולנסיבות הקלות, יחסית, של ביצוע העבירות, בהינתן סוג הסמים וכמותם. </w:t>
      </w:r>
    </w:p>
    <w:p w14:paraId="3848DF05" w14:textId="77777777" w:rsidR="004A38E7" w:rsidRPr="004A38E7" w:rsidRDefault="004A38E7" w:rsidP="004A38E7">
      <w:pPr>
        <w:spacing w:after="160" w:line="360" w:lineRule="auto"/>
        <w:jc w:val="both"/>
        <w:rPr>
          <w:rFonts w:ascii="Calibri" w:hAnsi="Calibri" w:cs="FrankRuehl"/>
          <w:b/>
          <w:bCs/>
          <w:u w:val="single"/>
          <w:rtl/>
        </w:rPr>
      </w:pPr>
    </w:p>
    <w:p w14:paraId="5EA09CF4" w14:textId="77777777" w:rsidR="004A38E7" w:rsidRPr="004A38E7" w:rsidRDefault="004A38E7" w:rsidP="004A38E7">
      <w:pPr>
        <w:spacing w:after="160" w:line="360" w:lineRule="auto"/>
        <w:jc w:val="both"/>
        <w:rPr>
          <w:rFonts w:ascii="Calibri" w:hAnsi="Calibri" w:cs="FrankRuehl"/>
          <w:b/>
          <w:bCs/>
          <w:u w:val="single"/>
          <w:rtl/>
        </w:rPr>
      </w:pPr>
      <w:r w:rsidRPr="004A38E7">
        <w:rPr>
          <w:rFonts w:ascii="Calibri" w:hAnsi="Calibri" w:cs="FrankRuehl" w:hint="cs"/>
          <w:b/>
          <w:bCs/>
          <w:u w:val="single"/>
          <w:rtl/>
        </w:rPr>
        <w:t xml:space="preserve">קביעת מתחם הענישה </w:t>
      </w:r>
      <w:r w:rsidRPr="004A38E7">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52B22A2F" w14:textId="77777777" w:rsidR="004A38E7" w:rsidRPr="004A38E7" w:rsidRDefault="004A38E7" w:rsidP="004A38E7">
      <w:pPr>
        <w:spacing w:after="160" w:line="360" w:lineRule="auto"/>
        <w:jc w:val="both"/>
        <w:rPr>
          <w:rFonts w:ascii="Calibri" w:hAnsi="Calibri" w:cs="FrankRuehl"/>
          <w:b/>
          <w:bCs/>
          <w:u w:val="single"/>
          <w:rtl/>
        </w:rPr>
      </w:pPr>
    </w:p>
    <w:p w14:paraId="18093C58"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 xml:space="preserve">אשר לערך המוגן </w:t>
      </w:r>
      <w:r w:rsidRPr="004A38E7">
        <w:rPr>
          <w:rFonts w:ascii="Calibri" w:hAnsi="Calibri" w:cs="FrankRuehl" w:hint="cs"/>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הכלל ביחס לסוחרי סמים הוא לרוב, מאסר בפועל. ר' בהקשר זה: רע"פ 3343/07 </w:t>
      </w:r>
      <w:r w:rsidRPr="004A38E7">
        <w:rPr>
          <w:rFonts w:ascii="Calibri" w:hAnsi="Calibri" w:cs="FrankRuehl" w:hint="cs"/>
          <w:b/>
          <w:bCs/>
          <w:u w:val="single"/>
          <w:rtl/>
        </w:rPr>
        <w:t>מכאוי</w:t>
      </w:r>
      <w:r w:rsidRPr="004A38E7">
        <w:rPr>
          <w:rFonts w:ascii="Calibri" w:hAnsi="Calibri" w:cs="FrankRuehl" w:hint="cs"/>
          <w:rtl/>
        </w:rPr>
        <w:t xml:space="preserve"> נ' </w:t>
      </w:r>
      <w:r w:rsidRPr="004A38E7">
        <w:rPr>
          <w:rFonts w:ascii="Calibri" w:hAnsi="Calibri" w:cs="FrankRuehl" w:hint="cs"/>
          <w:b/>
          <w:bCs/>
          <w:u w:val="single"/>
          <w:rtl/>
        </w:rPr>
        <w:t>מ"</w:t>
      </w:r>
      <w:r w:rsidRPr="004A38E7">
        <w:rPr>
          <w:rFonts w:ascii="Calibri" w:hAnsi="Calibri" w:cs="FrankRuehl" w:hint="cs"/>
          <w:rtl/>
        </w:rPr>
        <w:t>י (מיום 26.7.2017). בנוסף יש לשים לב רב לדברי בית המשפט העליון ב</w:t>
      </w:r>
      <w:hyperlink r:id="rId19" w:history="1">
        <w:r w:rsidR="000F5802" w:rsidRPr="000F5802">
          <w:rPr>
            <w:rFonts w:ascii="Calibri" w:hAnsi="Calibri" w:cs="FrankRuehl" w:hint="eastAsia"/>
            <w:color w:val="0000FF"/>
            <w:u w:val="single"/>
            <w:rtl/>
          </w:rPr>
          <w:t>ע</w:t>
        </w:r>
        <w:r w:rsidR="000F5802" w:rsidRPr="000F5802">
          <w:rPr>
            <w:rFonts w:ascii="Calibri" w:hAnsi="Calibri" w:cs="FrankRuehl"/>
            <w:color w:val="0000FF"/>
            <w:u w:val="single"/>
            <w:rtl/>
          </w:rPr>
          <w:t>"</w:t>
        </w:r>
        <w:r w:rsidR="000F5802" w:rsidRPr="000F5802">
          <w:rPr>
            <w:rFonts w:ascii="Calibri" w:hAnsi="Calibri" w:cs="FrankRuehl" w:hint="eastAsia"/>
            <w:color w:val="0000FF"/>
            <w:u w:val="single"/>
            <w:rtl/>
          </w:rPr>
          <w:t>פ</w:t>
        </w:r>
        <w:r w:rsidR="000F5802" w:rsidRPr="000F5802">
          <w:rPr>
            <w:rFonts w:ascii="Calibri" w:hAnsi="Calibri" w:cs="FrankRuehl"/>
            <w:color w:val="0000FF"/>
            <w:u w:val="single"/>
            <w:rtl/>
          </w:rPr>
          <w:t xml:space="preserve"> 2596/18</w:t>
        </w:r>
      </w:hyperlink>
      <w:r w:rsidRPr="004A38E7">
        <w:rPr>
          <w:rFonts w:ascii="Calibri" w:hAnsi="Calibri" w:cs="FrankRuehl" w:hint="cs"/>
          <w:rtl/>
        </w:rPr>
        <w:t xml:space="preserve"> </w:t>
      </w:r>
      <w:r w:rsidRPr="004A38E7">
        <w:rPr>
          <w:rFonts w:ascii="Calibri" w:hAnsi="Calibri" w:cs="FrankRuehl" w:hint="cs"/>
          <w:b/>
          <w:bCs/>
          <w:u w:val="single"/>
          <w:rtl/>
        </w:rPr>
        <w:t>זנזורי</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12.8.2018) בפסקה 8 מפי כב' השופט עמית: </w:t>
      </w:r>
    </w:p>
    <w:p w14:paraId="355CCBB2" w14:textId="77777777" w:rsidR="004A38E7" w:rsidRPr="004A38E7" w:rsidRDefault="004A38E7" w:rsidP="004A38E7">
      <w:pPr>
        <w:ind w:left="680" w:right="680"/>
        <w:jc w:val="both"/>
        <w:rPr>
          <w:rFonts w:ascii="Calibri" w:hAnsi="Calibri" w:cs="FrankRuehl"/>
          <w:rtl/>
        </w:rPr>
      </w:pPr>
      <w:r w:rsidRPr="004A38E7">
        <w:rPr>
          <w:rFonts w:ascii="Calibri" w:hAnsi="Calibri" w:cs="FrankRuehl" w:hint="cs"/>
          <w:rtl/>
        </w:rPr>
        <w:t>"לפני סיום, ארשום הערת אזהרה לפני הצרכנים והמשתמשים.</w:t>
      </w:r>
    </w:p>
    <w:p w14:paraId="43FF2955" w14:textId="77777777" w:rsidR="004A38E7" w:rsidRPr="004A38E7" w:rsidRDefault="004A38E7" w:rsidP="004A38E7">
      <w:pPr>
        <w:ind w:left="680" w:right="680"/>
        <w:jc w:val="both"/>
        <w:rPr>
          <w:rFonts w:ascii="Calibri" w:hAnsi="Calibri" w:cs="FrankRuehl"/>
          <w:rtl/>
        </w:rPr>
      </w:pPr>
      <w:r w:rsidRPr="004A38E7">
        <w:rPr>
          <w:rFonts w:ascii="Calibri" w:hAnsi="Calibri" w:cs="FrankRuehl" w:hint="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p>
    <w:p w14:paraId="2EE1682A" w14:textId="77777777" w:rsidR="004A38E7" w:rsidRPr="004A38E7" w:rsidRDefault="004A38E7" w:rsidP="004A38E7">
      <w:pPr>
        <w:spacing w:after="160"/>
        <w:ind w:left="680" w:right="680"/>
        <w:jc w:val="both"/>
        <w:rPr>
          <w:rFonts w:ascii="Calibri" w:hAnsi="Calibri" w:cs="FrankRuehl"/>
          <w:rtl/>
        </w:rPr>
      </w:pPr>
    </w:p>
    <w:p w14:paraId="1865D546"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 xml:space="preserve">נסיבות הקשורות בביצוע העבירה, לפי </w:t>
      </w:r>
      <w:hyperlink r:id="rId20" w:history="1">
        <w:r w:rsidR="008549D0" w:rsidRPr="008549D0">
          <w:rPr>
            <w:rFonts w:ascii="Calibri" w:hAnsi="Calibri" w:cs="FrankRuehl" w:hint="eastAsia"/>
            <w:b/>
            <w:bCs/>
            <w:color w:val="0000FF"/>
            <w:u w:val="single"/>
            <w:rtl/>
          </w:rPr>
          <w:t>סעיף</w:t>
        </w:r>
        <w:r w:rsidR="008549D0" w:rsidRPr="008549D0">
          <w:rPr>
            <w:rFonts w:ascii="Calibri" w:hAnsi="Calibri" w:cs="FrankRuehl"/>
            <w:b/>
            <w:bCs/>
            <w:color w:val="0000FF"/>
            <w:u w:val="single"/>
            <w:rtl/>
          </w:rPr>
          <w:t xml:space="preserve"> 40</w:t>
        </w:r>
        <w:r w:rsidR="008549D0" w:rsidRPr="008549D0">
          <w:rPr>
            <w:rFonts w:ascii="Calibri" w:hAnsi="Calibri" w:cs="FrankRuehl" w:hint="eastAsia"/>
            <w:b/>
            <w:bCs/>
            <w:color w:val="0000FF"/>
            <w:u w:val="single"/>
            <w:rtl/>
          </w:rPr>
          <w:t>ט</w:t>
        </w:r>
        <w:r w:rsidR="008549D0" w:rsidRPr="008549D0">
          <w:rPr>
            <w:rFonts w:ascii="Calibri" w:hAnsi="Calibri" w:cs="FrankRuehl"/>
            <w:b/>
            <w:bCs/>
            <w:color w:val="0000FF"/>
            <w:u w:val="single"/>
            <w:rtl/>
          </w:rPr>
          <w:t>'</w:t>
        </w:r>
      </w:hyperlink>
      <w:r w:rsidRPr="004A38E7">
        <w:rPr>
          <w:rFonts w:ascii="Calibri" w:hAnsi="Calibri" w:cs="FrankRuehl" w:hint="cs"/>
          <w:b/>
          <w:bCs/>
          <w:u w:val="single"/>
          <w:rtl/>
        </w:rPr>
        <w:t xml:space="preserve"> ל</w:t>
      </w:r>
      <w:hyperlink r:id="rId21" w:history="1">
        <w:r w:rsidR="000F5802" w:rsidRPr="000F5802">
          <w:rPr>
            <w:rFonts w:ascii="Calibri" w:hAnsi="Calibri" w:cs="FrankRuehl" w:hint="eastAsia"/>
            <w:b/>
            <w:bCs/>
            <w:color w:val="0000FF"/>
            <w:u w:val="single"/>
            <w:rtl/>
          </w:rPr>
          <w:t>חוק</w:t>
        </w:r>
        <w:r w:rsidR="000F5802" w:rsidRPr="000F5802">
          <w:rPr>
            <w:rFonts w:ascii="Calibri" w:hAnsi="Calibri" w:cs="FrankRuehl"/>
            <w:b/>
            <w:bCs/>
            <w:color w:val="0000FF"/>
            <w:u w:val="single"/>
            <w:rtl/>
          </w:rPr>
          <w:t xml:space="preserve"> </w:t>
        </w:r>
        <w:r w:rsidR="000F5802" w:rsidRPr="000F5802">
          <w:rPr>
            <w:rFonts w:ascii="Calibri" w:hAnsi="Calibri" w:cs="FrankRuehl" w:hint="eastAsia"/>
            <w:b/>
            <w:bCs/>
            <w:color w:val="0000FF"/>
            <w:u w:val="single"/>
            <w:rtl/>
          </w:rPr>
          <w:t>העונשין</w:t>
        </w:r>
      </w:hyperlink>
      <w:r w:rsidRPr="004A38E7">
        <w:rPr>
          <w:rFonts w:ascii="Calibri" w:hAnsi="Calibri" w:cs="FrankRuehl" w:hint="cs"/>
          <w:b/>
          <w:bCs/>
          <w:rtl/>
        </w:rPr>
        <w:t xml:space="preserve"> – </w:t>
      </w:r>
      <w:r w:rsidRPr="004A38E7">
        <w:rPr>
          <w:rFonts w:ascii="Calibri" w:hAnsi="Calibri" w:cs="FrankRuehl" w:hint="cs"/>
          <w:rtl/>
        </w:rPr>
        <w:t xml:space="preserve">בין הנסיבות הקשורות בביצוע העבירה יש לשקול את אלה, לעניין קביעת המתחם: על-פניו מנסיבות כתב האישום מדובר בעבירה מתוכננת שנועדה להשגת רווח כספי קל, כאשר המכירות היו לאדם זר לנאשם </w:t>
      </w:r>
      <w:r w:rsidRPr="004A38E7">
        <w:rPr>
          <w:rFonts w:ascii="Calibri" w:hAnsi="Calibri" w:cs="FrankRuehl"/>
          <w:rtl/>
        </w:rPr>
        <w:t>–</w:t>
      </w:r>
      <w:r w:rsidRPr="004A38E7">
        <w:rPr>
          <w:rFonts w:ascii="Calibri" w:hAnsi="Calibri" w:cs="FrankRuehl" w:hint="cs"/>
          <w:rtl/>
        </w:rPr>
        <w:t xml:space="preserve"> כל אלו נסיבות מחמירות; הואיל ומדובר בסוכן משטרתי לא נגרם נזק בפועל, אם כי העובדה שהנאשם היה נכון למכור סם לכל אדם, ממחישה את הנזק הפוטנציאלי הרב שיכול להיגרם מעבירת סחר;  הנאשם בגיר שידע היטב את הפסול שבמעשיו, כפי שגם עולה מההתלבטות שעלתה בלבו, אותה גילה לשירות המבחן.</w:t>
      </w:r>
    </w:p>
    <w:p w14:paraId="15B392E2" w14:textId="77777777" w:rsidR="004A38E7" w:rsidRPr="004A38E7" w:rsidRDefault="004A38E7" w:rsidP="004A38E7">
      <w:pPr>
        <w:spacing w:after="160" w:line="360" w:lineRule="auto"/>
        <w:jc w:val="both"/>
        <w:rPr>
          <w:rFonts w:ascii="Calibri" w:hAnsi="Calibri" w:cs="FrankRuehl"/>
          <w:b/>
          <w:bCs/>
          <w:u w:val="single"/>
          <w:rtl/>
        </w:rPr>
      </w:pPr>
    </w:p>
    <w:p w14:paraId="2516A146"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מדיניות הענישה הנוהגת</w:t>
      </w:r>
      <w:r w:rsidRPr="004A38E7">
        <w:rPr>
          <w:rFonts w:ascii="Calibri" w:hAnsi="Calibri" w:cs="FrankRuehl" w:hint="cs"/>
          <w:b/>
          <w:bCs/>
          <w:rtl/>
        </w:rPr>
        <w:t xml:space="preserve"> – </w:t>
      </w:r>
      <w:r w:rsidRPr="004A38E7">
        <w:rPr>
          <w:rFonts w:ascii="Calibri" w:hAnsi="Calibri" w:cs="FrankRuehl" w:hint="cs"/>
          <w:rtl/>
        </w:rPr>
        <w:t>הכלל בעבירות סמים הוא מאסר בפועל. יחד עם זאת הפסיקה מגוונת ומנעדה רחב. ב</w:t>
      </w:r>
      <w:hyperlink r:id="rId22" w:history="1">
        <w:r w:rsidR="000F5802" w:rsidRPr="000F5802">
          <w:rPr>
            <w:rFonts w:ascii="Calibri" w:hAnsi="Calibri" w:cs="FrankRuehl" w:hint="eastAsia"/>
            <w:color w:val="0000FF"/>
            <w:u w:val="single"/>
            <w:rtl/>
          </w:rPr>
          <w:t>רע</w:t>
        </w:r>
        <w:r w:rsidR="000F5802" w:rsidRPr="000F5802">
          <w:rPr>
            <w:rFonts w:ascii="Calibri" w:hAnsi="Calibri" w:cs="FrankRuehl"/>
            <w:color w:val="0000FF"/>
            <w:u w:val="single"/>
            <w:rtl/>
          </w:rPr>
          <w:t>"</w:t>
        </w:r>
        <w:r w:rsidR="000F5802" w:rsidRPr="000F5802">
          <w:rPr>
            <w:rFonts w:ascii="Calibri" w:hAnsi="Calibri" w:cs="FrankRuehl" w:hint="eastAsia"/>
            <w:color w:val="0000FF"/>
            <w:u w:val="single"/>
            <w:rtl/>
          </w:rPr>
          <w:t>פ</w:t>
        </w:r>
        <w:r w:rsidR="000F5802" w:rsidRPr="000F5802">
          <w:rPr>
            <w:rFonts w:ascii="Calibri" w:hAnsi="Calibri" w:cs="FrankRuehl"/>
            <w:color w:val="0000FF"/>
            <w:u w:val="single"/>
            <w:rtl/>
          </w:rPr>
          <w:t xml:space="preserve"> 5712/16</w:t>
        </w:r>
      </w:hyperlink>
      <w:r w:rsidRPr="004A38E7">
        <w:rPr>
          <w:rFonts w:ascii="Calibri" w:hAnsi="Calibri" w:cs="FrankRuehl" w:hint="cs"/>
          <w:rtl/>
        </w:rPr>
        <w:t xml:space="preserve"> </w:t>
      </w:r>
      <w:r w:rsidRPr="004A38E7">
        <w:rPr>
          <w:rFonts w:ascii="Calibri" w:hAnsi="Calibri" w:cs="FrankRuehl" w:hint="cs"/>
          <w:b/>
          <w:bCs/>
          <w:u w:val="single"/>
          <w:rtl/>
        </w:rPr>
        <w:t>אייזנבך</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17.8.2016) אושר מתחם ענישה שבין 8 ל-24 חודשי מאסר ונגזרו 8 חודשי מאסר בנסיבות של שלושה מקרי סחר אך בתמורה לסכומים גבוהים יותר. מנגד, ברע"פ </w:t>
      </w:r>
      <w:hyperlink r:id="rId23" w:history="1">
        <w:r w:rsidR="007152ED" w:rsidRPr="007152ED">
          <w:rPr>
            <w:rFonts w:ascii="Calibri" w:hAnsi="Calibri" w:cs="FrankRuehl"/>
            <w:color w:val="0000FF"/>
            <w:u w:val="single"/>
            <w:rtl/>
          </w:rPr>
          <w:t>6161/16</w:t>
        </w:r>
      </w:hyperlink>
      <w:r w:rsidRPr="004A38E7">
        <w:rPr>
          <w:rFonts w:ascii="Calibri" w:hAnsi="Calibri" w:cs="FrankRuehl" w:hint="cs"/>
          <w:rtl/>
        </w:rPr>
        <w:t xml:space="preserve"> </w:t>
      </w:r>
      <w:r w:rsidRPr="004A38E7">
        <w:rPr>
          <w:rFonts w:ascii="Calibri" w:hAnsi="Calibri" w:cs="FrankRuehl" w:hint="cs"/>
          <w:b/>
          <w:bCs/>
          <w:u w:val="single"/>
          <w:rtl/>
        </w:rPr>
        <w:t>יזרעאלוב</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20.2.2017) נקבע מתחם בין 8 ל-20 חודשי מאסר בנסיבות של סחר בנייס גאי במספר מקרים. בשל תהליך שיקום חרג בית המשפט מן המתחם והטיל 6 חודשי מאסר לריצוי בעבירות שירות. שני המקרים חמורים ממקרנו. ב</w:t>
      </w:r>
      <w:hyperlink r:id="rId24" w:history="1">
        <w:r w:rsidR="000F5802" w:rsidRPr="000F5802">
          <w:rPr>
            <w:rFonts w:ascii="Calibri" w:hAnsi="Calibri" w:cs="FrankRuehl" w:hint="eastAsia"/>
            <w:color w:val="0000FF"/>
            <w:u w:val="single"/>
            <w:rtl/>
          </w:rPr>
          <w:t>עפ</w:t>
        </w:r>
        <w:r w:rsidR="000F5802" w:rsidRPr="000F5802">
          <w:rPr>
            <w:rFonts w:ascii="Calibri" w:hAnsi="Calibri" w:cs="FrankRuehl"/>
            <w:color w:val="0000FF"/>
            <w:u w:val="single"/>
            <w:rtl/>
          </w:rPr>
          <w:t>"</w:t>
        </w:r>
        <w:r w:rsidR="000F5802" w:rsidRPr="000F5802">
          <w:rPr>
            <w:rFonts w:ascii="Calibri" w:hAnsi="Calibri" w:cs="FrankRuehl" w:hint="eastAsia"/>
            <w:color w:val="0000FF"/>
            <w:u w:val="single"/>
            <w:rtl/>
          </w:rPr>
          <w:t>ג</w:t>
        </w:r>
        <w:r w:rsidR="000F5802" w:rsidRPr="000F5802">
          <w:rPr>
            <w:rFonts w:ascii="Calibri" w:hAnsi="Calibri" w:cs="FrankRuehl"/>
            <w:color w:val="0000FF"/>
            <w:u w:val="single"/>
            <w:rtl/>
          </w:rPr>
          <w:t xml:space="preserve"> (</w:t>
        </w:r>
        <w:r w:rsidR="000F5802" w:rsidRPr="000F5802">
          <w:rPr>
            <w:rFonts w:ascii="Calibri" w:hAnsi="Calibri" w:cs="FrankRuehl" w:hint="eastAsia"/>
            <w:color w:val="0000FF"/>
            <w:u w:val="single"/>
            <w:rtl/>
          </w:rPr>
          <w:t>חיפה</w:t>
        </w:r>
        <w:r w:rsidR="000F5802" w:rsidRPr="000F5802">
          <w:rPr>
            <w:rFonts w:ascii="Calibri" w:hAnsi="Calibri" w:cs="FrankRuehl"/>
            <w:color w:val="0000FF"/>
            <w:u w:val="single"/>
            <w:rtl/>
          </w:rPr>
          <w:t>) 53142-12-16</w:t>
        </w:r>
      </w:hyperlink>
      <w:r w:rsidRPr="004A38E7">
        <w:rPr>
          <w:rFonts w:ascii="Calibri" w:hAnsi="Calibri" w:cs="FrankRuehl" w:hint="cs"/>
          <w:rtl/>
        </w:rPr>
        <w:t xml:space="preserve"> </w:t>
      </w:r>
      <w:r w:rsidRPr="004A38E7">
        <w:rPr>
          <w:rFonts w:ascii="Calibri" w:hAnsi="Calibri" w:cs="FrankRuehl" w:hint="cs"/>
          <w:b/>
          <w:bCs/>
          <w:u w:val="single"/>
          <w:rtl/>
        </w:rPr>
        <w:t>רחימוב</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17.5.2017) נגזרו 6 חודשי עבודות שירות תוך חריגה ממתחם הענישה שבין 13 ל-30 חודשי מאסר, בנסיבות של מכירת 15 גרם קוקאין וחשיש, לנוכח תהליך שיקומי. </w:t>
      </w:r>
    </w:p>
    <w:p w14:paraId="7035C49B" w14:textId="77777777" w:rsidR="004A38E7" w:rsidRPr="004A38E7" w:rsidRDefault="004A38E7" w:rsidP="004A38E7">
      <w:pPr>
        <w:spacing w:after="160" w:line="360" w:lineRule="auto"/>
        <w:jc w:val="both"/>
        <w:rPr>
          <w:rFonts w:ascii="Calibri" w:hAnsi="Calibri" w:cs="FrankRuehl"/>
          <w:b/>
          <w:bCs/>
          <w:u w:val="single"/>
          <w:rtl/>
        </w:rPr>
      </w:pPr>
    </w:p>
    <w:p w14:paraId="59C467C4"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מתחם הענישה</w:t>
      </w:r>
      <w:r w:rsidRPr="004A38E7">
        <w:rPr>
          <w:rFonts w:ascii="Calibri" w:hAnsi="Calibri" w:cs="FrankRuehl" w:hint="cs"/>
          <w:rtl/>
        </w:rPr>
        <w:t xml:space="preserve"> – על-פי מבחן "הקשר ההדוק" שנסקר ב</w:t>
      </w:r>
      <w:hyperlink r:id="rId25" w:history="1">
        <w:r w:rsidR="000F5802" w:rsidRPr="000F5802">
          <w:rPr>
            <w:rFonts w:ascii="Calibri" w:hAnsi="Calibri" w:cs="FrankRuehl" w:hint="eastAsia"/>
            <w:color w:val="0000FF"/>
            <w:u w:val="single"/>
            <w:rtl/>
          </w:rPr>
          <w:t>ע</w:t>
        </w:r>
        <w:r w:rsidR="000F5802" w:rsidRPr="000F5802">
          <w:rPr>
            <w:rFonts w:ascii="Calibri" w:hAnsi="Calibri" w:cs="FrankRuehl"/>
            <w:color w:val="0000FF"/>
            <w:u w:val="single"/>
            <w:rtl/>
          </w:rPr>
          <w:t>"</w:t>
        </w:r>
        <w:r w:rsidR="000F5802" w:rsidRPr="000F5802">
          <w:rPr>
            <w:rFonts w:ascii="Calibri" w:hAnsi="Calibri" w:cs="FrankRuehl" w:hint="eastAsia"/>
            <w:color w:val="0000FF"/>
            <w:u w:val="single"/>
            <w:rtl/>
          </w:rPr>
          <w:t>פ</w:t>
        </w:r>
        <w:r w:rsidR="000F5802" w:rsidRPr="000F5802">
          <w:rPr>
            <w:rFonts w:ascii="Calibri" w:hAnsi="Calibri" w:cs="FrankRuehl"/>
            <w:color w:val="0000FF"/>
            <w:u w:val="single"/>
            <w:rtl/>
          </w:rPr>
          <w:t xml:space="preserve"> 4910/13</w:t>
        </w:r>
      </w:hyperlink>
      <w:r w:rsidRPr="004A38E7">
        <w:rPr>
          <w:rFonts w:ascii="Calibri" w:hAnsi="Calibri" w:cs="FrankRuehl" w:hint="cs"/>
          <w:rtl/>
        </w:rPr>
        <w:t xml:space="preserve"> </w:t>
      </w:r>
      <w:r w:rsidRPr="004A38E7">
        <w:rPr>
          <w:rFonts w:ascii="Calibri" w:hAnsi="Calibri" w:cs="FrankRuehl" w:hint="cs"/>
          <w:b/>
          <w:bCs/>
          <w:u w:val="single"/>
          <w:rtl/>
        </w:rPr>
        <w:t xml:space="preserve">בני ג'אבר </w:t>
      </w:r>
      <w:r w:rsidRPr="004A38E7">
        <w:rPr>
          <w:rFonts w:ascii="Calibri" w:hAnsi="Calibri" w:cs="FrankRuehl" w:hint="cs"/>
          <w:rtl/>
        </w:rPr>
        <w:t xml:space="preserve"> נ' </w:t>
      </w:r>
      <w:r w:rsidRPr="004A38E7">
        <w:rPr>
          <w:rFonts w:ascii="Calibri" w:hAnsi="Calibri" w:cs="FrankRuehl" w:hint="cs"/>
          <w:b/>
          <w:bCs/>
          <w:u w:val="single"/>
          <w:rtl/>
        </w:rPr>
        <w:t>מ"י</w:t>
      </w:r>
      <w:r w:rsidRPr="004A38E7">
        <w:rPr>
          <w:rFonts w:ascii="Calibri" w:hAnsi="Calibri" w:cs="FrankRuehl" w:hint="cs"/>
          <w:rtl/>
        </w:rPr>
        <w:t xml:space="preserve"> (מיום 29.10.2014) </w:t>
      </w:r>
      <w:r w:rsidRPr="004A38E7">
        <w:rPr>
          <w:rFonts w:ascii="Calibri" w:hAnsi="Calibri" w:cs="FrankRuehl"/>
          <w:rtl/>
        </w:rPr>
        <w:t>–</w:t>
      </w:r>
      <w:r w:rsidRPr="004A38E7">
        <w:rPr>
          <w:rFonts w:ascii="Calibri" w:hAnsi="Calibri" w:cs="FrankRuehl" w:hint="cs"/>
          <w:rtl/>
        </w:rPr>
        <w:t xml:space="preserve"> כאשר סמיכות הזמנים של ימים ספורים בין עסקה לעסקה, זהותם של המעורבים (הנאשם והסוכן), סוגי הסם והכמויות </w:t>
      </w:r>
      <w:r w:rsidRPr="004A38E7">
        <w:rPr>
          <w:rFonts w:ascii="Calibri" w:hAnsi="Calibri" w:cs="FrankRuehl"/>
          <w:rtl/>
        </w:rPr>
        <w:t>–</w:t>
      </w:r>
      <w:r w:rsidRPr="004A38E7">
        <w:rPr>
          <w:rFonts w:ascii="Calibri" w:hAnsi="Calibri" w:cs="FrankRuehl" w:hint="cs"/>
          <w:rtl/>
        </w:rPr>
        <w:t xml:space="preserve"> הנסיבות מחייבות קביעת מתחם אחד למכלול המעשים, והתייחסות אליהם כאל אירוע אחד. </w:t>
      </w:r>
    </w:p>
    <w:p w14:paraId="5ECDB4F9"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 xml:space="preserve">אשר למתחם, לנוכח מכלול הנסיבות וגזירה לקולא מהמקרים שהצגתי לעיל, קובע מתחם שבין 3 ל-15 חודשי מאסר לרבות אפשרות ריצוי המאסר בעבודות שירות. </w:t>
      </w:r>
    </w:p>
    <w:p w14:paraId="14A4AE71" w14:textId="77777777" w:rsidR="004A38E7" w:rsidRPr="004A38E7" w:rsidRDefault="004A38E7" w:rsidP="004A38E7">
      <w:pPr>
        <w:spacing w:after="160" w:line="360" w:lineRule="auto"/>
        <w:jc w:val="both"/>
        <w:rPr>
          <w:rFonts w:ascii="Calibri" w:hAnsi="Calibri" w:cs="FrankRuehl"/>
          <w:b/>
          <w:bCs/>
          <w:rtl/>
        </w:rPr>
      </w:pPr>
    </w:p>
    <w:p w14:paraId="0CC4F3CE"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 xml:space="preserve">נסיבות שאינן קשורות בביצוע העבירה לפי </w:t>
      </w:r>
      <w:hyperlink r:id="rId26" w:history="1">
        <w:r w:rsidR="008549D0" w:rsidRPr="008549D0">
          <w:rPr>
            <w:rFonts w:ascii="Calibri" w:hAnsi="Calibri" w:cs="FrankRuehl" w:hint="eastAsia"/>
            <w:b/>
            <w:bCs/>
            <w:color w:val="0000FF"/>
            <w:u w:val="single"/>
            <w:rtl/>
          </w:rPr>
          <w:t>סעיף</w:t>
        </w:r>
        <w:r w:rsidR="008549D0" w:rsidRPr="008549D0">
          <w:rPr>
            <w:rFonts w:ascii="Calibri" w:hAnsi="Calibri" w:cs="FrankRuehl"/>
            <w:b/>
            <w:bCs/>
            <w:color w:val="0000FF"/>
            <w:u w:val="single"/>
            <w:rtl/>
          </w:rPr>
          <w:t xml:space="preserve"> 40</w:t>
        </w:r>
        <w:r w:rsidR="008549D0" w:rsidRPr="008549D0">
          <w:rPr>
            <w:rFonts w:ascii="Calibri" w:hAnsi="Calibri" w:cs="FrankRuehl" w:hint="eastAsia"/>
            <w:b/>
            <w:bCs/>
            <w:color w:val="0000FF"/>
            <w:u w:val="single"/>
            <w:rtl/>
          </w:rPr>
          <w:t>י</w:t>
        </w:r>
        <w:r w:rsidR="008549D0" w:rsidRPr="008549D0">
          <w:rPr>
            <w:rFonts w:ascii="Calibri" w:hAnsi="Calibri" w:cs="FrankRuehl"/>
            <w:b/>
            <w:bCs/>
            <w:color w:val="0000FF"/>
            <w:u w:val="single"/>
            <w:rtl/>
          </w:rPr>
          <w:t>"</w:t>
        </w:r>
        <w:r w:rsidR="008549D0" w:rsidRPr="008549D0">
          <w:rPr>
            <w:rFonts w:ascii="Calibri" w:hAnsi="Calibri" w:cs="FrankRuehl" w:hint="eastAsia"/>
            <w:b/>
            <w:bCs/>
            <w:color w:val="0000FF"/>
            <w:u w:val="single"/>
            <w:rtl/>
          </w:rPr>
          <w:t>א</w:t>
        </w:r>
      </w:hyperlink>
      <w:r w:rsidRPr="004A38E7">
        <w:rPr>
          <w:rFonts w:ascii="Calibri" w:hAnsi="Calibri" w:cs="FrankRuehl" w:hint="cs"/>
          <w:b/>
          <w:bCs/>
          <w:u w:val="single"/>
          <w:rtl/>
        </w:rPr>
        <w:t xml:space="preserve"> ל</w:t>
      </w:r>
      <w:hyperlink r:id="rId27" w:history="1">
        <w:r w:rsidR="000F5802" w:rsidRPr="000F5802">
          <w:rPr>
            <w:rFonts w:ascii="Calibri" w:hAnsi="Calibri" w:cs="FrankRuehl" w:hint="eastAsia"/>
            <w:b/>
            <w:bCs/>
            <w:color w:val="0000FF"/>
            <w:u w:val="single"/>
            <w:rtl/>
          </w:rPr>
          <w:t>חוק</w:t>
        </w:r>
        <w:r w:rsidR="000F5802" w:rsidRPr="000F5802">
          <w:rPr>
            <w:rFonts w:ascii="Calibri" w:hAnsi="Calibri" w:cs="FrankRuehl"/>
            <w:b/>
            <w:bCs/>
            <w:color w:val="0000FF"/>
            <w:u w:val="single"/>
            <w:rtl/>
          </w:rPr>
          <w:t xml:space="preserve"> </w:t>
        </w:r>
        <w:r w:rsidR="000F5802" w:rsidRPr="000F5802">
          <w:rPr>
            <w:rFonts w:ascii="Calibri" w:hAnsi="Calibri" w:cs="FrankRuehl" w:hint="eastAsia"/>
            <w:b/>
            <w:bCs/>
            <w:color w:val="0000FF"/>
            <w:u w:val="single"/>
            <w:rtl/>
          </w:rPr>
          <w:t>העונשין</w:t>
        </w:r>
      </w:hyperlink>
      <w:r w:rsidRPr="004A38E7">
        <w:rPr>
          <w:rFonts w:ascii="Calibri" w:hAnsi="Calibri" w:cs="FrankRuehl" w:hint="cs"/>
          <w:b/>
          <w:bCs/>
          <w:rtl/>
        </w:rPr>
        <w:t xml:space="preserve"> – </w:t>
      </w:r>
      <w:r w:rsidRPr="004A38E7">
        <w:rPr>
          <w:rFonts w:ascii="Calibri" w:hAnsi="Calibri" w:cs="FrankRuehl" w:hint="cs"/>
          <w:rtl/>
        </w:rPr>
        <w:t xml:space="preserve">ניתן  לתת משקל לנסיבות הבאות שאינן קשורות בביצוע העבירה, במסגרת גזירת העונש בתוך המתחם: הנאשם נעדר עבר פלילי, ומעולם לא ריצה עונש מאסר, ובנסיבותיו הספציפיות </w:t>
      </w:r>
      <w:r w:rsidRPr="004A38E7">
        <w:rPr>
          <w:rFonts w:ascii="Calibri" w:hAnsi="Calibri" w:cs="FrankRuehl"/>
          <w:rtl/>
        </w:rPr>
        <w:t>–</w:t>
      </w:r>
      <w:r w:rsidRPr="004A38E7">
        <w:rPr>
          <w:rFonts w:ascii="Calibri" w:hAnsi="Calibri" w:cs="FrankRuehl" w:hint="cs"/>
          <w:rtl/>
        </w:rPr>
        <w:t xml:space="preserve"> הפרעת האישיות ממנה סובל והקשיים שליוו אותו לאורך חייו </w:t>
      </w:r>
      <w:r w:rsidRPr="004A38E7">
        <w:rPr>
          <w:rFonts w:ascii="Calibri" w:hAnsi="Calibri" w:cs="FrankRuehl"/>
          <w:rtl/>
        </w:rPr>
        <w:t>–</w:t>
      </w:r>
      <w:r w:rsidRPr="004A38E7">
        <w:rPr>
          <w:rFonts w:ascii="Calibri" w:hAnsi="Calibri" w:cs="FrankRuehl" w:hint="cs"/>
          <w:rtl/>
        </w:rPr>
        <w:t xml:space="preserve"> שליחתו למאסר ממש תהיה בגדר תוצאה בלתי מדתית שעלולה לדרדרו, כפי שגם סבר שירות המבחן בתסקירו. בהקשר זה ראו גם את ההתייחסות ל"אפקט הקרימינוגני" (האפקט הפלילי המדרדר של מאסר לאדם שאין לו ניסיון במאסר), עליו עמדה "וועדת דורנר" בדו"ח שלה לעניין דרכי ענישה; הנאשם מפרנס את עצמו ולכן שליחתו למאסר ממש תפגע ביכולתו זו; הנאשם היה עצור בפועל בתיק זה כשבועיים, ובהמשך היה נתון בתנאים מגבילים של מעצר בית, ולאחר מכן תנאים אלו הוקלו לנוכח שיתוף הפעולה של הנאשם במסגרת צו פיקוח המעצרים; הנאשם נטל אחריות מלאה למעשיו, לא פתח תיקים חדשים במשטרה ולא הפר תנאים לאורך תקופה ארוכה; מהתסקיר עולה כי הנאשם הקדיש חלק ניכר מחייו לסייע לזולת, ובמיוחד לבני נוער ולבעלי מוגבלויות, ויש לקחת זאת בחשבון כנסיבה לקולא;</w:t>
      </w:r>
    </w:p>
    <w:p w14:paraId="7AC9D5A3" w14:textId="77777777" w:rsidR="004A38E7" w:rsidRPr="004A38E7" w:rsidRDefault="004A38E7" w:rsidP="004A38E7">
      <w:pPr>
        <w:spacing w:after="160" w:line="360" w:lineRule="auto"/>
        <w:jc w:val="both"/>
        <w:rPr>
          <w:rFonts w:ascii="Calibri" w:hAnsi="Calibri" w:cs="FrankRuehl"/>
          <w:b/>
          <w:bCs/>
          <w:u w:val="single"/>
          <w:rtl/>
        </w:rPr>
      </w:pPr>
    </w:p>
    <w:p w14:paraId="2C15CA13" w14:textId="77777777" w:rsidR="004A38E7" w:rsidRPr="004A38E7" w:rsidRDefault="004A38E7" w:rsidP="004A38E7">
      <w:pPr>
        <w:spacing w:after="160" w:line="360" w:lineRule="auto"/>
        <w:jc w:val="both"/>
        <w:rPr>
          <w:rFonts w:ascii="Calibri" w:hAnsi="Calibri" w:cs="FrankRuehl"/>
        </w:rPr>
      </w:pPr>
      <w:r w:rsidRPr="004A38E7">
        <w:rPr>
          <w:rFonts w:ascii="Calibri" w:hAnsi="Calibri" w:cs="FrankRuehl" w:hint="cs"/>
          <w:b/>
          <w:bCs/>
          <w:u w:val="single"/>
          <w:rtl/>
        </w:rPr>
        <w:t>המיקום במתחם</w:t>
      </w:r>
      <w:r w:rsidRPr="004A38E7">
        <w:rPr>
          <w:rFonts w:ascii="Calibri" w:hAnsi="Calibri" w:cs="FrankRuehl" w:hint="cs"/>
          <w:rtl/>
        </w:rPr>
        <w:t xml:space="preserve"> </w:t>
      </w:r>
      <w:r w:rsidRPr="004A38E7">
        <w:rPr>
          <w:rFonts w:ascii="Calibri" w:hAnsi="Calibri" w:cs="FrankRuehl"/>
          <w:rtl/>
        </w:rPr>
        <w:t>–</w:t>
      </w:r>
      <w:r w:rsidRPr="004A38E7">
        <w:rPr>
          <w:rFonts w:ascii="Calibri" w:hAnsi="Calibri" w:cs="FrankRuehl" w:hint="cs"/>
          <w:rtl/>
        </w:rPr>
        <w:t xml:space="preserve"> במכלול הנסיבות, יש למקם את הנאשם בתחילת המתחם. </w:t>
      </w:r>
    </w:p>
    <w:p w14:paraId="5AF5F81E" w14:textId="77777777" w:rsidR="004A38E7" w:rsidRPr="004A38E7" w:rsidRDefault="004A38E7" w:rsidP="004A38E7">
      <w:pPr>
        <w:spacing w:after="160" w:line="360" w:lineRule="auto"/>
        <w:jc w:val="both"/>
        <w:rPr>
          <w:rFonts w:ascii="Calibri" w:hAnsi="Calibri" w:cs="FrankRuehl"/>
          <w:b/>
          <w:bCs/>
          <w:u w:val="single"/>
          <w:rtl/>
        </w:rPr>
      </w:pPr>
    </w:p>
    <w:p w14:paraId="293C8019"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b/>
          <w:bCs/>
          <w:u w:val="single"/>
          <w:rtl/>
        </w:rPr>
        <w:t>גזירת הדין</w:t>
      </w:r>
    </w:p>
    <w:p w14:paraId="110B19D3" w14:textId="77777777" w:rsidR="004A38E7" w:rsidRPr="004A38E7" w:rsidRDefault="004A38E7" w:rsidP="004A38E7">
      <w:pPr>
        <w:spacing w:after="160" w:line="360" w:lineRule="auto"/>
        <w:jc w:val="both"/>
        <w:rPr>
          <w:rFonts w:ascii="Calibri" w:hAnsi="Calibri" w:cs="FrankRuehl"/>
          <w:rtl/>
        </w:rPr>
      </w:pPr>
      <w:r w:rsidRPr="004A38E7">
        <w:rPr>
          <w:rFonts w:ascii="Calibri" w:hAnsi="Calibri" w:cs="FrankRuehl" w:hint="cs"/>
          <w:rtl/>
        </w:rPr>
        <w:t>לפיכך, אני מחליט לגזור על הנאשם את העונשים הבאים:</w:t>
      </w:r>
    </w:p>
    <w:p w14:paraId="71EA65DA" w14:textId="77777777" w:rsidR="004A38E7" w:rsidRPr="004A38E7" w:rsidRDefault="004A38E7" w:rsidP="004A38E7">
      <w:pPr>
        <w:numPr>
          <w:ilvl w:val="0"/>
          <w:numId w:val="1"/>
        </w:numPr>
        <w:spacing w:after="160" w:line="360" w:lineRule="auto"/>
        <w:contextualSpacing/>
        <w:jc w:val="both"/>
        <w:rPr>
          <w:rFonts w:ascii="Calibri" w:hAnsi="Calibri" w:cs="FrankRuehl"/>
        </w:rPr>
      </w:pPr>
      <w:r w:rsidRPr="004A38E7">
        <w:rPr>
          <w:rFonts w:ascii="Calibri" w:hAnsi="Calibri" w:cs="FrankRuehl" w:hint="cs"/>
          <w:rtl/>
        </w:rPr>
        <w:t xml:space="preserve">3 חודשי מאסר, אשר ירוצו בעבודות שירות, החל מיום  08.09.2019  , אשר ירוצו באגודה לצער בעלי חיים ברח' פרי עמל 1, ירושלים, וזאת על פי חוות דעת הממונה על עבודות השירות. על הנאשם להתייצב ביום    זה  עד לשעה 11:00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w:t>
      </w:r>
      <w:r w:rsidRPr="004A38E7">
        <w:rPr>
          <w:rFonts w:ascii="Calibri" w:hAnsi="Calibri" w:cs="FrankRuehl"/>
          <w:rtl/>
        </w:rPr>
        <w:t>–</w:t>
      </w:r>
      <w:r w:rsidRPr="004A38E7">
        <w:rPr>
          <w:rFonts w:ascii="Calibri" w:hAnsi="Calibri" w:cs="FrankRuehl" w:hint="cs"/>
          <w:rtl/>
        </w:rPr>
        <w:t xml:space="preserve"> מובהר כי יש להפחית מן התקופה את ימי מעצרו של הנאשם כאשר חישוב שב"ס שהוא שיכריע;</w:t>
      </w:r>
    </w:p>
    <w:p w14:paraId="485250DC" w14:textId="77777777" w:rsidR="004A38E7" w:rsidRPr="004A38E7" w:rsidRDefault="004A38E7" w:rsidP="004A38E7">
      <w:pPr>
        <w:numPr>
          <w:ilvl w:val="0"/>
          <w:numId w:val="1"/>
        </w:numPr>
        <w:spacing w:after="160" w:line="360" w:lineRule="auto"/>
        <w:contextualSpacing/>
        <w:jc w:val="both"/>
        <w:rPr>
          <w:rFonts w:ascii="Calibri" w:hAnsi="Calibri" w:cs="FrankRuehl"/>
        </w:rPr>
      </w:pPr>
      <w:r w:rsidRPr="004A38E7">
        <w:rPr>
          <w:rFonts w:ascii="Calibri" w:hAnsi="Calibri" w:cs="FrankRuehl" w:hint="cs"/>
          <w:rtl/>
        </w:rPr>
        <w:t xml:space="preserve">6 חודשי מאסר, שלא ירוצו אלא אם יעבור הנאשם כל עבירה לפי </w:t>
      </w:r>
      <w:hyperlink r:id="rId28" w:history="1">
        <w:r w:rsidR="000F5802" w:rsidRPr="000F5802">
          <w:rPr>
            <w:rFonts w:ascii="Calibri" w:hAnsi="Calibri" w:cs="FrankRuehl" w:hint="eastAsia"/>
            <w:color w:val="0000FF"/>
            <w:u w:val="single"/>
            <w:rtl/>
          </w:rPr>
          <w:t>פקודת</w:t>
        </w:r>
        <w:r w:rsidR="000F5802" w:rsidRPr="000F5802">
          <w:rPr>
            <w:rFonts w:ascii="Calibri" w:hAnsi="Calibri" w:cs="FrankRuehl"/>
            <w:color w:val="0000FF"/>
            <w:u w:val="single"/>
            <w:rtl/>
          </w:rPr>
          <w:t xml:space="preserve"> </w:t>
        </w:r>
        <w:r w:rsidR="000F5802" w:rsidRPr="000F5802">
          <w:rPr>
            <w:rFonts w:ascii="Calibri" w:hAnsi="Calibri" w:cs="FrankRuehl" w:hint="eastAsia"/>
            <w:color w:val="0000FF"/>
            <w:u w:val="single"/>
            <w:rtl/>
          </w:rPr>
          <w:t>הסמים</w:t>
        </w:r>
        <w:r w:rsidR="000F5802" w:rsidRPr="000F5802">
          <w:rPr>
            <w:rFonts w:ascii="Calibri" w:hAnsi="Calibri" w:cs="FrankRuehl"/>
            <w:color w:val="0000FF"/>
            <w:u w:val="single"/>
            <w:rtl/>
          </w:rPr>
          <w:t xml:space="preserve"> </w:t>
        </w:r>
        <w:r w:rsidR="000F5802" w:rsidRPr="000F5802">
          <w:rPr>
            <w:rFonts w:ascii="Calibri" w:hAnsi="Calibri" w:cs="FrankRuehl" w:hint="eastAsia"/>
            <w:color w:val="0000FF"/>
            <w:u w:val="single"/>
            <w:rtl/>
          </w:rPr>
          <w:t>המסוכנים</w:t>
        </w:r>
      </w:hyperlink>
      <w:r w:rsidRPr="004A38E7">
        <w:rPr>
          <w:rFonts w:ascii="Calibri" w:hAnsi="Calibri" w:cs="FrankRuehl" w:hint="cs"/>
          <w:rtl/>
        </w:rPr>
        <w:t xml:space="preserve"> בתוך שנתיים מהיום למעט שימוש עצמי והחזקת כלים לשימוש עצמי;</w:t>
      </w:r>
    </w:p>
    <w:p w14:paraId="18F4DAB8" w14:textId="77777777" w:rsidR="004A38E7" w:rsidRPr="004A38E7" w:rsidRDefault="004A38E7" w:rsidP="004A38E7">
      <w:pPr>
        <w:numPr>
          <w:ilvl w:val="0"/>
          <w:numId w:val="1"/>
        </w:numPr>
        <w:spacing w:after="160" w:line="360" w:lineRule="auto"/>
        <w:contextualSpacing/>
        <w:jc w:val="both"/>
        <w:rPr>
          <w:rFonts w:ascii="Calibri" w:hAnsi="Calibri" w:cs="FrankRuehl"/>
        </w:rPr>
      </w:pPr>
      <w:r w:rsidRPr="004A38E7">
        <w:rPr>
          <w:rFonts w:ascii="Calibri" w:hAnsi="Calibri" w:cs="FrankRuehl" w:hint="cs"/>
          <w:rtl/>
        </w:rPr>
        <w:t>3 חודשי מאסר, שלא ירוצו אלא אם יעבור הנאשם כל עבירה של שימוש עצמי בסמים ו/או החזקת כלים לשימוש עצמי בתוך שנתיים מהיום;</w:t>
      </w:r>
    </w:p>
    <w:p w14:paraId="047793AC" w14:textId="77777777" w:rsidR="004A38E7" w:rsidRPr="004A38E7" w:rsidRDefault="004A38E7" w:rsidP="004A38E7">
      <w:pPr>
        <w:numPr>
          <w:ilvl w:val="0"/>
          <w:numId w:val="1"/>
        </w:numPr>
        <w:spacing w:after="160" w:line="360" w:lineRule="auto"/>
        <w:contextualSpacing/>
        <w:jc w:val="both"/>
        <w:rPr>
          <w:rFonts w:ascii="Calibri" w:hAnsi="Calibri" w:cs="FrankRuehl"/>
        </w:rPr>
      </w:pPr>
      <w:r w:rsidRPr="004A38E7">
        <w:rPr>
          <w:rFonts w:ascii="Calibri" w:hAnsi="Calibri" w:cs="FrankRuehl" w:hint="cs"/>
          <w:rtl/>
        </w:rPr>
        <w:t>התחייבות בסך 5,000  ₪ שלא לעבור כל עבירת סמים במשך שנתיים מהיום או 10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7A68E441" w14:textId="77777777" w:rsidR="004A38E7" w:rsidRPr="004A38E7" w:rsidRDefault="004A38E7" w:rsidP="004A38E7">
      <w:pPr>
        <w:spacing w:after="160" w:line="360" w:lineRule="auto"/>
        <w:contextualSpacing/>
        <w:jc w:val="both"/>
        <w:rPr>
          <w:rFonts w:ascii="Calibri" w:hAnsi="Calibri" w:cs="FrankRuehl"/>
          <w:rtl/>
        </w:rPr>
      </w:pPr>
    </w:p>
    <w:p w14:paraId="2509895A" w14:textId="77777777" w:rsidR="004A38E7" w:rsidRPr="004A38E7" w:rsidRDefault="004A38E7" w:rsidP="004A38E7">
      <w:pPr>
        <w:spacing w:after="160" w:line="360" w:lineRule="auto"/>
        <w:contextualSpacing/>
        <w:jc w:val="both"/>
        <w:rPr>
          <w:rFonts w:ascii="Calibri" w:hAnsi="Calibri" w:cs="FrankRuehl"/>
          <w:rtl/>
        </w:rPr>
      </w:pPr>
      <w:r w:rsidRPr="004A38E7">
        <w:rPr>
          <w:rFonts w:ascii="Calibri" w:hAnsi="Calibri" w:cs="FrankRuehl" w:hint="cs"/>
          <w:rtl/>
        </w:rPr>
        <w:t>בשל מצבו הכלכלי של הנאשם לא מצאתי להטיל עליו קנס.</w:t>
      </w:r>
    </w:p>
    <w:p w14:paraId="79E6FF5C" w14:textId="77777777" w:rsidR="004A38E7" w:rsidRPr="004A38E7" w:rsidRDefault="004A38E7" w:rsidP="004A38E7">
      <w:pPr>
        <w:spacing w:after="160" w:line="360" w:lineRule="auto"/>
        <w:contextualSpacing/>
        <w:jc w:val="both"/>
        <w:rPr>
          <w:rFonts w:ascii="Calibri" w:hAnsi="Calibri" w:cs="FrankRuehl"/>
          <w:rtl/>
        </w:rPr>
      </w:pPr>
    </w:p>
    <w:p w14:paraId="2DDF5912" w14:textId="77777777" w:rsidR="004A38E7" w:rsidRPr="004A38E7" w:rsidRDefault="004A38E7" w:rsidP="004A38E7">
      <w:pPr>
        <w:spacing w:after="160" w:line="360" w:lineRule="auto"/>
        <w:contextualSpacing/>
        <w:jc w:val="both"/>
        <w:rPr>
          <w:rFonts w:ascii="Calibri" w:hAnsi="Calibri" w:cs="FrankRuehl"/>
        </w:rPr>
      </w:pPr>
      <w:r w:rsidRPr="004A38E7">
        <w:rPr>
          <w:rFonts w:ascii="Calibri" w:hAnsi="Calibri" w:cs="FrankRuehl" w:hint="cs"/>
          <w:rtl/>
        </w:rPr>
        <w:t>יש לשלוח לממונה על עבודות שירות ולשירות המבחן.</w:t>
      </w:r>
    </w:p>
    <w:p w14:paraId="6C68C9B3" w14:textId="77777777" w:rsidR="004A38E7" w:rsidRDefault="004A38E7" w:rsidP="004A38E7">
      <w:pPr>
        <w:rPr>
          <w:rFonts w:cs="FrankRuehl"/>
          <w:rtl/>
        </w:rPr>
      </w:pPr>
    </w:p>
    <w:p w14:paraId="0B0EC0C8" w14:textId="77777777" w:rsidR="004A38E7" w:rsidRDefault="004A38E7" w:rsidP="004A38E7">
      <w:pPr>
        <w:rPr>
          <w:rFonts w:cs="FrankRuehl"/>
          <w:rtl/>
        </w:rPr>
      </w:pPr>
      <w:r>
        <w:rPr>
          <w:rFonts w:cs="FrankRuehl" w:hint="cs"/>
          <w:rtl/>
        </w:rPr>
        <w:t>הסמים יושמדו.</w:t>
      </w:r>
    </w:p>
    <w:p w14:paraId="500669BC" w14:textId="77777777" w:rsidR="004A38E7" w:rsidRDefault="004A38E7" w:rsidP="004A38E7">
      <w:pPr>
        <w:rPr>
          <w:rFonts w:cs="FrankRuehl"/>
        </w:rPr>
      </w:pPr>
    </w:p>
    <w:p w14:paraId="21132A2A" w14:textId="77777777" w:rsidR="004A38E7" w:rsidRDefault="004A38E7" w:rsidP="004A38E7">
      <w:pPr>
        <w:rPr>
          <w:rFonts w:cs="FrankRuehl"/>
        </w:rPr>
      </w:pPr>
      <w:r>
        <w:rPr>
          <w:rFonts w:cs="FrankRuehl" w:hint="cs"/>
          <w:rtl/>
        </w:rPr>
        <w:t>זכות ערעור כחוק לבית המשפט המחוזי בירושלים בתוך 45 יום מהיום.</w:t>
      </w:r>
    </w:p>
    <w:p w14:paraId="77455111" w14:textId="77777777" w:rsidR="004A38E7" w:rsidRPr="00B05847" w:rsidRDefault="004A38E7" w:rsidP="004A38E7">
      <w:pPr>
        <w:rPr>
          <w:rtl/>
        </w:rPr>
      </w:pPr>
    </w:p>
    <w:p w14:paraId="3943E1C7" w14:textId="77777777" w:rsidR="004A38E7" w:rsidRPr="000F5802" w:rsidRDefault="000F5802" w:rsidP="004A38E7">
      <w:pPr>
        <w:rPr>
          <w:color w:val="FFFFFF"/>
          <w:sz w:val="2"/>
          <w:szCs w:val="2"/>
          <w:rtl/>
        </w:rPr>
      </w:pPr>
      <w:r w:rsidRPr="000F5802">
        <w:rPr>
          <w:color w:val="FFFFFF"/>
          <w:sz w:val="2"/>
          <w:szCs w:val="2"/>
          <w:rtl/>
        </w:rPr>
        <w:t>5129371</w:t>
      </w:r>
    </w:p>
    <w:p w14:paraId="7C3958A5" w14:textId="77777777" w:rsidR="004A38E7" w:rsidRDefault="000F5802" w:rsidP="004A38E7">
      <w:pPr>
        <w:rPr>
          <w:rFonts w:cs="FrankRuehl"/>
          <w:sz w:val="28"/>
          <w:szCs w:val="28"/>
          <w:rtl/>
        </w:rPr>
      </w:pPr>
      <w:r w:rsidRPr="000F5802">
        <w:rPr>
          <w:rFonts w:ascii="Arial" w:hAnsi="Arial"/>
          <w:color w:val="FFFFFF"/>
          <w:sz w:val="2"/>
          <w:szCs w:val="2"/>
          <w:rtl/>
        </w:rPr>
        <w:t>54678313</w:t>
      </w:r>
      <w:r>
        <w:rPr>
          <w:rFonts w:ascii="Arial" w:hAnsi="Arial"/>
          <w:rtl/>
        </w:rPr>
        <w:t xml:space="preserve">ניתן היום,  כ"ג ניסן תשע"ט, 28 אפריל 2019, במעמד הצדדים. </w:t>
      </w:r>
    </w:p>
    <w:p w14:paraId="3F0AAB7A" w14:textId="77777777" w:rsidR="004A38E7" w:rsidRDefault="004A38E7" w:rsidP="004A38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r w:rsidR="007152ED">
        <w:rPr>
          <w:rFonts w:hint="cs"/>
          <w:rtl/>
        </w:rPr>
        <w:t xml:space="preserve">                 </w:t>
      </w:r>
    </w:p>
    <w:p w14:paraId="176132C7" w14:textId="77777777" w:rsidR="004A38E7" w:rsidRDefault="004A38E7" w:rsidP="004A38E7">
      <w:pPr>
        <w:jc w:val="center"/>
        <w:rPr>
          <w:rFonts w:ascii="Arial" w:hAnsi="Arial" w:cs="FrankRuehl"/>
          <w:sz w:val="28"/>
          <w:szCs w:val="28"/>
          <w:rtl/>
        </w:rPr>
      </w:pPr>
    </w:p>
    <w:p w14:paraId="06E5AC67" w14:textId="77777777" w:rsidR="004A38E7" w:rsidRDefault="004A38E7" w:rsidP="004A38E7">
      <w:pPr>
        <w:rPr>
          <w:rFonts w:cs="FrankRuehl"/>
          <w:sz w:val="28"/>
          <w:szCs w:val="28"/>
          <w:rtl/>
        </w:rPr>
      </w:pPr>
    </w:p>
    <w:p w14:paraId="3413900F" w14:textId="77777777" w:rsidR="004A38E7" w:rsidRPr="008549D0" w:rsidRDefault="008549D0" w:rsidP="004A38E7">
      <w:pPr>
        <w:pStyle w:val="a3"/>
        <w:jc w:val="center"/>
        <w:rPr>
          <w:color w:val="FFFFFF"/>
          <w:sz w:val="2"/>
          <w:szCs w:val="2"/>
          <w:rtl/>
        </w:rPr>
      </w:pPr>
      <w:r w:rsidRPr="008549D0">
        <w:rPr>
          <w:color w:val="FFFFFF"/>
          <w:sz w:val="2"/>
          <w:szCs w:val="2"/>
          <w:rtl/>
        </w:rPr>
        <w:t>5129371</w:t>
      </w:r>
    </w:p>
    <w:p w14:paraId="6D8A6278" w14:textId="77777777" w:rsidR="00BF03D5" w:rsidRPr="008549D0" w:rsidRDefault="008549D0" w:rsidP="000F5802">
      <w:pPr>
        <w:keepNext/>
        <w:rPr>
          <w:rFonts w:ascii="David" w:hAnsi="David"/>
          <w:color w:val="FFFFFF"/>
          <w:sz w:val="2"/>
          <w:szCs w:val="2"/>
          <w:rtl/>
        </w:rPr>
      </w:pPr>
      <w:r w:rsidRPr="008549D0">
        <w:rPr>
          <w:rFonts w:ascii="David" w:hAnsi="David"/>
          <w:color w:val="FFFFFF"/>
          <w:sz w:val="2"/>
          <w:szCs w:val="2"/>
          <w:rtl/>
        </w:rPr>
        <w:t>54678313</w:t>
      </w:r>
    </w:p>
    <w:p w14:paraId="70F07952" w14:textId="77777777" w:rsidR="000F5802" w:rsidRPr="000F5802" w:rsidRDefault="000F5802" w:rsidP="000F5802">
      <w:pPr>
        <w:keepNext/>
        <w:rPr>
          <w:rFonts w:ascii="David" w:hAnsi="David"/>
          <w:color w:val="000000"/>
          <w:sz w:val="22"/>
          <w:szCs w:val="22"/>
          <w:rtl/>
        </w:rPr>
      </w:pPr>
      <w:r w:rsidRPr="000F5802">
        <w:rPr>
          <w:rFonts w:ascii="David" w:hAnsi="David"/>
          <w:color w:val="000000"/>
          <w:sz w:val="22"/>
          <w:szCs w:val="22"/>
          <w:rtl/>
        </w:rPr>
        <w:t>דוד שאול גבאי ריכטר 54678313</w:t>
      </w:r>
    </w:p>
    <w:p w14:paraId="546B3600" w14:textId="77777777" w:rsidR="000F5802" w:rsidRDefault="000F5802" w:rsidP="000F5802">
      <w:r w:rsidRPr="000F5802">
        <w:rPr>
          <w:color w:val="000000"/>
          <w:rtl/>
        </w:rPr>
        <w:t>נוסח מסמך זה כפוף לשינויי ניסוח ועריכה</w:t>
      </w:r>
    </w:p>
    <w:p w14:paraId="3003778A" w14:textId="77777777" w:rsidR="000F5802" w:rsidRDefault="000F5802" w:rsidP="000F5802">
      <w:pPr>
        <w:rPr>
          <w:rtl/>
        </w:rPr>
      </w:pPr>
    </w:p>
    <w:p w14:paraId="100DC54C" w14:textId="77777777" w:rsidR="000F5802" w:rsidRPr="000F5802" w:rsidRDefault="000F5802" w:rsidP="008549D0">
      <w:pPr>
        <w:jc w:val="center"/>
        <w:rPr>
          <w:rFonts w:hint="cs"/>
          <w:color w:val="0000FF"/>
          <w:u w:val="single"/>
        </w:rPr>
      </w:pPr>
      <w:hyperlink r:id="rId29" w:history="1">
        <w:r>
          <w:rPr>
            <w:color w:val="0000FF"/>
            <w:u w:val="single"/>
            <w:rtl/>
          </w:rPr>
          <w:t>בעניין עריכה ושינויים במסמכי פסיקה, חקיקה ועוד באתר נבו – הקש כאן</w:t>
        </w:r>
      </w:hyperlink>
    </w:p>
    <w:sectPr w:rsidR="000F5802" w:rsidRPr="000F5802" w:rsidSect="008549D0">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5A75B" w14:textId="77777777" w:rsidR="005F58AE" w:rsidRDefault="005F58AE" w:rsidP="00D60A13">
      <w:r>
        <w:separator/>
      </w:r>
    </w:p>
  </w:endnote>
  <w:endnote w:type="continuationSeparator" w:id="0">
    <w:p w14:paraId="06054EC2" w14:textId="77777777" w:rsidR="005F58AE" w:rsidRDefault="005F58AE" w:rsidP="00D6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0A29A" w14:textId="77777777" w:rsidR="008549D0" w:rsidRDefault="008549D0" w:rsidP="008549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5ACDBD" w14:textId="77777777" w:rsidR="00DE3C20" w:rsidRPr="008549D0" w:rsidRDefault="008549D0" w:rsidP="008549D0">
    <w:pPr>
      <w:pStyle w:val="a5"/>
      <w:pBdr>
        <w:top w:val="single" w:sz="4" w:space="1" w:color="auto"/>
        <w:between w:val="single" w:sz="4" w:space="0" w:color="auto"/>
      </w:pBdr>
      <w:spacing w:after="60"/>
      <w:jc w:val="center"/>
      <w:rPr>
        <w:rFonts w:ascii="FrankRuehl" w:hAnsi="FrankRuehl" w:cs="FrankRuehl"/>
        <w:color w:val="000000"/>
      </w:rPr>
    </w:pPr>
    <w:r w:rsidRPr="008549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FB0F6" w14:textId="77777777" w:rsidR="008549D0" w:rsidRDefault="008549D0" w:rsidP="008549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2857">
      <w:rPr>
        <w:rFonts w:ascii="FrankRuehl" w:hAnsi="FrankRuehl" w:cs="FrankRuehl"/>
        <w:noProof/>
        <w:rtl/>
      </w:rPr>
      <w:t>1</w:t>
    </w:r>
    <w:r>
      <w:rPr>
        <w:rFonts w:ascii="FrankRuehl" w:hAnsi="FrankRuehl" w:cs="FrankRuehl"/>
        <w:rtl/>
      </w:rPr>
      <w:fldChar w:fldCharType="end"/>
    </w:r>
  </w:p>
  <w:p w14:paraId="00E4A2B7" w14:textId="77777777" w:rsidR="00DE3C20" w:rsidRPr="008549D0" w:rsidRDefault="008549D0" w:rsidP="008549D0">
    <w:pPr>
      <w:pStyle w:val="a5"/>
      <w:pBdr>
        <w:top w:val="single" w:sz="4" w:space="1" w:color="auto"/>
        <w:between w:val="single" w:sz="4" w:space="0" w:color="auto"/>
      </w:pBdr>
      <w:spacing w:after="60"/>
      <w:jc w:val="center"/>
      <w:rPr>
        <w:rFonts w:ascii="FrankRuehl" w:hAnsi="FrankRuehl" w:cs="FrankRuehl"/>
        <w:color w:val="000000"/>
      </w:rPr>
    </w:pPr>
    <w:r w:rsidRPr="008549D0">
      <w:rPr>
        <w:rFonts w:ascii="FrankRuehl" w:hAnsi="FrankRuehl" w:cs="FrankRuehl"/>
        <w:color w:val="000000"/>
      </w:rPr>
      <w:pict w14:anchorId="04122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249FD" w14:textId="77777777" w:rsidR="005F58AE" w:rsidRDefault="005F58AE" w:rsidP="00D60A13">
      <w:r>
        <w:separator/>
      </w:r>
    </w:p>
  </w:footnote>
  <w:footnote w:type="continuationSeparator" w:id="0">
    <w:p w14:paraId="461CBF6C" w14:textId="77777777" w:rsidR="005F58AE" w:rsidRDefault="005F58AE" w:rsidP="00D6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6529" w14:textId="77777777" w:rsidR="000F5802" w:rsidRPr="008549D0" w:rsidRDefault="008549D0" w:rsidP="008549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27467-02-18</w:t>
    </w:r>
    <w:r>
      <w:rPr>
        <w:rFonts w:ascii="David" w:hAnsi="David"/>
        <w:color w:val="000000"/>
        <w:sz w:val="22"/>
        <w:szCs w:val="22"/>
        <w:rtl/>
      </w:rPr>
      <w:tab/>
      <w:t xml:space="preserve"> מדינת ישראל נ' תומר 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CDA6E" w14:textId="77777777" w:rsidR="000F5802" w:rsidRPr="008549D0" w:rsidRDefault="008549D0" w:rsidP="008549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27467-02-18</w:t>
    </w:r>
    <w:r>
      <w:rPr>
        <w:rFonts w:ascii="David" w:hAnsi="David"/>
        <w:color w:val="000000"/>
        <w:sz w:val="22"/>
        <w:szCs w:val="22"/>
        <w:rtl/>
      </w:rPr>
      <w:tab/>
      <w:t xml:space="preserve"> מדינת ישראל נ' תומר 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52599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38E7"/>
    <w:rsid w:val="00087308"/>
    <w:rsid w:val="000F5802"/>
    <w:rsid w:val="001B5A3B"/>
    <w:rsid w:val="003B2857"/>
    <w:rsid w:val="004A38E7"/>
    <w:rsid w:val="005F58AE"/>
    <w:rsid w:val="007152ED"/>
    <w:rsid w:val="007B7394"/>
    <w:rsid w:val="008549D0"/>
    <w:rsid w:val="008D0A1D"/>
    <w:rsid w:val="008E02C0"/>
    <w:rsid w:val="00BF03D5"/>
    <w:rsid w:val="00D60A13"/>
    <w:rsid w:val="00DE3C20"/>
    <w:rsid w:val="00FA6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F947F5"/>
  <w15:chartTrackingRefBased/>
  <w15:docId w15:val="{FEDF5A2F-8FA4-4B80-876A-75C7E768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38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38E7"/>
    <w:pPr>
      <w:tabs>
        <w:tab w:val="center" w:pos="4153"/>
        <w:tab w:val="right" w:pos="8306"/>
      </w:tabs>
    </w:pPr>
  </w:style>
  <w:style w:type="character" w:customStyle="1" w:styleId="a4">
    <w:name w:val="כותרת עליונה תו"/>
    <w:link w:val="a3"/>
    <w:rsid w:val="004A38E7"/>
    <w:rPr>
      <w:rFonts w:ascii="Times New Roman" w:eastAsia="Times New Roman" w:hAnsi="Times New Roman" w:cs="David"/>
      <w:sz w:val="24"/>
      <w:szCs w:val="24"/>
    </w:rPr>
  </w:style>
  <w:style w:type="paragraph" w:styleId="a5">
    <w:name w:val="footer"/>
    <w:basedOn w:val="a"/>
    <w:link w:val="a6"/>
    <w:rsid w:val="004A38E7"/>
    <w:pPr>
      <w:tabs>
        <w:tab w:val="center" w:pos="4153"/>
        <w:tab w:val="right" w:pos="8306"/>
      </w:tabs>
    </w:pPr>
  </w:style>
  <w:style w:type="character" w:customStyle="1" w:styleId="a6">
    <w:name w:val="כותרת תחתונה תו"/>
    <w:link w:val="a5"/>
    <w:rsid w:val="004A38E7"/>
    <w:rPr>
      <w:rFonts w:ascii="Times New Roman" w:eastAsia="Times New Roman" w:hAnsi="Times New Roman" w:cs="David"/>
      <w:sz w:val="24"/>
      <w:szCs w:val="24"/>
    </w:rPr>
  </w:style>
  <w:style w:type="table" w:styleId="a7">
    <w:name w:val="Table Grid"/>
    <w:basedOn w:val="a1"/>
    <w:rsid w:val="004A38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38E7"/>
  </w:style>
  <w:style w:type="character" w:styleId="Hyperlink">
    <w:name w:val="Hyperlink"/>
    <w:rsid w:val="000F58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3646721"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1309372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82707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21477656"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382760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1477472"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1844</Words>
  <Characters>9225</Characters>
  <Application>Microsoft Office Word</Application>
  <DocSecurity>0</DocSecurity>
  <Lines>76</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11047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3801207</vt:i4>
      </vt:variant>
      <vt:variant>
        <vt:i4>51</vt:i4>
      </vt:variant>
      <vt:variant>
        <vt:i4>0</vt:i4>
      </vt:variant>
      <vt:variant>
        <vt:i4>5</vt:i4>
      </vt:variant>
      <vt:variant>
        <vt:lpwstr>http://www.nevo.co.il/case/21827077</vt:lpwstr>
      </vt:variant>
      <vt:variant>
        <vt:lpwstr/>
      </vt:variant>
      <vt:variant>
        <vt:i4>3407988</vt:i4>
      </vt:variant>
      <vt:variant>
        <vt:i4>48</vt:i4>
      </vt:variant>
      <vt:variant>
        <vt:i4>0</vt:i4>
      </vt:variant>
      <vt:variant>
        <vt:i4>5</vt:i4>
      </vt:variant>
      <vt:variant>
        <vt:lpwstr>http://www.nevo.co.il/case/21477656</vt:lpwstr>
      </vt:variant>
      <vt:variant>
        <vt:lpwstr/>
      </vt:variant>
      <vt:variant>
        <vt:i4>3539062</vt:i4>
      </vt:variant>
      <vt:variant>
        <vt:i4>45</vt:i4>
      </vt:variant>
      <vt:variant>
        <vt:i4>0</vt:i4>
      </vt:variant>
      <vt:variant>
        <vt:i4>5</vt:i4>
      </vt:variant>
      <vt:variant>
        <vt:lpwstr>http://www.nevo.co.il/case/21477472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3145844</vt:i4>
      </vt:variant>
      <vt:variant>
        <vt:i4>33</vt:i4>
      </vt:variant>
      <vt:variant>
        <vt:i4>0</vt:i4>
      </vt:variant>
      <vt:variant>
        <vt:i4>5</vt:i4>
      </vt:variant>
      <vt:variant>
        <vt:lpwstr>http://www.nevo.co.il/case/23646721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27467</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תומר מור</vt:lpwstr>
  </property>
  <property fmtid="{D5CDD505-2E9C-101B-9397-08002B2CF9AE}" pid="10" name="LAWYER">
    <vt:lpwstr>ארז בר-צבי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20190428</vt:lpwstr>
  </property>
  <property fmtid="{D5CDD505-2E9C-101B-9397-08002B2CF9AE}" pid="14" name="TYPE_N_DATE">
    <vt:lpwstr>38020190428</vt:lpwstr>
  </property>
  <property fmtid="{D5CDD505-2E9C-101B-9397-08002B2CF9AE}" pid="15" name="WORDNUMPAGES">
    <vt:lpwstr>5</vt:lpwstr>
  </property>
  <property fmtid="{D5CDD505-2E9C-101B-9397-08002B2CF9AE}" pid="16" name="TYPE_ABS_DATE">
    <vt:lpwstr>380020190428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23646721;23827604;21477472;21477656;21827077;13093721</vt:lpwstr>
  </property>
  <property fmtid="{D5CDD505-2E9C-101B-9397-08002B2CF9AE}" pid="36" name="LAWLISTTMP1">
    <vt:lpwstr>4216/013;019.a;007.a;007.c</vt:lpwstr>
  </property>
  <property fmtid="{D5CDD505-2E9C-101B-9397-08002B2CF9AE}" pid="37" name="LAWLISTTMP2">
    <vt:lpwstr>70301/040i;40ja</vt:lpwstr>
  </property>
</Properties>
</file>