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A6698" w:rsidRPr="00872189" w14:paraId="214169E7" w14:textId="77777777" w:rsidTr="00463E9C">
        <w:trPr>
          <w:trHeight w:hRule="exact" w:val="418"/>
          <w:jc w:val="center"/>
        </w:trPr>
        <w:tc>
          <w:tcPr>
            <w:tcW w:w="8721" w:type="dxa"/>
            <w:gridSpan w:val="2"/>
          </w:tcPr>
          <w:p w14:paraId="55B1CE3A" w14:textId="77777777" w:rsidR="003A6698" w:rsidRPr="00872189" w:rsidRDefault="003A6698" w:rsidP="00E81FCA">
            <w:pPr>
              <w:pStyle w:val="a3"/>
              <w:jc w:val="center"/>
              <w:rPr>
                <w:rFonts w:ascii="FrankRuehl" w:hAnsi="FrankRuehl" w:cs="FrankRuehl"/>
                <w:b/>
                <w:bCs/>
                <w:color w:val="000080"/>
                <w:sz w:val="28"/>
                <w:szCs w:val="28"/>
                <w:rtl/>
              </w:rPr>
            </w:pPr>
            <w:bookmarkStart w:id="0" w:name="LastJudge"/>
            <w:r w:rsidRPr="00872189">
              <w:rPr>
                <w:rFonts w:ascii="FrankRuehl" w:hAnsi="FrankRuehl" w:cs="FrankRuehl"/>
                <w:b/>
                <w:bCs/>
                <w:color w:val="000080"/>
                <w:sz w:val="28"/>
                <w:szCs w:val="28"/>
                <w:rtl/>
              </w:rPr>
              <w:t>בית משפט השלום בירושלים</w:t>
            </w:r>
          </w:p>
        </w:tc>
      </w:tr>
      <w:tr w:rsidR="003A6698" w:rsidRPr="00872189" w14:paraId="19B72034" w14:textId="77777777" w:rsidTr="00463E9C">
        <w:trPr>
          <w:trHeight w:val="337"/>
          <w:jc w:val="center"/>
        </w:trPr>
        <w:tc>
          <w:tcPr>
            <w:tcW w:w="5054" w:type="dxa"/>
          </w:tcPr>
          <w:p w14:paraId="65888CCC" w14:textId="77777777" w:rsidR="003A6698" w:rsidRPr="00872189" w:rsidRDefault="003A6698" w:rsidP="00E81FCA">
            <w:pPr>
              <w:rPr>
                <w:rFonts w:ascii="FrankRuehl" w:hAnsi="FrankRuehl" w:cs="FrankRuehl"/>
                <w:b/>
                <w:bCs/>
                <w:sz w:val="28"/>
                <w:szCs w:val="28"/>
                <w:rtl/>
              </w:rPr>
            </w:pPr>
            <w:r w:rsidRPr="00872189">
              <w:rPr>
                <w:rFonts w:ascii="FrankRuehl" w:hAnsi="FrankRuehl" w:cs="FrankRuehl"/>
                <w:b/>
                <w:bCs/>
                <w:sz w:val="28"/>
                <w:szCs w:val="28"/>
                <w:rtl/>
              </w:rPr>
              <w:t xml:space="preserve">ת"פ </w:t>
            </w:r>
            <w:hyperlink r:id="rId7" w:history="1">
              <w:r w:rsidR="00E2319F" w:rsidRPr="00E2319F">
                <w:rPr>
                  <w:rFonts w:ascii="FrankRuehl" w:hAnsi="FrankRuehl" w:cs="FrankRuehl"/>
                  <w:b/>
                  <w:bCs/>
                  <w:color w:val="0000FF"/>
                  <w:sz w:val="28"/>
                  <w:szCs w:val="28"/>
                  <w:u w:val="single"/>
                  <w:rtl/>
                </w:rPr>
                <w:t xml:space="preserve">29380-02-18 </w:t>
              </w:r>
            </w:hyperlink>
            <w:r w:rsidRPr="00872189">
              <w:rPr>
                <w:rFonts w:ascii="FrankRuehl" w:hAnsi="FrankRuehl" w:cs="FrankRuehl"/>
                <w:b/>
                <w:bCs/>
                <w:sz w:val="28"/>
                <w:szCs w:val="28"/>
                <w:rtl/>
              </w:rPr>
              <w:t xml:space="preserve"> מדינת ישראל נ' שלוש</w:t>
            </w:r>
          </w:p>
          <w:p w14:paraId="428E4BB2" w14:textId="77777777" w:rsidR="003A6698" w:rsidRPr="00872189" w:rsidRDefault="003A6698" w:rsidP="00E81FCA">
            <w:pPr>
              <w:pStyle w:val="a3"/>
              <w:rPr>
                <w:rFonts w:ascii="FrankRuehl" w:hAnsi="FrankRuehl" w:cs="FrankRuehl"/>
                <w:b/>
                <w:bCs/>
                <w:sz w:val="28"/>
                <w:szCs w:val="28"/>
                <w:rtl/>
              </w:rPr>
            </w:pPr>
          </w:p>
        </w:tc>
        <w:tc>
          <w:tcPr>
            <w:tcW w:w="3667" w:type="dxa"/>
          </w:tcPr>
          <w:p w14:paraId="67FAC07B" w14:textId="77777777" w:rsidR="003A6698" w:rsidRPr="00872189" w:rsidRDefault="003A6698" w:rsidP="00E81FCA">
            <w:pPr>
              <w:pStyle w:val="a3"/>
              <w:jc w:val="right"/>
              <w:rPr>
                <w:rFonts w:ascii="FrankRuehl" w:hAnsi="FrankRuehl" w:cs="FrankRuehl"/>
                <w:b/>
                <w:bCs/>
                <w:sz w:val="28"/>
                <w:szCs w:val="28"/>
                <w:rtl/>
              </w:rPr>
            </w:pPr>
          </w:p>
        </w:tc>
      </w:tr>
    </w:tbl>
    <w:p w14:paraId="215B257D" w14:textId="77777777" w:rsidR="003A6698" w:rsidRPr="00872189" w:rsidRDefault="003A6698" w:rsidP="003A6698">
      <w:pPr>
        <w:pStyle w:val="a3"/>
        <w:rPr>
          <w:rtl/>
        </w:rPr>
      </w:pPr>
      <w:r w:rsidRPr="00872189">
        <w:rPr>
          <w:rFonts w:hint="cs"/>
          <w:rtl/>
        </w:rPr>
        <w:t xml:space="preserve"> </w:t>
      </w:r>
    </w:p>
    <w:p w14:paraId="40B9E189" w14:textId="77777777" w:rsidR="003A6698" w:rsidRPr="00872189" w:rsidRDefault="003A6698" w:rsidP="003A6698">
      <w:pPr>
        <w:rPr>
          <w:rtl/>
        </w:rPr>
      </w:pPr>
    </w:p>
    <w:p w14:paraId="360E164B" w14:textId="77777777" w:rsidR="003A6698" w:rsidRPr="00872189" w:rsidRDefault="003A6698" w:rsidP="003A669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A6698" w:rsidRPr="00872189" w14:paraId="4C99D8D0" w14:textId="77777777" w:rsidTr="003A6698">
        <w:trPr>
          <w:trHeight w:val="295"/>
          <w:jc w:val="center"/>
        </w:trPr>
        <w:tc>
          <w:tcPr>
            <w:tcW w:w="923" w:type="dxa"/>
            <w:tcBorders>
              <w:top w:val="nil"/>
              <w:left w:val="nil"/>
              <w:bottom w:val="nil"/>
              <w:right w:val="nil"/>
            </w:tcBorders>
            <w:shd w:val="clear" w:color="auto" w:fill="auto"/>
          </w:tcPr>
          <w:p w14:paraId="557A06B3" w14:textId="77777777" w:rsidR="003A6698" w:rsidRPr="00872189" w:rsidRDefault="003A6698" w:rsidP="003A6698">
            <w:pPr>
              <w:jc w:val="both"/>
              <w:rPr>
                <w:rFonts w:ascii="FrankRuehl" w:hAnsi="FrankRuehl" w:cs="FrankRuehl"/>
                <w:b/>
                <w:bCs/>
                <w:sz w:val="28"/>
                <w:szCs w:val="28"/>
                <w:rtl/>
              </w:rPr>
            </w:pPr>
            <w:r w:rsidRPr="00872189">
              <w:rPr>
                <w:rFonts w:ascii="FrankRuehl" w:hAnsi="FrankRuehl" w:cs="FrankRuehl"/>
                <w:b/>
                <w:bCs/>
                <w:sz w:val="28"/>
                <w:szCs w:val="28"/>
                <w:rtl/>
              </w:rPr>
              <w:t xml:space="preserve">בפני </w:t>
            </w:r>
          </w:p>
        </w:tc>
        <w:tc>
          <w:tcPr>
            <w:tcW w:w="7897" w:type="dxa"/>
            <w:gridSpan w:val="2"/>
            <w:tcBorders>
              <w:top w:val="nil"/>
              <w:left w:val="nil"/>
              <w:bottom w:val="nil"/>
              <w:right w:val="nil"/>
            </w:tcBorders>
            <w:shd w:val="clear" w:color="auto" w:fill="auto"/>
          </w:tcPr>
          <w:p w14:paraId="455FD77F" w14:textId="77777777" w:rsidR="003A6698" w:rsidRPr="00872189" w:rsidRDefault="003A6698" w:rsidP="00E81FCA">
            <w:pPr>
              <w:rPr>
                <w:rFonts w:ascii="FrankRuehl" w:hAnsi="FrankRuehl" w:cs="FrankRuehl"/>
                <w:b/>
                <w:bCs/>
                <w:sz w:val="28"/>
                <w:szCs w:val="28"/>
                <w:rtl/>
              </w:rPr>
            </w:pPr>
            <w:r w:rsidRPr="00872189">
              <w:rPr>
                <w:rFonts w:ascii="FrankRuehl" w:hAnsi="FrankRuehl" w:cs="FrankRuehl"/>
                <w:b/>
                <w:bCs/>
                <w:sz w:val="28"/>
                <w:szCs w:val="28"/>
                <w:rtl/>
              </w:rPr>
              <w:t>כבוד השופט  דוד שאול גבאי ריכטר</w:t>
            </w:r>
          </w:p>
          <w:p w14:paraId="08DAEE25" w14:textId="77777777" w:rsidR="003A6698" w:rsidRPr="00872189" w:rsidRDefault="003A6698" w:rsidP="00E81FCA">
            <w:pPr>
              <w:rPr>
                <w:rFonts w:ascii="FrankRuehl" w:hAnsi="FrankRuehl" w:cs="FrankRuehl"/>
                <w:b/>
                <w:bCs/>
                <w:sz w:val="28"/>
                <w:szCs w:val="28"/>
                <w:rtl/>
              </w:rPr>
            </w:pPr>
          </w:p>
          <w:p w14:paraId="51EEAE19" w14:textId="77777777" w:rsidR="003A6698" w:rsidRPr="00872189" w:rsidRDefault="003A6698" w:rsidP="003A6698">
            <w:pPr>
              <w:jc w:val="both"/>
              <w:rPr>
                <w:rFonts w:ascii="FrankRuehl" w:hAnsi="FrankRuehl" w:cs="FrankRuehl"/>
                <w:b/>
                <w:bCs/>
                <w:sz w:val="28"/>
                <w:szCs w:val="28"/>
              </w:rPr>
            </w:pPr>
          </w:p>
        </w:tc>
      </w:tr>
      <w:tr w:rsidR="003A6698" w:rsidRPr="00872189" w14:paraId="6A963E13" w14:textId="77777777" w:rsidTr="003A6698">
        <w:trPr>
          <w:trHeight w:val="355"/>
          <w:jc w:val="center"/>
        </w:trPr>
        <w:tc>
          <w:tcPr>
            <w:tcW w:w="923" w:type="dxa"/>
            <w:tcBorders>
              <w:top w:val="nil"/>
              <w:left w:val="nil"/>
              <w:bottom w:val="nil"/>
              <w:right w:val="nil"/>
            </w:tcBorders>
            <w:shd w:val="clear" w:color="auto" w:fill="auto"/>
          </w:tcPr>
          <w:p w14:paraId="451F7456" w14:textId="77777777" w:rsidR="003A6698" w:rsidRPr="00872189" w:rsidRDefault="003A6698" w:rsidP="003A6698">
            <w:pPr>
              <w:jc w:val="both"/>
              <w:rPr>
                <w:rFonts w:ascii="FrankRuehl" w:hAnsi="FrankRuehl" w:cs="FrankRuehl"/>
                <w:b/>
                <w:bCs/>
                <w:sz w:val="28"/>
                <w:szCs w:val="28"/>
              </w:rPr>
            </w:pPr>
            <w:bookmarkStart w:id="1" w:name="FirstAppellant"/>
            <w:r w:rsidRPr="00872189">
              <w:rPr>
                <w:rFonts w:ascii="FrankRuehl" w:hAnsi="FrankRuehl" w:cs="FrankRuehl"/>
                <w:b/>
                <w:bCs/>
                <w:sz w:val="28"/>
                <w:szCs w:val="28"/>
                <w:rtl/>
              </w:rPr>
              <w:t>בעניין:</w:t>
            </w:r>
          </w:p>
        </w:tc>
        <w:tc>
          <w:tcPr>
            <w:tcW w:w="4126" w:type="dxa"/>
            <w:tcBorders>
              <w:top w:val="nil"/>
              <w:left w:val="nil"/>
              <w:bottom w:val="nil"/>
              <w:right w:val="nil"/>
            </w:tcBorders>
            <w:shd w:val="clear" w:color="auto" w:fill="auto"/>
          </w:tcPr>
          <w:p w14:paraId="62BED9BD" w14:textId="77777777" w:rsidR="003A6698" w:rsidRPr="00872189" w:rsidRDefault="003A6698" w:rsidP="00E81FCA">
            <w:pPr>
              <w:rPr>
                <w:rFonts w:ascii="FrankRuehl" w:hAnsi="FrankRuehl" w:cs="FrankRuehl"/>
                <w:b/>
                <w:bCs/>
                <w:sz w:val="28"/>
                <w:szCs w:val="28"/>
              </w:rPr>
            </w:pPr>
            <w:r w:rsidRPr="00872189">
              <w:rPr>
                <w:rFonts w:ascii="FrankRuehl" w:hAnsi="FrankRuehl" w:cs="FrankRuehl"/>
                <w:b/>
                <w:bCs/>
                <w:sz w:val="28"/>
                <w:szCs w:val="28"/>
                <w:rtl/>
              </w:rPr>
              <w:t>מדינת ישראל</w:t>
            </w:r>
          </w:p>
        </w:tc>
        <w:tc>
          <w:tcPr>
            <w:tcW w:w="3771" w:type="dxa"/>
            <w:tcBorders>
              <w:top w:val="nil"/>
              <w:left w:val="nil"/>
              <w:bottom w:val="nil"/>
              <w:right w:val="nil"/>
            </w:tcBorders>
            <w:shd w:val="clear" w:color="auto" w:fill="auto"/>
          </w:tcPr>
          <w:p w14:paraId="4EB400F9" w14:textId="77777777" w:rsidR="003A6698" w:rsidRPr="00872189" w:rsidRDefault="003A6698" w:rsidP="003A6698">
            <w:pPr>
              <w:jc w:val="both"/>
              <w:rPr>
                <w:rFonts w:ascii="FrankRuehl" w:hAnsi="FrankRuehl" w:cs="FrankRuehl"/>
                <w:b/>
                <w:bCs/>
                <w:sz w:val="28"/>
                <w:szCs w:val="28"/>
              </w:rPr>
            </w:pPr>
          </w:p>
        </w:tc>
      </w:tr>
      <w:tr w:rsidR="003A6698" w:rsidRPr="00872189" w14:paraId="754F8428" w14:textId="77777777" w:rsidTr="003A6698">
        <w:trPr>
          <w:trHeight w:val="355"/>
          <w:jc w:val="center"/>
        </w:trPr>
        <w:tc>
          <w:tcPr>
            <w:tcW w:w="923" w:type="dxa"/>
            <w:tcBorders>
              <w:top w:val="nil"/>
              <w:left w:val="nil"/>
              <w:bottom w:val="nil"/>
              <w:right w:val="nil"/>
            </w:tcBorders>
            <w:shd w:val="clear" w:color="auto" w:fill="auto"/>
          </w:tcPr>
          <w:p w14:paraId="20D85524" w14:textId="77777777" w:rsidR="003A6698" w:rsidRPr="00872189" w:rsidRDefault="003A6698" w:rsidP="003A6698">
            <w:pPr>
              <w:jc w:val="both"/>
              <w:rPr>
                <w:rFonts w:ascii="FrankRuehl" w:hAnsi="FrankRuehl" w:cs="FrankRuehl"/>
                <w:b/>
                <w:bCs/>
                <w:sz w:val="28"/>
                <w:szCs w:val="28"/>
                <w:rtl/>
              </w:rPr>
            </w:pPr>
            <w:bookmarkStart w:id="2" w:name="FirstLawyer"/>
            <w:bookmarkEnd w:id="1"/>
          </w:p>
        </w:tc>
        <w:tc>
          <w:tcPr>
            <w:tcW w:w="4126" w:type="dxa"/>
            <w:tcBorders>
              <w:top w:val="nil"/>
              <w:left w:val="nil"/>
              <w:bottom w:val="nil"/>
              <w:right w:val="nil"/>
            </w:tcBorders>
            <w:shd w:val="clear" w:color="auto" w:fill="auto"/>
          </w:tcPr>
          <w:p w14:paraId="264711AF" w14:textId="77777777" w:rsidR="003A6698" w:rsidRPr="00872189" w:rsidRDefault="003A6698" w:rsidP="003A6698">
            <w:pPr>
              <w:jc w:val="both"/>
              <w:rPr>
                <w:rFonts w:ascii="FrankRuehl" w:hAnsi="FrankRuehl" w:cs="FrankRuehl"/>
                <w:b/>
                <w:bCs/>
                <w:sz w:val="28"/>
                <w:szCs w:val="28"/>
                <w:rtl/>
              </w:rPr>
            </w:pPr>
            <w:r w:rsidRPr="00872189">
              <w:rPr>
                <w:rFonts w:ascii="FrankRuehl" w:hAnsi="FrankRuehl" w:cs="FrankRuehl" w:hint="cs"/>
                <w:b/>
                <w:bCs/>
                <w:sz w:val="28"/>
                <w:szCs w:val="28"/>
                <w:rtl/>
              </w:rPr>
              <w:t>ע"י ב"כ עו"ד צח דהן מתביעות ירושלים</w:t>
            </w:r>
          </w:p>
        </w:tc>
        <w:tc>
          <w:tcPr>
            <w:tcW w:w="3771" w:type="dxa"/>
            <w:tcBorders>
              <w:top w:val="nil"/>
              <w:left w:val="nil"/>
              <w:bottom w:val="nil"/>
              <w:right w:val="nil"/>
            </w:tcBorders>
            <w:shd w:val="clear" w:color="auto" w:fill="auto"/>
          </w:tcPr>
          <w:p w14:paraId="0F7E249E" w14:textId="77777777" w:rsidR="003A6698" w:rsidRPr="00872189" w:rsidRDefault="003A6698" w:rsidP="003A6698">
            <w:pPr>
              <w:jc w:val="right"/>
              <w:rPr>
                <w:rFonts w:ascii="FrankRuehl" w:hAnsi="FrankRuehl" w:cs="FrankRuehl"/>
                <w:b/>
                <w:bCs/>
                <w:sz w:val="28"/>
                <w:szCs w:val="28"/>
                <w:rtl/>
              </w:rPr>
            </w:pPr>
            <w:r w:rsidRPr="00872189">
              <w:rPr>
                <w:rFonts w:ascii="FrankRuehl" w:hAnsi="FrankRuehl" w:cs="FrankRuehl"/>
                <w:b/>
                <w:bCs/>
                <w:sz w:val="28"/>
                <w:szCs w:val="28"/>
                <w:rtl/>
              </w:rPr>
              <w:t>המאשימה</w:t>
            </w:r>
          </w:p>
        </w:tc>
      </w:tr>
      <w:bookmarkEnd w:id="2"/>
      <w:tr w:rsidR="003A6698" w:rsidRPr="00872189" w14:paraId="5A1599B3" w14:textId="77777777" w:rsidTr="003A6698">
        <w:trPr>
          <w:trHeight w:val="355"/>
          <w:jc w:val="center"/>
        </w:trPr>
        <w:tc>
          <w:tcPr>
            <w:tcW w:w="923" w:type="dxa"/>
            <w:tcBorders>
              <w:top w:val="nil"/>
              <w:left w:val="nil"/>
              <w:bottom w:val="nil"/>
              <w:right w:val="nil"/>
            </w:tcBorders>
            <w:shd w:val="clear" w:color="auto" w:fill="auto"/>
          </w:tcPr>
          <w:p w14:paraId="068DECAB" w14:textId="77777777" w:rsidR="003A6698" w:rsidRPr="00872189" w:rsidRDefault="003A6698" w:rsidP="003A6698">
            <w:pPr>
              <w:jc w:val="both"/>
              <w:rPr>
                <w:rFonts w:ascii="FrankRuehl" w:hAnsi="FrankRuehl" w:cs="FrankRuehl"/>
                <w:b/>
                <w:bCs/>
                <w:sz w:val="28"/>
                <w:szCs w:val="28"/>
                <w:rtl/>
              </w:rPr>
            </w:pPr>
          </w:p>
        </w:tc>
        <w:tc>
          <w:tcPr>
            <w:tcW w:w="7897" w:type="dxa"/>
            <w:gridSpan w:val="2"/>
            <w:tcBorders>
              <w:top w:val="nil"/>
              <w:left w:val="nil"/>
              <w:bottom w:val="nil"/>
              <w:right w:val="nil"/>
            </w:tcBorders>
            <w:shd w:val="clear" w:color="auto" w:fill="auto"/>
          </w:tcPr>
          <w:p w14:paraId="0DBD1299" w14:textId="77777777" w:rsidR="003A6698" w:rsidRPr="00872189" w:rsidRDefault="003A6698" w:rsidP="003A6698">
            <w:pPr>
              <w:jc w:val="center"/>
              <w:rPr>
                <w:rFonts w:ascii="FrankRuehl" w:hAnsi="FrankRuehl" w:cs="FrankRuehl"/>
                <w:b/>
                <w:bCs/>
                <w:sz w:val="28"/>
                <w:szCs w:val="28"/>
                <w:rtl/>
              </w:rPr>
            </w:pPr>
          </w:p>
          <w:p w14:paraId="297F2D15" w14:textId="77777777" w:rsidR="003A6698" w:rsidRPr="00872189" w:rsidRDefault="003A6698" w:rsidP="003A6698">
            <w:pPr>
              <w:jc w:val="center"/>
              <w:rPr>
                <w:rFonts w:ascii="FrankRuehl" w:hAnsi="FrankRuehl" w:cs="FrankRuehl"/>
                <w:b/>
                <w:bCs/>
                <w:sz w:val="28"/>
                <w:szCs w:val="28"/>
                <w:rtl/>
              </w:rPr>
            </w:pPr>
            <w:r w:rsidRPr="00872189">
              <w:rPr>
                <w:rFonts w:ascii="FrankRuehl" w:hAnsi="FrankRuehl" w:cs="FrankRuehl"/>
                <w:b/>
                <w:bCs/>
                <w:sz w:val="28"/>
                <w:szCs w:val="28"/>
                <w:rtl/>
              </w:rPr>
              <w:t>נגד</w:t>
            </w:r>
          </w:p>
          <w:p w14:paraId="0EF14CA2" w14:textId="77777777" w:rsidR="003A6698" w:rsidRPr="00872189" w:rsidRDefault="003A6698" w:rsidP="003A6698">
            <w:pPr>
              <w:jc w:val="both"/>
              <w:rPr>
                <w:rFonts w:ascii="FrankRuehl" w:hAnsi="FrankRuehl" w:cs="FrankRuehl"/>
                <w:b/>
                <w:bCs/>
                <w:sz w:val="28"/>
                <w:szCs w:val="28"/>
              </w:rPr>
            </w:pPr>
          </w:p>
        </w:tc>
      </w:tr>
      <w:tr w:rsidR="003A6698" w:rsidRPr="00872189" w14:paraId="5A35B0E1" w14:textId="77777777" w:rsidTr="003A6698">
        <w:trPr>
          <w:trHeight w:val="355"/>
          <w:jc w:val="center"/>
        </w:trPr>
        <w:tc>
          <w:tcPr>
            <w:tcW w:w="923" w:type="dxa"/>
            <w:tcBorders>
              <w:top w:val="nil"/>
              <w:left w:val="nil"/>
              <w:bottom w:val="nil"/>
              <w:right w:val="nil"/>
            </w:tcBorders>
            <w:shd w:val="clear" w:color="auto" w:fill="auto"/>
          </w:tcPr>
          <w:p w14:paraId="09B6405F" w14:textId="77777777" w:rsidR="003A6698" w:rsidRPr="00872189" w:rsidRDefault="003A6698" w:rsidP="00E81FCA">
            <w:pPr>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2FD035E8" w14:textId="77777777" w:rsidR="003A6698" w:rsidRPr="00872189" w:rsidRDefault="003A6698" w:rsidP="00E81FCA">
            <w:pPr>
              <w:rPr>
                <w:rFonts w:ascii="FrankRuehl" w:hAnsi="FrankRuehl" w:cs="FrankRuehl"/>
                <w:b/>
                <w:bCs/>
                <w:sz w:val="28"/>
                <w:szCs w:val="28"/>
                <w:rtl/>
              </w:rPr>
            </w:pPr>
            <w:r w:rsidRPr="00872189">
              <w:rPr>
                <w:rFonts w:ascii="FrankRuehl" w:hAnsi="FrankRuehl" w:cs="FrankRuehl"/>
                <w:b/>
                <w:bCs/>
                <w:sz w:val="28"/>
                <w:szCs w:val="28"/>
                <w:rtl/>
              </w:rPr>
              <w:t>בר שלוש</w:t>
            </w:r>
          </w:p>
        </w:tc>
        <w:tc>
          <w:tcPr>
            <w:tcW w:w="3771" w:type="dxa"/>
            <w:tcBorders>
              <w:top w:val="nil"/>
              <w:left w:val="nil"/>
              <w:bottom w:val="nil"/>
              <w:right w:val="nil"/>
            </w:tcBorders>
            <w:shd w:val="clear" w:color="auto" w:fill="auto"/>
          </w:tcPr>
          <w:p w14:paraId="61B0E45D" w14:textId="77777777" w:rsidR="003A6698" w:rsidRPr="00872189" w:rsidRDefault="003A6698" w:rsidP="003A6698">
            <w:pPr>
              <w:jc w:val="right"/>
              <w:rPr>
                <w:rFonts w:ascii="FrankRuehl" w:hAnsi="FrankRuehl" w:cs="FrankRuehl"/>
                <w:b/>
                <w:bCs/>
                <w:sz w:val="28"/>
                <w:szCs w:val="28"/>
              </w:rPr>
            </w:pPr>
          </w:p>
        </w:tc>
      </w:tr>
      <w:tr w:rsidR="003A6698" w:rsidRPr="00872189" w14:paraId="03FD9429" w14:textId="77777777" w:rsidTr="003A6698">
        <w:trPr>
          <w:trHeight w:val="355"/>
          <w:jc w:val="center"/>
        </w:trPr>
        <w:tc>
          <w:tcPr>
            <w:tcW w:w="923" w:type="dxa"/>
            <w:tcBorders>
              <w:top w:val="nil"/>
              <w:left w:val="nil"/>
              <w:bottom w:val="nil"/>
              <w:right w:val="nil"/>
            </w:tcBorders>
            <w:shd w:val="clear" w:color="auto" w:fill="auto"/>
          </w:tcPr>
          <w:p w14:paraId="58CF938F" w14:textId="77777777" w:rsidR="003A6698" w:rsidRPr="00872189" w:rsidRDefault="003A6698" w:rsidP="003A6698">
            <w:pPr>
              <w:jc w:val="both"/>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2E5CBD67" w14:textId="77777777" w:rsidR="003A6698" w:rsidRPr="00872189" w:rsidRDefault="003A6698" w:rsidP="003A6698">
            <w:pPr>
              <w:jc w:val="both"/>
              <w:rPr>
                <w:rFonts w:ascii="FrankRuehl" w:hAnsi="FrankRuehl" w:cs="FrankRuehl"/>
                <w:b/>
                <w:bCs/>
                <w:sz w:val="28"/>
                <w:szCs w:val="28"/>
                <w:rtl/>
              </w:rPr>
            </w:pPr>
            <w:r w:rsidRPr="00872189">
              <w:rPr>
                <w:rFonts w:ascii="FrankRuehl" w:hAnsi="FrankRuehl" w:cs="FrankRuehl" w:hint="cs"/>
                <w:b/>
                <w:bCs/>
                <w:sz w:val="28"/>
                <w:szCs w:val="28"/>
                <w:rtl/>
              </w:rPr>
              <w:t xml:space="preserve">ע"י ב"כ עו"ד ארז בר צבי </w:t>
            </w:r>
          </w:p>
        </w:tc>
        <w:tc>
          <w:tcPr>
            <w:tcW w:w="3771" w:type="dxa"/>
            <w:tcBorders>
              <w:top w:val="nil"/>
              <w:left w:val="nil"/>
              <w:bottom w:val="nil"/>
              <w:right w:val="nil"/>
            </w:tcBorders>
            <w:shd w:val="clear" w:color="auto" w:fill="auto"/>
          </w:tcPr>
          <w:p w14:paraId="36DAD3D6" w14:textId="77777777" w:rsidR="003A6698" w:rsidRPr="00872189" w:rsidRDefault="003A6698" w:rsidP="003A6698">
            <w:pPr>
              <w:jc w:val="right"/>
              <w:rPr>
                <w:rFonts w:ascii="FrankRuehl" w:hAnsi="FrankRuehl" w:cs="FrankRuehl"/>
                <w:b/>
                <w:bCs/>
                <w:sz w:val="28"/>
                <w:szCs w:val="28"/>
              </w:rPr>
            </w:pPr>
            <w:r w:rsidRPr="00872189">
              <w:rPr>
                <w:rFonts w:ascii="FrankRuehl" w:hAnsi="FrankRuehl" w:cs="FrankRuehl"/>
                <w:b/>
                <w:bCs/>
                <w:sz w:val="28"/>
                <w:szCs w:val="28"/>
                <w:rtl/>
              </w:rPr>
              <w:t>הנאשם</w:t>
            </w:r>
          </w:p>
        </w:tc>
      </w:tr>
    </w:tbl>
    <w:p w14:paraId="32298D16" w14:textId="77777777" w:rsidR="00E2319F" w:rsidRPr="00E2319F" w:rsidRDefault="00E2319F" w:rsidP="00E2319F">
      <w:pPr>
        <w:spacing w:before="120" w:after="120" w:line="240" w:lineRule="exact"/>
        <w:ind w:left="283" w:hanging="283"/>
        <w:jc w:val="both"/>
        <w:rPr>
          <w:rFonts w:ascii="FrankRuehl" w:hAnsi="FrankRuehl" w:cs="FrankRuehl"/>
          <w:rtl/>
        </w:rPr>
      </w:pPr>
    </w:p>
    <w:p w14:paraId="7F165490" w14:textId="77777777" w:rsidR="00CD054C" w:rsidRDefault="00CD054C" w:rsidP="00CD054C">
      <w:pPr>
        <w:rPr>
          <w:sz w:val="26"/>
          <w:szCs w:val="26"/>
          <w:rtl/>
        </w:rPr>
      </w:pPr>
      <w:bookmarkStart w:id="3" w:name="LawTable"/>
      <w:bookmarkEnd w:id="3"/>
    </w:p>
    <w:p w14:paraId="16B714C5" w14:textId="77777777" w:rsidR="00CD054C" w:rsidRPr="00CD054C" w:rsidRDefault="00CD054C" w:rsidP="00CD054C">
      <w:pPr>
        <w:spacing w:before="120" w:after="120" w:line="240" w:lineRule="exact"/>
        <w:ind w:left="283" w:hanging="283"/>
        <w:jc w:val="both"/>
        <w:rPr>
          <w:rFonts w:ascii="FrankRuehl" w:hAnsi="FrankRuehl" w:cs="FrankRuehl"/>
          <w:rtl/>
        </w:rPr>
      </w:pPr>
    </w:p>
    <w:p w14:paraId="08A4982B" w14:textId="77777777" w:rsidR="00CD054C" w:rsidRPr="00CD054C" w:rsidRDefault="00CD054C" w:rsidP="00CD054C">
      <w:pPr>
        <w:spacing w:before="120" w:after="120" w:line="240" w:lineRule="exact"/>
        <w:ind w:left="283" w:hanging="283"/>
        <w:jc w:val="both"/>
        <w:rPr>
          <w:rFonts w:ascii="FrankRuehl" w:hAnsi="FrankRuehl" w:cs="FrankRuehl"/>
          <w:rtl/>
        </w:rPr>
      </w:pPr>
    </w:p>
    <w:p w14:paraId="2D6E71DA" w14:textId="77777777" w:rsidR="00CD054C" w:rsidRPr="00CD054C" w:rsidRDefault="00CD054C" w:rsidP="00CD054C">
      <w:pPr>
        <w:spacing w:before="120" w:after="120" w:line="240" w:lineRule="exact"/>
        <w:ind w:left="283" w:hanging="283"/>
        <w:jc w:val="both"/>
        <w:rPr>
          <w:rFonts w:ascii="FrankRuehl" w:hAnsi="FrankRuehl" w:cs="FrankRuehl"/>
          <w:rtl/>
        </w:rPr>
      </w:pPr>
      <w:r w:rsidRPr="00CD054C">
        <w:rPr>
          <w:rFonts w:ascii="FrankRuehl" w:hAnsi="FrankRuehl" w:cs="FrankRuehl"/>
          <w:rtl/>
        </w:rPr>
        <w:t xml:space="preserve">חקיקה שאוזכרה: </w:t>
      </w:r>
    </w:p>
    <w:p w14:paraId="011295EF" w14:textId="77777777" w:rsidR="00CD054C" w:rsidRPr="00CD054C" w:rsidRDefault="00CD054C" w:rsidP="00CD054C">
      <w:pPr>
        <w:spacing w:before="120" w:after="120" w:line="240" w:lineRule="exact"/>
        <w:ind w:left="283" w:hanging="283"/>
        <w:jc w:val="both"/>
        <w:rPr>
          <w:rFonts w:ascii="FrankRuehl" w:hAnsi="FrankRuehl" w:cs="FrankRuehl"/>
          <w:rtl/>
        </w:rPr>
      </w:pPr>
      <w:hyperlink r:id="rId8" w:history="1">
        <w:r w:rsidRPr="00CD054C">
          <w:rPr>
            <w:rFonts w:ascii="FrankRuehl" w:hAnsi="FrankRuehl" w:cs="FrankRuehl"/>
            <w:color w:val="0000FF"/>
            <w:rtl/>
          </w:rPr>
          <w:t>פקודת הסמים המסוכנים [נוסח חדש], תשל"ג-1973</w:t>
        </w:r>
      </w:hyperlink>
      <w:r w:rsidRPr="00CD054C">
        <w:rPr>
          <w:rFonts w:ascii="FrankRuehl" w:hAnsi="FrankRuehl" w:cs="FrankRuehl"/>
          <w:rtl/>
        </w:rPr>
        <w:t xml:space="preserve">: סע'  </w:t>
      </w:r>
      <w:hyperlink r:id="rId9" w:history="1">
        <w:r w:rsidRPr="00CD054C">
          <w:rPr>
            <w:rFonts w:ascii="FrankRuehl" w:hAnsi="FrankRuehl" w:cs="FrankRuehl"/>
            <w:color w:val="0000FF"/>
            <w:rtl/>
          </w:rPr>
          <w:t>7(א)</w:t>
        </w:r>
      </w:hyperlink>
      <w:r w:rsidRPr="00CD054C">
        <w:rPr>
          <w:rFonts w:ascii="FrankRuehl" w:hAnsi="FrankRuehl" w:cs="FrankRuehl"/>
          <w:rtl/>
        </w:rPr>
        <w:t xml:space="preserve">, </w:t>
      </w:r>
      <w:hyperlink r:id="rId10" w:history="1">
        <w:r w:rsidRPr="00CD054C">
          <w:rPr>
            <w:rFonts w:ascii="FrankRuehl" w:hAnsi="FrankRuehl" w:cs="FrankRuehl"/>
            <w:color w:val="0000FF"/>
            <w:rtl/>
          </w:rPr>
          <w:t>(ג)</w:t>
        </w:r>
      </w:hyperlink>
    </w:p>
    <w:p w14:paraId="410EAE37" w14:textId="77777777" w:rsidR="00CD054C" w:rsidRPr="00CD054C" w:rsidRDefault="00CD054C" w:rsidP="00CD054C">
      <w:pPr>
        <w:rPr>
          <w:sz w:val="26"/>
          <w:szCs w:val="26"/>
          <w:rtl/>
        </w:rPr>
      </w:pPr>
      <w:bookmarkStart w:id="4" w:name="LawTable_End"/>
      <w:bookmarkEnd w:id="4"/>
    </w:p>
    <w:p w14:paraId="6B3E5D41" w14:textId="77777777" w:rsidR="003A6698" w:rsidRPr="00E2319F" w:rsidRDefault="003A6698" w:rsidP="00E2319F">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A6698" w14:paraId="26C7839E" w14:textId="77777777" w:rsidTr="003A6698">
        <w:trPr>
          <w:trHeight w:val="355"/>
          <w:jc w:val="center"/>
        </w:trPr>
        <w:tc>
          <w:tcPr>
            <w:tcW w:w="8820" w:type="dxa"/>
            <w:tcBorders>
              <w:top w:val="nil"/>
              <w:left w:val="nil"/>
              <w:bottom w:val="nil"/>
              <w:right w:val="nil"/>
            </w:tcBorders>
            <w:shd w:val="clear" w:color="auto" w:fill="auto"/>
          </w:tcPr>
          <w:p w14:paraId="528C73C8" w14:textId="77777777" w:rsidR="00872189" w:rsidRPr="00872189" w:rsidRDefault="00872189" w:rsidP="00872189">
            <w:pPr>
              <w:jc w:val="center"/>
              <w:rPr>
                <w:rFonts w:ascii="FrankRuehl" w:hAnsi="FrankRuehl" w:cs="FrankRuehl"/>
                <w:b/>
                <w:bCs/>
                <w:sz w:val="32"/>
                <w:szCs w:val="32"/>
                <w:u w:val="single"/>
                <w:rtl/>
              </w:rPr>
            </w:pPr>
            <w:bookmarkStart w:id="5" w:name="PsakDin" w:colFirst="0" w:colLast="0"/>
            <w:bookmarkEnd w:id="0"/>
            <w:r w:rsidRPr="00872189">
              <w:rPr>
                <w:rFonts w:ascii="FrankRuehl" w:hAnsi="FrankRuehl" w:cs="FrankRuehl"/>
                <w:b/>
                <w:bCs/>
                <w:sz w:val="32"/>
                <w:szCs w:val="32"/>
                <w:u w:val="single"/>
                <w:rtl/>
              </w:rPr>
              <w:t>גזר דין</w:t>
            </w:r>
          </w:p>
          <w:p w14:paraId="7142B285" w14:textId="77777777" w:rsidR="003A6698" w:rsidRPr="00872189" w:rsidRDefault="003A6698" w:rsidP="00872189">
            <w:pPr>
              <w:jc w:val="center"/>
              <w:rPr>
                <w:rFonts w:ascii="FrankRuehl" w:hAnsi="FrankRuehl" w:cs="FrankRuehl"/>
                <w:bCs/>
                <w:sz w:val="32"/>
                <w:szCs w:val="32"/>
                <w:u w:val="single"/>
                <w:rtl/>
              </w:rPr>
            </w:pPr>
          </w:p>
        </w:tc>
      </w:tr>
      <w:bookmarkEnd w:id="5"/>
    </w:tbl>
    <w:p w14:paraId="4F10FC12" w14:textId="77777777" w:rsidR="003A6698" w:rsidRPr="002B7D23" w:rsidRDefault="003A6698" w:rsidP="003A6698">
      <w:pPr>
        <w:rPr>
          <w:rFonts w:ascii="David" w:hAnsi="David"/>
          <w:sz w:val="26"/>
          <w:szCs w:val="26"/>
          <w:rtl/>
        </w:rPr>
      </w:pPr>
    </w:p>
    <w:p w14:paraId="59A316CE" w14:textId="77777777" w:rsidR="003A6698" w:rsidRDefault="003A6698" w:rsidP="003A6698">
      <w:pPr>
        <w:jc w:val="both"/>
        <w:rPr>
          <w:rFonts w:ascii="FrankRuehl" w:hAnsi="FrankRuehl" w:cs="FrankRuehl"/>
          <w:sz w:val="28"/>
          <w:szCs w:val="28"/>
        </w:rPr>
      </w:pPr>
    </w:p>
    <w:p w14:paraId="60AEB5A0" w14:textId="77777777" w:rsidR="003A6698" w:rsidRDefault="003A6698" w:rsidP="003A6698">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כתב האישום המתוקן</w:t>
      </w:r>
    </w:p>
    <w:p w14:paraId="297A9E55" w14:textId="77777777" w:rsidR="003A6698" w:rsidRDefault="003A6698" w:rsidP="003A6698">
      <w:pPr>
        <w:spacing w:line="360" w:lineRule="auto"/>
        <w:jc w:val="both"/>
        <w:rPr>
          <w:rFonts w:ascii="FrankRuehl" w:hAnsi="FrankRuehl" w:cs="FrankRuehl"/>
          <w:sz w:val="28"/>
          <w:szCs w:val="28"/>
          <w:rtl/>
        </w:rPr>
      </w:pPr>
      <w:bookmarkStart w:id="6" w:name="ABSTRACT_START"/>
      <w:bookmarkEnd w:id="6"/>
      <w:r>
        <w:rPr>
          <w:rFonts w:ascii="FrankRuehl" w:hAnsi="FrankRuehl" w:cs="FrankRuehl"/>
          <w:sz w:val="28"/>
          <w:szCs w:val="28"/>
          <w:rtl/>
        </w:rPr>
        <w:t xml:space="preserve">הנאשם הורשע על-פי הודאתו בביצוע עבירה של החזקה סם שלא לצריכה עצמית, לפי </w:t>
      </w:r>
      <w:hyperlink r:id="rId11" w:history="1">
        <w:r w:rsidR="00463E9C" w:rsidRPr="00463E9C">
          <w:rPr>
            <w:rStyle w:val="Hyperlink"/>
            <w:rFonts w:ascii="FrankRuehl" w:hAnsi="FrankRuehl" w:cs="FrankRuehl"/>
            <w:sz w:val="28"/>
            <w:szCs w:val="28"/>
            <w:rtl/>
          </w:rPr>
          <w:t>סעיפים 7(א)</w:t>
        </w:r>
      </w:hyperlink>
      <w:r>
        <w:rPr>
          <w:rFonts w:ascii="FrankRuehl" w:hAnsi="FrankRuehl" w:cs="FrankRuehl"/>
          <w:sz w:val="28"/>
          <w:szCs w:val="28"/>
          <w:rtl/>
        </w:rPr>
        <w:t xml:space="preserve"> ו-</w:t>
      </w:r>
      <w:hyperlink r:id="rId12" w:history="1">
        <w:r w:rsidR="00463E9C" w:rsidRPr="00463E9C">
          <w:rPr>
            <w:rStyle w:val="Hyperlink"/>
            <w:rFonts w:ascii="FrankRuehl" w:hAnsi="FrankRuehl" w:cs="FrankRuehl"/>
            <w:sz w:val="28"/>
            <w:szCs w:val="28"/>
            <w:rtl/>
          </w:rPr>
          <w:t>(ג)</w:t>
        </w:r>
      </w:hyperlink>
      <w:r>
        <w:rPr>
          <w:rFonts w:ascii="FrankRuehl" w:hAnsi="FrankRuehl" w:cs="FrankRuehl"/>
          <w:sz w:val="28"/>
          <w:szCs w:val="28"/>
          <w:rtl/>
        </w:rPr>
        <w:t xml:space="preserve"> רישא ל</w:t>
      </w:r>
      <w:hyperlink r:id="rId13" w:history="1">
        <w:r w:rsidR="00872189" w:rsidRPr="00872189">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(נוסח חדש), התשל"ג-1973, בכך שהחזיק סם מסוג </w:t>
      </w:r>
      <w:r>
        <w:rPr>
          <w:rFonts w:ascii="FrankRuehl" w:hAnsi="FrankRuehl" w:cs="FrankRuehl"/>
          <w:sz w:val="28"/>
          <w:szCs w:val="28"/>
        </w:rPr>
        <w:t>MDMA</w:t>
      </w:r>
      <w:r>
        <w:rPr>
          <w:rFonts w:ascii="FrankRuehl" w:hAnsi="FrankRuehl" w:cs="FrankRuehl"/>
          <w:sz w:val="28"/>
          <w:szCs w:val="28"/>
          <w:rtl/>
        </w:rPr>
        <w:t xml:space="preserve"> בעת שנסע במונית ביום 1.9.2015, כל זאת על-פי כתב האישום המתוקן</w:t>
      </w:r>
      <w:bookmarkStart w:id="7" w:name="ABSTRACT_END"/>
      <w:bookmarkEnd w:id="7"/>
      <w:r>
        <w:rPr>
          <w:rFonts w:ascii="FrankRuehl" w:hAnsi="FrankRuehl" w:cs="FrankRuehl"/>
          <w:sz w:val="28"/>
          <w:szCs w:val="28"/>
          <w:rtl/>
        </w:rPr>
        <w:t>.</w:t>
      </w:r>
    </w:p>
    <w:p w14:paraId="6018E93C" w14:textId="77777777" w:rsidR="003A6698" w:rsidRDefault="003A6698" w:rsidP="003A6698">
      <w:pPr>
        <w:spacing w:line="360" w:lineRule="auto"/>
        <w:jc w:val="both"/>
        <w:rPr>
          <w:rFonts w:ascii="FrankRuehl" w:hAnsi="FrankRuehl" w:cs="FrankRuehl"/>
          <w:sz w:val="28"/>
          <w:szCs w:val="28"/>
          <w:rtl/>
        </w:rPr>
      </w:pPr>
    </w:p>
    <w:p w14:paraId="36B89224" w14:textId="77777777" w:rsidR="003A6698" w:rsidRDefault="003A6698" w:rsidP="003A6698">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מהלך הדיון</w:t>
      </w:r>
    </w:p>
    <w:p w14:paraId="61CB45C5" w14:textId="77777777" w:rsidR="003A6698" w:rsidRDefault="003A6698" w:rsidP="003A6698">
      <w:pPr>
        <w:spacing w:line="360" w:lineRule="auto"/>
        <w:jc w:val="both"/>
        <w:rPr>
          <w:rFonts w:ascii="FrankRuehl" w:hAnsi="FrankRuehl" w:cs="FrankRuehl"/>
          <w:sz w:val="28"/>
          <w:szCs w:val="28"/>
          <w:rtl/>
        </w:rPr>
      </w:pPr>
      <w:r>
        <w:rPr>
          <w:rFonts w:ascii="FrankRuehl" w:hAnsi="FrankRuehl" w:cs="FrankRuehl"/>
          <w:sz w:val="28"/>
          <w:szCs w:val="28"/>
          <w:rtl/>
        </w:rPr>
        <w:t>הנאשם הודה בכתב האישום המתוקן ונשלח בהסכמה לשירות המבחן לעריכת תסקיר, תוך שהצדדים הצהירו כי יטענו לעונש באופן פתוח, כל צד לעמדתו.</w:t>
      </w:r>
    </w:p>
    <w:p w14:paraId="4E407679" w14:textId="77777777" w:rsidR="003A6698" w:rsidRDefault="003A6698" w:rsidP="003A6698">
      <w:pPr>
        <w:spacing w:line="360" w:lineRule="auto"/>
        <w:jc w:val="both"/>
        <w:rPr>
          <w:rFonts w:ascii="FrankRuehl" w:hAnsi="FrankRuehl" w:cs="FrankRuehl"/>
          <w:sz w:val="28"/>
          <w:szCs w:val="28"/>
          <w:rtl/>
        </w:rPr>
      </w:pPr>
    </w:p>
    <w:p w14:paraId="1A0DECFB" w14:textId="77777777" w:rsidR="003A6698" w:rsidRDefault="003A6698" w:rsidP="003A6698">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lastRenderedPageBreak/>
        <w:t>רישום פלילי</w:t>
      </w:r>
    </w:p>
    <w:p w14:paraId="234917AD" w14:textId="77777777" w:rsidR="003A6698" w:rsidRDefault="003A6698" w:rsidP="003A6698">
      <w:pPr>
        <w:spacing w:line="360" w:lineRule="auto"/>
        <w:jc w:val="both"/>
        <w:rPr>
          <w:rFonts w:ascii="FrankRuehl" w:hAnsi="FrankRuehl" w:cs="FrankRuehl"/>
          <w:sz w:val="28"/>
          <w:szCs w:val="28"/>
          <w:rtl/>
        </w:rPr>
      </w:pPr>
      <w:r>
        <w:rPr>
          <w:rFonts w:ascii="FrankRuehl" w:hAnsi="FrankRuehl" w:cs="FrankRuehl"/>
          <w:sz w:val="28"/>
          <w:szCs w:val="28"/>
          <w:rtl/>
        </w:rPr>
        <w:t xml:space="preserve"> לנאשם שלוש הרשעות קודמות בעבירות של החזקת סם לצריכה עצמית ואיומים (מהשנים 2012 ו-2013), והוא מעולם לא ריצה מאסר אלא מספר עונשי של"ץ.</w:t>
      </w:r>
    </w:p>
    <w:p w14:paraId="461E0E0E" w14:textId="77777777" w:rsidR="003A6698" w:rsidRDefault="003A6698" w:rsidP="003A6698">
      <w:pPr>
        <w:spacing w:line="360" w:lineRule="auto"/>
        <w:jc w:val="both"/>
        <w:rPr>
          <w:rFonts w:ascii="FrankRuehl" w:hAnsi="FrankRuehl" w:cs="FrankRuehl"/>
          <w:sz w:val="28"/>
          <w:szCs w:val="28"/>
          <w:rtl/>
        </w:rPr>
      </w:pPr>
    </w:p>
    <w:p w14:paraId="0A0E107F" w14:textId="77777777" w:rsidR="003A6698" w:rsidRDefault="003A6698" w:rsidP="003A6698">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תסקיר שירות המבחן</w:t>
      </w:r>
    </w:p>
    <w:p w14:paraId="589B90B5" w14:textId="77777777" w:rsidR="003A6698" w:rsidRDefault="003A6698" w:rsidP="003A6698">
      <w:pPr>
        <w:spacing w:line="360" w:lineRule="auto"/>
        <w:jc w:val="both"/>
        <w:rPr>
          <w:rFonts w:ascii="FrankRuehl" w:hAnsi="FrankRuehl" w:cs="FrankRuehl"/>
          <w:sz w:val="28"/>
          <w:szCs w:val="28"/>
          <w:rtl/>
        </w:rPr>
      </w:pPr>
      <w:r>
        <w:rPr>
          <w:rFonts w:ascii="FrankRuehl" w:hAnsi="FrankRuehl" w:cs="FrankRuehl"/>
          <w:sz w:val="28"/>
          <w:szCs w:val="28"/>
          <w:rtl/>
        </w:rPr>
        <w:t>מתסקיר שירות המבחן שהוגש עולה</w:t>
      </w:r>
      <w:r>
        <w:rPr>
          <w:rFonts w:ascii="FrankRuehl" w:hAnsi="FrankRuehl" w:cs="FrankRuehl" w:hint="cs"/>
          <w:sz w:val="28"/>
          <w:szCs w:val="28"/>
          <w:rtl/>
        </w:rPr>
        <w:t>,</w:t>
      </w:r>
      <w:r>
        <w:rPr>
          <w:rFonts w:ascii="FrankRuehl" w:hAnsi="FrankRuehl" w:cs="FrankRuehl"/>
          <w:sz w:val="28"/>
          <w:szCs w:val="28"/>
          <w:rtl/>
        </w:rPr>
        <w:t xml:space="preserve"> כי הנאשם כבן 29, רווק, כיום עובד בבית קפה בתפקיד אחראי. הוא הצעיר מבין שני אחים, והוריו התגרשו במהלך ילדותו. העובדה שאביו ריצה מאסרים חוזרים ונשנים ולאחר מכן נפטר ממחלה קשה, השפיעה על התפתחותו של הנאשם ועל מסכת קשריו המשפחתיים. למרות קשיים בילדותו, סיים הנאשם 12 שנות לימוד עם בגרות חלקית, ושירת שירות חלקי בצבא, אך שוחרר על רקע נפקדות. הוא עבד לאורך חייו במקומות שונים, כיום מתגורר לבדו ומוצא סיפוק בעבודתו, ואף סיפר כי מצליח להסדיר את חובותיו. בשל מצבו הבריאותי, הנאשם קיבל היתר לשימוש בקנביס לצרכים רפואיים. הוא השתמש בסמים ובאלכוהול החל מהיותו כבן עשרה, אך השימוש התמתן עקב תופעות לוואי שחווה. שירות המבחן עמד על עברו הפלילי של הנאשם שצוין לעיל, וכן על עברו התעבורתי הכולל 13 הרשעות קודמות, בין היתר בשל נהיגה בשכרות, נהיגה תחת השפעת סמים וסירוב לבדיקת ינשוף. הוטלו עליו מספר עונשי של"ץ, והנאשם, למרות קשיים רבים, הצליח לבצע את אותם עונשים. הנאשם קיבל אחריות למעשיו וציין כי החזיק בסם כדי ליהנות במסיבה. מחד שירות המבחן עמד על הסביבה בה גדל הנאשם והשפעתה השלילית עליו בכך שהדרדר לשימוש בסמים וביצע עבירות. השירות אף עמד על כך שהנאשם התקשה לשתף פעולה עם השירות לאורך שנים, התקשה לבצע את עונשי השל"ץ שהוטלו עליו, ולא עבר טיפול. גם כיום הוא אינו פנוי רגשית לעבור טיפול למרות ששירות המבחן סבור </w:t>
      </w:r>
      <w:r>
        <w:rPr>
          <w:rFonts w:ascii="FrankRuehl" w:hAnsi="FrankRuehl" w:cs="FrankRuehl" w:hint="cs"/>
          <w:sz w:val="28"/>
          <w:szCs w:val="28"/>
          <w:rtl/>
        </w:rPr>
        <w:t xml:space="preserve">שקיימת </w:t>
      </w:r>
      <w:r>
        <w:rPr>
          <w:rFonts w:ascii="FrankRuehl" w:hAnsi="FrankRuehl" w:cs="FrankRuehl"/>
          <w:sz w:val="28"/>
          <w:szCs w:val="28"/>
          <w:rtl/>
        </w:rPr>
        <w:t xml:space="preserve"> נזקקות טיפולית ניכרת. לכן נמנע שירות המבחן מהמלצה טיפולית. מאידך, עמד השירות על ההתייצבות בחייו של הנאשם, על כוחותיו החיוביים ועל שאיפותיו לנהל אורח חיים נורמטיבי, כמו-גם העובדה שלמרות קשייו, השלים לבצע את העונשים שהוטלו עליו, וכיום הוא מטופל בקנביס רפואי. בסופו של דבר, שירות המבחן סבר כי נוכח חלוף הזמן מביצוע העבירה, יש מקום להטיל על הנאשם עונש צופה פני עתיד וקנס.</w:t>
      </w:r>
    </w:p>
    <w:p w14:paraId="630B4EE9" w14:textId="77777777" w:rsidR="003A6698" w:rsidRDefault="003A6698" w:rsidP="003A6698">
      <w:pPr>
        <w:spacing w:line="360" w:lineRule="auto"/>
        <w:jc w:val="both"/>
        <w:rPr>
          <w:rFonts w:ascii="FrankRuehl" w:hAnsi="FrankRuehl" w:cs="FrankRuehl"/>
          <w:sz w:val="28"/>
          <w:szCs w:val="28"/>
          <w:rtl/>
        </w:rPr>
      </w:pPr>
    </w:p>
    <w:p w14:paraId="43DF34B5" w14:textId="77777777" w:rsidR="003A6698" w:rsidRDefault="003A6698" w:rsidP="003A6698">
      <w:pPr>
        <w:spacing w:line="360" w:lineRule="auto"/>
        <w:jc w:val="both"/>
        <w:rPr>
          <w:rFonts w:ascii="FrankRuehl" w:hAnsi="FrankRuehl" w:cs="FrankRuehl"/>
          <w:b/>
          <w:bCs/>
          <w:sz w:val="28"/>
          <w:szCs w:val="28"/>
          <w:u w:val="single"/>
          <w:rtl/>
        </w:rPr>
      </w:pPr>
      <w:r>
        <w:rPr>
          <w:rFonts w:ascii="FrankRuehl" w:hAnsi="FrankRuehl" w:cs="FrankRuehl" w:hint="cs"/>
          <w:b/>
          <w:bCs/>
          <w:sz w:val="28"/>
          <w:szCs w:val="28"/>
          <w:u w:val="single"/>
          <w:rtl/>
        </w:rPr>
        <w:t>ו</w:t>
      </w:r>
      <w:r>
        <w:rPr>
          <w:rFonts w:ascii="FrankRuehl" w:hAnsi="FrankRuehl" w:cs="FrankRuehl"/>
          <w:b/>
          <w:bCs/>
          <w:sz w:val="28"/>
          <w:szCs w:val="28"/>
          <w:u w:val="single"/>
          <w:rtl/>
        </w:rPr>
        <w:t>טיעונים לעונש</w:t>
      </w:r>
    </w:p>
    <w:p w14:paraId="64F5EB74" w14:textId="77777777" w:rsidR="003A6698" w:rsidRDefault="003A6698" w:rsidP="003A6698">
      <w:pPr>
        <w:spacing w:line="360" w:lineRule="auto"/>
        <w:jc w:val="both"/>
        <w:rPr>
          <w:rFonts w:ascii="FrankRuehl" w:hAnsi="FrankRuehl" w:cs="FrankRuehl"/>
          <w:sz w:val="28"/>
          <w:szCs w:val="28"/>
          <w:rtl/>
        </w:rPr>
      </w:pPr>
      <w:r>
        <w:rPr>
          <w:rFonts w:ascii="FrankRuehl" w:hAnsi="FrankRuehl" w:cs="FrankRuehl" w:hint="cs"/>
          <w:sz w:val="28"/>
          <w:szCs w:val="28"/>
          <w:rtl/>
        </w:rPr>
        <w:t xml:space="preserve">ב"כ המאשימה עתר למתחם ענישה שבין 6 ל-12 חודשי מאסר וביקש למקם את הנאשם באמצע המתחם ולהטיל עליו גם ענישה נלווית.  ב"כ הנאשם ביקש לאמץ את המלצת שירות המבחן והפנה לנסיבותיו האישיות ולשיהוי שבהגשת כתב האישום. </w:t>
      </w:r>
    </w:p>
    <w:p w14:paraId="4956A9F7" w14:textId="77777777" w:rsidR="003A6698" w:rsidRDefault="003A6698" w:rsidP="003A6698">
      <w:pPr>
        <w:spacing w:line="360" w:lineRule="auto"/>
        <w:jc w:val="both"/>
        <w:rPr>
          <w:rFonts w:ascii="FrankRuehl" w:hAnsi="FrankRuehl" w:cs="FrankRuehl"/>
          <w:sz w:val="28"/>
          <w:szCs w:val="28"/>
          <w:rtl/>
        </w:rPr>
      </w:pPr>
    </w:p>
    <w:p w14:paraId="1CC346FE" w14:textId="77777777" w:rsidR="003A6698" w:rsidRDefault="003A6698" w:rsidP="003A6698">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קביעת מתחם הענישה ההולם</w:t>
      </w:r>
    </w:p>
    <w:p w14:paraId="0A874516" w14:textId="77777777" w:rsidR="003A6698" w:rsidRDefault="003A6698" w:rsidP="003A6698">
      <w:pPr>
        <w:spacing w:line="360" w:lineRule="auto"/>
        <w:jc w:val="both"/>
        <w:rPr>
          <w:rFonts w:ascii="FrankRuehl" w:hAnsi="FrankRuehl" w:cs="FrankRuehl"/>
          <w:sz w:val="28"/>
          <w:szCs w:val="28"/>
          <w:rtl/>
        </w:rPr>
      </w:pPr>
      <w:r>
        <w:rPr>
          <w:rFonts w:ascii="FrankRuehl" w:hAnsi="FrankRuehl" w:cs="FrankRuehl"/>
          <w:b/>
          <w:bCs/>
          <w:sz w:val="28"/>
          <w:szCs w:val="28"/>
          <w:rtl/>
        </w:rPr>
        <w:t>עקרון ההלימה</w:t>
      </w:r>
      <w:r>
        <w:rPr>
          <w:rFonts w:ascii="FrankRuehl" w:hAnsi="FrankRuehl" w:cs="FrankRuehl"/>
          <w:sz w:val="28"/>
          <w:szCs w:val="28"/>
          <w:rtl/>
        </w:rPr>
        <w:t xml:space="preserve"> – מתחם הענישה ייקבע על סמך עקרון ההלימה, שהוא נגזרת של הערכים המוגנים, מידת הפגיעה בהם, נסיבות ביצוע העבירה ומידת אשמו של הנאשם ומדיניות הענישה הנוהגת.</w:t>
      </w:r>
    </w:p>
    <w:p w14:paraId="0272030F" w14:textId="77777777" w:rsidR="003A6698" w:rsidRDefault="003A6698" w:rsidP="003A6698">
      <w:pPr>
        <w:spacing w:line="360" w:lineRule="auto"/>
        <w:jc w:val="both"/>
        <w:rPr>
          <w:rFonts w:ascii="FrankRuehl" w:hAnsi="FrankRuehl" w:cs="FrankRuehl"/>
          <w:b/>
          <w:bCs/>
          <w:sz w:val="28"/>
          <w:szCs w:val="28"/>
          <w:rtl/>
        </w:rPr>
      </w:pPr>
    </w:p>
    <w:p w14:paraId="6AEC146A" w14:textId="77777777" w:rsidR="003A6698" w:rsidRDefault="003A6698" w:rsidP="003A6698">
      <w:pPr>
        <w:spacing w:line="360" w:lineRule="auto"/>
        <w:jc w:val="both"/>
        <w:rPr>
          <w:rFonts w:ascii="FrankRuehl" w:hAnsi="FrankRuehl" w:cs="FrankRuehl"/>
          <w:b/>
          <w:bCs/>
          <w:sz w:val="28"/>
          <w:szCs w:val="28"/>
          <w:rtl/>
        </w:rPr>
      </w:pPr>
      <w:r>
        <w:rPr>
          <w:rFonts w:ascii="FrankRuehl" w:hAnsi="FrankRuehl" w:cs="FrankRuehl"/>
          <w:b/>
          <w:bCs/>
          <w:sz w:val="28"/>
          <w:szCs w:val="28"/>
          <w:rtl/>
        </w:rPr>
        <w:t>הערכים המוגנים</w:t>
      </w:r>
      <w:r>
        <w:rPr>
          <w:rFonts w:ascii="FrankRuehl" w:hAnsi="FrankRuehl" w:cs="FrankRuehl"/>
          <w:sz w:val="28"/>
          <w:szCs w:val="28"/>
          <w:rtl/>
        </w:rPr>
        <w:t xml:space="preserve"> – עבירות סמים פוגעות במרקם החיים, בבריאות הציבור וב</w:t>
      </w:r>
      <w:r>
        <w:rPr>
          <w:rFonts w:ascii="FrankRuehl" w:hAnsi="FrankRuehl" w:cs="FrankRuehl" w:hint="cs"/>
          <w:sz w:val="28"/>
          <w:szCs w:val="28"/>
          <w:rtl/>
        </w:rPr>
        <w:t>ב</w:t>
      </w:r>
      <w:r>
        <w:rPr>
          <w:rFonts w:ascii="FrankRuehl" w:hAnsi="FrankRuehl" w:cs="FrankRuehl"/>
          <w:sz w:val="28"/>
          <w:szCs w:val="28"/>
          <w:rtl/>
        </w:rPr>
        <w:t>יטחונו, בשל הנזקים הנלווים לשימוש בהם. פגיעה זו חמורה יותר, שעה שמדובר בסמים קשים יותר וכאשר אין מדובר בצריכה עצמית. בענייננו מידת הפגיעה בערכים המוגנים נמוכה.</w:t>
      </w:r>
      <w:r>
        <w:rPr>
          <w:rFonts w:ascii="FrankRuehl" w:hAnsi="FrankRuehl" w:cs="FrankRuehl" w:hint="cs"/>
          <w:sz w:val="28"/>
          <w:szCs w:val="28"/>
          <w:rtl/>
        </w:rPr>
        <w:t xml:space="preserve"> </w:t>
      </w:r>
    </w:p>
    <w:p w14:paraId="7DD808AA" w14:textId="77777777" w:rsidR="003A6698" w:rsidRDefault="003A6698" w:rsidP="003A6698">
      <w:pPr>
        <w:spacing w:line="360" w:lineRule="auto"/>
        <w:jc w:val="both"/>
        <w:rPr>
          <w:rFonts w:ascii="FrankRuehl" w:hAnsi="FrankRuehl" w:cs="FrankRuehl"/>
          <w:b/>
          <w:bCs/>
          <w:sz w:val="28"/>
          <w:szCs w:val="28"/>
          <w:rtl/>
        </w:rPr>
      </w:pPr>
    </w:p>
    <w:p w14:paraId="63D150BA" w14:textId="77777777" w:rsidR="003A6698" w:rsidRDefault="003A6698" w:rsidP="003A6698">
      <w:pPr>
        <w:spacing w:line="360" w:lineRule="auto"/>
        <w:jc w:val="both"/>
        <w:rPr>
          <w:rFonts w:ascii="FrankRuehl" w:hAnsi="FrankRuehl" w:cs="FrankRuehl"/>
          <w:sz w:val="28"/>
          <w:szCs w:val="28"/>
          <w:rtl/>
        </w:rPr>
      </w:pPr>
      <w:r>
        <w:rPr>
          <w:rFonts w:ascii="FrankRuehl" w:hAnsi="FrankRuehl" w:cs="FrankRuehl"/>
          <w:b/>
          <w:bCs/>
          <w:sz w:val="28"/>
          <w:szCs w:val="28"/>
          <w:rtl/>
        </w:rPr>
        <w:t>נסיבות ביצוע העבירה</w:t>
      </w:r>
      <w:r>
        <w:rPr>
          <w:rFonts w:ascii="FrankRuehl" w:hAnsi="FrankRuehl" w:cs="FrankRuehl"/>
          <w:sz w:val="28"/>
          <w:szCs w:val="28"/>
          <w:rtl/>
        </w:rPr>
        <w:t xml:space="preserve"> – מדובר בעבירה מתוכננת, שהנאשם אחראי לה באופן בלעדי. טיב הסם וכמותו שלא צוינה בכתב האישום, הן נסיבות לחומרה, שכן מדובר בסם מעורר סינתטי שהשפעותיו על המשתמשים רעות וחמורות. בפועל מלבד כמות הסם, הנסיבות אינן מלמדות בהכרח על כוונה להעביר את הסם לאחרים. בפועל לא נגרם נזק, אך הנזק הפוטנציאלי משימוש בסם רב.</w:t>
      </w:r>
    </w:p>
    <w:p w14:paraId="7012C9DB" w14:textId="77777777" w:rsidR="003A6698" w:rsidRDefault="003A6698" w:rsidP="003A6698">
      <w:pPr>
        <w:spacing w:line="360" w:lineRule="auto"/>
        <w:jc w:val="both"/>
        <w:rPr>
          <w:rFonts w:ascii="FrankRuehl" w:hAnsi="FrankRuehl" w:cs="FrankRuehl"/>
          <w:b/>
          <w:bCs/>
          <w:sz w:val="28"/>
          <w:szCs w:val="28"/>
          <w:rtl/>
        </w:rPr>
      </w:pPr>
    </w:p>
    <w:p w14:paraId="1BD6D20B" w14:textId="77777777" w:rsidR="003A6698" w:rsidRDefault="003A6698" w:rsidP="003A6698">
      <w:pPr>
        <w:spacing w:line="360" w:lineRule="auto"/>
        <w:jc w:val="both"/>
        <w:rPr>
          <w:rFonts w:ascii="FrankRuehl" w:hAnsi="FrankRuehl" w:cs="FrankRuehl"/>
          <w:sz w:val="28"/>
          <w:szCs w:val="28"/>
          <w:rtl/>
        </w:rPr>
      </w:pPr>
      <w:r>
        <w:rPr>
          <w:rFonts w:ascii="FrankRuehl" w:hAnsi="FrankRuehl" w:cs="FrankRuehl"/>
          <w:b/>
          <w:bCs/>
          <w:sz w:val="28"/>
          <w:szCs w:val="28"/>
          <w:rtl/>
        </w:rPr>
        <w:t>מדיניות הענישה הנוהגת</w:t>
      </w:r>
      <w:r>
        <w:rPr>
          <w:rFonts w:ascii="FrankRuehl" w:hAnsi="FrankRuehl" w:cs="FrankRuehl"/>
          <w:sz w:val="28"/>
          <w:szCs w:val="28"/>
          <w:rtl/>
        </w:rPr>
        <w:t xml:space="preserve"> – ב</w:t>
      </w:r>
      <w:hyperlink r:id="rId14" w:history="1">
        <w:r w:rsidR="00872189" w:rsidRPr="00872189">
          <w:rPr>
            <w:rFonts w:ascii="FrankRuehl" w:hAnsi="FrankRuehl" w:cs="FrankRuehl"/>
            <w:color w:val="0000FF"/>
            <w:sz w:val="28"/>
            <w:szCs w:val="28"/>
            <w:u w:val="single"/>
            <w:rtl/>
          </w:rPr>
          <w:t>ת"פ 15744-01-19</w:t>
        </w:r>
      </w:hyperlink>
      <w:r>
        <w:rPr>
          <w:rFonts w:ascii="FrankRuehl" w:hAnsi="FrankRuehl" w:cs="FrankRuehl"/>
          <w:sz w:val="28"/>
          <w:szCs w:val="28"/>
          <w:rtl/>
        </w:rPr>
        <w:t xml:space="preserve"> </w:t>
      </w:r>
      <w:r>
        <w:rPr>
          <w:rFonts w:ascii="FrankRuehl" w:hAnsi="FrankRuehl" w:cs="FrankRuehl"/>
          <w:b/>
          <w:bCs/>
          <w:sz w:val="28"/>
          <w:szCs w:val="28"/>
          <w:u w:val="single"/>
          <w:rtl/>
        </w:rPr>
        <w:t>מ"י</w:t>
      </w:r>
      <w:r>
        <w:rPr>
          <w:rFonts w:ascii="FrankRuehl" w:hAnsi="FrankRuehl" w:cs="FrankRuehl"/>
          <w:sz w:val="28"/>
          <w:szCs w:val="28"/>
          <w:rtl/>
        </w:rPr>
        <w:t xml:space="preserve"> נ' </w:t>
      </w:r>
      <w:r>
        <w:rPr>
          <w:rFonts w:ascii="FrankRuehl" w:hAnsi="FrankRuehl" w:cs="FrankRuehl"/>
          <w:b/>
          <w:bCs/>
          <w:sz w:val="28"/>
          <w:szCs w:val="28"/>
          <w:u w:val="single"/>
          <w:rtl/>
        </w:rPr>
        <w:t>עואודה</w:t>
      </w:r>
      <w:r>
        <w:rPr>
          <w:rFonts w:ascii="FrankRuehl" w:hAnsi="FrankRuehl" w:cs="FrankRuehl"/>
          <w:sz w:val="28"/>
          <w:szCs w:val="28"/>
          <w:rtl/>
        </w:rPr>
        <w:t xml:space="preserve"> (מיום 18.11.2019) דנתי בעניינו של מי שהחזיק 20 כדורי </w:t>
      </w:r>
      <w:r>
        <w:rPr>
          <w:rFonts w:ascii="FrankRuehl" w:hAnsi="FrankRuehl" w:cs="FrankRuehl"/>
          <w:sz w:val="28"/>
          <w:szCs w:val="28"/>
        </w:rPr>
        <w:t>MDMA</w:t>
      </w:r>
      <w:r>
        <w:rPr>
          <w:rFonts w:ascii="FrankRuehl" w:hAnsi="FrankRuehl" w:cs="FrankRuehl"/>
          <w:sz w:val="28"/>
          <w:szCs w:val="28"/>
          <w:rtl/>
        </w:rPr>
        <w:t xml:space="preserve"> וחלקי תחמושת. קבעתי שם מתחם בין מאסר מותנה ושל"ץ ועד 6 חודשי מאסר לרבות בעבודות שירות. נגזרו על הנאשם מאסרים מותנים, קנס 5,000 ₪ ו-300 שעות של"ץ, ולא הוגש ערעור. ב</w:t>
      </w:r>
      <w:hyperlink r:id="rId15" w:history="1">
        <w:r w:rsidR="00872189" w:rsidRPr="00872189">
          <w:rPr>
            <w:rFonts w:ascii="FrankRuehl" w:hAnsi="FrankRuehl" w:cs="FrankRuehl"/>
            <w:color w:val="0000FF"/>
            <w:sz w:val="28"/>
            <w:szCs w:val="28"/>
            <w:u w:val="single"/>
            <w:rtl/>
          </w:rPr>
          <w:t>ת"פ 2908-05-17</w:t>
        </w:r>
      </w:hyperlink>
      <w:r>
        <w:rPr>
          <w:rFonts w:ascii="FrankRuehl" w:hAnsi="FrankRuehl" w:cs="FrankRuehl"/>
          <w:sz w:val="28"/>
          <w:szCs w:val="28"/>
          <w:rtl/>
        </w:rPr>
        <w:t xml:space="preserve"> </w:t>
      </w:r>
      <w:r>
        <w:rPr>
          <w:rFonts w:ascii="FrankRuehl" w:hAnsi="FrankRuehl" w:cs="FrankRuehl"/>
          <w:b/>
          <w:bCs/>
          <w:sz w:val="28"/>
          <w:szCs w:val="28"/>
          <w:u w:val="single"/>
          <w:rtl/>
        </w:rPr>
        <w:t>מ"י</w:t>
      </w:r>
      <w:r>
        <w:rPr>
          <w:rFonts w:ascii="FrankRuehl" w:hAnsi="FrankRuehl" w:cs="FrankRuehl"/>
          <w:sz w:val="28"/>
          <w:szCs w:val="28"/>
          <w:rtl/>
        </w:rPr>
        <w:t xml:space="preserve"> נ' </w:t>
      </w:r>
      <w:r>
        <w:rPr>
          <w:rFonts w:ascii="FrankRuehl" w:hAnsi="FrankRuehl" w:cs="FrankRuehl"/>
          <w:b/>
          <w:bCs/>
          <w:sz w:val="28"/>
          <w:szCs w:val="28"/>
          <w:u w:val="single"/>
          <w:rtl/>
        </w:rPr>
        <w:t>גולדברך</w:t>
      </w:r>
      <w:r>
        <w:rPr>
          <w:rFonts w:ascii="FrankRuehl" w:hAnsi="FrankRuehl" w:cs="FrankRuehl"/>
          <w:sz w:val="28"/>
          <w:szCs w:val="28"/>
          <w:rtl/>
        </w:rPr>
        <w:t xml:space="preserve"> (מיום 6.7.2020) דנתי בעניינו של נאשם שניסה לייבא דרך אינטרנט 10 גרם </w:t>
      </w:r>
      <w:r>
        <w:rPr>
          <w:rFonts w:ascii="FrankRuehl" w:hAnsi="FrankRuehl" w:cs="FrankRuehl"/>
          <w:sz w:val="28"/>
          <w:szCs w:val="28"/>
        </w:rPr>
        <w:t>MDMA</w:t>
      </w:r>
      <w:r>
        <w:rPr>
          <w:rFonts w:ascii="FrankRuehl" w:hAnsi="FrankRuehl" w:cs="FrankRuehl"/>
          <w:sz w:val="28"/>
          <w:szCs w:val="28"/>
          <w:rtl/>
        </w:rPr>
        <w:t xml:space="preserve"> ונתפסו אצלו סוגי סמים שונים. קבעתי שם מתחם שבית מאסר מותנה ושל"ץ ועד 8 חודשי מאסר, והתיק הסתיים בביטול הרשעה, 450 שעות של"ץ, פיצוי בסך 4,000 ₪ לעמותת אל-סם  התחייבות וצו מבחן. ראו את הפסיקה אליה הפניתי באותם מקרים. לא הוגש ערעור.</w:t>
      </w:r>
      <w:r>
        <w:rPr>
          <w:rFonts w:ascii="FrankRuehl" w:hAnsi="FrankRuehl" w:cs="FrankRuehl" w:hint="cs"/>
          <w:sz w:val="28"/>
          <w:szCs w:val="28"/>
          <w:rtl/>
        </w:rPr>
        <w:t xml:space="preserve"> אציין כי פסק הדין אליו היפנתה התביעה </w:t>
      </w:r>
      <w:hyperlink r:id="rId16" w:history="1">
        <w:r w:rsidR="00872189" w:rsidRPr="00872189">
          <w:rPr>
            <w:rFonts w:ascii="FrankRuehl" w:hAnsi="FrankRuehl" w:cs="FrankRuehl"/>
            <w:color w:val="0000FF"/>
            <w:sz w:val="28"/>
            <w:szCs w:val="28"/>
            <w:u w:val="single"/>
            <w:rtl/>
          </w:rPr>
          <w:t>ת"פ (ת"א-יפו) 49971-02-19</w:t>
        </w:r>
      </w:hyperlink>
      <w:r>
        <w:rPr>
          <w:rFonts w:ascii="FrankRuehl" w:hAnsi="FrankRuehl" w:cs="FrankRuehl" w:hint="cs"/>
          <w:sz w:val="28"/>
          <w:szCs w:val="28"/>
          <w:rtl/>
        </w:rPr>
        <w:t xml:space="preserve">) </w:t>
      </w:r>
      <w:r w:rsidRPr="007943CC">
        <w:rPr>
          <w:rFonts w:ascii="FrankRuehl" w:hAnsi="FrankRuehl" w:cs="FrankRuehl" w:hint="cs"/>
          <w:b/>
          <w:bCs/>
          <w:sz w:val="28"/>
          <w:szCs w:val="28"/>
          <w:u w:val="single"/>
          <w:rtl/>
        </w:rPr>
        <w:t>מ"י</w:t>
      </w:r>
      <w:r>
        <w:rPr>
          <w:rFonts w:ascii="FrankRuehl" w:hAnsi="FrankRuehl" w:cs="FrankRuehl" w:hint="cs"/>
          <w:sz w:val="28"/>
          <w:szCs w:val="28"/>
          <w:rtl/>
        </w:rPr>
        <w:t xml:space="preserve"> נ' </w:t>
      </w:r>
      <w:r w:rsidRPr="007943CC">
        <w:rPr>
          <w:rFonts w:ascii="FrankRuehl" w:hAnsi="FrankRuehl" w:cs="FrankRuehl" w:hint="cs"/>
          <w:b/>
          <w:bCs/>
          <w:sz w:val="28"/>
          <w:szCs w:val="28"/>
          <w:u w:val="single"/>
          <w:rtl/>
        </w:rPr>
        <w:t>נאטור</w:t>
      </w:r>
      <w:r>
        <w:rPr>
          <w:rFonts w:ascii="FrankRuehl" w:hAnsi="FrankRuehl" w:cs="FrankRuehl" w:hint="cs"/>
          <w:sz w:val="28"/>
          <w:szCs w:val="28"/>
          <w:rtl/>
        </w:rPr>
        <w:t xml:space="preserve"> (מיום 12.3.2020) אינו רלבנטי שכן הנסיבות שם הן נסיבות של סחר מובהק בכמויות גדולות של </w:t>
      </w:r>
      <w:r>
        <w:rPr>
          <w:rFonts w:ascii="FrankRuehl" w:hAnsi="FrankRuehl" w:cs="FrankRuehl" w:hint="cs"/>
          <w:sz w:val="28"/>
          <w:szCs w:val="28"/>
        </w:rPr>
        <w:t>MDMA</w:t>
      </w:r>
      <w:r>
        <w:rPr>
          <w:rFonts w:ascii="FrankRuehl" w:hAnsi="FrankRuehl" w:cs="FrankRuehl" w:hint="cs"/>
          <w:sz w:val="28"/>
          <w:szCs w:val="28"/>
          <w:rtl/>
        </w:rPr>
        <w:t>.</w:t>
      </w:r>
    </w:p>
    <w:p w14:paraId="1B44B0A9" w14:textId="77777777" w:rsidR="003A6698" w:rsidRDefault="003A6698" w:rsidP="003A6698">
      <w:pPr>
        <w:spacing w:line="360" w:lineRule="auto"/>
        <w:jc w:val="both"/>
        <w:rPr>
          <w:rFonts w:ascii="FrankRuehl" w:hAnsi="FrankRuehl" w:cs="FrankRuehl"/>
          <w:b/>
          <w:bCs/>
          <w:sz w:val="28"/>
          <w:szCs w:val="28"/>
          <w:rtl/>
        </w:rPr>
      </w:pPr>
    </w:p>
    <w:p w14:paraId="353A13DE" w14:textId="77777777" w:rsidR="003A6698" w:rsidRDefault="003A6698" w:rsidP="003A6698">
      <w:pPr>
        <w:spacing w:line="360" w:lineRule="auto"/>
        <w:jc w:val="both"/>
        <w:rPr>
          <w:rFonts w:ascii="FrankRuehl" w:hAnsi="FrankRuehl" w:cs="FrankRuehl"/>
          <w:sz w:val="28"/>
          <w:szCs w:val="28"/>
          <w:rtl/>
        </w:rPr>
      </w:pPr>
      <w:r>
        <w:rPr>
          <w:rFonts w:ascii="FrankRuehl" w:hAnsi="FrankRuehl" w:cs="FrankRuehl"/>
          <w:b/>
          <w:bCs/>
          <w:sz w:val="28"/>
          <w:szCs w:val="28"/>
          <w:rtl/>
        </w:rPr>
        <w:t>מתחם הענישה</w:t>
      </w:r>
      <w:r>
        <w:rPr>
          <w:rFonts w:ascii="FrankRuehl" w:hAnsi="FrankRuehl" w:cs="FrankRuehl"/>
          <w:sz w:val="28"/>
          <w:szCs w:val="28"/>
          <w:rtl/>
        </w:rPr>
        <w:t xml:space="preserve"> – נוכח כל האמור, מתחם הענישה צריך לעמוד על מאסר מותנה ושל"ץ ועד 6 חודשי מאסר לרבות בעבודות שירות, וכן קנס בין 1,000 ל-5,000 ₪.</w:t>
      </w:r>
    </w:p>
    <w:p w14:paraId="101908A3" w14:textId="77777777" w:rsidR="003A6698" w:rsidRDefault="003A6698" w:rsidP="003A6698">
      <w:pPr>
        <w:spacing w:line="360" w:lineRule="auto"/>
        <w:jc w:val="both"/>
        <w:rPr>
          <w:rFonts w:ascii="FrankRuehl" w:hAnsi="FrankRuehl" w:cs="FrankRuehl"/>
          <w:b/>
          <w:bCs/>
          <w:sz w:val="28"/>
          <w:szCs w:val="28"/>
          <w:u w:val="single"/>
          <w:rtl/>
        </w:rPr>
      </w:pPr>
    </w:p>
    <w:p w14:paraId="2B6D18A7" w14:textId="77777777" w:rsidR="003A6698" w:rsidRDefault="003A6698" w:rsidP="003A6698">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נסיבות שאינן קשורות בביצוע העבירה</w:t>
      </w:r>
    </w:p>
    <w:p w14:paraId="1357846E" w14:textId="77777777" w:rsidR="003A6698" w:rsidRDefault="003A6698" w:rsidP="003A6698">
      <w:pPr>
        <w:spacing w:line="360" w:lineRule="auto"/>
        <w:jc w:val="both"/>
        <w:rPr>
          <w:rFonts w:ascii="FrankRuehl" w:hAnsi="FrankRuehl" w:cs="FrankRuehl"/>
          <w:sz w:val="28"/>
          <w:szCs w:val="28"/>
          <w:rtl/>
        </w:rPr>
      </w:pPr>
      <w:r>
        <w:rPr>
          <w:rFonts w:ascii="FrankRuehl" w:hAnsi="FrankRuehl" w:cs="FrankRuehl"/>
          <w:sz w:val="28"/>
          <w:szCs w:val="28"/>
          <w:rtl/>
        </w:rPr>
        <w:t xml:space="preserve">מחד מדובר בנאשם </w:t>
      </w:r>
      <w:r>
        <w:rPr>
          <w:rFonts w:ascii="FrankRuehl" w:hAnsi="FrankRuehl" w:cs="FrankRuehl" w:hint="cs"/>
          <w:sz w:val="28"/>
          <w:szCs w:val="28"/>
          <w:rtl/>
        </w:rPr>
        <w:t>ש</w:t>
      </w:r>
      <w:r>
        <w:rPr>
          <w:rFonts w:ascii="FrankRuehl" w:hAnsi="FrankRuehl" w:cs="FrankRuehl"/>
          <w:sz w:val="28"/>
          <w:szCs w:val="28"/>
          <w:rtl/>
        </w:rPr>
        <w:t xml:space="preserve"> הודה במיוחס וקיבל אחריות למעשיו</w:t>
      </w:r>
      <w:r>
        <w:rPr>
          <w:rFonts w:ascii="FrankRuehl" w:hAnsi="FrankRuehl" w:cs="FrankRuehl" w:hint="cs"/>
          <w:sz w:val="28"/>
          <w:szCs w:val="28"/>
          <w:rtl/>
        </w:rPr>
        <w:t>, כ</w:t>
      </w:r>
      <w:r>
        <w:rPr>
          <w:rFonts w:ascii="FrankRuehl" w:hAnsi="FrankRuehl" w:cs="FrankRuehl"/>
          <w:sz w:val="28"/>
          <w:szCs w:val="28"/>
          <w:rtl/>
        </w:rPr>
        <w:t>שקורות חייו לא היו מן הקלות, כאשר כתב האישום הוגש בשי</w:t>
      </w:r>
      <w:r>
        <w:rPr>
          <w:rFonts w:ascii="FrankRuehl" w:hAnsi="FrankRuehl" w:cs="FrankRuehl" w:hint="cs"/>
          <w:sz w:val="28"/>
          <w:szCs w:val="28"/>
          <w:rtl/>
        </w:rPr>
        <w:t>ה</w:t>
      </w:r>
      <w:r>
        <w:rPr>
          <w:rFonts w:ascii="FrankRuehl" w:hAnsi="FrankRuehl" w:cs="FrankRuehl"/>
          <w:sz w:val="28"/>
          <w:szCs w:val="28"/>
          <w:rtl/>
        </w:rPr>
        <w:t>וי ניכר של כשנתיים וחצי מעת ביצוע העבירה ללא הסבר סביר. מאידך, לחובתו רישום פלילי בעבירות דומות והוא אינו משכיל להירתם לטיפול שעשוי לסייע לו ולהפחית מסוכנות, ואינני רואה זאת בעין יפה שעה שמדובר במי שהענישה בעניינו הייתה מתונה לאורך השנים, אך מסתבר שלא מנעה ממנו מלשוב ולבצע עבירות סמים. יחד עם זאת, עברו הפלילי של הנאשם מרוכז בעיקר בשנתיים שבין 2012 ל-2013, כשעבירה זו בוצעה בשנת 2015 ולא נפתחו לו תיקים פליליים חדשים.</w:t>
      </w:r>
    </w:p>
    <w:p w14:paraId="1F80278F" w14:textId="77777777" w:rsidR="003A6698" w:rsidRDefault="003A6698" w:rsidP="003A6698">
      <w:pPr>
        <w:spacing w:line="360" w:lineRule="auto"/>
        <w:jc w:val="both"/>
        <w:rPr>
          <w:rFonts w:ascii="FrankRuehl" w:hAnsi="FrankRuehl" w:cs="FrankRuehl"/>
          <w:sz w:val="28"/>
          <w:szCs w:val="28"/>
          <w:rtl/>
        </w:rPr>
      </w:pPr>
    </w:p>
    <w:p w14:paraId="127A6A40" w14:textId="77777777" w:rsidR="003A6698" w:rsidRDefault="003A6698" w:rsidP="003A6698">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המיקום במתחם</w:t>
      </w:r>
    </w:p>
    <w:p w14:paraId="7D4ACFCB" w14:textId="77777777" w:rsidR="003A6698" w:rsidRDefault="003A6698" w:rsidP="003A6698">
      <w:pPr>
        <w:spacing w:line="360" w:lineRule="auto"/>
        <w:jc w:val="both"/>
        <w:rPr>
          <w:rFonts w:ascii="FrankRuehl" w:hAnsi="FrankRuehl" w:cs="FrankRuehl"/>
          <w:sz w:val="28"/>
          <w:szCs w:val="28"/>
          <w:rtl/>
        </w:rPr>
      </w:pPr>
      <w:r>
        <w:rPr>
          <w:rFonts w:ascii="FrankRuehl" w:hAnsi="FrankRuehl" w:cs="FrankRuehl"/>
          <w:sz w:val="28"/>
          <w:szCs w:val="28"/>
          <w:rtl/>
        </w:rPr>
        <w:t xml:space="preserve">נוכח האמור יש למקם את הנאשם עד לאמצע המתחם. </w:t>
      </w:r>
    </w:p>
    <w:p w14:paraId="3A12A7F1" w14:textId="77777777" w:rsidR="003A6698" w:rsidRDefault="003A6698" w:rsidP="003A6698">
      <w:pPr>
        <w:spacing w:line="360" w:lineRule="auto"/>
        <w:jc w:val="both"/>
        <w:rPr>
          <w:rFonts w:ascii="FrankRuehl" w:hAnsi="FrankRuehl" w:cs="FrankRuehl"/>
          <w:sz w:val="28"/>
          <w:szCs w:val="28"/>
          <w:rtl/>
        </w:rPr>
      </w:pPr>
    </w:p>
    <w:p w14:paraId="78C19280" w14:textId="77777777" w:rsidR="003A6698" w:rsidRDefault="003A6698" w:rsidP="003A6698">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גזירת הדין</w:t>
      </w:r>
    </w:p>
    <w:p w14:paraId="351E436B" w14:textId="77777777" w:rsidR="003A6698" w:rsidRDefault="003A6698" w:rsidP="003A6698">
      <w:pPr>
        <w:spacing w:line="360" w:lineRule="auto"/>
        <w:jc w:val="both"/>
        <w:rPr>
          <w:rFonts w:ascii="FrankRuehl" w:hAnsi="FrankRuehl" w:cs="FrankRuehl"/>
          <w:sz w:val="28"/>
          <w:szCs w:val="28"/>
          <w:rtl/>
        </w:rPr>
      </w:pPr>
      <w:r>
        <w:rPr>
          <w:rFonts w:ascii="FrankRuehl" w:hAnsi="FrankRuehl" w:cs="FrankRuehl" w:hint="cs"/>
          <w:sz w:val="28"/>
          <w:szCs w:val="28"/>
          <w:rtl/>
        </w:rPr>
        <w:t>נוכח מכלול הנסיבות, גוזר על הנאשם את העונשים הבאים:</w:t>
      </w:r>
    </w:p>
    <w:p w14:paraId="650D30B7" w14:textId="77777777" w:rsidR="003A6698" w:rsidRDefault="003A6698" w:rsidP="003A6698">
      <w:pPr>
        <w:pStyle w:val="a9"/>
        <w:numPr>
          <w:ilvl w:val="0"/>
          <w:numId w:val="1"/>
        </w:numPr>
        <w:spacing w:line="360" w:lineRule="auto"/>
        <w:jc w:val="both"/>
        <w:rPr>
          <w:rFonts w:ascii="FrankRuehl" w:hAnsi="FrankRuehl" w:cs="FrankRuehl"/>
          <w:sz w:val="28"/>
          <w:szCs w:val="28"/>
        </w:rPr>
      </w:pPr>
      <w:r>
        <w:rPr>
          <w:rFonts w:ascii="FrankRuehl" w:hAnsi="FrankRuehl" w:cs="FrankRuehl" w:hint="cs"/>
          <w:sz w:val="28"/>
          <w:szCs w:val="28"/>
          <w:rtl/>
        </w:rPr>
        <w:t>300 שעות של"ץ שיבצעו ע"פ תוכנית שיכין שירות המבחן ויגישה לבית המשפט בתוך 30 יום מהיום. הנאשם הוזהר כי אם לא יבצע את השל"ץ כראוי ניתן יהיה להטיל עליו כל עונש אחר. אני ער להמלצת שירות המבחן ואולם סברתי כי זהו העונש הנכון והראוי בנסיבות העניין, משום שללא עונש מוחשי וחינוכי הכולל תרומה לציבור, לא ניתן לסיים את ההליכים בהתחשב בעקרון ההלימה;</w:t>
      </w:r>
    </w:p>
    <w:p w14:paraId="4612DC4F" w14:textId="77777777" w:rsidR="003A6698" w:rsidRDefault="003A6698" w:rsidP="003A6698">
      <w:pPr>
        <w:pStyle w:val="a9"/>
        <w:numPr>
          <w:ilvl w:val="0"/>
          <w:numId w:val="1"/>
        </w:numPr>
        <w:spacing w:line="360" w:lineRule="auto"/>
        <w:jc w:val="both"/>
        <w:rPr>
          <w:rFonts w:ascii="FrankRuehl" w:hAnsi="FrankRuehl" w:cs="FrankRuehl"/>
          <w:sz w:val="28"/>
          <w:szCs w:val="28"/>
        </w:rPr>
      </w:pPr>
      <w:r>
        <w:rPr>
          <w:rFonts w:ascii="FrankRuehl" w:hAnsi="FrankRuehl" w:cs="FrankRuehl" w:hint="cs"/>
          <w:sz w:val="28"/>
          <w:szCs w:val="28"/>
          <w:rtl/>
        </w:rPr>
        <w:t>3 חודשי מאסר שלא ירוצו, אלא אם יעבור הנאשם בתוך שנתיים מהיום כל עבירת עוון לפי פקודת הסמים;</w:t>
      </w:r>
    </w:p>
    <w:p w14:paraId="5C9A97E4" w14:textId="77777777" w:rsidR="003A6698" w:rsidRDefault="003A6698" w:rsidP="003A6698">
      <w:pPr>
        <w:pStyle w:val="a9"/>
        <w:numPr>
          <w:ilvl w:val="0"/>
          <w:numId w:val="1"/>
        </w:numPr>
        <w:spacing w:line="360" w:lineRule="auto"/>
        <w:jc w:val="both"/>
        <w:rPr>
          <w:rFonts w:ascii="FrankRuehl" w:hAnsi="FrankRuehl" w:cs="FrankRuehl"/>
          <w:sz w:val="28"/>
          <w:szCs w:val="28"/>
        </w:rPr>
      </w:pPr>
      <w:r>
        <w:rPr>
          <w:rFonts w:ascii="FrankRuehl" w:hAnsi="FrankRuehl" w:cs="FrankRuehl" w:hint="cs"/>
          <w:sz w:val="28"/>
          <w:szCs w:val="28"/>
          <w:rtl/>
        </w:rPr>
        <w:t>6 חודשי מאסר שלא ירוצו אלא אם יעבור הנאשם בתוך שנתיים מהיום כל עבירת פשע לפי פקודת הסמים;</w:t>
      </w:r>
    </w:p>
    <w:p w14:paraId="31C1F3D3" w14:textId="77777777" w:rsidR="003A6698" w:rsidRDefault="003A6698" w:rsidP="003A6698">
      <w:pPr>
        <w:pStyle w:val="a9"/>
        <w:numPr>
          <w:ilvl w:val="0"/>
          <w:numId w:val="1"/>
        </w:numPr>
        <w:spacing w:line="360" w:lineRule="auto"/>
        <w:jc w:val="both"/>
        <w:rPr>
          <w:rFonts w:ascii="FrankRuehl" w:hAnsi="FrankRuehl" w:cs="FrankRuehl"/>
          <w:sz w:val="28"/>
          <w:szCs w:val="28"/>
        </w:rPr>
      </w:pPr>
      <w:r>
        <w:rPr>
          <w:rFonts w:ascii="FrankRuehl" w:hAnsi="FrankRuehl" w:cs="FrankRuehl" w:hint="cs"/>
          <w:sz w:val="28"/>
          <w:szCs w:val="28"/>
          <w:rtl/>
        </w:rPr>
        <w:t>קנס בסך 3,000 ₪ או 12 ימי מאסר תמורתו אם לא ישולם. הקנס ישולם ב-10 תשלומים שווים ורצופים החל מיום 1.8.2021 ובכל 1 לחודש רציף ועוקב. לא ישולם תשלום במועד יועמד הקנס לפירעון מיידי;</w:t>
      </w:r>
    </w:p>
    <w:p w14:paraId="78B3B200" w14:textId="77777777" w:rsidR="003A6698" w:rsidRDefault="003A6698" w:rsidP="003A6698">
      <w:pPr>
        <w:pStyle w:val="a9"/>
        <w:numPr>
          <w:ilvl w:val="0"/>
          <w:numId w:val="1"/>
        </w:numPr>
        <w:spacing w:line="360" w:lineRule="auto"/>
        <w:jc w:val="both"/>
        <w:rPr>
          <w:rFonts w:ascii="FrankRuehl" w:hAnsi="FrankRuehl" w:cs="FrankRuehl"/>
          <w:sz w:val="28"/>
          <w:szCs w:val="28"/>
        </w:rPr>
      </w:pPr>
      <w:r>
        <w:rPr>
          <w:rFonts w:ascii="FrankRuehl" w:hAnsi="FrankRuehl" w:cs="FrankRuehl" w:hint="cs"/>
          <w:sz w:val="28"/>
          <w:szCs w:val="28"/>
          <w:rtl/>
        </w:rPr>
        <w:t>התחייבות בסך 5,000 ₪ שלא לעבור כל עבירה לפי פקודת הסמים בתוך שנתיים מהיום.</w:t>
      </w:r>
    </w:p>
    <w:p w14:paraId="20C0ADBA" w14:textId="77777777" w:rsidR="003A6698" w:rsidRPr="00872189" w:rsidRDefault="00872189" w:rsidP="003A6698">
      <w:pPr>
        <w:spacing w:line="360" w:lineRule="auto"/>
        <w:rPr>
          <w:rFonts w:ascii="David" w:hAnsi="David"/>
          <w:color w:val="FFFFFF"/>
          <w:sz w:val="2"/>
          <w:szCs w:val="2"/>
          <w:rtl/>
        </w:rPr>
      </w:pPr>
      <w:r w:rsidRPr="00872189">
        <w:rPr>
          <w:rFonts w:ascii="David" w:hAnsi="David"/>
          <w:color w:val="FFFFFF"/>
          <w:sz w:val="2"/>
          <w:szCs w:val="2"/>
          <w:rtl/>
        </w:rPr>
        <w:t>5129371</w:t>
      </w:r>
    </w:p>
    <w:p w14:paraId="1AD578A3" w14:textId="77777777" w:rsidR="003A6698" w:rsidRPr="00523912" w:rsidRDefault="00872189" w:rsidP="003A6698">
      <w:pPr>
        <w:spacing w:line="360" w:lineRule="auto"/>
        <w:rPr>
          <w:rFonts w:ascii="FrankRuehl" w:hAnsi="FrankRuehl" w:cs="FrankRuehl"/>
          <w:b/>
          <w:bCs/>
          <w:sz w:val="28"/>
          <w:szCs w:val="28"/>
          <w:u w:val="single"/>
          <w:rtl/>
        </w:rPr>
      </w:pPr>
      <w:r w:rsidRPr="00872189">
        <w:rPr>
          <w:rFonts w:ascii="FrankRuehl" w:hAnsi="FrankRuehl" w:cs="FrankRuehl"/>
          <w:b/>
          <w:bCs/>
          <w:color w:val="FFFFFF"/>
          <w:sz w:val="2"/>
          <w:szCs w:val="2"/>
          <w:u w:val="single"/>
          <w:rtl/>
        </w:rPr>
        <w:t>54678313</w:t>
      </w:r>
      <w:r w:rsidR="003A6698" w:rsidRPr="00523912">
        <w:rPr>
          <w:rFonts w:ascii="FrankRuehl" w:hAnsi="FrankRuehl" w:cs="FrankRuehl"/>
          <w:b/>
          <w:bCs/>
          <w:sz w:val="28"/>
          <w:szCs w:val="28"/>
          <w:u w:val="single"/>
          <w:rtl/>
        </w:rPr>
        <w:t xml:space="preserve">יש לשלוח לשירות המבחן. </w:t>
      </w:r>
    </w:p>
    <w:p w14:paraId="0A81C44F" w14:textId="77777777" w:rsidR="003A6698" w:rsidRPr="00523912" w:rsidRDefault="003A6698" w:rsidP="003A6698">
      <w:pPr>
        <w:spacing w:line="360" w:lineRule="auto"/>
        <w:rPr>
          <w:rFonts w:ascii="FrankRuehl" w:hAnsi="FrankRuehl" w:cs="FrankRuehl"/>
          <w:b/>
          <w:bCs/>
          <w:sz w:val="28"/>
          <w:szCs w:val="28"/>
          <w:u w:val="single"/>
          <w:rtl/>
        </w:rPr>
      </w:pPr>
      <w:r w:rsidRPr="00523912">
        <w:rPr>
          <w:rFonts w:ascii="FrankRuehl" w:hAnsi="FrankRuehl" w:cs="FrankRuehl"/>
          <w:b/>
          <w:bCs/>
          <w:sz w:val="28"/>
          <w:szCs w:val="28"/>
          <w:u w:val="single"/>
          <w:rtl/>
        </w:rPr>
        <w:t>זכות ערעור כחוק.</w:t>
      </w:r>
    </w:p>
    <w:p w14:paraId="2F54BBEE" w14:textId="77777777" w:rsidR="003A6698" w:rsidRPr="002B7D23" w:rsidRDefault="00872189" w:rsidP="003A6698">
      <w:pPr>
        <w:rPr>
          <w:rFonts w:ascii="David" w:hAnsi="David"/>
          <w:sz w:val="26"/>
          <w:szCs w:val="26"/>
          <w:rtl/>
        </w:rPr>
      </w:pPr>
      <w:bookmarkStart w:id="8" w:name="Nitan"/>
      <w:r>
        <w:rPr>
          <w:rFonts w:ascii="FrankRuehl" w:hAnsi="FrankRuehl" w:cs="FrankRuehl"/>
          <w:sz w:val="28"/>
          <w:szCs w:val="28"/>
          <w:rtl/>
        </w:rPr>
        <w:t xml:space="preserve">ניתן היום,  י"טי"ט תמוז תשפ"א, 29 יוני 2021, במעמד הצדדים. </w:t>
      </w:r>
      <w:bookmarkEnd w:id="8"/>
    </w:p>
    <w:p w14:paraId="60BA59E6" w14:textId="77777777" w:rsidR="003A6698" w:rsidRPr="002B7D23" w:rsidRDefault="003A6698" w:rsidP="00872189">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6817AE7C" w14:textId="77777777" w:rsidR="003A6698" w:rsidRPr="002B7D23" w:rsidRDefault="003A6698" w:rsidP="003A6698">
      <w:pPr>
        <w:jc w:val="center"/>
        <w:rPr>
          <w:rFonts w:ascii="David" w:hAnsi="David"/>
          <w:sz w:val="26"/>
          <w:szCs w:val="26"/>
          <w:rtl/>
        </w:rPr>
      </w:pPr>
    </w:p>
    <w:p w14:paraId="6F8DB465" w14:textId="77777777" w:rsidR="007F346E" w:rsidRPr="00872189" w:rsidRDefault="007F346E" w:rsidP="00872189">
      <w:pPr>
        <w:keepNext/>
        <w:rPr>
          <w:rFonts w:ascii="David" w:hAnsi="David"/>
          <w:color w:val="000000"/>
          <w:sz w:val="22"/>
          <w:szCs w:val="22"/>
          <w:rtl/>
        </w:rPr>
      </w:pPr>
    </w:p>
    <w:p w14:paraId="2A4E6F5E" w14:textId="77777777" w:rsidR="00872189" w:rsidRPr="00872189" w:rsidRDefault="00872189" w:rsidP="00872189">
      <w:pPr>
        <w:keepNext/>
        <w:rPr>
          <w:rFonts w:ascii="David" w:hAnsi="David"/>
          <w:color w:val="000000"/>
          <w:sz w:val="22"/>
          <w:szCs w:val="22"/>
          <w:rtl/>
        </w:rPr>
      </w:pPr>
      <w:r w:rsidRPr="00872189">
        <w:rPr>
          <w:rFonts w:ascii="David" w:hAnsi="David"/>
          <w:color w:val="000000"/>
          <w:sz w:val="22"/>
          <w:szCs w:val="22"/>
          <w:rtl/>
        </w:rPr>
        <w:t>דוד שאול גבאי ריכטר 54678313</w:t>
      </w:r>
    </w:p>
    <w:p w14:paraId="1E13398D" w14:textId="77777777" w:rsidR="00872189" w:rsidRDefault="00872189" w:rsidP="00872189">
      <w:r w:rsidRPr="00872189">
        <w:rPr>
          <w:color w:val="000000"/>
          <w:rtl/>
        </w:rPr>
        <w:t>נוסח מסמך זה כפוף לשינויי ניסוח ועריכה</w:t>
      </w:r>
    </w:p>
    <w:p w14:paraId="629385E0" w14:textId="77777777" w:rsidR="00872189" w:rsidRDefault="00872189" w:rsidP="00872189">
      <w:pPr>
        <w:rPr>
          <w:rtl/>
        </w:rPr>
      </w:pPr>
    </w:p>
    <w:p w14:paraId="5083D04B" w14:textId="77777777" w:rsidR="00872189" w:rsidRDefault="00872189" w:rsidP="00872189">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p w14:paraId="6BDAB8FE" w14:textId="77777777" w:rsidR="00872189" w:rsidRPr="00872189" w:rsidRDefault="00872189" w:rsidP="00872189">
      <w:pPr>
        <w:jc w:val="center"/>
        <w:rPr>
          <w:color w:val="0000FF"/>
          <w:u w:val="single"/>
        </w:rPr>
      </w:pPr>
    </w:p>
    <w:sectPr w:rsidR="00872189" w:rsidRPr="00872189" w:rsidSect="00872189">
      <w:headerReference w:type="even" r:id="rId18"/>
      <w:headerReference w:type="default" r:id="rId19"/>
      <w:footerReference w:type="even" r:id="rId20"/>
      <w:footerReference w:type="default" r:id="rId2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5D75AE" w14:textId="77777777" w:rsidR="00426BD5" w:rsidRDefault="00426BD5" w:rsidP="00FD3575">
      <w:r>
        <w:separator/>
      </w:r>
    </w:p>
  </w:endnote>
  <w:endnote w:type="continuationSeparator" w:id="0">
    <w:p w14:paraId="39FDB319" w14:textId="77777777" w:rsidR="00426BD5" w:rsidRDefault="00426BD5" w:rsidP="00FD3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8131B" w14:textId="77777777" w:rsidR="00872189" w:rsidRDefault="00872189" w:rsidP="0087218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621C8FA" w14:textId="77777777" w:rsidR="00E81FCA" w:rsidRPr="00872189" w:rsidRDefault="00872189" w:rsidP="0087218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48492" w14:textId="77777777" w:rsidR="00872189" w:rsidRDefault="00872189" w:rsidP="0087218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3351B">
      <w:rPr>
        <w:rFonts w:ascii="FrankRuehl" w:hAnsi="FrankRuehl" w:cs="FrankRuehl"/>
        <w:noProof/>
        <w:rtl/>
      </w:rPr>
      <w:t>1</w:t>
    </w:r>
    <w:r>
      <w:rPr>
        <w:rFonts w:ascii="FrankRuehl" w:hAnsi="FrankRuehl" w:cs="FrankRuehl"/>
        <w:rtl/>
      </w:rPr>
      <w:fldChar w:fldCharType="end"/>
    </w:r>
  </w:p>
  <w:p w14:paraId="4FEE90E8" w14:textId="77777777" w:rsidR="00E81FCA" w:rsidRPr="00872189" w:rsidRDefault="00872189" w:rsidP="0087218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6AC1C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3D716" w14:textId="77777777" w:rsidR="00426BD5" w:rsidRDefault="00426BD5" w:rsidP="00FD3575">
      <w:r>
        <w:separator/>
      </w:r>
    </w:p>
  </w:footnote>
  <w:footnote w:type="continuationSeparator" w:id="0">
    <w:p w14:paraId="43400CBD" w14:textId="77777777" w:rsidR="00426BD5" w:rsidRDefault="00426BD5" w:rsidP="00FD35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8B320" w14:textId="77777777" w:rsidR="00872189" w:rsidRPr="00872189" w:rsidRDefault="00872189" w:rsidP="0087218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29380-02-18</w:t>
    </w:r>
    <w:r>
      <w:rPr>
        <w:rFonts w:ascii="David" w:hAnsi="David"/>
        <w:color w:val="000000"/>
        <w:sz w:val="22"/>
        <w:szCs w:val="22"/>
        <w:rtl/>
      </w:rPr>
      <w:tab/>
      <w:t xml:space="preserve"> מדינת ישראל נ' בר שלוש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577E8" w14:textId="77777777" w:rsidR="00872189" w:rsidRPr="00872189" w:rsidRDefault="00872189" w:rsidP="0087218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29380-02-18</w:t>
    </w:r>
    <w:r>
      <w:rPr>
        <w:rFonts w:ascii="David" w:hAnsi="David"/>
        <w:color w:val="000000"/>
        <w:sz w:val="22"/>
        <w:szCs w:val="22"/>
        <w:rtl/>
      </w:rPr>
      <w:tab/>
      <w:t xml:space="preserve"> מדינת ישראל נ' בר שלוש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C1B39"/>
    <w:multiLevelType w:val="hybridMultilevel"/>
    <w:tmpl w:val="19EE2A0A"/>
    <w:lvl w:ilvl="0" w:tplc="44C6E03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066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A6698"/>
    <w:rsid w:val="00197890"/>
    <w:rsid w:val="00277664"/>
    <w:rsid w:val="003A6698"/>
    <w:rsid w:val="00426BD5"/>
    <w:rsid w:val="00463E9C"/>
    <w:rsid w:val="0053351B"/>
    <w:rsid w:val="0073539D"/>
    <w:rsid w:val="007F346E"/>
    <w:rsid w:val="00872189"/>
    <w:rsid w:val="008A33E7"/>
    <w:rsid w:val="008B78F4"/>
    <w:rsid w:val="009A4E4C"/>
    <w:rsid w:val="00AA0F6D"/>
    <w:rsid w:val="00CD054C"/>
    <w:rsid w:val="00E2319F"/>
    <w:rsid w:val="00E81FCA"/>
    <w:rsid w:val="00FD35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3E68CBC"/>
  <w15:chartTrackingRefBased/>
  <w15:docId w15:val="{2DA7FB05-F403-4CEF-A4F8-ED5B73CAC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A669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A6698"/>
    <w:pPr>
      <w:tabs>
        <w:tab w:val="center" w:pos="4153"/>
        <w:tab w:val="right" w:pos="8306"/>
      </w:tabs>
    </w:pPr>
  </w:style>
  <w:style w:type="character" w:customStyle="1" w:styleId="a4">
    <w:name w:val="כותרת עליונה תו"/>
    <w:link w:val="a3"/>
    <w:rsid w:val="003A6698"/>
    <w:rPr>
      <w:rFonts w:ascii="Times New Roman" w:eastAsia="Times New Roman" w:hAnsi="Times New Roman" w:cs="David"/>
      <w:sz w:val="24"/>
      <w:szCs w:val="24"/>
    </w:rPr>
  </w:style>
  <w:style w:type="paragraph" w:styleId="a5">
    <w:name w:val="footer"/>
    <w:basedOn w:val="a"/>
    <w:link w:val="a6"/>
    <w:rsid w:val="003A6698"/>
    <w:pPr>
      <w:tabs>
        <w:tab w:val="center" w:pos="4153"/>
        <w:tab w:val="right" w:pos="8306"/>
      </w:tabs>
    </w:pPr>
  </w:style>
  <w:style w:type="character" w:customStyle="1" w:styleId="a6">
    <w:name w:val="כותרת תחתונה תו"/>
    <w:link w:val="a5"/>
    <w:rsid w:val="003A6698"/>
    <w:rPr>
      <w:rFonts w:ascii="Times New Roman" w:eastAsia="Times New Roman" w:hAnsi="Times New Roman" w:cs="David"/>
      <w:sz w:val="24"/>
      <w:szCs w:val="24"/>
    </w:rPr>
  </w:style>
  <w:style w:type="table" w:styleId="a7">
    <w:name w:val="Table Grid"/>
    <w:basedOn w:val="a1"/>
    <w:rsid w:val="003A669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A6698"/>
  </w:style>
  <w:style w:type="paragraph" w:styleId="a9">
    <w:name w:val="List Paragraph"/>
    <w:basedOn w:val="a"/>
    <w:qFormat/>
    <w:rsid w:val="003A6698"/>
    <w:pPr>
      <w:ind w:left="720"/>
      <w:contextualSpacing/>
    </w:pPr>
  </w:style>
  <w:style w:type="character" w:styleId="Hyperlink">
    <w:name w:val="Hyperlink"/>
    <w:rsid w:val="008721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law/4216"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case/23639865" TargetMode="External"/><Relationship Id="rId12" Type="http://schemas.openxmlformats.org/officeDocument/2006/relationships/hyperlink" Target="http://www.nevo.co.il/law/4216/7.c"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25469707"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5" Type="http://schemas.openxmlformats.org/officeDocument/2006/relationships/footnotes" Target="footnotes.xml"/><Relationship Id="rId15" Type="http://schemas.openxmlformats.org/officeDocument/2006/relationships/hyperlink" Target="http://www.nevo.co.il/case/22582473" TargetMode="External"/><Relationship Id="rId23" Type="http://schemas.openxmlformats.org/officeDocument/2006/relationships/theme" Target="theme/theme1.xml"/><Relationship Id="rId10" Type="http://schemas.openxmlformats.org/officeDocument/2006/relationships/hyperlink" Target="http://www.nevo.co.il/law/4216/7.c"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case/25297221"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1111</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6654</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4128880</vt:i4>
      </vt:variant>
      <vt:variant>
        <vt:i4>27</vt:i4>
      </vt:variant>
      <vt:variant>
        <vt:i4>0</vt:i4>
      </vt:variant>
      <vt:variant>
        <vt:i4>5</vt:i4>
      </vt:variant>
      <vt:variant>
        <vt:lpwstr>http://www.nevo.co.il/case/25469707</vt:lpwstr>
      </vt:variant>
      <vt:variant>
        <vt:lpwstr/>
      </vt:variant>
      <vt:variant>
        <vt:i4>3276922</vt:i4>
      </vt:variant>
      <vt:variant>
        <vt:i4>24</vt:i4>
      </vt:variant>
      <vt:variant>
        <vt:i4>0</vt:i4>
      </vt:variant>
      <vt:variant>
        <vt:i4>5</vt:i4>
      </vt:variant>
      <vt:variant>
        <vt:lpwstr>http://www.nevo.co.il/case/22582473</vt:lpwstr>
      </vt:variant>
      <vt:variant>
        <vt:lpwstr/>
      </vt:variant>
      <vt:variant>
        <vt:i4>3473530</vt:i4>
      </vt:variant>
      <vt:variant>
        <vt:i4>21</vt:i4>
      </vt:variant>
      <vt:variant>
        <vt:i4>0</vt:i4>
      </vt:variant>
      <vt:variant>
        <vt:i4>5</vt:i4>
      </vt:variant>
      <vt:variant>
        <vt:lpwstr>http://www.nevo.co.il/case/25297221</vt:lpwstr>
      </vt:variant>
      <vt:variant>
        <vt:lpwstr/>
      </vt:variant>
      <vt:variant>
        <vt:i4>8257637</vt:i4>
      </vt:variant>
      <vt:variant>
        <vt:i4>18</vt:i4>
      </vt:variant>
      <vt:variant>
        <vt:i4>0</vt:i4>
      </vt:variant>
      <vt:variant>
        <vt:i4>5</vt:i4>
      </vt:variant>
      <vt:variant>
        <vt:lpwstr>http://www.nevo.co.il/law/4216</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3866748</vt:i4>
      </vt:variant>
      <vt:variant>
        <vt:i4>0</vt:i4>
      </vt:variant>
      <vt:variant>
        <vt:i4>0</vt:i4>
      </vt:variant>
      <vt:variant>
        <vt:i4>5</vt:i4>
      </vt:variant>
      <vt:variant>
        <vt:lpwstr>http://www.nevo.co.il/case/23639865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2025-04-22T23:40:00Z</dcterms:created>
  <dcterms:modified xsi:type="dcterms:W3CDTF">2025-04-22T23:40:00Z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29380</vt:lpwstr>
  </property>
  <property fmtid="{D5CDD505-2E9C-101B-9397-08002B2CF9AE}" pid="6" name="NEWPARTB">
    <vt:lpwstr>02</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בר שלוש</vt:lpwstr>
  </property>
  <property fmtid="{D5CDD505-2E9C-101B-9397-08002B2CF9AE}" pid="10" name="LAWYER">
    <vt:lpwstr>צח דהן;ארז בר צבי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20210629</vt:lpwstr>
  </property>
  <property fmtid="{D5CDD505-2E9C-101B-9397-08002B2CF9AE}" pid="14" name="TYPE_N_DATE">
    <vt:lpwstr>38020210629</vt:lpwstr>
  </property>
  <property fmtid="{D5CDD505-2E9C-101B-9397-08002B2CF9AE}" pid="15" name="WORDNUMPAGES">
    <vt:lpwstr>5</vt:lpwstr>
  </property>
  <property fmtid="{D5CDD505-2E9C-101B-9397-08002B2CF9AE}" pid="16" name="TYPE_ABS_DATE">
    <vt:lpwstr>380020210629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23639865;25297221;22582473;25469707</vt:lpwstr>
  </property>
  <property fmtid="{D5CDD505-2E9C-101B-9397-08002B2CF9AE}" pid="36" name="LAWLISTTMP1">
    <vt:lpwstr>4216/007.a;007.c</vt:lpwstr>
  </property>
</Properties>
</file>