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473"/>
        <w:gridCol w:w="4248"/>
      </w:tblGrid>
      <w:tr w:rsidR="007336FF" w:rsidRPr="007C20F8" w14:paraId="578C498D" w14:textId="77777777" w:rsidTr="00E977C8">
        <w:trPr>
          <w:trHeight w:hRule="exact" w:val="704"/>
          <w:jc w:val="center"/>
        </w:trPr>
        <w:tc>
          <w:tcPr>
            <w:tcW w:w="8721" w:type="dxa"/>
            <w:gridSpan w:val="2"/>
          </w:tcPr>
          <w:p w14:paraId="21AE2D3F" w14:textId="77777777" w:rsidR="007336FF" w:rsidRPr="007C20F8" w:rsidRDefault="007336FF" w:rsidP="00E977C8">
            <w:pPr>
              <w:pStyle w:val="a3"/>
              <w:jc w:val="center"/>
              <w:rPr>
                <w:rFonts w:ascii="Tahoma" w:hAnsi="Tahoma" w:cs="Tahoma"/>
                <w:b/>
                <w:bCs/>
                <w:noProof w:val="0"/>
                <w:color w:val="000080"/>
                <w:rtl/>
              </w:rPr>
            </w:pPr>
            <w:bookmarkStart w:id="0" w:name="LastJudge"/>
            <w:r w:rsidRPr="007C20F8">
              <w:rPr>
                <w:rFonts w:ascii="Tahoma" w:hAnsi="Tahoma" w:cs="Tahoma"/>
                <w:b/>
                <w:bCs/>
                <w:noProof w:val="0"/>
                <w:color w:val="000080"/>
                <w:rtl/>
              </w:rPr>
              <w:t>בית משפט השלום בבאר שבע</w:t>
            </w:r>
          </w:p>
          <w:p w14:paraId="320A7DE3" w14:textId="77777777" w:rsidR="007336FF" w:rsidRPr="007C20F8" w:rsidRDefault="007336FF" w:rsidP="00E977C8">
            <w:pPr>
              <w:pStyle w:val="a3"/>
              <w:jc w:val="center"/>
              <w:rPr>
                <w:rFonts w:ascii="Tahoma" w:hAnsi="Tahoma" w:cs="Tahoma"/>
                <w:noProof w:val="0"/>
                <w:color w:val="000080"/>
                <w:rtl/>
              </w:rPr>
            </w:pPr>
          </w:p>
        </w:tc>
      </w:tr>
      <w:tr w:rsidR="007336FF" w:rsidRPr="007C20F8" w14:paraId="32242473" w14:textId="77777777" w:rsidTr="00E977C8">
        <w:trPr>
          <w:trHeight w:val="337"/>
          <w:jc w:val="center"/>
        </w:trPr>
        <w:tc>
          <w:tcPr>
            <w:tcW w:w="4473" w:type="dxa"/>
          </w:tcPr>
          <w:p w14:paraId="3BEE8921" w14:textId="77777777" w:rsidR="007336FF" w:rsidRPr="007C20F8" w:rsidRDefault="007336FF" w:rsidP="00E977C8">
            <w:pPr>
              <w:rPr>
                <w:b/>
                <w:bCs/>
                <w:noProof w:val="0"/>
                <w:sz w:val="26"/>
                <w:szCs w:val="26"/>
                <w:rtl/>
              </w:rPr>
            </w:pPr>
          </w:p>
        </w:tc>
        <w:tc>
          <w:tcPr>
            <w:tcW w:w="4248" w:type="dxa"/>
          </w:tcPr>
          <w:p w14:paraId="490F87D6" w14:textId="77777777" w:rsidR="007336FF" w:rsidRPr="007C20F8" w:rsidRDefault="007336FF" w:rsidP="00E977C8">
            <w:pPr>
              <w:pStyle w:val="a3"/>
              <w:jc w:val="right"/>
              <w:rPr>
                <w:b/>
                <w:bCs/>
                <w:noProof w:val="0"/>
                <w:sz w:val="26"/>
                <w:szCs w:val="26"/>
                <w:rtl/>
              </w:rPr>
            </w:pPr>
            <w:r w:rsidRPr="007C20F8">
              <w:rPr>
                <w:rFonts w:hint="cs"/>
                <w:b/>
                <w:bCs/>
                <w:noProof w:val="0"/>
                <w:sz w:val="26"/>
                <w:szCs w:val="26"/>
                <w:rtl/>
              </w:rPr>
              <w:t>כ"ז אלול תש"פ</w:t>
            </w:r>
          </w:p>
          <w:p w14:paraId="73DAF634" w14:textId="77777777" w:rsidR="007336FF" w:rsidRPr="007C20F8" w:rsidRDefault="007336FF" w:rsidP="00E977C8">
            <w:pPr>
              <w:pStyle w:val="a3"/>
              <w:jc w:val="right"/>
              <w:rPr>
                <w:b/>
                <w:bCs/>
                <w:noProof w:val="0"/>
                <w:sz w:val="26"/>
                <w:szCs w:val="26"/>
                <w:rtl/>
              </w:rPr>
            </w:pPr>
            <w:r w:rsidRPr="007C20F8">
              <w:rPr>
                <w:rFonts w:hint="cs"/>
                <w:b/>
                <w:bCs/>
                <w:noProof w:val="0"/>
                <w:sz w:val="26"/>
                <w:szCs w:val="26"/>
                <w:rtl/>
              </w:rPr>
              <w:t>16 ספטמבר 2020</w:t>
            </w:r>
          </w:p>
        </w:tc>
      </w:tr>
      <w:tr w:rsidR="007336FF" w:rsidRPr="007C20F8" w14:paraId="73BAAA9D" w14:textId="77777777" w:rsidTr="00E977C8">
        <w:trPr>
          <w:trHeight w:val="337"/>
          <w:jc w:val="center"/>
        </w:trPr>
        <w:tc>
          <w:tcPr>
            <w:tcW w:w="8721" w:type="dxa"/>
            <w:gridSpan w:val="2"/>
          </w:tcPr>
          <w:p w14:paraId="2F97177C" w14:textId="77777777" w:rsidR="007336FF" w:rsidRPr="007C20F8" w:rsidRDefault="007C20F8" w:rsidP="00E977C8">
            <w:pPr>
              <w:rPr>
                <w:b/>
                <w:bCs/>
                <w:noProof w:val="0"/>
                <w:sz w:val="26"/>
                <w:szCs w:val="26"/>
                <w:rtl/>
              </w:rPr>
            </w:pPr>
            <w:r w:rsidRPr="00861D83">
              <w:rPr>
                <w:b/>
                <w:bCs/>
                <w:noProof w:val="0"/>
                <w:sz w:val="26"/>
                <w:szCs w:val="26"/>
                <w:rtl/>
              </w:rPr>
              <w:t>ת"פ 32363-02-18</w:t>
            </w:r>
            <w:r w:rsidR="007336FF" w:rsidRPr="007C20F8">
              <w:rPr>
                <w:b/>
                <w:bCs/>
                <w:noProof w:val="0"/>
                <w:sz w:val="26"/>
                <w:szCs w:val="26"/>
                <w:rtl/>
              </w:rPr>
              <w:t xml:space="preserve"> מדינת ישראל נ' אבו נוירה</w:t>
            </w:r>
          </w:p>
          <w:p w14:paraId="526CC35E" w14:textId="77777777" w:rsidR="007336FF" w:rsidRPr="007C20F8" w:rsidRDefault="007336FF" w:rsidP="00E977C8">
            <w:pPr>
              <w:rPr>
                <w:rtl/>
              </w:rPr>
            </w:pPr>
          </w:p>
          <w:p w14:paraId="318FC664" w14:textId="77777777" w:rsidR="007336FF" w:rsidRPr="007C20F8" w:rsidRDefault="007336FF" w:rsidP="00E977C8">
            <w:pPr>
              <w:rPr>
                <w:rtl/>
              </w:rPr>
            </w:pPr>
            <w:r w:rsidRPr="007C20F8">
              <w:rPr>
                <w:rFonts w:hint="cs"/>
                <w:sz w:val="20"/>
                <w:szCs w:val="20"/>
                <w:rtl/>
              </w:rPr>
              <w:t>תיק חיצוני</w:t>
            </w:r>
            <w:r w:rsidRPr="007C20F8">
              <w:rPr>
                <w:rFonts w:hint="cs"/>
                <w:rtl/>
              </w:rPr>
              <w:t xml:space="preserve">: </w:t>
            </w:r>
            <w:r w:rsidRPr="007C20F8">
              <w:rPr>
                <w:sz w:val="20"/>
                <w:szCs w:val="20"/>
              </w:rPr>
              <w:t>473755/2017</w:t>
            </w:r>
          </w:p>
        </w:tc>
      </w:tr>
    </w:tbl>
    <w:p w14:paraId="5B304364" w14:textId="77777777" w:rsidR="007336FF" w:rsidRPr="007C20F8" w:rsidRDefault="007336FF" w:rsidP="007336FF">
      <w:pPr>
        <w:pStyle w:val="a3"/>
        <w:rPr>
          <w:noProof w:val="0"/>
          <w:rtl/>
        </w:rPr>
      </w:pPr>
      <w:r w:rsidRPr="007C20F8">
        <w:rPr>
          <w:noProof w:val="0"/>
          <w:rtl/>
        </w:rPr>
        <w:t xml:space="preserve"> </w:t>
      </w:r>
    </w:p>
    <w:tbl>
      <w:tblPr>
        <w:bidiVisual/>
        <w:tblW w:w="8820" w:type="dxa"/>
        <w:jc w:val="center"/>
        <w:tblLook w:val="01E0" w:firstRow="1" w:lastRow="1" w:firstColumn="1" w:lastColumn="1" w:noHBand="0" w:noVBand="0"/>
      </w:tblPr>
      <w:tblGrid>
        <w:gridCol w:w="743"/>
        <w:gridCol w:w="2506"/>
        <w:gridCol w:w="5571"/>
      </w:tblGrid>
      <w:tr w:rsidR="007336FF" w:rsidRPr="007C20F8" w14:paraId="7DA34BDD" w14:textId="77777777" w:rsidTr="007336FF">
        <w:trPr>
          <w:jc w:val="center"/>
        </w:trPr>
        <w:tc>
          <w:tcPr>
            <w:tcW w:w="743" w:type="dxa"/>
            <w:shd w:val="clear" w:color="auto" w:fill="auto"/>
          </w:tcPr>
          <w:p w14:paraId="659644FE" w14:textId="77777777" w:rsidR="007336FF" w:rsidRPr="00861D83" w:rsidRDefault="007336FF" w:rsidP="00861D83">
            <w:pPr>
              <w:spacing w:before="120" w:after="120" w:line="240" w:lineRule="exact"/>
              <w:jc w:val="both"/>
              <w:rPr>
                <w:rFonts w:ascii="Arial" w:hAnsi="Arial"/>
                <w:b/>
                <w:bCs/>
                <w:sz w:val="26"/>
                <w:szCs w:val="26"/>
              </w:rPr>
            </w:pPr>
            <w:r w:rsidRPr="00861D83">
              <w:rPr>
                <w:rFonts w:ascii="Arial" w:hAnsi="Arial" w:hint="cs"/>
                <w:b/>
                <w:bCs/>
                <w:sz w:val="26"/>
                <w:szCs w:val="26"/>
                <w:rtl/>
              </w:rPr>
              <w:t>לפני</w:t>
            </w:r>
          </w:p>
        </w:tc>
        <w:tc>
          <w:tcPr>
            <w:tcW w:w="8077" w:type="dxa"/>
            <w:gridSpan w:val="2"/>
            <w:shd w:val="clear" w:color="auto" w:fill="auto"/>
          </w:tcPr>
          <w:p w14:paraId="50E1B32B" w14:textId="77777777" w:rsidR="007336FF" w:rsidRPr="00861D83" w:rsidRDefault="007336FF" w:rsidP="00861D83">
            <w:pPr>
              <w:spacing w:before="120" w:after="120" w:line="240" w:lineRule="exact"/>
              <w:rPr>
                <w:rFonts w:ascii="Arial" w:hAnsi="Arial" w:hint="cs"/>
                <w:b/>
                <w:bCs/>
                <w:sz w:val="26"/>
                <w:szCs w:val="26"/>
              </w:rPr>
            </w:pPr>
            <w:r w:rsidRPr="00861D83">
              <w:rPr>
                <w:rFonts w:ascii="Arial" w:hAnsi="Arial" w:hint="cs"/>
                <w:b/>
                <w:bCs/>
                <w:sz w:val="26"/>
                <w:szCs w:val="26"/>
                <w:rtl/>
              </w:rPr>
              <w:t>כב' ה</w:t>
            </w:r>
            <w:r w:rsidRPr="00861D83">
              <w:rPr>
                <w:rFonts w:ascii="Arial" w:hAnsi="Arial"/>
                <w:b/>
                <w:bCs/>
                <w:sz w:val="26"/>
                <w:szCs w:val="26"/>
                <w:rtl/>
              </w:rPr>
              <w:t>שופט</w:t>
            </w:r>
            <w:r w:rsidRPr="00861D83">
              <w:rPr>
                <w:rFonts w:ascii="Arial" w:hAnsi="Arial" w:hint="cs"/>
                <w:b/>
                <w:bCs/>
                <w:sz w:val="26"/>
                <w:szCs w:val="26"/>
                <w:rtl/>
              </w:rPr>
              <w:t xml:space="preserve">  </w:t>
            </w:r>
            <w:r w:rsidRPr="00861D83">
              <w:rPr>
                <w:rFonts w:ascii="Arial" w:hAnsi="Arial"/>
                <w:b/>
                <w:bCs/>
                <w:sz w:val="26"/>
                <w:szCs w:val="26"/>
                <w:rtl/>
              </w:rPr>
              <w:t>רון סולקין</w:t>
            </w:r>
          </w:p>
        </w:tc>
      </w:tr>
      <w:tr w:rsidR="007336FF" w:rsidRPr="007C20F8" w14:paraId="17DDC64B" w14:textId="77777777" w:rsidTr="007336FF">
        <w:trPr>
          <w:jc w:val="center"/>
        </w:trPr>
        <w:tc>
          <w:tcPr>
            <w:tcW w:w="3249" w:type="dxa"/>
            <w:gridSpan w:val="2"/>
            <w:shd w:val="clear" w:color="auto" w:fill="auto"/>
          </w:tcPr>
          <w:p w14:paraId="7CA255EB" w14:textId="77777777" w:rsidR="007336FF" w:rsidRPr="00861D83" w:rsidRDefault="007336FF" w:rsidP="00861D83">
            <w:pPr>
              <w:bidi w:val="0"/>
              <w:spacing w:before="120" w:after="120" w:line="240" w:lineRule="exact"/>
              <w:jc w:val="right"/>
              <w:rPr>
                <w:rFonts w:ascii="Arial" w:hAnsi="Arial"/>
                <w:b/>
                <w:bCs/>
                <w:noProof w:val="0"/>
                <w:sz w:val="26"/>
                <w:szCs w:val="26"/>
                <w:rtl/>
              </w:rPr>
            </w:pPr>
            <w:bookmarkStart w:id="1" w:name="FirstAppellant"/>
            <w:bookmarkStart w:id="2" w:name="FirstLawyer"/>
            <w:r w:rsidRPr="00861D83">
              <w:rPr>
                <w:rFonts w:ascii="Arial" w:hAnsi="Arial" w:hint="cs"/>
                <w:b/>
                <w:bCs/>
                <w:noProof w:val="0"/>
                <w:sz w:val="26"/>
                <w:szCs w:val="26"/>
                <w:rtl/>
              </w:rPr>
              <w:t>המאשימה</w:t>
            </w:r>
          </w:p>
        </w:tc>
        <w:tc>
          <w:tcPr>
            <w:tcW w:w="5571" w:type="dxa"/>
            <w:shd w:val="clear" w:color="auto" w:fill="auto"/>
          </w:tcPr>
          <w:p w14:paraId="7AC7034A" w14:textId="77777777" w:rsidR="007336FF" w:rsidRPr="00861D83" w:rsidRDefault="007336FF" w:rsidP="00861D83">
            <w:pPr>
              <w:spacing w:before="120" w:after="120" w:line="240" w:lineRule="exact"/>
              <w:rPr>
                <w:b/>
                <w:bCs/>
                <w:noProof w:val="0"/>
                <w:sz w:val="26"/>
                <w:szCs w:val="26"/>
                <w:rtl/>
              </w:rPr>
            </w:pPr>
            <w:r w:rsidRPr="00861D83">
              <w:rPr>
                <w:rFonts w:ascii="Arial" w:hAnsi="Arial"/>
                <w:b/>
                <w:bCs/>
                <w:noProof w:val="0"/>
                <w:sz w:val="26"/>
                <w:szCs w:val="26"/>
                <w:rtl/>
              </w:rPr>
              <w:t>מדינת ישראל</w:t>
            </w:r>
            <w:r w:rsidRPr="00861D83">
              <w:rPr>
                <w:rFonts w:hint="cs"/>
                <w:b/>
                <w:bCs/>
                <w:noProof w:val="0"/>
                <w:sz w:val="26"/>
                <w:szCs w:val="26"/>
                <w:rtl/>
              </w:rPr>
              <w:t xml:space="preserve"> </w:t>
            </w:r>
            <w:r w:rsidRPr="00861D83">
              <w:rPr>
                <w:b/>
                <w:bCs/>
                <w:noProof w:val="0"/>
                <w:sz w:val="26"/>
                <w:szCs w:val="26"/>
                <w:rtl/>
              </w:rPr>
              <w:t>–</w:t>
            </w:r>
            <w:r w:rsidRPr="00861D83">
              <w:rPr>
                <w:rFonts w:hint="cs"/>
                <w:b/>
                <w:bCs/>
                <w:noProof w:val="0"/>
                <w:sz w:val="26"/>
                <w:szCs w:val="26"/>
                <w:rtl/>
              </w:rPr>
              <w:t xml:space="preserve"> פמ"ד</w:t>
            </w:r>
          </w:p>
          <w:p w14:paraId="3FD635E1" w14:textId="77777777" w:rsidR="007336FF" w:rsidRPr="00861D83" w:rsidRDefault="007336FF" w:rsidP="00861D83">
            <w:pPr>
              <w:spacing w:before="120" w:after="120" w:line="240" w:lineRule="exact"/>
              <w:rPr>
                <w:b/>
                <w:bCs/>
                <w:noProof w:val="0"/>
                <w:sz w:val="26"/>
                <w:szCs w:val="26"/>
              </w:rPr>
            </w:pPr>
            <w:r w:rsidRPr="00861D83">
              <w:rPr>
                <w:rFonts w:hint="cs"/>
                <w:b/>
                <w:bCs/>
                <w:noProof w:val="0"/>
                <w:sz w:val="26"/>
                <w:szCs w:val="26"/>
                <w:rtl/>
              </w:rPr>
              <w:t>ע"י ב"כ עו"ד נועה שוקר ומתמחה שניר כלימי</w:t>
            </w:r>
          </w:p>
        </w:tc>
      </w:tr>
      <w:bookmarkEnd w:id="1"/>
      <w:bookmarkEnd w:id="2"/>
      <w:tr w:rsidR="007336FF" w:rsidRPr="007C20F8" w14:paraId="32C65102" w14:textId="77777777" w:rsidTr="007336FF">
        <w:trPr>
          <w:jc w:val="center"/>
        </w:trPr>
        <w:tc>
          <w:tcPr>
            <w:tcW w:w="8820" w:type="dxa"/>
            <w:gridSpan w:val="3"/>
            <w:shd w:val="clear" w:color="auto" w:fill="auto"/>
          </w:tcPr>
          <w:p w14:paraId="320CDEA6" w14:textId="77777777" w:rsidR="007336FF" w:rsidRPr="00861D83" w:rsidRDefault="007336FF" w:rsidP="00861D83">
            <w:pPr>
              <w:spacing w:before="240" w:after="240" w:line="240" w:lineRule="exact"/>
              <w:jc w:val="center"/>
              <w:rPr>
                <w:rFonts w:ascii="Arial" w:hAnsi="Arial" w:hint="cs"/>
                <w:b/>
                <w:bCs/>
                <w:noProof w:val="0"/>
                <w:sz w:val="26"/>
                <w:szCs w:val="26"/>
              </w:rPr>
            </w:pPr>
            <w:r w:rsidRPr="00861D83">
              <w:rPr>
                <w:rFonts w:ascii="Arial" w:hAnsi="Arial"/>
                <w:b/>
                <w:bCs/>
                <w:noProof w:val="0"/>
                <w:sz w:val="26"/>
                <w:szCs w:val="26"/>
                <w:rtl/>
              </w:rPr>
              <w:t>נגד</w:t>
            </w:r>
          </w:p>
        </w:tc>
      </w:tr>
      <w:tr w:rsidR="007336FF" w:rsidRPr="007C20F8" w14:paraId="39309F3D" w14:textId="77777777" w:rsidTr="007336FF">
        <w:trPr>
          <w:jc w:val="center"/>
        </w:trPr>
        <w:tc>
          <w:tcPr>
            <w:tcW w:w="3249" w:type="dxa"/>
            <w:gridSpan w:val="2"/>
            <w:shd w:val="clear" w:color="auto" w:fill="auto"/>
          </w:tcPr>
          <w:p w14:paraId="7D1E973C" w14:textId="77777777" w:rsidR="007336FF" w:rsidRPr="00861D83" w:rsidRDefault="007336FF" w:rsidP="00861D83">
            <w:pPr>
              <w:spacing w:before="120" w:after="120" w:line="240" w:lineRule="exact"/>
              <w:rPr>
                <w:rFonts w:ascii="Arial" w:hAnsi="Arial"/>
                <w:b/>
                <w:bCs/>
                <w:noProof w:val="0"/>
                <w:sz w:val="26"/>
                <w:szCs w:val="26"/>
              </w:rPr>
            </w:pPr>
            <w:r w:rsidRPr="00861D83">
              <w:rPr>
                <w:rFonts w:ascii="Arial" w:hAnsi="Arial" w:hint="cs"/>
                <w:b/>
                <w:bCs/>
                <w:noProof w:val="0"/>
                <w:sz w:val="26"/>
                <w:szCs w:val="26"/>
                <w:rtl/>
              </w:rPr>
              <w:t>הנאשם</w:t>
            </w:r>
          </w:p>
        </w:tc>
        <w:tc>
          <w:tcPr>
            <w:tcW w:w="5571" w:type="dxa"/>
            <w:shd w:val="clear" w:color="auto" w:fill="auto"/>
          </w:tcPr>
          <w:p w14:paraId="199CCD03" w14:textId="77777777" w:rsidR="007336FF" w:rsidRPr="00861D83" w:rsidRDefault="007336FF" w:rsidP="00861D83">
            <w:pPr>
              <w:spacing w:before="120" w:after="120" w:line="240" w:lineRule="exact"/>
              <w:rPr>
                <w:b/>
                <w:bCs/>
                <w:noProof w:val="0"/>
                <w:sz w:val="26"/>
                <w:szCs w:val="26"/>
                <w:rtl/>
              </w:rPr>
            </w:pPr>
            <w:r w:rsidRPr="00861D83">
              <w:rPr>
                <w:rFonts w:ascii="Arial" w:hAnsi="Arial"/>
                <w:b/>
                <w:bCs/>
                <w:noProof w:val="0"/>
                <w:sz w:val="26"/>
                <w:szCs w:val="26"/>
                <w:rtl/>
              </w:rPr>
              <w:t xml:space="preserve">סלימאן </w:t>
            </w:r>
            <w:r w:rsidRPr="00861D83">
              <w:rPr>
                <w:rFonts w:ascii="Arial" w:hAnsi="Arial" w:hint="cs"/>
                <w:b/>
                <w:bCs/>
                <w:noProof w:val="0"/>
                <w:sz w:val="26"/>
                <w:szCs w:val="26"/>
                <w:rtl/>
              </w:rPr>
              <w:t xml:space="preserve">בן סאלם </w:t>
            </w:r>
            <w:r w:rsidRPr="00861D83">
              <w:rPr>
                <w:rFonts w:ascii="Arial" w:hAnsi="Arial"/>
                <w:b/>
                <w:bCs/>
                <w:noProof w:val="0"/>
                <w:sz w:val="26"/>
                <w:szCs w:val="26"/>
                <w:rtl/>
              </w:rPr>
              <w:t>אבו נוירה</w:t>
            </w:r>
          </w:p>
          <w:p w14:paraId="2F71BB71" w14:textId="77777777" w:rsidR="007336FF" w:rsidRPr="00861D83" w:rsidRDefault="007336FF" w:rsidP="00861D83">
            <w:pPr>
              <w:spacing w:before="120" w:after="120" w:line="240" w:lineRule="exact"/>
              <w:rPr>
                <w:b/>
                <w:bCs/>
                <w:noProof w:val="0"/>
                <w:sz w:val="26"/>
                <w:szCs w:val="26"/>
                <w:rtl/>
              </w:rPr>
            </w:pPr>
            <w:r w:rsidRPr="00861D83">
              <w:rPr>
                <w:rFonts w:hint="cs"/>
                <w:b/>
                <w:bCs/>
                <w:noProof w:val="0"/>
                <w:sz w:val="26"/>
                <w:szCs w:val="26"/>
                <w:rtl/>
              </w:rPr>
              <w:t>ע"י ב"כ עו"ד האיל אבו גרארה</w:t>
            </w:r>
          </w:p>
        </w:tc>
      </w:tr>
    </w:tbl>
    <w:p w14:paraId="1959C20D" w14:textId="77777777" w:rsidR="007336FF" w:rsidRPr="007C20F8" w:rsidRDefault="007336FF" w:rsidP="007336FF">
      <w:pPr>
        <w:suppressLineNumbers/>
      </w:pPr>
    </w:p>
    <w:p w14:paraId="23762CDD" w14:textId="77777777" w:rsidR="00861D83" w:rsidRPr="00861D83" w:rsidRDefault="00861D83" w:rsidP="00861D83">
      <w:pPr>
        <w:suppressLineNumbers/>
        <w:spacing w:before="120" w:after="120" w:line="240" w:lineRule="exact"/>
        <w:ind w:left="283" w:hanging="283"/>
        <w:jc w:val="both"/>
        <w:rPr>
          <w:rFonts w:ascii="FrankRuehl" w:hAnsi="FrankRuehl" w:cs="FrankRuehl"/>
          <w:rtl/>
        </w:rPr>
      </w:pPr>
      <w:bookmarkStart w:id="3" w:name="LawTable"/>
      <w:bookmarkEnd w:id="3"/>
      <w:r w:rsidRPr="00861D83">
        <w:rPr>
          <w:rFonts w:ascii="FrankRuehl" w:hAnsi="FrankRuehl" w:cs="FrankRuehl"/>
          <w:rtl/>
        </w:rPr>
        <w:t xml:space="preserve">חקיקה שאוזכרה: </w:t>
      </w:r>
    </w:p>
    <w:p w14:paraId="07A3E059" w14:textId="77777777" w:rsidR="00861D83" w:rsidRPr="00861D83" w:rsidRDefault="00861D83" w:rsidP="00861D83">
      <w:pPr>
        <w:suppressLineNumbers/>
        <w:spacing w:before="120" w:after="120" w:line="240" w:lineRule="exact"/>
        <w:ind w:left="283" w:hanging="283"/>
        <w:jc w:val="both"/>
        <w:rPr>
          <w:rFonts w:ascii="FrankRuehl" w:hAnsi="FrankRuehl" w:cs="FrankRuehl"/>
          <w:color w:val="0000FF"/>
          <w:u w:val="single"/>
          <w:rtl/>
        </w:rPr>
      </w:pPr>
      <w:hyperlink r:id="rId7" w:history="1">
        <w:r w:rsidRPr="00861D83">
          <w:rPr>
            <w:rStyle w:val="Hyperlink"/>
            <w:rFonts w:ascii="FrankRuehl" w:hAnsi="FrankRuehl" w:cs="FrankRuehl"/>
            <w:color w:val="0000FF"/>
            <w:rtl/>
          </w:rPr>
          <w:t>חוק העונשין, תשל"ז-1977</w:t>
        </w:r>
      </w:hyperlink>
      <w:r w:rsidRPr="00861D83">
        <w:rPr>
          <w:rFonts w:ascii="FrankRuehl" w:hAnsi="FrankRuehl" w:cs="FrankRuehl"/>
          <w:color w:val="0000FF"/>
          <w:u w:val="single"/>
          <w:rtl/>
        </w:rPr>
        <w:t xml:space="preserve">: סע'  </w:t>
      </w:r>
      <w:hyperlink r:id="rId8" w:history="1">
        <w:r w:rsidRPr="00861D83">
          <w:rPr>
            <w:rStyle w:val="Hyperlink"/>
            <w:rFonts w:ascii="FrankRuehl" w:hAnsi="FrankRuehl" w:cs="FrankRuehl"/>
            <w:color w:val="0000FF"/>
          </w:rPr>
          <w:t>176</w:t>
        </w:r>
      </w:hyperlink>
    </w:p>
    <w:p w14:paraId="34E26371" w14:textId="77777777" w:rsidR="00861D83" w:rsidRPr="00861D83" w:rsidRDefault="00861D83" w:rsidP="00861D83">
      <w:pPr>
        <w:suppressLineNumbers/>
        <w:spacing w:before="120" w:after="120" w:line="240" w:lineRule="exact"/>
        <w:ind w:left="283" w:hanging="283"/>
        <w:jc w:val="both"/>
        <w:rPr>
          <w:rFonts w:ascii="FrankRuehl" w:hAnsi="FrankRuehl" w:cs="FrankRuehl"/>
          <w:color w:val="0000FF"/>
          <w:u w:val="single"/>
          <w:rtl/>
        </w:rPr>
      </w:pPr>
      <w:hyperlink r:id="rId9" w:history="1">
        <w:r w:rsidRPr="00861D83">
          <w:rPr>
            <w:rStyle w:val="Hyperlink"/>
            <w:rFonts w:ascii="FrankRuehl" w:hAnsi="FrankRuehl" w:cs="FrankRuehl"/>
            <w:color w:val="0000FF"/>
            <w:rtl/>
          </w:rPr>
          <w:t>פקודת הסמים המסוכנים [נוסח חדש], תשל"ג-1973</w:t>
        </w:r>
      </w:hyperlink>
    </w:p>
    <w:p w14:paraId="6C0DA6DD" w14:textId="77777777" w:rsidR="007336FF" w:rsidRDefault="007336FF" w:rsidP="00861D83">
      <w:pPr>
        <w:suppressLineNumbers/>
        <w:rPr>
          <w:rFonts w:hint="cs"/>
          <w:rtl/>
        </w:rPr>
      </w:pPr>
      <w:bookmarkStart w:id="4" w:name="LawTable_End"/>
      <w:bookmarkEnd w:id="4"/>
    </w:p>
    <w:p w14:paraId="62C74AB1" w14:textId="77777777" w:rsidR="00077F48" w:rsidRDefault="00077F48" w:rsidP="00077F48">
      <w:pPr>
        <w:pBdr>
          <w:top w:val="single" w:sz="4" w:space="1" w:color="auto"/>
          <w:bottom w:val="single" w:sz="4" w:space="1" w:color="auto"/>
        </w:pBdr>
        <w:spacing w:after="120" w:line="320" w:lineRule="exact"/>
        <w:jc w:val="both"/>
        <w:rPr>
          <w:rFonts w:cs="FrankRuehl" w:hint="cs"/>
          <w:szCs w:val="26"/>
          <w:rtl/>
        </w:rPr>
      </w:pPr>
      <w:bookmarkStart w:id="5" w:name="ABSTRACT_START"/>
      <w:bookmarkEnd w:id="5"/>
      <w:r>
        <w:rPr>
          <w:rFonts w:cs="FrankRuehl"/>
          <w:szCs w:val="26"/>
          <w:rtl/>
        </w:rPr>
        <w:t>מיני-רציו:</w:t>
      </w:r>
    </w:p>
    <w:p w14:paraId="12896369" w14:textId="77777777" w:rsidR="00077F48" w:rsidRPr="00077F48" w:rsidRDefault="00077F48" w:rsidP="00077F48">
      <w:pPr>
        <w:pBdr>
          <w:top w:val="single" w:sz="4" w:space="1" w:color="auto"/>
          <w:bottom w:val="single" w:sz="4" w:space="1" w:color="auto"/>
        </w:pBdr>
        <w:spacing w:after="120" w:line="320" w:lineRule="exact"/>
        <w:jc w:val="both"/>
        <w:rPr>
          <w:rFonts w:cs="FrankRuehl"/>
          <w:szCs w:val="26"/>
        </w:rPr>
      </w:pPr>
      <w:r>
        <w:rPr>
          <w:rFonts w:cs="FrankRuehl" w:hint="cs"/>
          <w:szCs w:val="26"/>
          <w:rtl/>
        </w:rPr>
        <w:t xml:space="preserve">* </w:t>
      </w:r>
      <w:r w:rsidRPr="00077F48">
        <w:rPr>
          <w:rFonts w:cs="FrankRuehl"/>
          <w:szCs w:val="26"/>
          <w:rtl/>
        </w:rPr>
        <w:t>9 ח</w:t>
      </w:r>
      <w:r w:rsidRPr="00077F48">
        <w:rPr>
          <w:rFonts w:cs="FrankRuehl" w:hint="cs"/>
          <w:szCs w:val="26"/>
          <w:rtl/>
        </w:rPr>
        <w:t>ו</w:t>
      </w:r>
      <w:r w:rsidRPr="00077F48">
        <w:rPr>
          <w:rFonts w:cs="FrankRuehl"/>
          <w:szCs w:val="26"/>
          <w:rtl/>
        </w:rPr>
        <w:t>דשי</w:t>
      </w:r>
      <w:r w:rsidRPr="00077F48">
        <w:rPr>
          <w:rFonts w:cs="FrankRuehl" w:hint="cs"/>
          <w:szCs w:val="26"/>
          <w:rtl/>
        </w:rPr>
        <w:t>ם</w:t>
      </w:r>
      <w:r w:rsidRPr="00077F48">
        <w:rPr>
          <w:rFonts w:cs="FrankRuehl"/>
          <w:szCs w:val="26"/>
          <w:rtl/>
        </w:rPr>
        <w:t xml:space="preserve"> מאסר בפועל;</w:t>
      </w:r>
      <w:r w:rsidRPr="00077F48">
        <w:rPr>
          <w:rFonts w:cs="FrankRuehl" w:hint="cs"/>
          <w:szCs w:val="26"/>
          <w:rtl/>
        </w:rPr>
        <w:t xml:space="preserve"> </w:t>
      </w:r>
      <w:r w:rsidRPr="00077F48">
        <w:rPr>
          <w:rFonts w:cs="FrankRuehl"/>
          <w:szCs w:val="26"/>
          <w:rtl/>
        </w:rPr>
        <w:t xml:space="preserve">מאסר על תנאי, קנס בסך </w:t>
      </w:r>
      <w:r w:rsidRPr="00077F48">
        <w:rPr>
          <w:rFonts w:cs="FrankRuehl" w:hint="cs"/>
          <w:szCs w:val="26"/>
          <w:rtl/>
        </w:rPr>
        <w:t>10</w:t>
      </w:r>
      <w:r w:rsidRPr="00077F48">
        <w:rPr>
          <w:rFonts w:cs="FrankRuehl"/>
          <w:szCs w:val="26"/>
          <w:rtl/>
        </w:rPr>
        <w:t>,000 ₪</w:t>
      </w:r>
      <w:r w:rsidRPr="00077F48">
        <w:rPr>
          <w:rFonts w:cs="FrankRuehl" w:hint="cs"/>
          <w:szCs w:val="26"/>
          <w:rtl/>
        </w:rPr>
        <w:t xml:space="preserve">, גזר בית המשפט על הנאשם שהורשע על פי הודאתו בעבירה </w:t>
      </w:r>
      <w:r w:rsidRPr="00077F48">
        <w:rPr>
          <w:rFonts w:cs="FrankRuehl" w:hint="cs"/>
          <w:noProof w:val="0"/>
          <w:szCs w:val="26"/>
          <w:rtl/>
        </w:rPr>
        <w:t xml:space="preserve">של ריבוי נישואין, </w:t>
      </w:r>
      <w:r w:rsidRPr="00077F48">
        <w:rPr>
          <w:rFonts w:cs="FrankRuehl"/>
          <w:szCs w:val="26"/>
          <w:rtl/>
        </w:rPr>
        <w:t xml:space="preserve">בניגוד </w:t>
      </w:r>
      <w:hyperlink r:id="rId10" w:history="1">
        <w:r w:rsidRPr="00077F48">
          <w:rPr>
            <w:rStyle w:val="Hyperlink"/>
            <w:rFonts w:cs="FrankRuehl"/>
            <w:color w:val="auto"/>
            <w:szCs w:val="26"/>
            <w:u w:val="none"/>
            <w:rtl/>
          </w:rPr>
          <w:t>לסעיף 176</w:t>
        </w:r>
      </w:hyperlink>
      <w:r w:rsidRPr="00077F48">
        <w:rPr>
          <w:rFonts w:cs="FrankRuehl"/>
          <w:szCs w:val="26"/>
          <w:rtl/>
        </w:rPr>
        <w:t xml:space="preserve"> ל</w:t>
      </w:r>
      <w:hyperlink r:id="rId11" w:history="1">
        <w:r w:rsidRPr="00077F48">
          <w:rPr>
            <w:rFonts w:cs="FrankRuehl" w:hint="eastAsia"/>
            <w:szCs w:val="26"/>
            <w:rtl/>
          </w:rPr>
          <w:t>חוק</w:t>
        </w:r>
        <w:r w:rsidRPr="00077F48">
          <w:rPr>
            <w:rFonts w:cs="FrankRuehl"/>
            <w:szCs w:val="26"/>
            <w:rtl/>
          </w:rPr>
          <w:t xml:space="preserve"> </w:t>
        </w:r>
        <w:r w:rsidRPr="00077F48">
          <w:rPr>
            <w:rFonts w:cs="FrankRuehl" w:hint="eastAsia"/>
            <w:szCs w:val="26"/>
            <w:rtl/>
          </w:rPr>
          <w:t>העונשין</w:t>
        </w:r>
      </w:hyperlink>
      <w:r w:rsidRPr="00077F48">
        <w:rPr>
          <w:rFonts w:cs="FrankRuehl" w:hint="cs"/>
          <w:szCs w:val="26"/>
          <w:rtl/>
        </w:rPr>
        <w:t xml:space="preserve">. </w:t>
      </w:r>
    </w:p>
    <w:p w14:paraId="3BB77754" w14:textId="77777777" w:rsidR="00077F48" w:rsidRDefault="00077F48" w:rsidP="00077F48">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ענישה – מדיניות ענישה: ריבוי נישואין</w:t>
      </w:r>
    </w:p>
    <w:p w14:paraId="0869B699" w14:textId="77777777" w:rsidR="00077F48" w:rsidRDefault="00077F48" w:rsidP="00077F48">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5A8EC055" w14:textId="77777777" w:rsidR="00077F48" w:rsidRPr="00077F48" w:rsidRDefault="00077F48" w:rsidP="00077F48">
      <w:pPr>
        <w:pBdr>
          <w:top w:val="single" w:sz="4" w:space="1" w:color="auto"/>
          <w:bottom w:val="single" w:sz="4" w:space="1" w:color="auto"/>
        </w:pBdr>
        <w:spacing w:after="120" w:line="320" w:lineRule="exact"/>
        <w:jc w:val="both"/>
        <w:rPr>
          <w:rFonts w:cs="FrankRuehl"/>
          <w:szCs w:val="26"/>
          <w:rtl/>
        </w:rPr>
      </w:pPr>
      <w:r w:rsidRPr="00077F48">
        <w:rPr>
          <w:rFonts w:cs="FrankRuehl" w:hint="cs"/>
          <w:noProof w:val="0"/>
          <w:szCs w:val="26"/>
          <w:rtl/>
        </w:rPr>
        <w:t xml:space="preserve">הנאשם נותן את הדין בגין עבירה של ריבוי נישואין, </w:t>
      </w:r>
      <w:r w:rsidRPr="00077F48">
        <w:rPr>
          <w:rFonts w:cs="FrankRuehl"/>
          <w:szCs w:val="26"/>
          <w:rtl/>
        </w:rPr>
        <w:t xml:space="preserve">בניגוד </w:t>
      </w:r>
      <w:hyperlink r:id="rId12" w:history="1">
        <w:r w:rsidRPr="00077F48">
          <w:rPr>
            <w:rStyle w:val="Hyperlink"/>
            <w:rFonts w:cs="FrankRuehl"/>
            <w:color w:val="auto"/>
            <w:szCs w:val="26"/>
            <w:u w:val="none"/>
            <w:rtl/>
          </w:rPr>
          <w:t>לסעיף 176</w:t>
        </w:r>
      </w:hyperlink>
      <w:r w:rsidRPr="00077F48">
        <w:rPr>
          <w:rFonts w:cs="FrankRuehl"/>
          <w:szCs w:val="26"/>
          <w:rtl/>
        </w:rPr>
        <w:t xml:space="preserve"> ל</w:t>
      </w:r>
      <w:hyperlink r:id="rId13" w:history="1">
        <w:r w:rsidRPr="00077F48">
          <w:rPr>
            <w:rFonts w:cs="FrankRuehl" w:hint="eastAsia"/>
            <w:szCs w:val="26"/>
            <w:rtl/>
          </w:rPr>
          <w:t>חוק</w:t>
        </w:r>
        <w:r w:rsidRPr="00077F48">
          <w:rPr>
            <w:rFonts w:cs="FrankRuehl"/>
            <w:szCs w:val="26"/>
            <w:rtl/>
          </w:rPr>
          <w:t xml:space="preserve"> </w:t>
        </w:r>
        <w:r w:rsidRPr="00077F48">
          <w:rPr>
            <w:rFonts w:cs="FrankRuehl" w:hint="eastAsia"/>
            <w:szCs w:val="26"/>
            <w:rtl/>
          </w:rPr>
          <w:t>העונשין</w:t>
        </w:r>
      </w:hyperlink>
      <w:r w:rsidRPr="00077F48">
        <w:rPr>
          <w:rFonts w:cs="FrankRuehl" w:hint="cs"/>
          <w:szCs w:val="26"/>
          <w:rtl/>
        </w:rPr>
        <w:t>. על פי כתב האישום בו הודה הנאשם, בהיותו נשוי לאשה, ערך חוזה נישואין, בהתאם לדין השרעי, עם אשה נוספת, ובעקבות כך פנה הנאשם אל בית הדין השרעי בבאר שבע, בבקשה לאשרר את הנישואין לאשה השניה ובית הדין השרעי נעתר לבקשה.</w:t>
      </w:r>
    </w:p>
    <w:p w14:paraId="317551EC" w14:textId="77777777" w:rsidR="00077F48" w:rsidRPr="00077F48" w:rsidRDefault="00077F48" w:rsidP="00077F48">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7CD4AACA" w14:textId="77777777" w:rsidR="00077F48" w:rsidRPr="00077F48" w:rsidRDefault="00077F48" w:rsidP="00077F48">
      <w:pPr>
        <w:pBdr>
          <w:top w:val="single" w:sz="4" w:space="1" w:color="auto"/>
          <w:bottom w:val="single" w:sz="4" w:space="1" w:color="auto"/>
        </w:pBdr>
        <w:spacing w:after="120" w:line="320" w:lineRule="exact"/>
        <w:jc w:val="both"/>
        <w:rPr>
          <w:rFonts w:cs="FrankRuehl"/>
          <w:szCs w:val="26"/>
          <w:rtl/>
        </w:rPr>
      </w:pPr>
      <w:r w:rsidRPr="00077F48">
        <w:rPr>
          <w:rFonts w:cs="FrankRuehl" w:hint="cs"/>
          <w:szCs w:val="26"/>
          <w:rtl/>
        </w:rPr>
        <w:t>בית המשפט פסק כלהלן:</w:t>
      </w:r>
    </w:p>
    <w:p w14:paraId="05A90258" w14:textId="77777777" w:rsidR="00077F48" w:rsidRPr="00077F48" w:rsidRDefault="00077F48" w:rsidP="00077F48">
      <w:pPr>
        <w:pBdr>
          <w:top w:val="single" w:sz="4" w:space="1" w:color="auto"/>
          <w:bottom w:val="single" w:sz="4" w:space="1" w:color="auto"/>
        </w:pBdr>
        <w:spacing w:after="120" w:line="320" w:lineRule="exact"/>
        <w:jc w:val="both"/>
        <w:rPr>
          <w:rFonts w:cs="FrankRuehl"/>
          <w:szCs w:val="26"/>
          <w:rtl/>
        </w:rPr>
      </w:pPr>
      <w:r w:rsidRPr="00077F48">
        <w:rPr>
          <w:rFonts w:cs="FrankRuehl" w:hint="cs"/>
          <w:szCs w:val="26"/>
          <w:rtl/>
        </w:rPr>
        <w:t xml:space="preserve">בהתאם לפסיקת בתי המשפט יש </w:t>
      </w:r>
      <w:r w:rsidRPr="00077F48">
        <w:rPr>
          <w:rFonts w:cs="FrankRuehl"/>
          <w:szCs w:val="26"/>
          <w:rtl/>
        </w:rPr>
        <w:t>להחיל</w:t>
      </w:r>
      <w:r w:rsidRPr="00077F48">
        <w:rPr>
          <w:rFonts w:cs="FrankRuehl" w:hint="cs"/>
          <w:szCs w:val="26"/>
          <w:rtl/>
        </w:rPr>
        <w:t xml:space="preserve"> בגין עבירה </w:t>
      </w:r>
      <w:r w:rsidRPr="00077F48">
        <w:rPr>
          <w:rFonts w:cs="FrankRuehl" w:hint="cs"/>
          <w:noProof w:val="0"/>
          <w:szCs w:val="26"/>
          <w:rtl/>
        </w:rPr>
        <w:t xml:space="preserve">של ריבוי נישואין, </w:t>
      </w:r>
      <w:r w:rsidRPr="00077F48">
        <w:rPr>
          <w:rFonts w:cs="FrankRuehl"/>
          <w:szCs w:val="26"/>
          <w:rtl/>
        </w:rPr>
        <w:t>מתחם ענישה מחמיר, שינוע בין 7 – 18 חדשי מאסר בפועל, בכליאה ממשית.</w:t>
      </w:r>
    </w:p>
    <w:p w14:paraId="3FCBA04B" w14:textId="77777777" w:rsidR="00077F48" w:rsidRPr="00077F48" w:rsidRDefault="00077F48" w:rsidP="00077F48">
      <w:pPr>
        <w:pBdr>
          <w:top w:val="single" w:sz="4" w:space="1" w:color="auto"/>
          <w:bottom w:val="single" w:sz="4" w:space="1" w:color="auto"/>
        </w:pBdr>
        <w:spacing w:after="120" w:line="320" w:lineRule="exact"/>
        <w:jc w:val="both"/>
        <w:rPr>
          <w:rFonts w:cs="FrankRuehl"/>
          <w:szCs w:val="26"/>
          <w:rtl/>
        </w:rPr>
      </w:pPr>
      <w:r w:rsidRPr="00077F48">
        <w:rPr>
          <w:rFonts w:cs="FrankRuehl" w:hint="cs"/>
          <w:szCs w:val="26"/>
          <w:rtl/>
        </w:rPr>
        <w:t xml:space="preserve">במקרה דנן </w:t>
      </w:r>
      <w:r w:rsidRPr="00077F48">
        <w:rPr>
          <w:rFonts w:cs="FrankRuehl"/>
          <w:szCs w:val="26"/>
          <w:rtl/>
        </w:rPr>
        <w:t>–</w:t>
      </w:r>
      <w:r w:rsidRPr="00077F48">
        <w:rPr>
          <w:rFonts w:cs="FrankRuehl" w:hint="cs"/>
          <w:szCs w:val="26"/>
          <w:rtl/>
        </w:rPr>
        <w:t xml:space="preserve"> לא נמצאו נסיבות מיוחדות, המצדיקות סטיה ממתחם הענישה. </w:t>
      </w:r>
    </w:p>
    <w:p w14:paraId="01D12B2D" w14:textId="77777777" w:rsidR="00077F48" w:rsidRPr="00077F48" w:rsidRDefault="00077F48" w:rsidP="00077F48">
      <w:pPr>
        <w:pBdr>
          <w:top w:val="single" w:sz="4" w:space="1" w:color="auto"/>
          <w:bottom w:val="single" w:sz="4" w:space="1" w:color="auto"/>
        </w:pBdr>
        <w:spacing w:after="120" w:line="320" w:lineRule="exact"/>
        <w:jc w:val="both"/>
        <w:rPr>
          <w:rFonts w:cs="FrankRuehl"/>
          <w:szCs w:val="26"/>
          <w:rtl/>
        </w:rPr>
      </w:pPr>
      <w:r w:rsidRPr="00077F48">
        <w:rPr>
          <w:rFonts w:cs="FrankRuehl" w:hint="cs"/>
          <w:szCs w:val="26"/>
          <w:rtl/>
        </w:rPr>
        <w:lastRenderedPageBreak/>
        <w:t xml:space="preserve">אין ליתן משקל, במקרה דנן, לעמדת נשותיו של הנאשם או להסכמת האשה הראשונה לנישואין השניים. ברי, כי כלל הצדדים פעלו במסגרת הרקע התרבותי שהוא כור מחצבתם ובמסגרת זו, הגיוני, כי מי מהם אינו רואה פסול מוסרי בנישואין הנוספים. אלא, זו בדיוק התופעה שהחוק </w:t>
      </w:r>
      <w:r w:rsidRPr="00077F48">
        <w:rPr>
          <w:rFonts w:cs="FrankRuehl"/>
          <w:szCs w:val="26"/>
          <w:rtl/>
        </w:rPr>
        <w:t>–</w:t>
      </w:r>
      <w:r w:rsidRPr="00077F48">
        <w:rPr>
          <w:rFonts w:cs="FrankRuehl" w:hint="cs"/>
          <w:szCs w:val="26"/>
          <w:rtl/>
        </w:rPr>
        <w:t xml:space="preserve"> על מדיניות האכיפה הנוכחית </w:t>
      </w:r>
      <w:r w:rsidRPr="00077F48">
        <w:rPr>
          <w:rFonts w:cs="FrankRuehl"/>
          <w:szCs w:val="26"/>
          <w:rtl/>
        </w:rPr>
        <w:t>–</w:t>
      </w:r>
      <w:r w:rsidRPr="00077F48">
        <w:rPr>
          <w:rFonts w:cs="FrankRuehl" w:hint="cs"/>
          <w:szCs w:val="26"/>
          <w:rtl/>
        </w:rPr>
        <w:t xml:space="preserve"> בא למגר.</w:t>
      </w:r>
    </w:p>
    <w:p w14:paraId="50720D3A" w14:textId="77777777" w:rsidR="00077F48" w:rsidRDefault="00077F48" w:rsidP="00861D83">
      <w:pPr>
        <w:suppressLineNumbers/>
        <w:rPr>
          <w:rFonts w:hint="cs"/>
          <w:rtl/>
        </w:rPr>
      </w:pPr>
      <w:bookmarkStart w:id="6" w:name="ABSTRACT_END"/>
      <w:bookmarkEnd w:id="6"/>
    </w:p>
    <w:p w14:paraId="42724689" w14:textId="77777777" w:rsidR="00077F48" w:rsidRPr="00861D83" w:rsidRDefault="00077F48" w:rsidP="00861D83">
      <w:pPr>
        <w:suppressLineNumbers/>
        <w:rPr>
          <w:rFonts w:hint="cs"/>
        </w:rPr>
      </w:pPr>
    </w:p>
    <w:tbl>
      <w:tblPr>
        <w:bidiVisual/>
        <w:tblW w:w="8820" w:type="dxa"/>
        <w:jc w:val="center"/>
        <w:tblLook w:val="01E0" w:firstRow="1" w:lastRow="1" w:firstColumn="1" w:lastColumn="1" w:noHBand="0" w:noVBand="0"/>
      </w:tblPr>
      <w:tblGrid>
        <w:gridCol w:w="8820"/>
      </w:tblGrid>
      <w:tr w:rsidR="007336FF" w14:paraId="7E618AAE" w14:textId="77777777" w:rsidTr="007336FF">
        <w:trPr>
          <w:jc w:val="center"/>
        </w:trPr>
        <w:tc>
          <w:tcPr>
            <w:tcW w:w="8820" w:type="dxa"/>
            <w:shd w:val="clear" w:color="auto" w:fill="auto"/>
          </w:tcPr>
          <w:p w14:paraId="3508C5CB" w14:textId="77777777" w:rsidR="007C20F8" w:rsidRPr="007C20F8" w:rsidRDefault="007C20F8" w:rsidP="007C20F8">
            <w:pPr>
              <w:bidi w:val="0"/>
              <w:jc w:val="center"/>
              <w:rPr>
                <w:rFonts w:ascii="Arial" w:hAnsi="Arial"/>
                <w:b/>
                <w:bCs/>
                <w:noProof w:val="0"/>
                <w:sz w:val="28"/>
                <w:szCs w:val="28"/>
                <w:u w:val="single"/>
              </w:rPr>
            </w:pPr>
            <w:bookmarkStart w:id="7" w:name="PsakDin" w:colFirst="0" w:colLast="0"/>
            <w:bookmarkEnd w:id="0"/>
            <w:r w:rsidRPr="007C20F8">
              <w:rPr>
                <w:rFonts w:ascii="Arial" w:hAnsi="Arial"/>
                <w:b/>
                <w:bCs/>
                <w:noProof w:val="0"/>
                <w:sz w:val="28"/>
                <w:szCs w:val="28"/>
                <w:u w:val="single"/>
                <w:rtl/>
              </w:rPr>
              <w:t>גזר דין</w:t>
            </w:r>
          </w:p>
          <w:p w14:paraId="2C98D649" w14:textId="77777777" w:rsidR="007336FF" w:rsidRPr="007C20F8" w:rsidRDefault="007336FF" w:rsidP="007C20F8">
            <w:pPr>
              <w:bidi w:val="0"/>
              <w:jc w:val="center"/>
              <w:rPr>
                <w:rFonts w:ascii="Arial" w:hAnsi="Arial"/>
                <w:b/>
                <w:bCs/>
                <w:noProof w:val="0"/>
                <w:sz w:val="28"/>
                <w:szCs w:val="28"/>
                <w:u w:val="single"/>
              </w:rPr>
            </w:pPr>
          </w:p>
        </w:tc>
      </w:tr>
      <w:bookmarkEnd w:id="7"/>
    </w:tbl>
    <w:p w14:paraId="7F121F15" w14:textId="77777777" w:rsidR="007336FF" w:rsidRDefault="007336FF" w:rsidP="007336FF">
      <w:pPr>
        <w:spacing w:line="360" w:lineRule="auto"/>
        <w:jc w:val="both"/>
        <w:rPr>
          <w:rFonts w:ascii="Arial" w:hAnsi="Arial"/>
          <w:noProof w:val="0"/>
          <w:rtl/>
        </w:rPr>
      </w:pPr>
    </w:p>
    <w:p w14:paraId="753F5BCA" w14:textId="77777777" w:rsidR="007336FF" w:rsidRPr="002B25D4" w:rsidRDefault="007336FF" w:rsidP="007336FF">
      <w:pPr>
        <w:spacing w:line="360" w:lineRule="auto"/>
        <w:jc w:val="both"/>
        <w:rPr>
          <w:rFonts w:ascii="Arial" w:hAnsi="Arial"/>
          <w:b/>
          <w:bCs/>
          <w:noProof w:val="0"/>
          <w:rtl/>
        </w:rPr>
      </w:pPr>
      <w:r w:rsidRPr="002B25D4">
        <w:rPr>
          <w:rFonts w:ascii="Arial" w:hAnsi="Arial" w:hint="cs"/>
          <w:b/>
          <w:bCs/>
          <w:noProof w:val="0"/>
          <w:rtl/>
        </w:rPr>
        <w:t>כתב האישום והשתלשלות הדיון</w:t>
      </w:r>
    </w:p>
    <w:p w14:paraId="1AB15BA2" w14:textId="77777777" w:rsidR="007336FF" w:rsidRDefault="007336FF" w:rsidP="007336FF">
      <w:pPr>
        <w:spacing w:line="360" w:lineRule="auto"/>
        <w:jc w:val="both"/>
        <w:rPr>
          <w:rFonts w:ascii="Arial" w:hAnsi="Arial"/>
          <w:noProof w:val="0"/>
          <w:rtl/>
        </w:rPr>
      </w:pPr>
    </w:p>
    <w:p w14:paraId="21150416" w14:textId="77777777" w:rsidR="007336FF" w:rsidRDefault="007336FF" w:rsidP="007336FF">
      <w:pPr>
        <w:spacing w:line="360" w:lineRule="auto"/>
        <w:jc w:val="both"/>
        <w:rPr>
          <w:rFonts w:ascii="Arial" w:hAnsi="Arial"/>
          <w:noProof w:val="0"/>
          <w:rtl/>
        </w:rPr>
      </w:pPr>
      <w:r>
        <w:rPr>
          <w:rFonts w:ascii="Arial" w:hAnsi="Arial" w:hint="cs"/>
          <w:noProof w:val="0"/>
          <w:rtl/>
        </w:rPr>
        <w:t xml:space="preserve">הנאשם שלפני נותן את הדין בגין עבירה של ריבוי נישואין, </w:t>
      </w:r>
      <w:r>
        <w:rPr>
          <w:rtl/>
        </w:rPr>
        <w:t xml:space="preserve">בניגוד </w:t>
      </w:r>
      <w:hyperlink r:id="rId14" w:history="1">
        <w:r w:rsidR="006F3ADE" w:rsidRPr="006F3ADE">
          <w:rPr>
            <w:rStyle w:val="Hyperlink"/>
            <w:color w:val="0000FF"/>
            <w:rtl/>
          </w:rPr>
          <w:t>לסעיף 176</w:t>
        </w:r>
      </w:hyperlink>
      <w:r>
        <w:rPr>
          <w:rtl/>
        </w:rPr>
        <w:t xml:space="preserve"> </w:t>
      </w:r>
      <w:r>
        <w:rPr>
          <w:rFonts w:ascii="Calibri" w:hAnsi="Calibri"/>
          <w:rtl/>
        </w:rPr>
        <w:t>ל</w:t>
      </w:r>
      <w:hyperlink r:id="rId15" w:history="1">
        <w:r w:rsidR="007C20F8" w:rsidRPr="007C20F8">
          <w:rPr>
            <w:rFonts w:ascii="Calibri" w:hAnsi="Calibri" w:hint="eastAsia"/>
            <w:color w:val="0000FF"/>
            <w:u w:val="single"/>
            <w:rtl/>
          </w:rPr>
          <w:t>חוק</w:t>
        </w:r>
        <w:r w:rsidR="007C20F8" w:rsidRPr="007C20F8">
          <w:rPr>
            <w:rFonts w:ascii="Calibri" w:hAnsi="Calibri"/>
            <w:color w:val="0000FF"/>
            <w:u w:val="single"/>
            <w:rtl/>
          </w:rPr>
          <w:t xml:space="preserve"> </w:t>
        </w:r>
        <w:r w:rsidR="007C20F8" w:rsidRPr="007C20F8">
          <w:rPr>
            <w:rFonts w:ascii="Calibri" w:hAnsi="Calibri" w:hint="eastAsia"/>
            <w:color w:val="0000FF"/>
            <w:u w:val="single"/>
            <w:rtl/>
          </w:rPr>
          <w:t>העונשין</w:t>
        </w:r>
      </w:hyperlink>
      <w:r>
        <w:rPr>
          <w:rFonts w:ascii="Calibri" w:hAnsi="Calibri"/>
          <w:rtl/>
        </w:rPr>
        <w:t>, תשל"ז-1977</w:t>
      </w:r>
      <w:r>
        <w:rPr>
          <w:rFonts w:ascii="Arial" w:hAnsi="Arial"/>
          <w:rtl/>
        </w:rPr>
        <w:t>.</w:t>
      </w:r>
    </w:p>
    <w:p w14:paraId="3E4A763E" w14:textId="77777777" w:rsidR="007336FF" w:rsidRDefault="007336FF" w:rsidP="007336FF">
      <w:pPr>
        <w:spacing w:line="360" w:lineRule="auto"/>
        <w:jc w:val="both"/>
        <w:rPr>
          <w:rFonts w:ascii="Arial" w:hAnsi="Arial"/>
          <w:noProof w:val="0"/>
          <w:rtl/>
        </w:rPr>
      </w:pPr>
    </w:p>
    <w:p w14:paraId="49A6EF7B" w14:textId="77777777" w:rsidR="007336FF" w:rsidRDefault="007336FF" w:rsidP="007336FF">
      <w:pPr>
        <w:spacing w:line="360" w:lineRule="auto"/>
        <w:jc w:val="both"/>
        <w:rPr>
          <w:rFonts w:ascii="Calibri" w:hAnsi="Calibri"/>
          <w:rtl/>
        </w:rPr>
      </w:pPr>
      <w:r>
        <w:rPr>
          <w:rFonts w:ascii="Calibri" w:hAnsi="Calibri"/>
          <w:rtl/>
        </w:rPr>
        <w:t xml:space="preserve">בהתאם לעובדות כתב האישום, בהן </w:t>
      </w:r>
      <w:r>
        <w:rPr>
          <w:rFonts w:ascii="Calibri" w:hAnsi="Calibri" w:hint="cs"/>
          <w:rtl/>
        </w:rPr>
        <w:t xml:space="preserve">הודה הנאשם כפי שהן והורשע על פי הודאתו, בהיותו נשוי לזינב אבו נוירה, ילידת 1981, אשר נישאה לו בשנת 2001 (להלן: </w:t>
      </w:r>
      <w:r>
        <w:rPr>
          <w:rFonts w:ascii="Calibri" w:hAnsi="Calibri" w:hint="cs"/>
          <w:b/>
          <w:bCs/>
          <w:rtl/>
        </w:rPr>
        <w:t>"הא</w:t>
      </w:r>
      <w:r w:rsidRPr="00261E77">
        <w:rPr>
          <w:rFonts w:ascii="Calibri" w:hAnsi="Calibri" w:hint="cs"/>
          <w:b/>
          <w:bCs/>
          <w:rtl/>
        </w:rPr>
        <w:t>שה הראשונה</w:t>
      </w:r>
      <w:r>
        <w:rPr>
          <w:rFonts w:ascii="Calibri" w:hAnsi="Calibri" w:hint="cs"/>
          <w:b/>
          <w:bCs/>
          <w:rtl/>
        </w:rPr>
        <w:t>"</w:t>
      </w:r>
      <w:r>
        <w:rPr>
          <w:rFonts w:ascii="Calibri" w:hAnsi="Calibri" w:hint="cs"/>
          <w:rtl/>
        </w:rPr>
        <w:t xml:space="preserve">), ערך, בתאריך 03.02.2017, חוזה נישואין, בהתאם לדין השרעי, עם אשה נוספת, כותאר אבו עפאש, ילידת 1991 (להלן: </w:t>
      </w:r>
      <w:r w:rsidRPr="00261E77">
        <w:rPr>
          <w:rFonts w:ascii="Calibri" w:hAnsi="Calibri" w:hint="cs"/>
          <w:b/>
          <w:bCs/>
          <w:rtl/>
        </w:rPr>
        <w:t>"האשה השניה</w:t>
      </w:r>
      <w:r>
        <w:rPr>
          <w:rFonts w:ascii="Calibri" w:hAnsi="Calibri" w:hint="cs"/>
          <w:rtl/>
        </w:rPr>
        <w:t xml:space="preserve">"). ביום 03.07.2017, פנה הנאשם אל בית הדין השרעי בבאר שבע, בבקשה לאשרר את הנישואין לאשה השניה וביום 06.07.2017 </w:t>
      </w:r>
      <w:r>
        <w:rPr>
          <w:rFonts w:ascii="Calibri" w:hAnsi="Calibri"/>
          <w:rtl/>
        </w:rPr>
        <w:t>–</w:t>
      </w:r>
      <w:r>
        <w:rPr>
          <w:rFonts w:ascii="Calibri" w:hAnsi="Calibri" w:hint="cs"/>
          <w:rtl/>
        </w:rPr>
        <w:t xml:space="preserve"> נעתר בית הדין לבקשה. </w:t>
      </w:r>
    </w:p>
    <w:p w14:paraId="243E1C0D" w14:textId="77777777" w:rsidR="007336FF" w:rsidRDefault="007336FF" w:rsidP="007336FF">
      <w:pPr>
        <w:spacing w:line="360" w:lineRule="auto"/>
        <w:jc w:val="both"/>
        <w:rPr>
          <w:rFonts w:ascii="Calibri" w:hAnsi="Calibri"/>
          <w:rtl/>
        </w:rPr>
      </w:pPr>
    </w:p>
    <w:p w14:paraId="7DC6D471" w14:textId="77777777" w:rsidR="007336FF" w:rsidRDefault="007336FF" w:rsidP="007336FF">
      <w:pPr>
        <w:spacing w:line="360" w:lineRule="auto"/>
        <w:jc w:val="both"/>
        <w:rPr>
          <w:rFonts w:ascii="Calibri" w:hAnsi="Calibri"/>
          <w:rtl/>
        </w:rPr>
      </w:pPr>
      <w:r>
        <w:rPr>
          <w:rFonts w:ascii="Calibri" w:hAnsi="Calibri" w:hint="cs"/>
          <w:rtl/>
        </w:rPr>
        <w:t xml:space="preserve">ההגנה כפרה באשמה, אך במועד שנקבע לשמיעת הראיות </w:t>
      </w:r>
      <w:r>
        <w:rPr>
          <w:rFonts w:ascii="Calibri" w:hAnsi="Calibri"/>
          <w:rtl/>
        </w:rPr>
        <w:t>–</w:t>
      </w:r>
      <w:r>
        <w:rPr>
          <w:rFonts w:ascii="Calibri" w:hAnsi="Calibri" w:hint="cs"/>
          <w:rtl/>
        </w:rPr>
        <w:t xml:space="preserve"> הודיע הסניגור, כי הנאשם מבקש לחזור בו מכפירתו ומודה בעובדות ובעבירה שבכתב האישום, כפי שהוא. </w:t>
      </w:r>
    </w:p>
    <w:p w14:paraId="4FD0FC52" w14:textId="77777777" w:rsidR="007336FF" w:rsidRDefault="007336FF" w:rsidP="007336FF">
      <w:pPr>
        <w:spacing w:line="360" w:lineRule="auto"/>
        <w:jc w:val="both"/>
        <w:rPr>
          <w:rFonts w:ascii="Calibri" w:hAnsi="Calibri"/>
          <w:rtl/>
        </w:rPr>
      </w:pPr>
    </w:p>
    <w:p w14:paraId="1F6CA6A4" w14:textId="77777777" w:rsidR="007336FF" w:rsidRDefault="007336FF" w:rsidP="007336FF">
      <w:pPr>
        <w:spacing w:line="360" w:lineRule="auto"/>
        <w:jc w:val="both"/>
        <w:rPr>
          <w:rFonts w:ascii="Calibri" w:hAnsi="Calibri"/>
          <w:rtl/>
        </w:rPr>
      </w:pPr>
      <w:r>
        <w:rPr>
          <w:rFonts w:ascii="Calibri" w:hAnsi="Calibri" w:hint="cs"/>
          <w:rtl/>
        </w:rPr>
        <w:t xml:space="preserve">לאחר מתן הכרעת הדין </w:t>
      </w:r>
      <w:r>
        <w:rPr>
          <w:rFonts w:ascii="Calibri" w:hAnsi="Calibri"/>
          <w:rtl/>
        </w:rPr>
        <w:t>–</w:t>
      </w:r>
      <w:r>
        <w:rPr>
          <w:rFonts w:ascii="Calibri" w:hAnsi="Calibri" w:hint="cs"/>
          <w:rtl/>
        </w:rPr>
        <w:t xml:space="preserve"> הופנה הנאשם, לבקשת ההגנה, להערכת שירות המבחן למבוגרים ובנוסף, מטעמי יעילות בלבד </w:t>
      </w:r>
      <w:r>
        <w:rPr>
          <w:rFonts w:ascii="Calibri" w:hAnsi="Calibri"/>
          <w:rtl/>
        </w:rPr>
        <w:t>–</w:t>
      </w:r>
      <w:r>
        <w:rPr>
          <w:rFonts w:ascii="Calibri" w:hAnsi="Calibri" w:hint="cs"/>
          <w:rtl/>
        </w:rPr>
        <w:t xml:space="preserve"> הופנה לחוות דעת הממונה על עבודות השירות בשב"ס. </w:t>
      </w:r>
    </w:p>
    <w:p w14:paraId="264194AE" w14:textId="77777777" w:rsidR="007336FF" w:rsidRDefault="007336FF" w:rsidP="007336FF">
      <w:pPr>
        <w:spacing w:line="360" w:lineRule="auto"/>
        <w:jc w:val="both"/>
        <w:rPr>
          <w:rFonts w:ascii="Calibri" w:hAnsi="Calibri"/>
          <w:rtl/>
        </w:rPr>
      </w:pPr>
    </w:p>
    <w:p w14:paraId="3CF1AC68" w14:textId="77777777" w:rsidR="007336FF" w:rsidRDefault="007336FF" w:rsidP="007336FF">
      <w:pPr>
        <w:spacing w:line="360" w:lineRule="auto"/>
        <w:jc w:val="both"/>
        <w:rPr>
          <w:rFonts w:ascii="Calibri" w:hAnsi="Calibri"/>
          <w:rtl/>
        </w:rPr>
      </w:pPr>
      <w:r>
        <w:rPr>
          <w:rFonts w:ascii="Calibri" w:hAnsi="Calibri" w:hint="cs"/>
          <w:rtl/>
        </w:rPr>
        <w:t xml:space="preserve">הצדדים טענו לעונש בתאריך 03.03.2020, אך שימוע גזר הדין נדחה לנוכח מצב החירום המיוחד, שהוכרז בעקבות מגפת </w:t>
      </w:r>
      <w:r>
        <w:rPr>
          <w:rFonts w:ascii="Calibri" w:hAnsi="Calibri"/>
        </w:rPr>
        <w:t>covid-19</w:t>
      </w:r>
      <w:r>
        <w:rPr>
          <w:rFonts w:ascii="Calibri" w:hAnsi="Calibri" w:hint="cs"/>
          <w:rtl/>
        </w:rPr>
        <w:t xml:space="preserve">. </w:t>
      </w:r>
    </w:p>
    <w:p w14:paraId="1E6FD96A" w14:textId="77777777" w:rsidR="007336FF" w:rsidRDefault="007336FF" w:rsidP="007336FF">
      <w:pPr>
        <w:spacing w:line="360" w:lineRule="auto"/>
        <w:jc w:val="both"/>
        <w:rPr>
          <w:rFonts w:ascii="Calibri" w:hAnsi="Calibri"/>
          <w:rtl/>
        </w:rPr>
      </w:pPr>
    </w:p>
    <w:p w14:paraId="43F483DC" w14:textId="77777777" w:rsidR="007336FF" w:rsidRDefault="007336FF" w:rsidP="007336FF">
      <w:pPr>
        <w:spacing w:line="360" w:lineRule="auto"/>
        <w:jc w:val="both"/>
        <w:rPr>
          <w:rFonts w:ascii="Calibri" w:hAnsi="Calibri"/>
          <w:rtl/>
        </w:rPr>
      </w:pPr>
      <w:r>
        <w:rPr>
          <w:rFonts w:ascii="Calibri" w:hAnsi="Calibri" w:hint="cs"/>
          <w:rtl/>
        </w:rPr>
        <w:t xml:space="preserve">מכאן - גזר דין זה. </w:t>
      </w:r>
    </w:p>
    <w:p w14:paraId="16736C49" w14:textId="77777777" w:rsidR="007336FF" w:rsidRDefault="007336FF" w:rsidP="007336FF">
      <w:pPr>
        <w:spacing w:line="360" w:lineRule="auto"/>
        <w:jc w:val="both"/>
        <w:rPr>
          <w:rFonts w:ascii="Calibri" w:hAnsi="Calibri"/>
          <w:rtl/>
        </w:rPr>
      </w:pPr>
    </w:p>
    <w:p w14:paraId="650DEC6E" w14:textId="77777777" w:rsidR="007336FF" w:rsidRDefault="007336FF" w:rsidP="007336FF">
      <w:pPr>
        <w:spacing w:line="360" w:lineRule="auto"/>
        <w:jc w:val="both"/>
        <w:rPr>
          <w:rFonts w:ascii="Calibri" w:hAnsi="Calibri"/>
          <w:rtl/>
        </w:rPr>
      </w:pPr>
    </w:p>
    <w:p w14:paraId="623435D7" w14:textId="77777777" w:rsidR="007336FF" w:rsidRDefault="007336FF" w:rsidP="007336FF">
      <w:pPr>
        <w:spacing w:line="360" w:lineRule="auto"/>
        <w:jc w:val="both"/>
        <w:rPr>
          <w:rFonts w:ascii="Calibri" w:hAnsi="Calibri"/>
          <w:b/>
          <w:bCs/>
          <w:rtl/>
        </w:rPr>
      </w:pPr>
      <w:r>
        <w:rPr>
          <w:rFonts w:ascii="Calibri" w:hAnsi="Calibri" w:hint="cs"/>
          <w:b/>
          <w:bCs/>
          <w:rtl/>
        </w:rPr>
        <w:t>ראיות לעונש</w:t>
      </w:r>
    </w:p>
    <w:p w14:paraId="080258F1" w14:textId="77777777" w:rsidR="007336FF" w:rsidRDefault="007336FF" w:rsidP="007336FF">
      <w:pPr>
        <w:spacing w:line="360" w:lineRule="auto"/>
        <w:jc w:val="both"/>
        <w:rPr>
          <w:rFonts w:ascii="Calibri" w:hAnsi="Calibri"/>
          <w:b/>
          <w:bCs/>
          <w:rtl/>
        </w:rPr>
      </w:pPr>
    </w:p>
    <w:p w14:paraId="5D1AD53D" w14:textId="77777777" w:rsidR="007336FF" w:rsidRDefault="007336FF" w:rsidP="007336FF">
      <w:pPr>
        <w:spacing w:line="360" w:lineRule="auto"/>
        <w:jc w:val="both"/>
        <w:rPr>
          <w:rFonts w:ascii="Calibri" w:hAnsi="Calibri"/>
          <w:rtl/>
        </w:rPr>
      </w:pPr>
      <w:r>
        <w:rPr>
          <w:rFonts w:ascii="Calibri" w:hAnsi="Calibri" w:hint="cs"/>
          <w:u w:val="single"/>
          <w:rtl/>
        </w:rPr>
        <w:lastRenderedPageBreak/>
        <w:t>התביעה</w:t>
      </w:r>
      <w:r>
        <w:rPr>
          <w:rFonts w:ascii="Calibri" w:hAnsi="Calibri" w:hint="cs"/>
          <w:rtl/>
        </w:rPr>
        <w:t xml:space="preserve"> הגישה, לעניין העונש, המרשם הפלילי של הנאשם (ת/1), ממנו עולה, כי הורשע פעמיים בעבירות נגד </w:t>
      </w:r>
      <w:hyperlink r:id="rId16" w:history="1">
        <w:r w:rsidR="007C20F8" w:rsidRPr="007C20F8">
          <w:rPr>
            <w:rFonts w:ascii="Calibri" w:hAnsi="Calibri" w:hint="eastAsia"/>
            <w:color w:val="0000FF"/>
            <w:u w:val="single"/>
            <w:rtl/>
          </w:rPr>
          <w:t>פקודת</w:t>
        </w:r>
        <w:r w:rsidR="007C20F8" w:rsidRPr="007C20F8">
          <w:rPr>
            <w:rFonts w:ascii="Calibri" w:hAnsi="Calibri"/>
            <w:color w:val="0000FF"/>
            <w:u w:val="single"/>
            <w:rtl/>
          </w:rPr>
          <w:t xml:space="preserve"> </w:t>
        </w:r>
        <w:r w:rsidR="007C20F8" w:rsidRPr="007C20F8">
          <w:rPr>
            <w:rFonts w:ascii="Calibri" w:hAnsi="Calibri" w:hint="eastAsia"/>
            <w:color w:val="0000FF"/>
            <w:u w:val="single"/>
            <w:rtl/>
          </w:rPr>
          <w:t>הסמים</w:t>
        </w:r>
        <w:r w:rsidR="007C20F8" w:rsidRPr="007C20F8">
          <w:rPr>
            <w:rFonts w:ascii="Calibri" w:hAnsi="Calibri"/>
            <w:color w:val="0000FF"/>
            <w:u w:val="single"/>
            <w:rtl/>
          </w:rPr>
          <w:t xml:space="preserve"> </w:t>
        </w:r>
        <w:r w:rsidR="007C20F8" w:rsidRPr="007C20F8">
          <w:rPr>
            <w:rFonts w:ascii="Calibri" w:hAnsi="Calibri" w:hint="eastAsia"/>
            <w:color w:val="0000FF"/>
            <w:u w:val="single"/>
            <w:rtl/>
          </w:rPr>
          <w:t>המסוכנים</w:t>
        </w:r>
      </w:hyperlink>
      <w:r>
        <w:rPr>
          <w:rFonts w:ascii="Calibri" w:hAnsi="Calibri" w:hint="cs"/>
          <w:rtl/>
        </w:rPr>
        <w:t xml:space="preserve">, כשהרשעתו האחרונה </w:t>
      </w:r>
      <w:r>
        <w:rPr>
          <w:rFonts w:ascii="Calibri" w:hAnsi="Calibri"/>
          <w:rtl/>
        </w:rPr>
        <w:t>–</w:t>
      </w:r>
      <w:r>
        <w:rPr>
          <w:rFonts w:ascii="Calibri" w:hAnsi="Calibri" w:hint="cs"/>
          <w:rtl/>
        </w:rPr>
        <w:t xml:space="preserve"> עניינה סחר בסם מסוכן וכן קשירת קשר לפשע. עם זאת, ההרשעה האחרונה היא משנת 2006.</w:t>
      </w:r>
    </w:p>
    <w:p w14:paraId="69736E22" w14:textId="77777777" w:rsidR="007336FF" w:rsidRDefault="007336FF" w:rsidP="007336FF">
      <w:pPr>
        <w:spacing w:line="360" w:lineRule="auto"/>
        <w:jc w:val="both"/>
        <w:rPr>
          <w:rFonts w:ascii="Calibri" w:hAnsi="Calibri"/>
          <w:rtl/>
        </w:rPr>
      </w:pPr>
    </w:p>
    <w:p w14:paraId="0C54FA8D" w14:textId="77777777" w:rsidR="007336FF" w:rsidRDefault="007336FF" w:rsidP="007336FF">
      <w:pPr>
        <w:spacing w:line="360" w:lineRule="auto"/>
        <w:jc w:val="both"/>
        <w:rPr>
          <w:rFonts w:ascii="Calibri" w:hAnsi="Calibri"/>
          <w:rtl/>
        </w:rPr>
      </w:pPr>
      <w:r>
        <w:rPr>
          <w:rFonts w:ascii="Calibri" w:hAnsi="Calibri" w:hint="cs"/>
          <w:rtl/>
        </w:rPr>
        <w:t xml:space="preserve">במסגרת ההרשעה האחרונה </w:t>
      </w:r>
      <w:r>
        <w:rPr>
          <w:rFonts w:ascii="Calibri" w:hAnsi="Calibri"/>
          <w:rtl/>
        </w:rPr>
        <w:t>–</w:t>
      </w:r>
      <w:r>
        <w:rPr>
          <w:rFonts w:ascii="Calibri" w:hAnsi="Calibri" w:hint="cs"/>
          <w:rtl/>
        </w:rPr>
        <w:t xml:space="preserve"> נדון הנאשם, בין היתר, למאסר בפועל לתקופה בת 28 חודשים. </w:t>
      </w:r>
    </w:p>
    <w:p w14:paraId="331CB1CA" w14:textId="77777777" w:rsidR="007336FF" w:rsidRDefault="007336FF" w:rsidP="007336FF">
      <w:pPr>
        <w:spacing w:line="360" w:lineRule="auto"/>
        <w:jc w:val="both"/>
        <w:rPr>
          <w:rFonts w:ascii="Calibri" w:hAnsi="Calibri"/>
          <w:rtl/>
        </w:rPr>
      </w:pPr>
    </w:p>
    <w:p w14:paraId="6EDD5F8E" w14:textId="77777777" w:rsidR="007336FF" w:rsidRDefault="007336FF" w:rsidP="007336FF">
      <w:pPr>
        <w:spacing w:line="360" w:lineRule="auto"/>
        <w:jc w:val="both"/>
        <w:rPr>
          <w:rFonts w:ascii="Calibri" w:hAnsi="Calibri"/>
          <w:rtl/>
        </w:rPr>
      </w:pPr>
      <w:r>
        <w:rPr>
          <w:rFonts w:ascii="Calibri" w:hAnsi="Calibri" w:hint="cs"/>
          <w:u w:val="single"/>
          <w:rtl/>
        </w:rPr>
        <w:t>ההגנה</w:t>
      </w:r>
      <w:r>
        <w:rPr>
          <w:rFonts w:ascii="Calibri" w:hAnsi="Calibri" w:hint="cs"/>
          <w:rtl/>
        </w:rPr>
        <w:t xml:space="preserve"> לא הגישה ראיות לעניין העונש. </w:t>
      </w:r>
    </w:p>
    <w:p w14:paraId="3DA7CE3C" w14:textId="77777777" w:rsidR="007336FF" w:rsidRDefault="007336FF" w:rsidP="007336FF">
      <w:pPr>
        <w:spacing w:line="360" w:lineRule="auto"/>
        <w:jc w:val="both"/>
        <w:rPr>
          <w:rFonts w:ascii="Calibri" w:hAnsi="Calibri"/>
          <w:rtl/>
        </w:rPr>
      </w:pPr>
    </w:p>
    <w:p w14:paraId="699FB32E" w14:textId="77777777" w:rsidR="007336FF" w:rsidRDefault="007336FF" w:rsidP="007336FF">
      <w:pPr>
        <w:spacing w:line="360" w:lineRule="auto"/>
        <w:jc w:val="both"/>
        <w:rPr>
          <w:rFonts w:ascii="Calibri" w:hAnsi="Calibri"/>
          <w:rtl/>
        </w:rPr>
      </w:pPr>
    </w:p>
    <w:p w14:paraId="2EA9CE51" w14:textId="77777777" w:rsidR="007336FF" w:rsidRDefault="007336FF" w:rsidP="007336FF">
      <w:pPr>
        <w:spacing w:line="360" w:lineRule="auto"/>
        <w:jc w:val="both"/>
        <w:rPr>
          <w:rFonts w:ascii="Calibri" w:hAnsi="Calibri"/>
          <w:rtl/>
        </w:rPr>
      </w:pPr>
      <w:r>
        <w:rPr>
          <w:rFonts w:ascii="Calibri" w:hAnsi="Calibri" w:hint="cs"/>
          <w:b/>
          <w:bCs/>
          <w:rtl/>
        </w:rPr>
        <w:t>הערכת שירות המבחן למבוגרים</w:t>
      </w:r>
      <w:r>
        <w:rPr>
          <w:rFonts w:ascii="Calibri" w:hAnsi="Calibri" w:hint="cs"/>
          <w:rtl/>
        </w:rPr>
        <w:t xml:space="preserve"> </w:t>
      </w:r>
    </w:p>
    <w:p w14:paraId="435CD4C3" w14:textId="77777777" w:rsidR="007336FF" w:rsidRDefault="007336FF" w:rsidP="007336FF">
      <w:pPr>
        <w:spacing w:line="360" w:lineRule="auto"/>
        <w:jc w:val="both"/>
        <w:rPr>
          <w:rFonts w:ascii="Calibri" w:hAnsi="Calibri"/>
          <w:rtl/>
        </w:rPr>
      </w:pPr>
    </w:p>
    <w:p w14:paraId="5B5B26C9" w14:textId="77777777" w:rsidR="007336FF" w:rsidRDefault="007336FF" w:rsidP="007336FF">
      <w:pPr>
        <w:spacing w:line="360" w:lineRule="auto"/>
        <w:jc w:val="both"/>
        <w:rPr>
          <w:rFonts w:ascii="Calibri" w:hAnsi="Calibri"/>
          <w:rtl/>
        </w:rPr>
      </w:pPr>
      <w:r>
        <w:rPr>
          <w:rFonts w:ascii="Calibri" w:hAnsi="Calibri" w:hint="cs"/>
          <w:rtl/>
        </w:rPr>
        <w:t xml:space="preserve">בעניינו של הנאשם הוגש תסקיר, המפרט את נסיבותיו האישיות, כבן 45, נשוי ל-2 ואב לעשרה. </w:t>
      </w:r>
    </w:p>
    <w:p w14:paraId="52EBE714" w14:textId="77777777" w:rsidR="007336FF" w:rsidRDefault="007336FF" w:rsidP="007336FF">
      <w:pPr>
        <w:spacing w:line="360" w:lineRule="auto"/>
        <w:jc w:val="both"/>
        <w:rPr>
          <w:rFonts w:ascii="Calibri" w:hAnsi="Calibri"/>
          <w:rtl/>
        </w:rPr>
      </w:pPr>
      <w:r>
        <w:rPr>
          <w:rFonts w:ascii="Calibri" w:hAnsi="Calibri" w:hint="cs"/>
          <w:rtl/>
        </w:rPr>
        <w:t xml:space="preserve">לדבריו </w:t>
      </w:r>
      <w:r>
        <w:rPr>
          <w:rFonts w:ascii="Calibri" w:hAnsi="Calibri"/>
          <w:rtl/>
        </w:rPr>
        <w:t>–</w:t>
      </w:r>
      <w:r>
        <w:rPr>
          <w:rFonts w:ascii="Calibri" w:hAnsi="Calibri" w:hint="cs"/>
          <w:rtl/>
        </w:rPr>
        <w:t xml:space="preserve"> עובד כעצמאי בתחום החקלאות. לדבריו </w:t>
      </w:r>
      <w:r>
        <w:rPr>
          <w:rFonts w:ascii="Calibri" w:hAnsi="Calibri"/>
          <w:rtl/>
        </w:rPr>
        <w:t>–</w:t>
      </w:r>
      <w:r>
        <w:rPr>
          <w:rFonts w:ascii="Calibri" w:hAnsi="Calibri" w:hint="cs"/>
          <w:rtl/>
        </w:rPr>
        <w:t xml:space="preserve"> פנה לאחרונה לאבחון פסיכיאטרי ומקבל תרופות נוגדות חרדה (לא הוצגו מסמכים מטעם ההגנה). </w:t>
      </w:r>
    </w:p>
    <w:p w14:paraId="3F0CBFFC" w14:textId="77777777" w:rsidR="007336FF" w:rsidRDefault="007336FF" w:rsidP="007336FF">
      <w:pPr>
        <w:spacing w:line="360" w:lineRule="auto"/>
        <w:jc w:val="both"/>
        <w:rPr>
          <w:rFonts w:ascii="Calibri" w:hAnsi="Calibri"/>
          <w:rtl/>
        </w:rPr>
      </w:pPr>
    </w:p>
    <w:p w14:paraId="672DF897" w14:textId="77777777" w:rsidR="007336FF" w:rsidRDefault="007336FF" w:rsidP="007336FF">
      <w:pPr>
        <w:spacing w:line="360" w:lineRule="auto"/>
        <w:jc w:val="both"/>
        <w:rPr>
          <w:rFonts w:ascii="Calibri" w:hAnsi="Calibri"/>
          <w:rtl/>
        </w:rPr>
      </w:pPr>
      <w:r>
        <w:rPr>
          <w:rFonts w:ascii="Calibri" w:hAnsi="Calibri" w:hint="cs"/>
          <w:rtl/>
        </w:rPr>
        <w:t xml:space="preserve"> הנאשם גדל יתום מאב ואף אמו נפטרה בהיותו בגיל צעיר יחסית. </w:t>
      </w:r>
    </w:p>
    <w:p w14:paraId="69A6B516" w14:textId="77777777" w:rsidR="007336FF" w:rsidRDefault="007336FF" w:rsidP="007336FF">
      <w:pPr>
        <w:spacing w:line="360" w:lineRule="auto"/>
        <w:jc w:val="both"/>
        <w:rPr>
          <w:rFonts w:ascii="Calibri" w:hAnsi="Calibri"/>
          <w:rtl/>
        </w:rPr>
      </w:pPr>
    </w:p>
    <w:p w14:paraId="3B7DECFA" w14:textId="77777777" w:rsidR="007336FF" w:rsidRDefault="007336FF" w:rsidP="007336FF">
      <w:pPr>
        <w:spacing w:line="360" w:lineRule="auto"/>
        <w:jc w:val="both"/>
        <w:rPr>
          <w:rFonts w:ascii="Calibri" w:hAnsi="Calibri"/>
          <w:rtl/>
        </w:rPr>
      </w:pPr>
      <w:r>
        <w:rPr>
          <w:rFonts w:ascii="Calibri" w:hAnsi="Calibri" w:hint="cs"/>
          <w:rtl/>
        </w:rPr>
        <w:t xml:space="preserve">בעבר, קיים קשרים עם גורמים שוליים והסתבך בעבירות. </w:t>
      </w:r>
    </w:p>
    <w:p w14:paraId="68F90072" w14:textId="77777777" w:rsidR="007336FF" w:rsidRDefault="007336FF" w:rsidP="007336FF">
      <w:pPr>
        <w:spacing w:line="360" w:lineRule="auto"/>
        <w:jc w:val="both"/>
        <w:rPr>
          <w:rFonts w:ascii="Calibri" w:hAnsi="Calibri"/>
          <w:rtl/>
        </w:rPr>
      </w:pPr>
    </w:p>
    <w:p w14:paraId="3392F626" w14:textId="77777777" w:rsidR="007336FF" w:rsidRDefault="007336FF" w:rsidP="007336FF">
      <w:pPr>
        <w:spacing w:line="360" w:lineRule="auto"/>
        <w:jc w:val="both"/>
        <w:rPr>
          <w:rFonts w:ascii="Calibri" w:hAnsi="Calibri"/>
          <w:rtl/>
        </w:rPr>
      </w:pPr>
      <w:r>
        <w:rPr>
          <w:rFonts w:ascii="Calibri" w:hAnsi="Calibri" w:hint="cs"/>
          <w:rtl/>
        </w:rPr>
        <w:t xml:space="preserve">לדבריו, נישא לאשה השניה לאחר שקיבל את הסכמת האשה הראשונה. </w:t>
      </w:r>
    </w:p>
    <w:p w14:paraId="27F9D664" w14:textId="77777777" w:rsidR="007336FF" w:rsidRDefault="007336FF" w:rsidP="007336FF">
      <w:pPr>
        <w:spacing w:line="360" w:lineRule="auto"/>
        <w:jc w:val="both"/>
        <w:rPr>
          <w:rFonts w:ascii="Calibri" w:hAnsi="Calibri"/>
          <w:rtl/>
        </w:rPr>
      </w:pPr>
    </w:p>
    <w:p w14:paraId="36A271DA" w14:textId="77777777" w:rsidR="007336FF" w:rsidRDefault="007336FF" w:rsidP="007336FF">
      <w:pPr>
        <w:spacing w:line="360" w:lineRule="auto"/>
        <w:jc w:val="both"/>
        <w:rPr>
          <w:rFonts w:ascii="Calibri" w:hAnsi="Calibri"/>
          <w:rtl/>
        </w:rPr>
      </w:pPr>
      <w:r>
        <w:rPr>
          <w:rFonts w:ascii="Calibri" w:hAnsi="Calibri" w:hint="cs"/>
          <w:rtl/>
        </w:rPr>
        <w:t xml:space="preserve">כל אחת מהנשים חיה בבית נפרד, דבר אשר, לדברי הנאשם </w:t>
      </w:r>
      <w:r>
        <w:rPr>
          <w:rFonts w:ascii="Calibri" w:hAnsi="Calibri"/>
          <w:rtl/>
        </w:rPr>
        <w:t>–</w:t>
      </w:r>
      <w:r>
        <w:rPr>
          <w:rFonts w:ascii="Calibri" w:hAnsi="Calibri" w:hint="cs"/>
          <w:rtl/>
        </w:rPr>
        <w:t xml:space="preserve"> מונע קונפליקטים או רגשות קנאה. </w:t>
      </w:r>
    </w:p>
    <w:p w14:paraId="10F68287" w14:textId="77777777" w:rsidR="007336FF" w:rsidRDefault="007336FF" w:rsidP="007336FF">
      <w:pPr>
        <w:spacing w:line="360" w:lineRule="auto"/>
        <w:jc w:val="both"/>
        <w:rPr>
          <w:rFonts w:ascii="Calibri" w:hAnsi="Calibri"/>
          <w:rtl/>
        </w:rPr>
      </w:pPr>
    </w:p>
    <w:p w14:paraId="5BFA2FB6" w14:textId="77777777" w:rsidR="007336FF" w:rsidRDefault="007336FF" w:rsidP="007336FF">
      <w:pPr>
        <w:spacing w:line="360" w:lineRule="auto"/>
        <w:jc w:val="both"/>
        <w:rPr>
          <w:rFonts w:ascii="Calibri" w:hAnsi="Calibri"/>
          <w:rtl/>
        </w:rPr>
      </w:pPr>
      <w:r>
        <w:rPr>
          <w:rFonts w:ascii="Calibri" w:hAnsi="Calibri" w:hint="cs"/>
          <w:rtl/>
        </w:rPr>
        <w:t xml:space="preserve">הנאשם ייחס את נישואיו לאשה השניה בכך שהאשה הראשונה עסוקה במטלות הבית, עייפה ולא היתה פנויה בעבורו בתחום האינטימי, דבר שעורר בו תסכול רב. </w:t>
      </w:r>
    </w:p>
    <w:p w14:paraId="28053B93" w14:textId="77777777" w:rsidR="007336FF" w:rsidRDefault="007336FF" w:rsidP="007336FF">
      <w:pPr>
        <w:spacing w:line="360" w:lineRule="auto"/>
        <w:jc w:val="both"/>
        <w:rPr>
          <w:rFonts w:ascii="Calibri" w:hAnsi="Calibri"/>
          <w:rtl/>
        </w:rPr>
      </w:pPr>
    </w:p>
    <w:p w14:paraId="6BCB43CD" w14:textId="77777777" w:rsidR="007336FF" w:rsidRDefault="007336FF" w:rsidP="007336FF">
      <w:pPr>
        <w:spacing w:line="360" w:lineRule="auto"/>
        <w:jc w:val="both"/>
        <w:rPr>
          <w:rFonts w:ascii="Calibri" w:hAnsi="Calibri"/>
          <w:rtl/>
        </w:rPr>
      </w:pPr>
      <w:r>
        <w:rPr>
          <w:rFonts w:ascii="Calibri" w:hAnsi="Calibri" w:hint="cs"/>
          <w:rtl/>
        </w:rPr>
        <w:t xml:space="preserve">הנאשם ציין, כי אינו רואה בעיה מוסרית בנישואיו לשתי נשים וכי הדבר מקובל בסביבה התרבותית ממנה מגיע. לדבריו </w:t>
      </w:r>
      <w:r>
        <w:rPr>
          <w:rFonts w:ascii="Calibri" w:hAnsi="Calibri"/>
          <w:rtl/>
        </w:rPr>
        <w:t>–</w:t>
      </w:r>
      <w:r>
        <w:rPr>
          <w:rFonts w:ascii="Calibri" w:hAnsi="Calibri" w:hint="cs"/>
          <w:rtl/>
        </w:rPr>
        <w:t xml:space="preserve"> היה מודע לקיומו של החוק, האוסר ריבוי נישואין, אך לא היה מודע לכך, שהחוק נאכף. </w:t>
      </w:r>
    </w:p>
    <w:p w14:paraId="6FF501A9" w14:textId="77777777" w:rsidR="007336FF" w:rsidRDefault="007336FF" w:rsidP="007336FF">
      <w:pPr>
        <w:spacing w:line="360" w:lineRule="auto"/>
        <w:jc w:val="both"/>
        <w:rPr>
          <w:rFonts w:ascii="Calibri" w:hAnsi="Calibri"/>
          <w:rtl/>
        </w:rPr>
      </w:pPr>
    </w:p>
    <w:p w14:paraId="254DA9B5" w14:textId="77777777" w:rsidR="007336FF" w:rsidRDefault="007336FF" w:rsidP="007336FF">
      <w:pPr>
        <w:spacing w:line="360" w:lineRule="auto"/>
        <w:jc w:val="both"/>
        <w:rPr>
          <w:rFonts w:ascii="Calibri" w:hAnsi="Calibri"/>
          <w:rtl/>
        </w:rPr>
      </w:pPr>
      <w:r>
        <w:rPr>
          <w:rFonts w:ascii="Calibri" w:hAnsi="Calibri" w:hint="cs"/>
          <w:rtl/>
        </w:rPr>
        <w:t xml:space="preserve">הנאשם הביע חשש לפגיעה בפרנסת המשפחה, אם יידון למאסר. </w:t>
      </w:r>
    </w:p>
    <w:p w14:paraId="2F743B3A" w14:textId="77777777" w:rsidR="007336FF" w:rsidRDefault="007336FF" w:rsidP="007336FF">
      <w:pPr>
        <w:spacing w:line="360" w:lineRule="auto"/>
        <w:jc w:val="both"/>
        <w:rPr>
          <w:rFonts w:ascii="Calibri" w:hAnsi="Calibri"/>
          <w:rtl/>
        </w:rPr>
      </w:pPr>
    </w:p>
    <w:p w14:paraId="1910FBEF" w14:textId="77777777" w:rsidR="007336FF" w:rsidRDefault="007336FF" w:rsidP="007336FF">
      <w:pPr>
        <w:spacing w:line="360" w:lineRule="auto"/>
        <w:jc w:val="both"/>
        <w:rPr>
          <w:rFonts w:ascii="Calibri" w:hAnsi="Calibri"/>
          <w:rtl/>
        </w:rPr>
      </w:pPr>
      <w:r>
        <w:rPr>
          <w:rFonts w:ascii="Calibri" w:hAnsi="Calibri" w:hint="cs"/>
          <w:rtl/>
        </w:rPr>
        <w:t xml:space="preserve">שירות המבחן שוחח עם שתי הנשים. האשה הראשונה מסרה, כי הסכימה לנישואיו הנוספים של הנאשם וכי הקשר בינה לבין האשה השניה חיובי וקרוב. עוד הביעה חשש ממאסרו של הנאשם, היות שבעבר </w:t>
      </w:r>
      <w:r>
        <w:rPr>
          <w:rFonts w:ascii="Calibri" w:hAnsi="Calibri"/>
          <w:rtl/>
        </w:rPr>
        <w:t>–</w:t>
      </w:r>
      <w:r>
        <w:rPr>
          <w:rFonts w:ascii="Calibri" w:hAnsi="Calibri" w:hint="cs"/>
          <w:rtl/>
        </w:rPr>
        <w:t xml:space="preserve"> עת ריצה מאסר </w:t>
      </w:r>
      <w:r>
        <w:rPr>
          <w:rFonts w:ascii="Calibri" w:hAnsi="Calibri"/>
          <w:rtl/>
        </w:rPr>
        <w:t>–</w:t>
      </w:r>
      <w:r>
        <w:rPr>
          <w:rFonts w:ascii="Calibri" w:hAnsi="Calibri" w:hint="cs"/>
          <w:rtl/>
        </w:rPr>
        <w:t xml:space="preserve"> התקשו הילדים להסתגל להיעדרו. </w:t>
      </w:r>
    </w:p>
    <w:p w14:paraId="3B9DCDD3" w14:textId="77777777" w:rsidR="007336FF" w:rsidRDefault="007336FF" w:rsidP="007336FF">
      <w:pPr>
        <w:spacing w:line="360" w:lineRule="auto"/>
        <w:jc w:val="both"/>
        <w:rPr>
          <w:rFonts w:ascii="Calibri" w:hAnsi="Calibri"/>
          <w:rtl/>
        </w:rPr>
      </w:pPr>
    </w:p>
    <w:p w14:paraId="2FEDF4DD" w14:textId="77777777" w:rsidR="007336FF" w:rsidRDefault="007336FF" w:rsidP="007336FF">
      <w:pPr>
        <w:spacing w:line="360" w:lineRule="auto"/>
        <w:jc w:val="both"/>
        <w:rPr>
          <w:rFonts w:ascii="Calibri" w:hAnsi="Calibri"/>
          <w:rtl/>
        </w:rPr>
      </w:pPr>
      <w:r>
        <w:rPr>
          <w:rFonts w:ascii="Calibri" w:hAnsi="Calibri" w:hint="cs"/>
          <w:rtl/>
        </w:rPr>
        <w:t xml:space="preserve">האשה השניה מסרה, כי לנוכח גילה המתקדם (לשיטתה), סיכויה להינשא לרווק היו נמוכים. ציינה את הנאשם כבעל מסור ומחויב, שאינו מחסיר ממנה דבר. מסרה גם היא, כי קיים קשר חיובי בינה לבין האשה הראשונה והוסיפה, כי הנאשם אינו מפלה בין הנשים. </w:t>
      </w:r>
    </w:p>
    <w:p w14:paraId="56D79AA0" w14:textId="77777777" w:rsidR="007336FF" w:rsidRDefault="007336FF" w:rsidP="007336FF">
      <w:pPr>
        <w:spacing w:line="360" w:lineRule="auto"/>
        <w:jc w:val="both"/>
        <w:rPr>
          <w:rFonts w:ascii="Calibri" w:hAnsi="Calibri"/>
          <w:rtl/>
        </w:rPr>
      </w:pPr>
    </w:p>
    <w:p w14:paraId="2853CBE3" w14:textId="77777777" w:rsidR="007336FF" w:rsidRDefault="007336FF" w:rsidP="007336FF">
      <w:pPr>
        <w:spacing w:line="360" w:lineRule="auto"/>
        <w:jc w:val="both"/>
        <w:rPr>
          <w:rFonts w:ascii="Calibri" w:hAnsi="Calibri"/>
          <w:rtl/>
        </w:rPr>
      </w:pPr>
      <w:r>
        <w:rPr>
          <w:rFonts w:ascii="Calibri" w:hAnsi="Calibri" w:hint="cs"/>
          <w:rtl/>
        </w:rPr>
        <w:t xml:space="preserve">שירות המבחן התרשם, כי העבירה נעברה על רקע נורמות תרבותיות שאינן באות בהלימה עם החוק. </w:t>
      </w:r>
    </w:p>
    <w:p w14:paraId="31C17C30" w14:textId="77777777" w:rsidR="007336FF" w:rsidRDefault="007336FF" w:rsidP="007336FF">
      <w:pPr>
        <w:spacing w:line="360" w:lineRule="auto"/>
        <w:jc w:val="both"/>
        <w:rPr>
          <w:rFonts w:ascii="Calibri" w:hAnsi="Calibri"/>
          <w:rtl/>
        </w:rPr>
      </w:pPr>
    </w:p>
    <w:p w14:paraId="66C6042B" w14:textId="77777777" w:rsidR="007336FF" w:rsidRDefault="007336FF" w:rsidP="007336FF">
      <w:pPr>
        <w:spacing w:line="360" w:lineRule="auto"/>
        <w:jc w:val="both"/>
        <w:rPr>
          <w:rFonts w:ascii="Calibri" w:hAnsi="Calibri"/>
          <w:rtl/>
        </w:rPr>
      </w:pPr>
      <w:r>
        <w:rPr>
          <w:rFonts w:ascii="Calibri" w:hAnsi="Calibri" w:hint="cs"/>
          <w:rtl/>
        </w:rPr>
        <w:t xml:space="preserve">שירות המבחן התרשם, כי ההליך המשפטי מהווה בעבור הנאשם גורם מרתיע ומציב גבולות וכי כיום, כשמבין, שמדובר בעבירה על החוק </w:t>
      </w:r>
      <w:r>
        <w:rPr>
          <w:rFonts w:ascii="Calibri" w:hAnsi="Calibri"/>
          <w:rtl/>
        </w:rPr>
        <w:t>–</w:t>
      </w:r>
      <w:r>
        <w:rPr>
          <w:rFonts w:ascii="Calibri" w:hAnsi="Calibri" w:hint="cs"/>
          <w:rtl/>
        </w:rPr>
        <w:t xml:space="preserve"> לא ישוב לעבור העבירה פעם נוספת. </w:t>
      </w:r>
    </w:p>
    <w:p w14:paraId="559AD171" w14:textId="77777777" w:rsidR="007336FF" w:rsidRDefault="007336FF" w:rsidP="007336FF">
      <w:pPr>
        <w:spacing w:line="360" w:lineRule="auto"/>
        <w:jc w:val="both"/>
        <w:rPr>
          <w:rFonts w:ascii="Calibri" w:hAnsi="Calibri"/>
          <w:rtl/>
        </w:rPr>
      </w:pPr>
    </w:p>
    <w:p w14:paraId="2F61C481" w14:textId="77777777" w:rsidR="007336FF" w:rsidRDefault="007336FF" w:rsidP="007336FF">
      <w:pPr>
        <w:spacing w:line="360" w:lineRule="auto"/>
        <w:jc w:val="both"/>
        <w:rPr>
          <w:rFonts w:ascii="Calibri" w:hAnsi="Calibri"/>
          <w:rtl/>
        </w:rPr>
      </w:pPr>
      <w:r>
        <w:rPr>
          <w:rFonts w:ascii="Calibri" w:hAnsi="Calibri" w:hint="cs"/>
          <w:rtl/>
        </w:rPr>
        <w:t xml:space="preserve">בהיותו מחויב לפרסנת המשפחה </w:t>
      </w:r>
      <w:r>
        <w:rPr>
          <w:rFonts w:ascii="Calibri" w:hAnsi="Calibri"/>
          <w:rtl/>
        </w:rPr>
        <w:t>–</w:t>
      </w:r>
      <w:r>
        <w:rPr>
          <w:rFonts w:ascii="Calibri" w:hAnsi="Calibri" w:hint="cs"/>
          <w:rtl/>
        </w:rPr>
        <w:t xml:space="preserve"> בא שירות המבחן בהמלצה להסתפק בהשתת עונש במסגרת צו של"צ, כענישה חינוכית </w:t>
      </w:r>
      <w:r>
        <w:rPr>
          <w:rFonts w:ascii="Calibri" w:hAnsi="Calibri"/>
          <w:rtl/>
        </w:rPr>
        <w:t>–</w:t>
      </w:r>
      <w:r>
        <w:rPr>
          <w:rFonts w:ascii="Calibri" w:hAnsi="Calibri" w:hint="cs"/>
          <w:rtl/>
        </w:rPr>
        <w:t xml:space="preserve"> הרתעתית. שירות המבחן ציין, כי השתת עונש אחר עלולה להוביל לפגיעה בפרנסת המשפחה וכן לחשוף את הנאשם מחדש לקשרים שוליים, שיעלו הסיכון להתנהגות פורצת חוק מצדו בעתיד. </w:t>
      </w:r>
    </w:p>
    <w:p w14:paraId="54BC4448" w14:textId="77777777" w:rsidR="007336FF" w:rsidRDefault="007336FF" w:rsidP="007336FF">
      <w:pPr>
        <w:spacing w:line="360" w:lineRule="auto"/>
        <w:jc w:val="both"/>
        <w:rPr>
          <w:rFonts w:ascii="Calibri" w:hAnsi="Calibri"/>
          <w:rtl/>
        </w:rPr>
      </w:pPr>
    </w:p>
    <w:p w14:paraId="55945991" w14:textId="77777777" w:rsidR="007336FF" w:rsidRDefault="007336FF" w:rsidP="007336FF">
      <w:pPr>
        <w:spacing w:line="360" w:lineRule="auto"/>
        <w:jc w:val="both"/>
        <w:rPr>
          <w:rFonts w:ascii="Calibri" w:hAnsi="Calibri"/>
          <w:rtl/>
        </w:rPr>
      </w:pPr>
    </w:p>
    <w:p w14:paraId="373D0098" w14:textId="77777777" w:rsidR="007336FF" w:rsidRDefault="007336FF" w:rsidP="007336FF">
      <w:pPr>
        <w:spacing w:line="360" w:lineRule="auto"/>
        <w:jc w:val="both"/>
        <w:rPr>
          <w:rFonts w:ascii="Calibri" w:hAnsi="Calibri"/>
          <w:rtl/>
        </w:rPr>
      </w:pPr>
    </w:p>
    <w:p w14:paraId="3A4C96CB" w14:textId="77777777" w:rsidR="007336FF" w:rsidRDefault="007336FF" w:rsidP="007336FF">
      <w:pPr>
        <w:spacing w:line="360" w:lineRule="auto"/>
        <w:jc w:val="both"/>
        <w:rPr>
          <w:rFonts w:ascii="Arial" w:hAnsi="Arial"/>
          <w:b/>
          <w:bCs/>
          <w:noProof w:val="0"/>
        </w:rPr>
      </w:pPr>
      <w:r>
        <w:rPr>
          <w:rFonts w:ascii="Arial" w:hAnsi="Arial"/>
          <w:b/>
          <w:bCs/>
          <w:rtl/>
        </w:rPr>
        <w:t>טענות הצדדים</w:t>
      </w:r>
    </w:p>
    <w:p w14:paraId="2741BFD7" w14:textId="77777777" w:rsidR="007336FF" w:rsidRDefault="007336FF" w:rsidP="007336FF">
      <w:pPr>
        <w:spacing w:line="360" w:lineRule="auto"/>
        <w:jc w:val="both"/>
        <w:rPr>
          <w:rFonts w:ascii="Arial" w:hAnsi="Arial"/>
          <w:rtl/>
        </w:rPr>
      </w:pPr>
    </w:p>
    <w:p w14:paraId="206969A2" w14:textId="77777777" w:rsidR="007336FF" w:rsidRDefault="007336FF" w:rsidP="007336FF">
      <w:pPr>
        <w:spacing w:line="360" w:lineRule="auto"/>
        <w:jc w:val="both"/>
        <w:rPr>
          <w:rFonts w:ascii="Arial" w:hAnsi="Arial"/>
          <w:rtl/>
        </w:rPr>
      </w:pPr>
      <w:r>
        <w:rPr>
          <w:rFonts w:ascii="Arial" w:hAnsi="Arial"/>
          <w:u w:val="single"/>
          <w:rtl/>
        </w:rPr>
        <w:t>התביעה</w:t>
      </w:r>
      <w:r>
        <w:rPr>
          <w:rFonts w:ascii="Arial" w:hAnsi="Arial"/>
          <w:rtl/>
        </w:rPr>
        <w:t xml:space="preserve"> הגישה טענותיה לעונש בכתב והשלימה אותן על-פה.</w:t>
      </w:r>
    </w:p>
    <w:p w14:paraId="07062D1E" w14:textId="77777777" w:rsidR="007336FF" w:rsidRDefault="007336FF" w:rsidP="007336FF">
      <w:pPr>
        <w:spacing w:line="360" w:lineRule="auto"/>
        <w:jc w:val="both"/>
        <w:rPr>
          <w:rFonts w:ascii="Arial" w:hAnsi="Arial"/>
          <w:rtl/>
        </w:rPr>
      </w:pPr>
    </w:p>
    <w:p w14:paraId="12FD9365" w14:textId="77777777" w:rsidR="007336FF" w:rsidRDefault="007336FF" w:rsidP="007336FF">
      <w:pPr>
        <w:spacing w:line="360" w:lineRule="auto"/>
        <w:jc w:val="both"/>
        <w:rPr>
          <w:rFonts w:ascii="Arial" w:hAnsi="Arial"/>
          <w:rtl/>
        </w:rPr>
      </w:pPr>
      <w:r>
        <w:rPr>
          <w:rFonts w:ascii="Arial" w:hAnsi="Arial"/>
          <w:rtl/>
        </w:rPr>
        <w:t>התביעה טענה בנוגע לפגיעה בכבוד האדם; במעמד האשה; בסדר הציבורי, בריבונות המדינה, כמדינה דמוקרטית המקדמת שיוויון בין המינים.</w:t>
      </w:r>
    </w:p>
    <w:p w14:paraId="250C45B6" w14:textId="77777777" w:rsidR="007336FF" w:rsidRDefault="007336FF" w:rsidP="007336FF">
      <w:pPr>
        <w:spacing w:line="360" w:lineRule="auto"/>
        <w:jc w:val="both"/>
        <w:rPr>
          <w:rFonts w:ascii="Arial" w:hAnsi="Arial"/>
          <w:rtl/>
        </w:rPr>
      </w:pPr>
    </w:p>
    <w:p w14:paraId="62DB1D8C" w14:textId="77777777" w:rsidR="007336FF" w:rsidRDefault="007336FF" w:rsidP="007336FF">
      <w:pPr>
        <w:spacing w:line="360" w:lineRule="auto"/>
        <w:jc w:val="both"/>
        <w:rPr>
          <w:rFonts w:ascii="Arial" w:hAnsi="Arial"/>
          <w:rtl/>
        </w:rPr>
      </w:pPr>
      <w:r>
        <w:rPr>
          <w:rFonts w:ascii="Arial" w:hAnsi="Arial" w:hint="cs"/>
          <w:rtl/>
        </w:rPr>
        <w:t xml:space="preserve">התביעה הדגישה את חומרת העבירה וכי המחוקק קבע בצדה עונש בן 5 שנות מאסר. </w:t>
      </w:r>
    </w:p>
    <w:p w14:paraId="0B097A2D" w14:textId="77777777" w:rsidR="007336FF" w:rsidRDefault="007336FF" w:rsidP="007336FF">
      <w:pPr>
        <w:spacing w:line="360" w:lineRule="auto"/>
        <w:jc w:val="both"/>
        <w:rPr>
          <w:rFonts w:ascii="Arial" w:hAnsi="Arial"/>
          <w:rtl/>
        </w:rPr>
      </w:pPr>
    </w:p>
    <w:p w14:paraId="05A0BC8F" w14:textId="77777777" w:rsidR="007336FF" w:rsidRDefault="007336FF" w:rsidP="007336FF">
      <w:pPr>
        <w:spacing w:line="360" w:lineRule="auto"/>
        <w:jc w:val="both"/>
        <w:rPr>
          <w:rFonts w:ascii="Arial" w:hAnsi="Arial"/>
          <w:rtl/>
        </w:rPr>
      </w:pPr>
      <w:r>
        <w:rPr>
          <w:rFonts w:ascii="Arial" w:hAnsi="Arial" w:hint="cs"/>
          <w:rtl/>
        </w:rPr>
        <w:t xml:space="preserve">התביעה טענה, כי אין ליתן משקל משמעותי לעמדת נשותיו של הנאשם, וזאת לנוכח הפערים ביחסי הכוחות בין הצדדים, הרקע התרבותי והלחץ המופעל מטעם בני המשפחה. </w:t>
      </w:r>
    </w:p>
    <w:p w14:paraId="026E73DF" w14:textId="77777777" w:rsidR="007336FF" w:rsidRDefault="007336FF" w:rsidP="007336FF">
      <w:pPr>
        <w:spacing w:line="360" w:lineRule="auto"/>
        <w:jc w:val="both"/>
        <w:rPr>
          <w:rFonts w:ascii="Arial" w:hAnsi="Arial"/>
          <w:rtl/>
        </w:rPr>
      </w:pPr>
    </w:p>
    <w:p w14:paraId="625FF525" w14:textId="77777777" w:rsidR="007336FF" w:rsidRDefault="007336FF" w:rsidP="007336FF">
      <w:pPr>
        <w:spacing w:line="360" w:lineRule="auto"/>
        <w:jc w:val="both"/>
        <w:rPr>
          <w:rFonts w:ascii="Arial" w:hAnsi="Arial"/>
          <w:rtl/>
        </w:rPr>
      </w:pPr>
      <w:r>
        <w:rPr>
          <w:rFonts w:ascii="Arial" w:hAnsi="Arial" w:hint="cs"/>
          <w:rtl/>
        </w:rPr>
        <w:t xml:space="preserve">התביעה טענה </w:t>
      </w:r>
      <w:r>
        <w:rPr>
          <w:rFonts w:ascii="Arial" w:hAnsi="Arial"/>
          <w:rtl/>
        </w:rPr>
        <w:t>למתחם</w:t>
      </w:r>
      <w:r>
        <w:rPr>
          <w:rFonts w:ascii="Arial" w:hAnsi="Arial" w:hint="cs"/>
          <w:rtl/>
        </w:rPr>
        <w:t>,</w:t>
      </w:r>
      <w:r>
        <w:rPr>
          <w:rFonts w:ascii="Arial" w:hAnsi="Arial"/>
          <w:rtl/>
        </w:rPr>
        <w:t xml:space="preserve"> שינוע בין 9 – </w:t>
      </w:r>
      <w:r>
        <w:rPr>
          <w:rFonts w:ascii="Arial" w:hAnsi="Arial" w:hint="cs"/>
          <w:rtl/>
        </w:rPr>
        <w:t>21</w:t>
      </w:r>
      <w:r>
        <w:rPr>
          <w:rFonts w:ascii="Arial" w:hAnsi="Arial"/>
          <w:rtl/>
        </w:rPr>
        <w:t xml:space="preserve"> ח</w:t>
      </w:r>
      <w:r>
        <w:rPr>
          <w:rFonts w:ascii="Arial" w:hAnsi="Arial" w:hint="cs"/>
          <w:rtl/>
        </w:rPr>
        <w:t>ו</w:t>
      </w:r>
      <w:r>
        <w:rPr>
          <w:rFonts w:ascii="Arial" w:hAnsi="Arial"/>
          <w:rtl/>
        </w:rPr>
        <w:t>דשי מאסר בפועל</w:t>
      </w:r>
      <w:r>
        <w:rPr>
          <w:rFonts w:ascii="Arial" w:hAnsi="Arial" w:hint="cs"/>
          <w:rtl/>
        </w:rPr>
        <w:t>, בצירוף עונש מאסר מותנה, קנס והתחייבות כספית.</w:t>
      </w:r>
    </w:p>
    <w:p w14:paraId="164C830F" w14:textId="77777777" w:rsidR="007336FF" w:rsidRDefault="007336FF" w:rsidP="007336FF">
      <w:pPr>
        <w:spacing w:line="360" w:lineRule="auto"/>
        <w:jc w:val="both"/>
        <w:rPr>
          <w:rFonts w:ascii="Arial" w:hAnsi="Arial"/>
          <w:rtl/>
        </w:rPr>
      </w:pPr>
    </w:p>
    <w:p w14:paraId="104C8F2C" w14:textId="77777777" w:rsidR="007336FF" w:rsidRDefault="007336FF" w:rsidP="007336FF">
      <w:pPr>
        <w:spacing w:line="360" w:lineRule="auto"/>
        <w:jc w:val="both"/>
        <w:rPr>
          <w:rFonts w:ascii="Arial" w:hAnsi="Arial"/>
          <w:rtl/>
        </w:rPr>
      </w:pPr>
      <w:r>
        <w:rPr>
          <w:rFonts w:ascii="Arial" w:hAnsi="Arial" w:hint="cs"/>
          <w:rtl/>
        </w:rPr>
        <w:t xml:space="preserve">במסגרת המתחם, עתרה התביעה לענישה בשליש התחתון שלו, אך לא ברף הנמוך וזאת לנוכח היעדר הפנמת חומרת המעשה ובהתחשב בעברו הפלילי, הגם שמדובר בעבר ישן. </w:t>
      </w:r>
    </w:p>
    <w:p w14:paraId="641D51B7" w14:textId="77777777" w:rsidR="007336FF" w:rsidRDefault="007336FF" w:rsidP="007336FF">
      <w:pPr>
        <w:spacing w:line="360" w:lineRule="auto"/>
        <w:jc w:val="both"/>
        <w:rPr>
          <w:rFonts w:ascii="Arial" w:hAnsi="Arial"/>
          <w:rtl/>
        </w:rPr>
      </w:pPr>
    </w:p>
    <w:p w14:paraId="53D4C54D" w14:textId="77777777" w:rsidR="007336FF" w:rsidRDefault="007336FF" w:rsidP="007336FF">
      <w:pPr>
        <w:spacing w:line="360" w:lineRule="auto"/>
        <w:jc w:val="both"/>
        <w:rPr>
          <w:rFonts w:ascii="Arial" w:hAnsi="Arial"/>
          <w:rtl/>
        </w:rPr>
      </w:pPr>
      <w:r>
        <w:rPr>
          <w:rFonts w:ascii="Arial" w:hAnsi="Arial"/>
          <w:u w:val="single"/>
          <w:rtl/>
        </w:rPr>
        <w:t>ההגנה</w:t>
      </w:r>
      <w:r>
        <w:rPr>
          <w:rFonts w:ascii="Arial" w:hAnsi="Arial"/>
          <w:rtl/>
        </w:rPr>
        <w:t xml:space="preserve"> </w:t>
      </w:r>
      <w:r>
        <w:rPr>
          <w:rFonts w:ascii="Arial" w:hAnsi="Arial" w:hint="cs"/>
          <w:rtl/>
        </w:rPr>
        <w:t>לא טענה כנגד המתחם, המבוקש על ידי התביעה. עם זאת, ביקשה ליתן משקל להודאת הנאשם באשמה ונטילת האחריות מצדו; לאישור הנישואין בבית הדין השרעי.</w:t>
      </w:r>
    </w:p>
    <w:p w14:paraId="24A2036D" w14:textId="77777777" w:rsidR="007336FF" w:rsidRDefault="007336FF" w:rsidP="007336FF">
      <w:pPr>
        <w:spacing w:line="360" w:lineRule="auto"/>
        <w:jc w:val="both"/>
        <w:rPr>
          <w:rFonts w:ascii="Arial" w:hAnsi="Arial"/>
          <w:rtl/>
        </w:rPr>
      </w:pPr>
    </w:p>
    <w:p w14:paraId="766A2803" w14:textId="77777777" w:rsidR="007336FF" w:rsidRDefault="007336FF" w:rsidP="007336FF">
      <w:pPr>
        <w:spacing w:line="360" w:lineRule="auto"/>
        <w:jc w:val="both"/>
        <w:rPr>
          <w:rFonts w:ascii="Arial" w:hAnsi="Arial"/>
          <w:rtl/>
        </w:rPr>
      </w:pPr>
      <w:r>
        <w:rPr>
          <w:rFonts w:ascii="Arial" w:hAnsi="Arial" w:hint="cs"/>
          <w:rtl/>
        </w:rPr>
        <w:t xml:space="preserve">ההגנה טענה, כי השתת מאסר על הנאשם תפגע בבני משפחתו של הנאשם ובהיותו מעסיק עובדים רבים </w:t>
      </w:r>
      <w:r>
        <w:rPr>
          <w:rFonts w:ascii="Arial" w:hAnsi="Arial"/>
          <w:rtl/>
        </w:rPr>
        <w:t>–</w:t>
      </w:r>
      <w:r>
        <w:rPr>
          <w:rFonts w:ascii="Arial" w:hAnsi="Arial" w:hint="cs"/>
          <w:rtl/>
        </w:rPr>
        <w:t xml:space="preserve"> תפגע גם בהם. </w:t>
      </w:r>
    </w:p>
    <w:p w14:paraId="618DFCDD" w14:textId="77777777" w:rsidR="007336FF" w:rsidRDefault="007336FF" w:rsidP="007336FF">
      <w:pPr>
        <w:spacing w:line="360" w:lineRule="auto"/>
        <w:jc w:val="both"/>
        <w:rPr>
          <w:rFonts w:ascii="Arial" w:hAnsi="Arial"/>
          <w:rtl/>
        </w:rPr>
      </w:pPr>
    </w:p>
    <w:p w14:paraId="1F2A9B34" w14:textId="77777777" w:rsidR="007336FF" w:rsidRDefault="007336FF" w:rsidP="007336FF">
      <w:pPr>
        <w:spacing w:line="360" w:lineRule="auto"/>
        <w:jc w:val="both"/>
        <w:rPr>
          <w:rFonts w:ascii="Arial" w:hAnsi="Arial"/>
          <w:rtl/>
        </w:rPr>
      </w:pPr>
      <w:r>
        <w:rPr>
          <w:rFonts w:ascii="Arial" w:hAnsi="Arial" w:hint="cs"/>
          <w:rtl/>
        </w:rPr>
        <w:t xml:space="preserve">ההגנה ביקשה ליתן משקל לעמדת נשותיו של הנאשם ולכך, שלא נזח הטיפול באשה הראשונה ובילדיה עת נשא את האשה השניה. </w:t>
      </w:r>
    </w:p>
    <w:p w14:paraId="4090E977" w14:textId="77777777" w:rsidR="007336FF" w:rsidRDefault="007336FF" w:rsidP="007336FF">
      <w:pPr>
        <w:spacing w:line="360" w:lineRule="auto"/>
        <w:jc w:val="both"/>
        <w:rPr>
          <w:rFonts w:ascii="Arial" w:hAnsi="Arial"/>
          <w:rtl/>
        </w:rPr>
      </w:pPr>
    </w:p>
    <w:p w14:paraId="12595054" w14:textId="77777777" w:rsidR="007336FF" w:rsidRDefault="007336FF" w:rsidP="007336FF">
      <w:pPr>
        <w:spacing w:line="360" w:lineRule="auto"/>
        <w:jc w:val="both"/>
        <w:rPr>
          <w:rFonts w:ascii="Arial" w:hAnsi="Arial"/>
          <w:rtl/>
        </w:rPr>
      </w:pPr>
      <w:r>
        <w:rPr>
          <w:rFonts w:ascii="Arial" w:hAnsi="Arial" w:hint="cs"/>
          <w:rtl/>
        </w:rPr>
        <w:t xml:space="preserve">ההגנה ביקשה להימנע מהשתת מאסר בפועל. </w:t>
      </w:r>
    </w:p>
    <w:p w14:paraId="076B4EAE" w14:textId="77777777" w:rsidR="007336FF" w:rsidRDefault="007336FF" w:rsidP="007336FF">
      <w:pPr>
        <w:spacing w:line="360" w:lineRule="auto"/>
        <w:jc w:val="both"/>
        <w:rPr>
          <w:rFonts w:ascii="Arial" w:hAnsi="Arial"/>
          <w:rtl/>
        </w:rPr>
      </w:pPr>
    </w:p>
    <w:p w14:paraId="3AB62A79" w14:textId="77777777" w:rsidR="007336FF" w:rsidRDefault="007336FF" w:rsidP="007336FF">
      <w:pPr>
        <w:spacing w:line="360" w:lineRule="auto"/>
        <w:jc w:val="both"/>
        <w:rPr>
          <w:rFonts w:ascii="Arial" w:hAnsi="Arial"/>
          <w:rtl/>
        </w:rPr>
      </w:pPr>
      <w:r>
        <w:rPr>
          <w:rFonts w:ascii="Arial" w:hAnsi="Arial" w:hint="cs"/>
          <w:u w:val="single"/>
          <w:rtl/>
        </w:rPr>
        <w:t>בדברו האחרון</w:t>
      </w:r>
      <w:r>
        <w:rPr>
          <w:rFonts w:ascii="Arial" w:hAnsi="Arial" w:hint="cs"/>
          <w:rtl/>
        </w:rPr>
        <w:t xml:space="preserve">, שב הנאשם על דבריו כי על אף שידע על קיון החוק, לא ידע שהוא נאכף. </w:t>
      </w:r>
    </w:p>
    <w:p w14:paraId="798845CF" w14:textId="77777777" w:rsidR="007336FF" w:rsidRDefault="007336FF" w:rsidP="007336FF">
      <w:pPr>
        <w:spacing w:line="360" w:lineRule="auto"/>
        <w:jc w:val="both"/>
        <w:rPr>
          <w:rFonts w:ascii="Arial" w:hAnsi="Arial"/>
          <w:rtl/>
        </w:rPr>
      </w:pPr>
    </w:p>
    <w:p w14:paraId="7BEB1EF1" w14:textId="77777777" w:rsidR="007336FF" w:rsidRDefault="007336FF" w:rsidP="007336FF">
      <w:pPr>
        <w:spacing w:line="360" w:lineRule="auto"/>
        <w:jc w:val="both"/>
        <w:rPr>
          <w:rFonts w:ascii="Arial" w:hAnsi="Arial"/>
          <w:rtl/>
        </w:rPr>
      </w:pPr>
      <w:r>
        <w:rPr>
          <w:rFonts w:ascii="Arial" w:hAnsi="Arial" w:hint="cs"/>
          <w:rtl/>
        </w:rPr>
        <w:t xml:space="preserve">לדבריו, שכן שלו פעל באותו האופן ולא נפתח נגדו הליך כלשהו. </w:t>
      </w:r>
    </w:p>
    <w:p w14:paraId="060EF06D" w14:textId="77777777" w:rsidR="007336FF" w:rsidRDefault="007336FF" w:rsidP="007336FF">
      <w:pPr>
        <w:spacing w:line="360" w:lineRule="auto"/>
        <w:jc w:val="both"/>
        <w:rPr>
          <w:rFonts w:ascii="Arial" w:hAnsi="Arial"/>
          <w:rtl/>
        </w:rPr>
      </w:pPr>
    </w:p>
    <w:p w14:paraId="062A363B" w14:textId="77777777" w:rsidR="007336FF" w:rsidRDefault="007336FF" w:rsidP="007336FF">
      <w:pPr>
        <w:spacing w:line="360" w:lineRule="auto"/>
        <w:jc w:val="both"/>
        <w:rPr>
          <w:rFonts w:ascii="Arial" w:hAnsi="Arial"/>
          <w:rtl/>
        </w:rPr>
      </w:pPr>
      <w:r>
        <w:rPr>
          <w:rFonts w:ascii="Arial" w:hAnsi="Arial" w:hint="cs"/>
          <w:rtl/>
        </w:rPr>
        <w:t xml:space="preserve">לדבריו, קיבל את הסכמת האשה הראשונה והאשה השניה "רק הוסיפה אור למשפחה", כשלילדים יש שתי אמהות ולא אחת ו"כולם שמחים". </w:t>
      </w:r>
    </w:p>
    <w:p w14:paraId="1C6F247E" w14:textId="77777777" w:rsidR="007336FF" w:rsidRDefault="007336FF" w:rsidP="007336FF">
      <w:pPr>
        <w:spacing w:line="360" w:lineRule="auto"/>
        <w:jc w:val="both"/>
        <w:rPr>
          <w:rFonts w:ascii="Arial" w:hAnsi="Arial"/>
          <w:rtl/>
        </w:rPr>
      </w:pPr>
    </w:p>
    <w:p w14:paraId="6ED7ABF2" w14:textId="77777777" w:rsidR="007336FF" w:rsidRDefault="007336FF" w:rsidP="007336FF">
      <w:pPr>
        <w:spacing w:line="360" w:lineRule="auto"/>
        <w:jc w:val="both"/>
        <w:rPr>
          <w:rFonts w:ascii="Arial" w:hAnsi="Arial"/>
          <w:rtl/>
        </w:rPr>
      </w:pPr>
      <w:r>
        <w:rPr>
          <w:rFonts w:ascii="Arial" w:hAnsi="Arial" w:hint="cs"/>
          <w:rtl/>
        </w:rPr>
        <w:t>לדברי הנאשם, השתקם מאז שחרורו ממאסר והוא בעלים של חברה.</w:t>
      </w:r>
    </w:p>
    <w:p w14:paraId="62EC4944" w14:textId="77777777" w:rsidR="007336FF" w:rsidRDefault="007336FF" w:rsidP="007336FF">
      <w:pPr>
        <w:spacing w:line="360" w:lineRule="auto"/>
        <w:jc w:val="both"/>
        <w:rPr>
          <w:rFonts w:ascii="Arial" w:hAnsi="Arial"/>
          <w:rtl/>
        </w:rPr>
      </w:pPr>
    </w:p>
    <w:p w14:paraId="1DC39457" w14:textId="77777777" w:rsidR="007336FF" w:rsidRDefault="007336FF" w:rsidP="007336FF">
      <w:pPr>
        <w:spacing w:line="360" w:lineRule="auto"/>
        <w:jc w:val="both"/>
        <w:rPr>
          <w:rFonts w:ascii="Arial" w:hAnsi="Arial"/>
          <w:rtl/>
        </w:rPr>
      </w:pPr>
      <w:r>
        <w:rPr>
          <w:rFonts w:ascii="Arial" w:hAnsi="Arial" w:hint="cs"/>
          <w:rtl/>
        </w:rPr>
        <w:t xml:space="preserve">לדברי הנאשם, כיום אינו יכול להתגרש מהאשה השניה. </w:t>
      </w:r>
    </w:p>
    <w:p w14:paraId="731E90E3" w14:textId="77777777" w:rsidR="007336FF" w:rsidRDefault="007336FF" w:rsidP="007336FF">
      <w:pPr>
        <w:spacing w:line="360" w:lineRule="auto"/>
        <w:jc w:val="both"/>
        <w:rPr>
          <w:rFonts w:ascii="Arial" w:hAnsi="Arial"/>
          <w:rtl/>
        </w:rPr>
      </w:pPr>
    </w:p>
    <w:p w14:paraId="76A95903" w14:textId="77777777" w:rsidR="007336FF" w:rsidRPr="00004503" w:rsidRDefault="007336FF" w:rsidP="007336FF">
      <w:pPr>
        <w:spacing w:line="360" w:lineRule="auto"/>
        <w:jc w:val="both"/>
        <w:rPr>
          <w:rFonts w:ascii="Arial" w:hAnsi="Arial"/>
          <w:rtl/>
        </w:rPr>
      </w:pPr>
      <w:r>
        <w:rPr>
          <w:rFonts w:ascii="Arial" w:hAnsi="Arial" w:hint="cs"/>
          <w:rtl/>
        </w:rPr>
        <w:t xml:space="preserve">הנאשם ביקש שלא לפגוע בשמו הטוב ושלא להרוס את מה שבנה. </w:t>
      </w:r>
    </w:p>
    <w:p w14:paraId="59C8AE5E" w14:textId="77777777" w:rsidR="007336FF" w:rsidRDefault="007336FF" w:rsidP="007336FF">
      <w:pPr>
        <w:spacing w:line="360" w:lineRule="auto"/>
        <w:jc w:val="both"/>
        <w:rPr>
          <w:rFonts w:ascii="Arial" w:hAnsi="Arial"/>
          <w:rtl/>
        </w:rPr>
      </w:pPr>
    </w:p>
    <w:p w14:paraId="02D623BE" w14:textId="77777777" w:rsidR="007336FF" w:rsidRDefault="007336FF" w:rsidP="007336FF">
      <w:pPr>
        <w:spacing w:line="360" w:lineRule="auto"/>
        <w:jc w:val="both"/>
        <w:rPr>
          <w:rFonts w:ascii="Arial" w:hAnsi="Arial"/>
          <w:rtl/>
        </w:rPr>
      </w:pPr>
    </w:p>
    <w:p w14:paraId="6C25F076" w14:textId="77777777" w:rsidR="007336FF" w:rsidRDefault="007336FF" w:rsidP="007336FF">
      <w:pPr>
        <w:spacing w:line="360" w:lineRule="auto"/>
        <w:jc w:val="both"/>
        <w:rPr>
          <w:rFonts w:ascii="Arial" w:hAnsi="Arial"/>
          <w:b/>
          <w:bCs/>
          <w:rtl/>
        </w:rPr>
      </w:pPr>
      <w:r>
        <w:rPr>
          <w:rFonts w:ascii="Arial" w:hAnsi="Arial"/>
          <w:b/>
          <w:bCs/>
          <w:rtl/>
        </w:rPr>
        <w:t>דיון והכרעה</w:t>
      </w:r>
    </w:p>
    <w:p w14:paraId="0686C0CE" w14:textId="77777777" w:rsidR="007336FF" w:rsidRDefault="007336FF" w:rsidP="007336FF">
      <w:pPr>
        <w:spacing w:line="360" w:lineRule="auto"/>
        <w:jc w:val="both"/>
        <w:rPr>
          <w:rFonts w:ascii="Arial" w:hAnsi="Arial"/>
          <w:b/>
          <w:bCs/>
          <w:rtl/>
        </w:rPr>
      </w:pPr>
    </w:p>
    <w:p w14:paraId="7A9F5275" w14:textId="77777777" w:rsidR="007336FF" w:rsidRDefault="007336FF" w:rsidP="007336FF">
      <w:pPr>
        <w:jc w:val="both"/>
        <w:rPr>
          <w:rFonts w:ascii="Arial" w:hAnsi="Arial"/>
          <w:rtl/>
        </w:rPr>
      </w:pPr>
      <w:r>
        <w:rPr>
          <w:rFonts w:ascii="Arial" w:hAnsi="Arial"/>
          <w:rtl/>
        </w:rPr>
        <w:t xml:space="preserve">אין צורך להכביר מילים בנוגע </w:t>
      </w:r>
      <w:r>
        <w:rPr>
          <w:rFonts w:ascii="Arial" w:hAnsi="Arial" w:hint="cs"/>
          <w:rtl/>
        </w:rPr>
        <w:t>להשלכות</w:t>
      </w:r>
      <w:r>
        <w:rPr>
          <w:rFonts w:ascii="Arial" w:hAnsi="Arial"/>
          <w:rtl/>
        </w:rPr>
        <w:t xml:space="preserve"> העבירה, שענינה ריבוי נישואין.</w:t>
      </w:r>
    </w:p>
    <w:p w14:paraId="4D2B587A" w14:textId="77777777" w:rsidR="007336FF" w:rsidRDefault="007336FF" w:rsidP="007336FF">
      <w:pPr>
        <w:jc w:val="both"/>
        <w:rPr>
          <w:rFonts w:ascii="Arial" w:hAnsi="Arial"/>
          <w:rtl/>
        </w:rPr>
      </w:pPr>
    </w:p>
    <w:p w14:paraId="12EE1179" w14:textId="77777777" w:rsidR="007336FF" w:rsidRDefault="007336FF" w:rsidP="007336FF">
      <w:pPr>
        <w:spacing w:line="360" w:lineRule="auto"/>
        <w:jc w:val="both"/>
        <w:rPr>
          <w:rFonts w:ascii="Arial" w:hAnsi="Arial"/>
          <w:rtl/>
        </w:rPr>
      </w:pPr>
      <w:r>
        <w:rPr>
          <w:rFonts w:ascii="Arial" w:hAnsi="Arial"/>
          <w:rtl/>
        </w:rPr>
        <w:t>מעבר  לפגיעה בכבוד האשה ובאפשרות לקדם השוויון בין המינים – מהוות עבירות אלה, כר פורה לתופעות של עוני; ניצול; עברינות; ואם לא תטופל תופעה זו – עלול הדבר להסיג אחור מצבן של משפחות רבות, חלף קידום שילובן במסגרת המדינה המודרנית.</w:t>
      </w:r>
    </w:p>
    <w:p w14:paraId="5220F791" w14:textId="77777777" w:rsidR="007336FF" w:rsidRDefault="007336FF" w:rsidP="007336FF">
      <w:pPr>
        <w:spacing w:line="360" w:lineRule="auto"/>
        <w:jc w:val="both"/>
        <w:rPr>
          <w:rFonts w:ascii="Arial" w:hAnsi="Arial"/>
          <w:rtl/>
        </w:rPr>
      </w:pPr>
    </w:p>
    <w:p w14:paraId="55C660BF" w14:textId="77777777" w:rsidR="007336FF" w:rsidRDefault="007336FF" w:rsidP="00861D83">
      <w:pPr>
        <w:spacing w:line="360" w:lineRule="auto"/>
        <w:jc w:val="both"/>
        <w:rPr>
          <w:rFonts w:ascii="Arial" w:hAnsi="Arial"/>
          <w:rtl/>
        </w:rPr>
      </w:pPr>
      <w:r>
        <w:rPr>
          <w:rFonts w:ascii="Arial" w:hAnsi="Arial"/>
          <w:rtl/>
        </w:rPr>
        <w:t xml:space="preserve">ראו ניתוח מפורט של התופעה, של הלכותיה ושל שיקולי הענישה בגזר הדין </w:t>
      </w:r>
      <w:hyperlink r:id="rId17" w:history="1">
        <w:r w:rsidR="007C20F8" w:rsidRPr="007C20F8">
          <w:rPr>
            <w:rFonts w:ascii="Arial" w:hAnsi="Arial"/>
            <w:color w:val="0000FF"/>
            <w:u w:val="single"/>
            <w:rtl/>
          </w:rPr>
          <w:t>ת.פ. 25462-04-18</w:t>
        </w:r>
      </w:hyperlink>
      <w:r>
        <w:rPr>
          <w:rFonts w:ascii="Arial" w:hAnsi="Arial"/>
          <w:rtl/>
        </w:rPr>
        <w:t xml:space="preserve"> </w:t>
      </w:r>
      <w:r>
        <w:rPr>
          <w:rFonts w:ascii="Arial" w:hAnsi="Arial"/>
          <w:b/>
          <w:bCs/>
          <w:rtl/>
        </w:rPr>
        <w:t>מדינת ישראל נ' אבו סקיק</w:t>
      </w:r>
      <w:r>
        <w:rPr>
          <w:rFonts w:ascii="Arial" w:hAnsi="Arial"/>
          <w:rtl/>
        </w:rPr>
        <w:t xml:space="preserve"> (פורסם במאגרים</w:t>
      </w:r>
      <w:r w:rsidR="00861D83">
        <w:rPr>
          <w:rFonts w:ascii="Arial" w:hAnsi="Arial" w:hint="cs"/>
          <w:rtl/>
        </w:rPr>
        <w:t xml:space="preserve">, </w:t>
      </w:r>
      <w:r w:rsidR="00861D83" w:rsidRPr="00861D83">
        <w:rPr>
          <w:sz w:val="22"/>
          <w:rtl/>
        </w:rPr>
        <w:t>[פורסם בנבו]</w:t>
      </w:r>
      <w:r>
        <w:rPr>
          <w:rFonts w:ascii="Arial" w:hAnsi="Arial"/>
          <w:rtl/>
        </w:rPr>
        <w:t>, 2019) להלן: "</w:t>
      </w:r>
      <w:r>
        <w:rPr>
          <w:rFonts w:ascii="Arial" w:hAnsi="Arial"/>
          <w:b/>
          <w:bCs/>
          <w:rtl/>
        </w:rPr>
        <w:t>פרשת אבו סקיק</w:t>
      </w:r>
      <w:r>
        <w:rPr>
          <w:rFonts w:ascii="Arial" w:hAnsi="Arial"/>
          <w:rtl/>
        </w:rPr>
        <w:t>".</w:t>
      </w:r>
    </w:p>
    <w:p w14:paraId="367A6EE2" w14:textId="77777777" w:rsidR="007336FF" w:rsidRDefault="007336FF" w:rsidP="007336FF">
      <w:pPr>
        <w:spacing w:line="360" w:lineRule="auto"/>
        <w:jc w:val="both"/>
        <w:rPr>
          <w:rFonts w:ascii="Arial" w:hAnsi="Arial"/>
          <w:rtl/>
        </w:rPr>
      </w:pPr>
    </w:p>
    <w:p w14:paraId="11FC925F" w14:textId="77777777" w:rsidR="007336FF" w:rsidRDefault="007336FF" w:rsidP="007336FF">
      <w:pPr>
        <w:spacing w:line="360" w:lineRule="auto"/>
        <w:jc w:val="both"/>
        <w:rPr>
          <w:rFonts w:ascii="Arial" w:hAnsi="Arial"/>
          <w:rtl/>
        </w:rPr>
      </w:pPr>
      <w:r>
        <w:rPr>
          <w:rFonts w:ascii="Arial" w:hAnsi="Arial"/>
          <w:rtl/>
        </w:rPr>
        <w:t xml:space="preserve">אשר למתחם הענישה – בגזר הדין בפרשת </w:t>
      </w:r>
      <w:r>
        <w:rPr>
          <w:rFonts w:ascii="Arial" w:hAnsi="Arial"/>
          <w:b/>
          <w:bCs/>
          <w:rtl/>
        </w:rPr>
        <w:t>אבו סקיק</w:t>
      </w:r>
      <w:r>
        <w:rPr>
          <w:rFonts w:ascii="Arial" w:hAnsi="Arial"/>
          <w:rtl/>
        </w:rPr>
        <w:t>, התייחס בית המשפט לחומרת התופעה ולהשלכותיה, אך מצא לקבוע, כי בטרם קביעת מתחם ענישה מחמיר, שייתן מענה לשיקולי הענישה, כפי שפורטו – ראוי לקבוע מתחם ביניים, למשך תקופה, לא ארוכה, במהלכה י</w:t>
      </w:r>
      <w:r>
        <w:rPr>
          <w:rFonts w:ascii="Arial" w:hAnsi="Arial" w:hint="cs"/>
          <w:rtl/>
        </w:rPr>
        <w:t>י</w:t>
      </w:r>
      <w:r>
        <w:rPr>
          <w:rFonts w:ascii="Arial" w:hAnsi="Arial"/>
          <w:rtl/>
        </w:rPr>
        <w:t>נקטו אמצעים חינוכיים ופרסומיים, כך שיהיה בידי הציבור להפנים שינוי המדיניות של גורמי האכיפה. זאת, מאחר שעבירות אלה לא נאכפו, במחוז הדרום, למשך כשבעה עשורים, מאז קום מדינת ישראל.</w:t>
      </w:r>
    </w:p>
    <w:p w14:paraId="2187F7D1" w14:textId="77777777" w:rsidR="007336FF" w:rsidRDefault="007336FF" w:rsidP="007336FF">
      <w:pPr>
        <w:spacing w:line="360" w:lineRule="auto"/>
        <w:jc w:val="both"/>
        <w:rPr>
          <w:rFonts w:ascii="Arial" w:hAnsi="Arial"/>
          <w:rtl/>
        </w:rPr>
      </w:pPr>
    </w:p>
    <w:p w14:paraId="783AD454" w14:textId="77777777" w:rsidR="007336FF" w:rsidRDefault="007336FF" w:rsidP="007336FF">
      <w:pPr>
        <w:spacing w:line="360" w:lineRule="auto"/>
        <w:jc w:val="both"/>
        <w:rPr>
          <w:rFonts w:ascii="Arial" w:hAnsi="Arial"/>
          <w:rtl/>
        </w:rPr>
      </w:pPr>
      <w:r>
        <w:rPr>
          <w:rFonts w:ascii="Arial" w:hAnsi="Arial"/>
          <w:rtl/>
        </w:rPr>
        <w:t>אלא, בערעור שהוגש על גזר הדין (</w:t>
      </w:r>
      <w:hyperlink r:id="rId18" w:history="1">
        <w:r w:rsidR="007C20F8" w:rsidRPr="007C20F8">
          <w:rPr>
            <w:rFonts w:ascii="Arial" w:hAnsi="Arial"/>
            <w:color w:val="0000FF"/>
            <w:u w:val="single"/>
            <w:rtl/>
          </w:rPr>
          <w:t>עפ"ג 26408-04-19</w:t>
        </w:r>
      </w:hyperlink>
      <w:r>
        <w:rPr>
          <w:rFonts w:ascii="Arial" w:hAnsi="Arial"/>
          <w:rtl/>
        </w:rPr>
        <w:t xml:space="preserve">), </w:t>
      </w:r>
      <w:r w:rsidR="00861D83" w:rsidRPr="00861D83">
        <w:rPr>
          <w:sz w:val="22"/>
          <w:rtl/>
        </w:rPr>
        <w:t xml:space="preserve">[פורסם בנבו] </w:t>
      </w:r>
      <w:r>
        <w:rPr>
          <w:rFonts w:ascii="Arial" w:hAnsi="Arial"/>
          <w:rtl/>
        </w:rPr>
        <w:t>דחה בית המשפט המחוזי עמדה זו והורה להחיל</w:t>
      </w:r>
      <w:r>
        <w:rPr>
          <w:rFonts w:ascii="Arial" w:hAnsi="Arial" w:hint="cs"/>
          <w:rtl/>
        </w:rPr>
        <w:t>,</w:t>
      </w:r>
      <w:r>
        <w:rPr>
          <w:rFonts w:ascii="Arial" w:hAnsi="Arial"/>
          <w:rtl/>
        </w:rPr>
        <w:t xml:space="preserve"> לאלתר, מתחם ענישה מחמיר, שינוע בין 7 – 18 חדשי מאסר בפועל, בכליאה ממשית.</w:t>
      </w:r>
    </w:p>
    <w:p w14:paraId="03F09EB1" w14:textId="77777777" w:rsidR="007336FF" w:rsidRDefault="007336FF" w:rsidP="007336FF">
      <w:pPr>
        <w:spacing w:line="360" w:lineRule="auto"/>
        <w:jc w:val="both"/>
        <w:rPr>
          <w:rFonts w:ascii="Arial" w:hAnsi="Arial"/>
          <w:rtl/>
        </w:rPr>
      </w:pPr>
    </w:p>
    <w:p w14:paraId="4104AFA9" w14:textId="77777777" w:rsidR="007336FF" w:rsidRDefault="007336FF" w:rsidP="007336FF">
      <w:pPr>
        <w:spacing w:line="360" w:lineRule="auto"/>
        <w:jc w:val="both"/>
        <w:rPr>
          <w:rFonts w:ascii="Arial" w:hAnsi="Arial"/>
          <w:rtl/>
        </w:rPr>
      </w:pPr>
      <w:r>
        <w:rPr>
          <w:rFonts w:ascii="Arial" w:hAnsi="Arial"/>
          <w:rtl/>
        </w:rPr>
        <w:t>בקשת רשות ערעור לבית המשפט העליון – נדחת</w:t>
      </w:r>
      <w:r>
        <w:rPr>
          <w:rFonts w:ascii="Arial" w:hAnsi="Arial" w:hint="cs"/>
          <w:rtl/>
        </w:rPr>
        <w:t>ה</w:t>
      </w:r>
      <w:r>
        <w:rPr>
          <w:rFonts w:ascii="Arial" w:hAnsi="Arial"/>
          <w:rtl/>
        </w:rPr>
        <w:t xml:space="preserve"> (</w:t>
      </w:r>
      <w:hyperlink r:id="rId19" w:history="1">
        <w:r w:rsidR="007C20F8" w:rsidRPr="007C20F8">
          <w:rPr>
            <w:rFonts w:ascii="Arial" w:hAnsi="Arial"/>
            <w:color w:val="0000FF"/>
            <w:u w:val="single"/>
            <w:rtl/>
          </w:rPr>
          <w:t>רע"פ 664/11</w:t>
        </w:r>
      </w:hyperlink>
      <w:r>
        <w:rPr>
          <w:rFonts w:ascii="Arial" w:hAnsi="Arial"/>
          <w:rtl/>
        </w:rPr>
        <w:t>)</w:t>
      </w:r>
      <w:r w:rsidR="00861D83">
        <w:rPr>
          <w:rFonts w:ascii="Arial" w:hAnsi="Arial" w:hint="cs"/>
          <w:rtl/>
        </w:rPr>
        <w:t xml:space="preserve"> </w:t>
      </w:r>
      <w:r w:rsidR="00861D83" w:rsidRPr="00861D83">
        <w:rPr>
          <w:sz w:val="22"/>
          <w:rtl/>
        </w:rPr>
        <w:t xml:space="preserve">[פורסם בנבו] </w:t>
      </w:r>
      <w:r>
        <w:rPr>
          <w:rFonts w:ascii="Arial" w:hAnsi="Arial"/>
          <w:rtl/>
        </w:rPr>
        <w:t xml:space="preserve">. </w:t>
      </w:r>
    </w:p>
    <w:p w14:paraId="6BD3CB8C" w14:textId="77777777" w:rsidR="007336FF" w:rsidRDefault="007336FF" w:rsidP="007336FF">
      <w:pPr>
        <w:spacing w:line="360" w:lineRule="auto"/>
        <w:jc w:val="both"/>
        <w:rPr>
          <w:rFonts w:ascii="Arial" w:hAnsi="Arial"/>
          <w:rtl/>
        </w:rPr>
      </w:pPr>
    </w:p>
    <w:p w14:paraId="37349BF1" w14:textId="77777777" w:rsidR="007336FF" w:rsidRDefault="007336FF" w:rsidP="007336FF">
      <w:pPr>
        <w:spacing w:line="360" w:lineRule="auto"/>
        <w:jc w:val="both"/>
        <w:rPr>
          <w:rFonts w:ascii="Arial" w:hAnsi="Arial"/>
          <w:rtl/>
        </w:rPr>
      </w:pPr>
      <w:r>
        <w:rPr>
          <w:rFonts w:ascii="Arial" w:hAnsi="Arial"/>
          <w:rtl/>
        </w:rPr>
        <w:t>כך שלעת הזו – המדובר ב"שדה חרוש" ומתחם הענישה יועמד, כפי שנקבע על ידי בית המשפט המחוזי, כמפורט לעיל. כמו כן, כפי שקבע בית המשפט המחוזי – ראוי להשית על עוברי עבירה זו עונש מאסר בכליאה ממשית.</w:t>
      </w:r>
    </w:p>
    <w:p w14:paraId="784F3D8C" w14:textId="77777777" w:rsidR="007336FF" w:rsidRDefault="007336FF" w:rsidP="007336FF">
      <w:pPr>
        <w:spacing w:line="360" w:lineRule="auto"/>
        <w:jc w:val="both"/>
        <w:rPr>
          <w:rFonts w:ascii="Arial" w:hAnsi="Arial"/>
          <w:rtl/>
        </w:rPr>
      </w:pPr>
    </w:p>
    <w:p w14:paraId="12F90B43" w14:textId="77777777" w:rsidR="007336FF" w:rsidRPr="006B0892" w:rsidRDefault="007336FF" w:rsidP="007336FF">
      <w:pPr>
        <w:spacing w:line="360" w:lineRule="auto"/>
        <w:jc w:val="both"/>
        <w:rPr>
          <w:rFonts w:ascii="Arial" w:hAnsi="Arial"/>
          <w:rtl/>
        </w:rPr>
      </w:pPr>
      <w:r>
        <w:rPr>
          <w:rFonts w:ascii="Arial" w:hAnsi="Arial" w:hint="cs"/>
          <w:rtl/>
        </w:rPr>
        <w:t xml:space="preserve">ממילא, גם תקופת הביניים, אותה ראה בית משפט זה לקבוע </w:t>
      </w:r>
      <w:r>
        <w:rPr>
          <w:rFonts w:ascii="Arial" w:hAnsi="Arial"/>
          <w:rtl/>
        </w:rPr>
        <w:t>–</w:t>
      </w:r>
      <w:r>
        <w:rPr>
          <w:rFonts w:ascii="Arial" w:hAnsi="Arial" w:hint="cs"/>
          <w:rtl/>
        </w:rPr>
        <w:t xml:space="preserve"> חלפה זה מכבר ולנוכח מספר לא מבוטל של כתבי אישום שהוגשו בשנים האחרונות </w:t>
      </w:r>
      <w:r>
        <w:rPr>
          <w:rFonts w:ascii="Arial" w:hAnsi="Arial"/>
          <w:rtl/>
        </w:rPr>
        <w:t>–</w:t>
      </w:r>
      <w:r>
        <w:rPr>
          <w:rFonts w:ascii="Arial" w:hAnsi="Arial" w:hint="cs"/>
          <w:rtl/>
        </w:rPr>
        <w:t xml:space="preserve"> פשה תקפו של האיסור בקרב האוכלוסיה הרלוונטית ובשלה העת להשתת עונשים משמעותיים.  </w:t>
      </w:r>
    </w:p>
    <w:p w14:paraId="7731D64A" w14:textId="77777777" w:rsidR="007336FF" w:rsidRDefault="007336FF" w:rsidP="007336FF">
      <w:pPr>
        <w:spacing w:line="360" w:lineRule="auto"/>
        <w:rPr>
          <w:rFonts w:ascii="Arial" w:hAnsi="Arial"/>
          <w:rtl/>
        </w:rPr>
      </w:pPr>
    </w:p>
    <w:p w14:paraId="4DF6C3A0" w14:textId="77777777" w:rsidR="007336FF" w:rsidRDefault="007336FF" w:rsidP="007336FF">
      <w:pPr>
        <w:spacing w:line="360" w:lineRule="auto"/>
        <w:rPr>
          <w:rFonts w:ascii="Arial" w:hAnsi="Arial"/>
          <w:rtl/>
        </w:rPr>
      </w:pPr>
      <w:r>
        <w:rPr>
          <w:rFonts w:ascii="Arial" w:hAnsi="Arial" w:hint="cs"/>
          <w:rtl/>
        </w:rPr>
        <w:t xml:space="preserve">במקרה דנן </w:t>
      </w:r>
      <w:r>
        <w:rPr>
          <w:rFonts w:ascii="Arial" w:hAnsi="Arial"/>
          <w:rtl/>
        </w:rPr>
        <w:t>–</w:t>
      </w:r>
      <w:r>
        <w:rPr>
          <w:rFonts w:ascii="Arial" w:hAnsi="Arial" w:hint="cs"/>
          <w:rtl/>
        </w:rPr>
        <w:t xml:space="preserve"> לא נמצאו נסיבות מיוחדות, המצדיקות סטיה ממתחם הענישה. </w:t>
      </w:r>
    </w:p>
    <w:p w14:paraId="0EBBBCF3" w14:textId="77777777" w:rsidR="007336FF" w:rsidRDefault="007336FF" w:rsidP="007336FF">
      <w:pPr>
        <w:spacing w:line="360" w:lineRule="auto"/>
        <w:rPr>
          <w:rFonts w:ascii="Arial" w:hAnsi="Arial"/>
          <w:rtl/>
        </w:rPr>
      </w:pPr>
    </w:p>
    <w:p w14:paraId="534C785D" w14:textId="77777777" w:rsidR="007336FF" w:rsidRDefault="007336FF" w:rsidP="007336FF">
      <w:pPr>
        <w:spacing w:line="360" w:lineRule="auto"/>
        <w:rPr>
          <w:rFonts w:ascii="Arial" w:hAnsi="Arial"/>
          <w:rtl/>
        </w:rPr>
      </w:pPr>
      <w:r>
        <w:rPr>
          <w:rFonts w:ascii="Arial" w:hAnsi="Arial" w:hint="cs"/>
          <w:rtl/>
        </w:rPr>
        <w:t xml:space="preserve">לדברי הנאשם, כפי שמסר בשירות המבחן </w:t>
      </w:r>
      <w:r>
        <w:rPr>
          <w:rFonts w:ascii="Arial" w:hAnsi="Arial"/>
          <w:rtl/>
        </w:rPr>
        <w:t>–</w:t>
      </w:r>
      <w:r>
        <w:rPr>
          <w:rFonts w:ascii="Arial" w:hAnsi="Arial" w:hint="cs"/>
          <w:rtl/>
        </w:rPr>
        <w:t xml:space="preserve"> עבר העבירה על רקע תחושתו, כי האשה הראשונה "עייפה" מהטיפול בבית ואינה פנויה למתן מענה בעבורו בתחום האינטימי. </w:t>
      </w:r>
    </w:p>
    <w:p w14:paraId="37B26991" w14:textId="77777777" w:rsidR="007336FF" w:rsidRDefault="007336FF" w:rsidP="007336FF">
      <w:pPr>
        <w:spacing w:line="360" w:lineRule="auto"/>
        <w:rPr>
          <w:rFonts w:ascii="Arial" w:hAnsi="Arial"/>
          <w:rtl/>
        </w:rPr>
      </w:pPr>
    </w:p>
    <w:p w14:paraId="5288BB16" w14:textId="77777777" w:rsidR="007336FF" w:rsidRDefault="007336FF" w:rsidP="007336FF">
      <w:pPr>
        <w:spacing w:line="360" w:lineRule="auto"/>
        <w:rPr>
          <w:rFonts w:ascii="Arial" w:hAnsi="Arial"/>
          <w:rtl/>
        </w:rPr>
      </w:pPr>
      <w:r>
        <w:rPr>
          <w:rFonts w:ascii="Arial" w:hAnsi="Arial" w:hint="cs"/>
          <w:rtl/>
        </w:rPr>
        <w:t xml:space="preserve">בית המשפט מקבל טענת התביעה, כי אין ליתן משקל, במקרה דנן, לעמדת נשותיו של הנאשם או להסכמת האשה הראשונה לנישואין השניים. ברי, כי כלל הצדדים פעלו במסגרת הרקע התרבותי שהוא כור מחצבתם ובמסגרת זו, הגיוני, כי מי מהם אינו רואה פסול מוסרי בנישואין הנוספים. אלא, זו בדיוק התופעה שהחוק </w:t>
      </w:r>
      <w:r>
        <w:rPr>
          <w:rFonts w:ascii="Arial" w:hAnsi="Arial"/>
          <w:rtl/>
        </w:rPr>
        <w:t>–</w:t>
      </w:r>
      <w:r>
        <w:rPr>
          <w:rFonts w:ascii="Arial" w:hAnsi="Arial" w:hint="cs"/>
          <w:rtl/>
        </w:rPr>
        <w:t xml:space="preserve"> על מדיניות האכיפה הנוכחית </w:t>
      </w:r>
      <w:r>
        <w:rPr>
          <w:rFonts w:ascii="Arial" w:hAnsi="Arial"/>
          <w:rtl/>
        </w:rPr>
        <w:t>–</w:t>
      </w:r>
      <w:r>
        <w:rPr>
          <w:rFonts w:ascii="Arial" w:hAnsi="Arial" w:hint="cs"/>
          <w:rtl/>
        </w:rPr>
        <w:t xml:space="preserve"> בא למגר. </w:t>
      </w:r>
    </w:p>
    <w:p w14:paraId="627E2BE8" w14:textId="77777777" w:rsidR="007336FF" w:rsidRDefault="007336FF" w:rsidP="007336FF">
      <w:pPr>
        <w:spacing w:line="360" w:lineRule="auto"/>
        <w:rPr>
          <w:rFonts w:ascii="Arial" w:hAnsi="Arial"/>
          <w:rtl/>
        </w:rPr>
      </w:pPr>
    </w:p>
    <w:p w14:paraId="1D675939" w14:textId="77777777" w:rsidR="007336FF" w:rsidRDefault="007336FF" w:rsidP="007336FF">
      <w:pPr>
        <w:spacing w:line="360" w:lineRule="auto"/>
        <w:rPr>
          <w:rFonts w:ascii="Arial" w:hAnsi="Arial"/>
          <w:rtl/>
        </w:rPr>
      </w:pPr>
      <w:r>
        <w:rPr>
          <w:rFonts w:ascii="Arial" w:hAnsi="Arial" w:hint="cs"/>
          <w:rtl/>
        </w:rPr>
        <w:t xml:space="preserve">אשר לענישה במסגרת המתחם </w:t>
      </w:r>
      <w:r>
        <w:rPr>
          <w:rFonts w:ascii="Arial" w:hAnsi="Arial"/>
          <w:rtl/>
        </w:rPr>
        <w:t>–</w:t>
      </w:r>
      <w:r>
        <w:rPr>
          <w:rFonts w:ascii="Arial" w:hAnsi="Arial" w:hint="cs"/>
          <w:rtl/>
        </w:rPr>
        <w:t xml:space="preserve"> לחובת הנאשם הרשעות קודמות והוא אף ריצה מאסר בעברו. עם זאת, מאז שחרורו ממאסר חלפה תקופה בת כעשור עד להסתבכותו בעבירה הנוכחית, במהלכה לא הורשע בעבירות נוספות ומכאן </w:t>
      </w:r>
      <w:r>
        <w:rPr>
          <w:rFonts w:ascii="Arial" w:hAnsi="Arial"/>
          <w:rtl/>
        </w:rPr>
        <w:t>–</w:t>
      </w:r>
      <w:r>
        <w:rPr>
          <w:rFonts w:ascii="Arial" w:hAnsi="Arial" w:hint="cs"/>
          <w:rtl/>
        </w:rPr>
        <w:t xml:space="preserve"> שהמשקל שיינתן לעבר הפלילי </w:t>
      </w:r>
      <w:r>
        <w:rPr>
          <w:rFonts w:ascii="Arial" w:hAnsi="Arial"/>
          <w:rtl/>
        </w:rPr>
        <w:t>–</w:t>
      </w:r>
      <w:r>
        <w:rPr>
          <w:rFonts w:ascii="Arial" w:hAnsi="Arial" w:hint="cs"/>
          <w:rtl/>
        </w:rPr>
        <w:t xml:space="preserve"> יהיה מופחת. </w:t>
      </w:r>
    </w:p>
    <w:p w14:paraId="20D68F70" w14:textId="77777777" w:rsidR="007336FF" w:rsidRDefault="007336FF" w:rsidP="007336FF">
      <w:pPr>
        <w:spacing w:line="360" w:lineRule="auto"/>
        <w:rPr>
          <w:rFonts w:ascii="Arial" w:hAnsi="Arial"/>
          <w:rtl/>
        </w:rPr>
      </w:pPr>
    </w:p>
    <w:p w14:paraId="62498A36" w14:textId="77777777" w:rsidR="007336FF" w:rsidRDefault="007336FF" w:rsidP="007336FF">
      <w:pPr>
        <w:spacing w:line="360" w:lineRule="auto"/>
        <w:rPr>
          <w:rFonts w:ascii="Arial" w:hAnsi="Arial"/>
          <w:rtl/>
        </w:rPr>
      </w:pPr>
      <w:r>
        <w:rPr>
          <w:rFonts w:ascii="Arial" w:hAnsi="Arial" w:hint="cs"/>
          <w:rtl/>
        </w:rPr>
        <w:t xml:space="preserve">הנאשם אף הודה באשמה ובשל כך </w:t>
      </w:r>
      <w:r>
        <w:rPr>
          <w:rFonts w:ascii="Arial" w:hAnsi="Arial"/>
          <w:rtl/>
        </w:rPr>
        <w:t>–</w:t>
      </w:r>
      <w:r>
        <w:rPr>
          <w:rFonts w:ascii="Arial" w:hAnsi="Arial" w:hint="cs"/>
          <w:rtl/>
        </w:rPr>
        <w:t xml:space="preserve"> זכאי להקלה מסוימת.</w:t>
      </w:r>
    </w:p>
    <w:p w14:paraId="3A48213E" w14:textId="77777777" w:rsidR="007336FF" w:rsidRDefault="007336FF" w:rsidP="007336FF">
      <w:pPr>
        <w:spacing w:line="360" w:lineRule="auto"/>
        <w:rPr>
          <w:rFonts w:ascii="Arial" w:hAnsi="Arial"/>
          <w:rtl/>
        </w:rPr>
      </w:pPr>
    </w:p>
    <w:p w14:paraId="7C302960" w14:textId="77777777" w:rsidR="007336FF" w:rsidRDefault="007336FF" w:rsidP="007336FF">
      <w:pPr>
        <w:spacing w:line="360" w:lineRule="auto"/>
        <w:rPr>
          <w:rFonts w:ascii="Arial" w:hAnsi="Arial"/>
          <w:rtl/>
        </w:rPr>
      </w:pPr>
      <w:r>
        <w:rPr>
          <w:rFonts w:ascii="Arial" w:hAnsi="Arial" w:hint="cs"/>
          <w:rtl/>
        </w:rPr>
        <w:t xml:space="preserve">עם זאת </w:t>
      </w:r>
      <w:r>
        <w:rPr>
          <w:rFonts w:ascii="Arial" w:hAnsi="Arial"/>
          <w:rtl/>
        </w:rPr>
        <w:t>–</w:t>
      </w:r>
      <w:r>
        <w:rPr>
          <w:rFonts w:ascii="Arial" w:hAnsi="Arial" w:hint="cs"/>
          <w:rtl/>
        </w:rPr>
        <w:t xml:space="preserve"> המדובר במי שלא הפנים חומרת האיסור. </w:t>
      </w:r>
    </w:p>
    <w:p w14:paraId="5EB0509E" w14:textId="77777777" w:rsidR="007336FF" w:rsidRDefault="007336FF" w:rsidP="007336FF">
      <w:pPr>
        <w:spacing w:line="360" w:lineRule="auto"/>
        <w:rPr>
          <w:rFonts w:ascii="Arial" w:hAnsi="Arial"/>
          <w:rtl/>
        </w:rPr>
      </w:pPr>
      <w:r>
        <w:rPr>
          <w:rFonts w:ascii="Arial" w:hAnsi="Arial" w:hint="cs"/>
          <w:rtl/>
        </w:rPr>
        <w:t xml:space="preserve">שקלול הנסיבות מצביע לכיוון ענישה על הצד הנמוך של המתחם, אך לא ברף הנמוך ממש. </w:t>
      </w:r>
    </w:p>
    <w:p w14:paraId="2D11AA45" w14:textId="77777777" w:rsidR="007336FF" w:rsidRDefault="007336FF" w:rsidP="007336FF">
      <w:pPr>
        <w:spacing w:line="360" w:lineRule="auto"/>
        <w:rPr>
          <w:rFonts w:ascii="Arial" w:hAnsi="Arial"/>
          <w:rtl/>
        </w:rPr>
      </w:pPr>
    </w:p>
    <w:p w14:paraId="19BDEFFC" w14:textId="77777777" w:rsidR="007336FF" w:rsidRDefault="007336FF" w:rsidP="007336FF">
      <w:pPr>
        <w:spacing w:line="360" w:lineRule="auto"/>
        <w:rPr>
          <w:rFonts w:ascii="Arial" w:hAnsi="Arial"/>
          <w:rtl/>
        </w:rPr>
      </w:pPr>
      <w:r>
        <w:rPr>
          <w:rFonts w:ascii="Arial" w:hAnsi="Arial" w:hint="cs"/>
          <w:rtl/>
        </w:rPr>
        <w:t xml:space="preserve">בנוסף לעונש המאסר בפועל </w:t>
      </w:r>
      <w:r>
        <w:rPr>
          <w:rFonts w:ascii="Arial" w:hAnsi="Arial"/>
          <w:rtl/>
        </w:rPr>
        <w:t>–</w:t>
      </w:r>
      <w:r>
        <w:rPr>
          <w:rFonts w:ascii="Arial" w:hAnsi="Arial" w:hint="cs"/>
          <w:rtl/>
        </w:rPr>
        <w:t xml:space="preserve"> יושת עונש מאסר מותנה מרתיע. </w:t>
      </w:r>
    </w:p>
    <w:p w14:paraId="26AC6500" w14:textId="77777777" w:rsidR="007336FF" w:rsidRDefault="007336FF" w:rsidP="007336FF">
      <w:pPr>
        <w:spacing w:line="360" w:lineRule="auto"/>
        <w:rPr>
          <w:rFonts w:ascii="Arial" w:hAnsi="Arial"/>
          <w:rtl/>
        </w:rPr>
      </w:pPr>
    </w:p>
    <w:p w14:paraId="3EAB6B4B" w14:textId="77777777" w:rsidR="007336FF" w:rsidRDefault="007336FF" w:rsidP="007336FF">
      <w:pPr>
        <w:spacing w:line="360" w:lineRule="auto"/>
        <w:rPr>
          <w:rFonts w:ascii="Arial" w:hAnsi="Arial"/>
          <w:rtl/>
        </w:rPr>
      </w:pPr>
      <w:r>
        <w:rPr>
          <w:rFonts w:ascii="Arial" w:hAnsi="Arial" w:hint="cs"/>
          <w:rtl/>
        </w:rPr>
        <w:t xml:space="preserve">כן יחויב הנאשם בעיצום כספי מסוג קנס, שיחזק את אלמנט ההרתעה. לענין זה </w:t>
      </w:r>
      <w:r>
        <w:rPr>
          <w:rFonts w:ascii="Arial" w:hAnsi="Arial"/>
          <w:rtl/>
        </w:rPr>
        <w:t>–</w:t>
      </w:r>
      <w:r>
        <w:rPr>
          <w:rFonts w:ascii="Arial" w:hAnsi="Arial" w:hint="cs"/>
          <w:rtl/>
        </w:rPr>
        <w:t xml:space="preserve"> לא הוצגו נסיבות מיוחדות בנוגע למצב הכלכלי וההיפך הוא הנכון </w:t>
      </w:r>
      <w:r>
        <w:rPr>
          <w:rFonts w:ascii="Arial" w:hAnsi="Arial"/>
          <w:rtl/>
        </w:rPr>
        <w:t>–</w:t>
      </w:r>
      <w:r>
        <w:rPr>
          <w:rFonts w:ascii="Arial" w:hAnsi="Arial" w:hint="cs"/>
          <w:rtl/>
        </w:rPr>
        <w:t xml:space="preserve"> מטענות ההגנה ומדברי הנאשם בשירות המבחן ובבית המשפט עולה, כי מנהל עסק בקנה מידה גדול; מעסיק עובדים לא מעטים ועל כן </w:t>
      </w:r>
      <w:r>
        <w:rPr>
          <w:rFonts w:ascii="Arial" w:hAnsi="Arial"/>
          <w:rtl/>
        </w:rPr>
        <w:t>–</w:t>
      </w:r>
      <w:r>
        <w:rPr>
          <w:rFonts w:ascii="Arial" w:hAnsi="Arial" w:hint="cs"/>
          <w:rtl/>
        </w:rPr>
        <w:t xml:space="preserve"> אין מניעה להשית עליו ענישה כלכלית משמעותית. אך לנוכח הודאת הנאשם באשמה </w:t>
      </w:r>
      <w:r>
        <w:rPr>
          <w:rFonts w:ascii="Arial" w:hAnsi="Arial"/>
          <w:rtl/>
        </w:rPr>
        <w:t>–</w:t>
      </w:r>
      <w:r>
        <w:rPr>
          <w:rFonts w:ascii="Arial" w:hAnsi="Arial" w:hint="cs"/>
          <w:rtl/>
        </w:rPr>
        <w:t xml:space="preserve"> לא יושת עיצום כספי על הצד הגבוה. </w:t>
      </w:r>
    </w:p>
    <w:p w14:paraId="51400239" w14:textId="77777777" w:rsidR="007336FF" w:rsidRDefault="007336FF" w:rsidP="007336FF">
      <w:pPr>
        <w:spacing w:line="360" w:lineRule="auto"/>
        <w:rPr>
          <w:rFonts w:ascii="Calibri" w:hAnsi="Calibri"/>
          <w:rtl/>
        </w:rPr>
      </w:pPr>
    </w:p>
    <w:p w14:paraId="1FA226B7" w14:textId="77777777" w:rsidR="007336FF" w:rsidRDefault="007336FF" w:rsidP="007336FF">
      <w:pPr>
        <w:spacing w:line="360" w:lineRule="auto"/>
        <w:rPr>
          <w:rFonts w:ascii="Calibri" w:hAnsi="Calibri"/>
          <w:rtl/>
        </w:rPr>
      </w:pPr>
      <w:r>
        <w:rPr>
          <w:rFonts w:ascii="Calibri" w:hAnsi="Calibri"/>
          <w:rtl/>
        </w:rPr>
        <w:t>לאור כל האמור, דן בית המשפט את הנאשם לענשים כדלקמן:</w:t>
      </w:r>
    </w:p>
    <w:p w14:paraId="2AB40470" w14:textId="77777777" w:rsidR="007336FF" w:rsidRDefault="007336FF" w:rsidP="007336FF">
      <w:pPr>
        <w:spacing w:line="360" w:lineRule="auto"/>
        <w:rPr>
          <w:rFonts w:ascii="Calibri" w:hAnsi="Calibri"/>
          <w:rtl/>
        </w:rPr>
      </w:pPr>
    </w:p>
    <w:p w14:paraId="571AFAE0" w14:textId="77777777" w:rsidR="007336FF" w:rsidRDefault="007336FF" w:rsidP="007336FF">
      <w:pPr>
        <w:pStyle w:val="ListParagraph"/>
        <w:numPr>
          <w:ilvl w:val="0"/>
          <w:numId w:val="1"/>
        </w:numPr>
        <w:spacing w:line="360" w:lineRule="auto"/>
        <w:jc w:val="both"/>
        <w:rPr>
          <w:rFonts w:ascii="Arial" w:hAnsi="Arial"/>
          <w:rtl/>
        </w:rPr>
      </w:pPr>
      <w:r>
        <w:rPr>
          <w:rFonts w:ascii="Arial" w:hAnsi="Arial"/>
          <w:rtl/>
        </w:rPr>
        <w:t>9 ח</w:t>
      </w:r>
      <w:r>
        <w:rPr>
          <w:rFonts w:ascii="Arial" w:hAnsi="Arial" w:hint="cs"/>
          <w:rtl/>
        </w:rPr>
        <w:t>ו</w:t>
      </w:r>
      <w:r>
        <w:rPr>
          <w:rFonts w:ascii="Arial" w:hAnsi="Arial"/>
          <w:rtl/>
        </w:rPr>
        <w:t>דשי</w:t>
      </w:r>
      <w:r>
        <w:rPr>
          <w:rFonts w:ascii="Arial" w:hAnsi="Arial" w:hint="cs"/>
          <w:rtl/>
        </w:rPr>
        <w:t>ם</w:t>
      </w:r>
      <w:r>
        <w:rPr>
          <w:rFonts w:ascii="Arial" w:hAnsi="Arial"/>
          <w:rtl/>
        </w:rPr>
        <w:t xml:space="preserve"> מאסר בפועל;</w:t>
      </w:r>
    </w:p>
    <w:p w14:paraId="41175A70" w14:textId="77777777" w:rsidR="007336FF" w:rsidRDefault="007336FF" w:rsidP="007336FF">
      <w:pPr>
        <w:pStyle w:val="ListParagraph"/>
        <w:numPr>
          <w:ilvl w:val="0"/>
          <w:numId w:val="1"/>
        </w:numPr>
        <w:spacing w:line="360" w:lineRule="auto"/>
        <w:jc w:val="both"/>
        <w:rPr>
          <w:rFonts w:ascii="Arial" w:hAnsi="Arial"/>
        </w:rPr>
      </w:pPr>
      <w:r>
        <w:rPr>
          <w:rFonts w:ascii="Arial" w:hAnsi="Arial"/>
          <w:rtl/>
        </w:rPr>
        <w:t>12 ח</w:t>
      </w:r>
      <w:r>
        <w:rPr>
          <w:rFonts w:ascii="Arial" w:hAnsi="Arial" w:hint="cs"/>
          <w:rtl/>
        </w:rPr>
        <w:t>ו</w:t>
      </w:r>
      <w:r>
        <w:rPr>
          <w:rFonts w:ascii="Arial" w:hAnsi="Arial"/>
          <w:rtl/>
        </w:rPr>
        <w:t>דשים מאסר על תנאי, למשך 3 שנים מהיום, שהנאשם לא יעבור עבירה בה הורשע;</w:t>
      </w:r>
    </w:p>
    <w:p w14:paraId="37F54637" w14:textId="77777777" w:rsidR="007336FF" w:rsidRDefault="007336FF" w:rsidP="007336FF">
      <w:pPr>
        <w:pStyle w:val="ListParagraph"/>
        <w:numPr>
          <w:ilvl w:val="0"/>
          <w:numId w:val="1"/>
        </w:numPr>
        <w:spacing w:line="360" w:lineRule="auto"/>
        <w:jc w:val="both"/>
        <w:rPr>
          <w:rFonts w:ascii="Arial" w:hAnsi="Arial"/>
        </w:rPr>
      </w:pPr>
      <w:r>
        <w:rPr>
          <w:rFonts w:ascii="Arial" w:hAnsi="Arial"/>
          <w:rtl/>
        </w:rPr>
        <w:t xml:space="preserve">קנס בסך </w:t>
      </w:r>
      <w:r>
        <w:rPr>
          <w:rFonts w:ascii="Arial" w:hAnsi="Arial" w:hint="cs"/>
          <w:rtl/>
        </w:rPr>
        <w:t>10</w:t>
      </w:r>
      <w:r>
        <w:rPr>
          <w:rFonts w:ascii="Arial" w:hAnsi="Arial"/>
          <w:rtl/>
        </w:rPr>
        <w:t xml:space="preserve">,000 ₪ או </w:t>
      </w:r>
      <w:r>
        <w:rPr>
          <w:rFonts w:ascii="Arial" w:hAnsi="Arial" w:hint="cs"/>
          <w:rtl/>
        </w:rPr>
        <w:t>60</w:t>
      </w:r>
      <w:r>
        <w:rPr>
          <w:rFonts w:ascii="Arial" w:hAnsi="Arial"/>
          <w:rtl/>
        </w:rPr>
        <w:t xml:space="preserve"> ימי מאסר תמורתו. הקנס ישולם </w:t>
      </w:r>
      <w:r>
        <w:rPr>
          <w:rFonts w:ascii="Arial" w:hAnsi="Arial" w:hint="cs"/>
          <w:rtl/>
        </w:rPr>
        <w:t>עד ליום 15.12.20.</w:t>
      </w:r>
    </w:p>
    <w:p w14:paraId="5793896A" w14:textId="77777777" w:rsidR="007336FF" w:rsidRDefault="007336FF" w:rsidP="007336FF">
      <w:pPr>
        <w:pStyle w:val="ListParagraph"/>
        <w:spacing w:line="360" w:lineRule="auto"/>
        <w:jc w:val="both"/>
        <w:rPr>
          <w:rFonts w:ascii="Arial" w:hAnsi="Arial"/>
        </w:rPr>
      </w:pPr>
    </w:p>
    <w:p w14:paraId="520B94C1" w14:textId="77777777" w:rsidR="007336FF" w:rsidRPr="00941771" w:rsidRDefault="007336FF" w:rsidP="007336FF">
      <w:pPr>
        <w:spacing w:line="360" w:lineRule="auto"/>
        <w:jc w:val="both"/>
        <w:rPr>
          <w:rFonts w:ascii="Arial" w:hAnsi="Arial"/>
        </w:rPr>
      </w:pPr>
      <w:r>
        <w:rPr>
          <w:rFonts w:ascii="Arial" w:hAnsi="Arial" w:hint="cs"/>
          <w:rtl/>
        </w:rPr>
        <w:t>הנאשם יתיצב לריצוי עונשו כעת.</w:t>
      </w:r>
    </w:p>
    <w:p w14:paraId="21568383" w14:textId="77777777" w:rsidR="007336FF" w:rsidRDefault="007336FF" w:rsidP="007336FF">
      <w:pPr>
        <w:spacing w:line="360" w:lineRule="auto"/>
        <w:jc w:val="both"/>
        <w:rPr>
          <w:rFonts w:ascii="Arial" w:hAnsi="Arial"/>
          <w:rtl/>
        </w:rPr>
      </w:pPr>
    </w:p>
    <w:p w14:paraId="0EFFF270" w14:textId="77777777" w:rsidR="007336FF" w:rsidRDefault="007C20F8" w:rsidP="007336FF">
      <w:pPr>
        <w:spacing w:after="160" w:line="276" w:lineRule="auto"/>
        <w:rPr>
          <w:rFonts w:ascii="Calibri" w:hAnsi="Calibri"/>
          <w:rtl/>
        </w:rPr>
      </w:pPr>
      <w:r w:rsidRPr="007C20F8">
        <w:rPr>
          <w:rFonts w:ascii="Calibri" w:hAnsi="Calibri"/>
          <w:color w:val="FFFFFF"/>
          <w:sz w:val="2"/>
          <w:szCs w:val="2"/>
          <w:rtl/>
        </w:rPr>
        <w:t>5129371</w:t>
      </w:r>
      <w:r w:rsidR="007336FF">
        <w:rPr>
          <w:rFonts w:ascii="Calibri" w:hAnsi="Calibri"/>
          <w:rtl/>
        </w:rPr>
        <w:t>עותק גזר הדין יועבר לשירות המבחן למבוגרים.</w:t>
      </w:r>
    </w:p>
    <w:p w14:paraId="0C046EDC" w14:textId="77777777" w:rsidR="007336FF" w:rsidRPr="00D4293A" w:rsidRDefault="007C20F8" w:rsidP="007336FF">
      <w:pPr>
        <w:spacing w:after="160" w:line="276" w:lineRule="auto"/>
        <w:rPr>
          <w:rFonts w:ascii="Calibri" w:hAnsi="Calibri"/>
          <w:rtl/>
        </w:rPr>
      </w:pPr>
      <w:r w:rsidRPr="007C20F8">
        <w:rPr>
          <w:rFonts w:ascii="Calibri" w:hAnsi="Calibri"/>
          <w:color w:val="FFFFFF"/>
          <w:sz w:val="2"/>
          <w:szCs w:val="2"/>
          <w:rtl/>
        </w:rPr>
        <w:t>54678313</w:t>
      </w:r>
      <w:r w:rsidR="007336FF">
        <w:rPr>
          <w:rFonts w:ascii="Calibri" w:hAnsi="Calibri"/>
          <w:rtl/>
        </w:rPr>
        <w:t>הודעה זכות הערעור.</w:t>
      </w:r>
    </w:p>
    <w:p w14:paraId="211D9BEE" w14:textId="77777777" w:rsidR="007336FF" w:rsidRDefault="007336FF" w:rsidP="007336FF">
      <w:pPr>
        <w:spacing w:line="360" w:lineRule="auto"/>
        <w:jc w:val="both"/>
        <w:rPr>
          <w:rFonts w:ascii="Arial" w:hAnsi="Arial"/>
          <w:noProof w:val="0"/>
          <w:rtl/>
        </w:rPr>
      </w:pPr>
    </w:p>
    <w:p w14:paraId="07F3C12C" w14:textId="77777777" w:rsidR="007336FF" w:rsidRPr="00861D83" w:rsidRDefault="007C20F8" w:rsidP="007336FF">
      <w:pPr>
        <w:spacing w:line="360" w:lineRule="auto"/>
        <w:jc w:val="both"/>
        <w:rPr>
          <w:rFonts w:ascii="Arial" w:hAnsi="Arial"/>
          <w:b/>
          <w:bCs/>
          <w:noProof w:val="0"/>
          <w:rtl/>
        </w:rPr>
      </w:pPr>
      <w:bookmarkStart w:id="8" w:name="Nitan"/>
      <w:r w:rsidRPr="00861D83">
        <w:rPr>
          <w:rFonts w:ascii="Arial" w:hAnsi="Arial"/>
          <w:b/>
          <w:bCs/>
          <w:noProof w:val="0"/>
          <w:rtl/>
        </w:rPr>
        <w:t xml:space="preserve">ניתנה היום, כ"ז אלול תש"פ, 16 ספטמבר 2020, במעמד הצדדים. </w:t>
      </w:r>
      <w:bookmarkEnd w:id="8"/>
    </w:p>
    <w:p w14:paraId="2D4661F1" w14:textId="77777777" w:rsidR="007336FF" w:rsidRDefault="007336FF" w:rsidP="007336FF">
      <w:pPr>
        <w:spacing w:line="360" w:lineRule="auto"/>
        <w:ind w:left="3600" w:firstLine="720"/>
        <w:jc w:val="center"/>
      </w:pPr>
    </w:p>
    <w:p w14:paraId="002833CB" w14:textId="77777777" w:rsidR="007336FF" w:rsidRPr="006F3ADE" w:rsidRDefault="006F3ADE" w:rsidP="007336FF">
      <w:pPr>
        <w:spacing w:line="360" w:lineRule="auto"/>
        <w:ind w:left="3600" w:firstLine="720"/>
        <w:jc w:val="center"/>
        <w:rPr>
          <w:rFonts w:ascii="Arial" w:hAnsi="Arial"/>
          <w:noProof w:val="0"/>
          <w:color w:val="FFFFFF"/>
          <w:sz w:val="2"/>
          <w:szCs w:val="2"/>
          <w:rtl/>
        </w:rPr>
      </w:pPr>
      <w:r w:rsidRPr="006F3ADE">
        <w:rPr>
          <w:rFonts w:ascii="Arial" w:hAnsi="Arial"/>
          <w:noProof w:val="0"/>
          <w:color w:val="FFFFFF"/>
          <w:sz w:val="2"/>
          <w:szCs w:val="2"/>
          <w:rtl/>
        </w:rPr>
        <w:t>5129371</w:t>
      </w:r>
    </w:p>
    <w:p w14:paraId="2157B309" w14:textId="77777777" w:rsidR="008F1803" w:rsidRPr="006F3ADE" w:rsidRDefault="006F3ADE" w:rsidP="007C20F8">
      <w:pPr>
        <w:keepNext/>
        <w:rPr>
          <w:rFonts w:ascii="David" w:hAnsi="David" w:hint="cs"/>
          <w:color w:val="FFFFFF"/>
          <w:sz w:val="2"/>
          <w:szCs w:val="2"/>
          <w:rtl/>
        </w:rPr>
      </w:pPr>
      <w:r w:rsidRPr="006F3ADE">
        <w:rPr>
          <w:rFonts w:ascii="David" w:hAnsi="David"/>
          <w:color w:val="FFFFFF"/>
          <w:sz w:val="2"/>
          <w:szCs w:val="2"/>
          <w:rtl/>
        </w:rPr>
        <w:t>54678313</w:t>
      </w:r>
    </w:p>
    <w:p w14:paraId="3C7C3444" w14:textId="77777777" w:rsidR="007C20F8" w:rsidRDefault="007C20F8" w:rsidP="007C20F8">
      <w:pPr>
        <w:rPr>
          <w:rtl/>
        </w:rPr>
      </w:pPr>
    </w:p>
    <w:p w14:paraId="03EDEE52" w14:textId="77777777" w:rsidR="007C20F8" w:rsidRDefault="007C20F8" w:rsidP="007C20F8">
      <w:pPr>
        <w:jc w:val="center"/>
        <w:rPr>
          <w:color w:val="0000FF"/>
          <w:u w:val="single"/>
        </w:rPr>
      </w:pPr>
      <w:hyperlink r:id="rId20" w:history="1">
        <w:r>
          <w:rPr>
            <w:color w:val="0000FF"/>
            <w:u w:val="single"/>
            <w:rtl/>
          </w:rPr>
          <w:t>בעניין עריכה ושינויים במסמכי פסיקה, חקיקה ועוד באתר נבו – הקש כאן</w:t>
        </w:r>
      </w:hyperlink>
    </w:p>
    <w:p w14:paraId="59DC7C8E" w14:textId="77777777" w:rsidR="006F3ADE" w:rsidRPr="006F3ADE" w:rsidRDefault="006F3ADE" w:rsidP="006F3ADE">
      <w:pPr>
        <w:keepNext/>
        <w:rPr>
          <w:rFonts w:ascii="David" w:hAnsi="David" w:hint="cs"/>
          <w:color w:val="000000"/>
          <w:sz w:val="22"/>
          <w:szCs w:val="22"/>
          <w:rtl/>
        </w:rPr>
      </w:pPr>
    </w:p>
    <w:p w14:paraId="7AA33956" w14:textId="77777777" w:rsidR="006F3ADE" w:rsidRPr="006F3ADE" w:rsidRDefault="006F3ADE" w:rsidP="006F3ADE">
      <w:pPr>
        <w:keepNext/>
        <w:rPr>
          <w:rFonts w:ascii="David" w:hAnsi="David"/>
          <w:color w:val="000000"/>
          <w:sz w:val="22"/>
          <w:szCs w:val="22"/>
          <w:rtl/>
        </w:rPr>
      </w:pPr>
      <w:r w:rsidRPr="006F3ADE">
        <w:rPr>
          <w:rFonts w:ascii="David" w:hAnsi="David"/>
          <w:color w:val="000000"/>
          <w:sz w:val="22"/>
          <w:szCs w:val="22"/>
          <w:rtl/>
        </w:rPr>
        <w:t>רון סולקין 54678313-/</w:t>
      </w:r>
    </w:p>
    <w:p w14:paraId="62DB8BB4" w14:textId="77777777" w:rsidR="007C20F8" w:rsidRPr="007C20F8" w:rsidRDefault="006F3ADE" w:rsidP="006F3ADE">
      <w:pPr>
        <w:rPr>
          <w:rFonts w:hint="cs"/>
          <w:color w:val="0000FF"/>
          <w:u w:val="single"/>
        </w:rPr>
      </w:pPr>
      <w:r w:rsidRPr="006F3ADE">
        <w:rPr>
          <w:color w:val="000000"/>
          <w:u w:val="single"/>
          <w:rtl/>
        </w:rPr>
        <w:t>נוסח מסמך זה כפוף לשינויי ניסוח ועריכה</w:t>
      </w:r>
    </w:p>
    <w:sectPr w:rsidR="007C20F8" w:rsidRPr="007C20F8" w:rsidSect="006F3ADE">
      <w:headerReference w:type="even" r:id="rId21"/>
      <w:headerReference w:type="default" r:id="rId22"/>
      <w:footerReference w:type="even" r:id="rId23"/>
      <w:footerReference w:type="default" r:id="rId24"/>
      <w:pgSz w:w="11907" w:h="16840" w:code="9"/>
      <w:pgMar w:top="1701" w:right="1701" w:bottom="2552"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FA3407" w14:textId="77777777" w:rsidR="00433D11" w:rsidRDefault="00433D11" w:rsidP="009C0CA1">
      <w:r>
        <w:separator/>
      </w:r>
    </w:p>
  </w:endnote>
  <w:endnote w:type="continuationSeparator" w:id="0">
    <w:p w14:paraId="4DC6E769" w14:textId="77777777" w:rsidR="00433D11" w:rsidRDefault="00433D11" w:rsidP="009C0C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B7D1CC" w14:textId="77777777" w:rsidR="006F3ADE" w:rsidRDefault="006F3ADE" w:rsidP="006F3AD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5CF852BA" w14:textId="77777777" w:rsidR="007C20F8" w:rsidRPr="006F3ADE" w:rsidRDefault="006F3ADE" w:rsidP="006F3ADE">
    <w:pPr>
      <w:pStyle w:val="a5"/>
      <w:pBdr>
        <w:top w:val="single" w:sz="4" w:space="1" w:color="auto"/>
        <w:between w:val="single" w:sz="4" w:space="0" w:color="auto"/>
      </w:pBdr>
      <w:spacing w:after="60"/>
      <w:jc w:val="center"/>
      <w:rPr>
        <w:rFonts w:ascii="FrankRuehl" w:hAnsi="FrankRuehl" w:cs="FrankRuehl"/>
        <w:color w:val="000000"/>
      </w:rPr>
    </w:pPr>
    <w:r w:rsidRPr="006F3AD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675BF" w14:textId="77777777" w:rsidR="006F3ADE" w:rsidRDefault="006F3ADE" w:rsidP="006F3ADE">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PAGE</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FC1CDD">
      <w:rPr>
        <w:rStyle w:val="a8"/>
        <w:rFonts w:ascii="FrankRuehl" w:hAnsi="FrankRuehl" w:cs="FrankRuehl"/>
        <w:rtl/>
      </w:rPr>
      <w:t>1</w:t>
    </w:r>
    <w:r>
      <w:rPr>
        <w:rStyle w:val="a8"/>
        <w:rFonts w:ascii="FrankRuehl" w:hAnsi="FrankRuehl" w:cs="FrankRuehl"/>
        <w:rtl/>
      </w:rPr>
      <w:fldChar w:fldCharType="end"/>
    </w:r>
  </w:p>
  <w:p w14:paraId="4F0FCF84" w14:textId="77777777" w:rsidR="00E977C8" w:rsidRPr="006F3ADE" w:rsidRDefault="006F3ADE" w:rsidP="006F3ADE">
    <w:pPr>
      <w:pStyle w:val="a5"/>
      <w:pBdr>
        <w:top w:val="single" w:sz="4" w:space="1" w:color="auto"/>
        <w:between w:val="single" w:sz="4" w:space="0" w:color="auto"/>
      </w:pBdr>
      <w:spacing w:after="60"/>
      <w:jc w:val="center"/>
      <w:rPr>
        <w:rStyle w:val="a8"/>
        <w:rFonts w:ascii="FrankRuehl" w:hAnsi="FrankRuehl" w:cs="FrankRuehl" w:hint="cs"/>
        <w:color w:val="000000"/>
        <w:rtl/>
      </w:rPr>
    </w:pPr>
    <w:r w:rsidRPr="006F3ADE">
      <w:rPr>
        <w:rStyle w:val="a8"/>
        <w:rFonts w:ascii="FrankRuehl" w:hAnsi="FrankRuehl" w:cs="FrankRuehl" w:hint="cs"/>
        <w:color w:val="000000"/>
      </w:rPr>
      <w:pict w14:anchorId="7ADDDB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19F6D7" w14:textId="77777777" w:rsidR="00433D11" w:rsidRDefault="00433D11" w:rsidP="009C0CA1">
      <w:r>
        <w:separator/>
      </w:r>
    </w:p>
  </w:footnote>
  <w:footnote w:type="continuationSeparator" w:id="0">
    <w:p w14:paraId="43AEED3E" w14:textId="77777777" w:rsidR="00433D11" w:rsidRDefault="00433D11" w:rsidP="009C0C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DBB906" w14:textId="77777777" w:rsidR="007C20F8" w:rsidRPr="006F3ADE" w:rsidRDefault="006F3ADE" w:rsidP="006F3AD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32363-02-18</w:t>
    </w:r>
    <w:r>
      <w:rPr>
        <w:rFonts w:ascii="David" w:hAnsi="David"/>
        <w:color w:val="000000"/>
        <w:sz w:val="22"/>
        <w:szCs w:val="22"/>
        <w:rtl/>
      </w:rPr>
      <w:tab/>
      <w:t xml:space="preserve"> מדינת ישראל נ' סלימאן בן סאלם אבו נוירה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ECECCD" w14:textId="77777777" w:rsidR="007C20F8" w:rsidRPr="006F3ADE" w:rsidRDefault="006F3ADE" w:rsidP="006F3AD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32363-02-18</w:t>
    </w:r>
    <w:r>
      <w:rPr>
        <w:rFonts w:ascii="David" w:hAnsi="David"/>
        <w:color w:val="000000"/>
        <w:sz w:val="22"/>
        <w:szCs w:val="22"/>
        <w:rtl/>
      </w:rPr>
      <w:tab/>
      <w:t xml:space="preserve"> מדינת ישראל נ' סלימאן בן סאלם אבו נוירה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AE63666"/>
    <w:multiLevelType w:val="hybridMultilevel"/>
    <w:tmpl w:val="DDA0FFAE"/>
    <w:lvl w:ilvl="0" w:tplc="D9786422">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7560536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336FF"/>
    <w:rsid w:val="00077F48"/>
    <w:rsid w:val="00313049"/>
    <w:rsid w:val="00433D11"/>
    <w:rsid w:val="006F3ADE"/>
    <w:rsid w:val="00711256"/>
    <w:rsid w:val="007336FF"/>
    <w:rsid w:val="007C20F8"/>
    <w:rsid w:val="007F21FF"/>
    <w:rsid w:val="00827DEA"/>
    <w:rsid w:val="00861D83"/>
    <w:rsid w:val="008F1803"/>
    <w:rsid w:val="009C0CA1"/>
    <w:rsid w:val="00B17D7B"/>
    <w:rsid w:val="00C501AB"/>
    <w:rsid w:val="00E977C8"/>
    <w:rsid w:val="00FC1CD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4A9FBD8"/>
  <w15:chartTrackingRefBased/>
  <w15:docId w15:val="{A36EA518-D5E1-4A63-9B89-CF95C349A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336FF"/>
    <w:pPr>
      <w:bidi/>
    </w:pPr>
    <w:rPr>
      <w:rFonts w:ascii="Times New Roman" w:eastAsia="Times New Roman" w:hAnsi="Times New Roman" w:cs="David"/>
      <w:noProo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336FF"/>
    <w:pPr>
      <w:tabs>
        <w:tab w:val="center" w:pos="4153"/>
        <w:tab w:val="right" w:pos="8306"/>
      </w:tabs>
    </w:pPr>
  </w:style>
  <w:style w:type="character" w:customStyle="1" w:styleId="a4">
    <w:name w:val="כותרת עליונה תו"/>
    <w:link w:val="a3"/>
    <w:rsid w:val="007336FF"/>
    <w:rPr>
      <w:rFonts w:ascii="Times New Roman" w:eastAsia="Times New Roman" w:hAnsi="Times New Roman" w:cs="David"/>
      <w:noProof/>
      <w:sz w:val="24"/>
      <w:szCs w:val="24"/>
    </w:rPr>
  </w:style>
  <w:style w:type="paragraph" w:styleId="a5">
    <w:name w:val="footer"/>
    <w:basedOn w:val="a"/>
    <w:link w:val="a6"/>
    <w:rsid w:val="007336FF"/>
    <w:pPr>
      <w:tabs>
        <w:tab w:val="center" w:pos="4153"/>
        <w:tab w:val="right" w:pos="8306"/>
      </w:tabs>
    </w:pPr>
  </w:style>
  <w:style w:type="character" w:customStyle="1" w:styleId="a6">
    <w:name w:val="כותרת תחתונה תו"/>
    <w:link w:val="a5"/>
    <w:rsid w:val="007336FF"/>
    <w:rPr>
      <w:rFonts w:ascii="Times New Roman" w:eastAsia="Times New Roman" w:hAnsi="Times New Roman" w:cs="David"/>
      <w:noProof/>
      <w:sz w:val="24"/>
      <w:szCs w:val="24"/>
    </w:rPr>
  </w:style>
  <w:style w:type="table" w:styleId="a7">
    <w:name w:val="Table Grid"/>
    <w:basedOn w:val="a1"/>
    <w:rsid w:val="007336F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336FF"/>
  </w:style>
  <w:style w:type="paragraph" w:customStyle="1" w:styleId="ListParagraph">
    <w:name w:val="List Paragraph"/>
    <w:basedOn w:val="a"/>
    <w:qFormat/>
    <w:rsid w:val="007336FF"/>
    <w:pPr>
      <w:ind w:left="720"/>
      <w:contextualSpacing/>
    </w:pPr>
    <w:rPr>
      <w:noProof w:val="0"/>
    </w:rPr>
  </w:style>
  <w:style w:type="character" w:styleId="a9">
    <w:name w:val="line number"/>
    <w:rsid w:val="007336FF"/>
  </w:style>
  <w:style w:type="character" w:styleId="Hyperlink">
    <w:name w:val="Hyperlink"/>
    <w:rsid w:val="007C20F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76" TargetMode="External"/><Relationship Id="rId13" Type="http://schemas.openxmlformats.org/officeDocument/2006/relationships/hyperlink" Target="http://www.nevo.co.il/law/70301" TargetMode="External"/><Relationship Id="rId18" Type="http://schemas.openxmlformats.org/officeDocument/2006/relationships/hyperlink" Target="http://www.nevo.co.il/case/25615569"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www.nevo.co.il/law/70301" TargetMode="External"/><Relationship Id="rId12" Type="http://schemas.openxmlformats.org/officeDocument/2006/relationships/hyperlink" Target="http://www.nevo.co.il/law/70301/176" TargetMode="External"/><Relationship Id="rId17" Type="http://schemas.openxmlformats.org/officeDocument/2006/relationships/hyperlink" Target="http://www.nevo.co.il/case/23866079"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footer" Target="footer1.xml"/><Relationship Id="rId10" Type="http://schemas.openxmlformats.org/officeDocument/2006/relationships/hyperlink" Target="http://www.nevo.co.il/law/70301/176" TargetMode="External"/><Relationship Id="rId19" Type="http://schemas.openxmlformats.org/officeDocument/2006/relationships/hyperlink" Target="http://www.nevo.co.il/case/5717123" TargetMode="External"/><Relationship Id="rId4" Type="http://schemas.openxmlformats.org/officeDocument/2006/relationships/webSettings" Target="webSettings.xml"/><Relationship Id="rId9" Type="http://schemas.openxmlformats.org/officeDocument/2006/relationships/hyperlink" Target="http://www.nevo.co.il/law/4216" TargetMode="External"/><Relationship Id="rId14" Type="http://schemas.openxmlformats.org/officeDocument/2006/relationships/hyperlink" Target="http://www.nevo.co.il/law/70301/176" TargetMode="External"/><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1696</Words>
  <Characters>8484</Characters>
  <Application>Microsoft Office Word</Application>
  <DocSecurity>0</DocSecurity>
  <Lines>70</Lines>
  <Paragraphs>20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10160</CharactersWithSpaces>
  <SharedDoc>false</SharedDoc>
  <HLinks>
    <vt:vector size="84" baseType="variant">
      <vt:variant>
        <vt:i4>393283</vt:i4>
      </vt:variant>
      <vt:variant>
        <vt:i4>39</vt:i4>
      </vt:variant>
      <vt:variant>
        <vt:i4>0</vt:i4>
      </vt:variant>
      <vt:variant>
        <vt:i4>5</vt:i4>
      </vt:variant>
      <vt:variant>
        <vt:lpwstr>http://www.nevo.co.il/advertisements/nevo-100.doc</vt:lpwstr>
      </vt:variant>
      <vt:variant>
        <vt:lpwstr/>
      </vt:variant>
      <vt:variant>
        <vt:i4>3539062</vt:i4>
      </vt:variant>
      <vt:variant>
        <vt:i4>36</vt:i4>
      </vt:variant>
      <vt:variant>
        <vt:i4>0</vt:i4>
      </vt:variant>
      <vt:variant>
        <vt:i4>5</vt:i4>
      </vt:variant>
      <vt:variant>
        <vt:lpwstr>http://www.nevo.co.il/case/5717123</vt:lpwstr>
      </vt:variant>
      <vt:variant>
        <vt:lpwstr/>
      </vt:variant>
      <vt:variant>
        <vt:i4>3604597</vt:i4>
      </vt:variant>
      <vt:variant>
        <vt:i4>33</vt:i4>
      </vt:variant>
      <vt:variant>
        <vt:i4>0</vt:i4>
      </vt:variant>
      <vt:variant>
        <vt:i4>5</vt:i4>
      </vt:variant>
      <vt:variant>
        <vt:lpwstr>http://www.nevo.co.il/case/25615569</vt:lpwstr>
      </vt:variant>
      <vt:variant>
        <vt:lpwstr/>
      </vt:variant>
      <vt:variant>
        <vt:i4>3866737</vt:i4>
      </vt:variant>
      <vt:variant>
        <vt:i4>30</vt:i4>
      </vt:variant>
      <vt:variant>
        <vt:i4>0</vt:i4>
      </vt:variant>
      <vt:variant>
        <vt:i4>5</vt:i4>
      </vt:variant>
      <vt:variant>
        <vt:lpwstr>http://www.nevo.co.il/case/23866079</vt:lpwstr>
      </vt:variant>
      <vt:variant>
        <vt:lpwstr/>
      </vt:variant>
      <vt:variant>
        <vt:i4>8257637</vt:i4>
      </vt:variant>
      <vt:variant>
        <vt:i4>27</vt:i4>
      </vt:variant>
      <vt:variant>
        <vt:i4>0</vt:i4>
      </vt:variant>
      <vt:variant>
        <vt:i4>5</vt:i4>
      </vt:variant>
      <vt:variant>
        <vt:lpwstr>http://www.nevo.co.il/law/4216</vt:lpwstr>
      </vt:variant>
      <vt:variant>
        <vt:lpwstr/>
      </vt:variant>
      <vt:variant>
        <vt:i4>7995492</vt:i4>
      </vt:variant>
      <vt:variant>
        <vt:i4>24</vt:i4>
      </vt:variant>
      <vt:variant>
        <vt:i4>0</vt:i4>
      </vt:variant>
      <vt:variant>
        <vt:i4>5</vt:i4>
      </vt:variant>
      <vt:variant>
        <vt:lpwstr>http://www.nevo.co.il/law/70301</vt:lpwstr>
      </vt:variant>
      <vt:variant>
        <vt:lpwstr/>
      </vt:variant>
      <vt:variant>
        <vt:i4>6422628</vt:i4>
      </vt:variant>
      <vt:variant>
        <vt:i4>21</vt:i4>
      </vt:variant>
      <vt:variant>
        <vt:i4>0</vt:i4>
      </vt:variant>
      <vt:variant>
        <vt:i4>5</vt:i4>
      </vt:variant>
      <vt:variant>
        <vt:lpwstr>http://www.nevo.co.il/law/70301/176</vt:lpwstr>
      </vt:variant>
      <vt:variant>
        <vt:lpwstr/>
      </vt:variant>
      <vt:variant>
        <vt:i4>7995492</vt:i4>
      </vt:variant>
      <vt:variant>
        <vt:i4>18</vt:i4>
      </vt:variant>
      <vt:variant>
        <vt:i4>0</vt:i4>
      </vt:variant>
      <vt:variant>
        <vt:i4>5</vt:i4>
      </vt:variant>
      <vt:variant>
        <vt:lpwstr>http://www.nevo.co.il/law/70301</vt:lpwstr>
      </vt:variant>
      <vt:variant>
        <vt:lpwstr/>
      </vt:variant>
      <vt:variant>
        <vt:i4>6422628</vt:i4>
      </vt:variant>
      <vt:variant>
        <vt:i4>15</vt:i4>
      </vt:variant>
      <vt:variant>
        <vt:i4>0</vt:i4>
      </vt:variant>
      <vt:variant>
        <vt:i4>5</vt:i4>
      </vt:variant>
      <vt:variant>
        <vt:lpwstr>http://www.nevo.co.il/law/70301/176</vt:lpwstr>
      </vt:variant>
      <vt:variant>
        <vt:lpwstr/>
      </vt:variant>
      <vt:variant>
        <vt:i4>7995492</vt:i4>
      </vt:variant>
      <vt:variant>
        <vt:i4>12</vt:i4>
      </vt:variant>
      <vt:variant>
        <vt:i4>0</vt:i4>
      </vt:variant>
      <vt:variant>
        <vt:i4>5</vt:i4>
      </vt:variant>
      <vt:variant>
        <vt:lpwstr>http://www.nevo.co.il/law/70301</vt:lpwstr>
      </vt:variant>
      <vt:variant>
        <vt:lpwstr/>
      </vt:variant>
      <vt:variant>
        <vt:i4>6422628</vt:i4>
      </vt:variant>
      <vt:variant>
        <vt:i4>9</vt:i4>
      </vt:variant>
      <vt:variant>
        <vt:i4>0</vt:i4>
      </vt:variant>
      <vt:variant>
        <vt:i4>5</vt:i4>
      </vt:variant>
      <vt:variant>
        <vt:lpwstr>http://www.nevo.co.il/law/70301/176</vt:lpwstr>
      </vt:variant>
      <vt:variant>
        <vt:lpwstr/>
      </vt:variant>
      <vt:variant>
        <vt:i4>8257637</vt:i4>
      </vt:variant>
      <vt:variant>
        <vt:i4>6</vt:i4>
      </vt:variant>
      <vt:variant>
        <vt:i4>0</vt:i4>
      </vt:variant>
      <vt:variant>
        <vt:i4>5</vt:i4>
      </vt:variant>
      <vt:variant>
        <vt:lpwstr>http://www.nevo.co.il/law/4216</vt:lpwstr>
      </vt:variant>
      <vt:variant>
        <vt:lpwstr/>
      </vt:variant>
      <vt:variant>
        <vt:i4>6422628</vt:i4>
      </vt:variant>
      <vt:variant>
        <vt:i4>3</vt:i4>
      </vt:variant>
      <vt:variant>
        <vt:i4>0</vt:i4>
      </vt:variant>
      <vt:variant>
        <vt:i4>5</vt:i4>
      </vt:variant>
      <vt:variant>
        <vt:lpwstr>http://www.nevo.co.il/law/70301/176</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2025-04-22T23:40:00Z</dcterms:created>
  <dcterms:modified xsi:type="dcterms:W3CDTF">2025-04-22T23:40:00Z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32363</vt:lpwstr>
  </property>
  <property fmtid="{D5CDD505-2E9C-101B-9397-08002B2CF9AE}" pid="6" name="NEWPARTB">
    <vt:lpwstr>02</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סלימאן בן סאלם אבו נוירה</vt:lpwstr>
  </property>
  <property fmtid="{D5CDD505-2E9C-101B-9397-08002B2CF9AE}" pid="10" name="LAWYER">
    <vt:lpwstr>נועה שוקר;שניר כלימי;האיל אבו גרארה</vt:lpwstr>
  </property>
  <property fmtid="{D5CDD505-2E9C-101B-9397-08002B2CF9AE}" pid="11" name="JUDGE">
    <vt:lpwstr>רון סולקין</vt:lpwstr>
  </property>
  <property fmtid="{D5CDD505-2E9C-101B-9397-08002B2CF9AE}" pid="12" name="CITY">
    <vt:lpwstr>ב"ש</vt:lpwstr>
  </property>
  <property fmtid="{D5CDD505-2E9C-101B-9397-08002B2CF9AE}" pid="13" name="DATE">
    <vt:lpwstr>20200916</vt:lpwstr>
  </property>
  <property fmtid="{D5CDD505-2E9C-101B-9397-08002B2CF9AE}" pid="14" name="TYPE_N_DATE">
    <vt:lpwstr>38020200916</vt:lpwstr>
  </property>
  <property fmtid="{D5CDD505-2E9C-101B-9397-08002B2CF9AE}" pid="15" name="WORDNUMPAGES">
    <vt:lpwstr>7</vt:lpwstr>
  </property>
  <property fmtid="{D5CDD505-2E9C-101B-9397-08002B2CF9AE}" pid="16" name="TYPE_ABS_DATE">
    <vt:lpwstr>380120200916</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23866079;25615569;5717123</vt:lpwstr>
  </property>
  <property fmtid="{D5CDD505-2E9C-101B-9397-08002B2CF9AE}" pid="36" name="LAWLISTTMP1">
    <vt:lpwstr>70301/176</vt:lpwstr>
  </property>
  <property fmtid="{D5CDD505-2E9C-101B-9397-08002B2CF9AE}" pid="37" name="LAWLISTTMP2">
    <vt:lpwstr>4216</vt:lpwstr>
  </property>
  <property fmtid="{D5CDD505-2E9C-101B-9397-08002B2CF9AE}" pid="38" name="NOSE1ID">
    <vt:lpwstr>77</vt:lpwstr>
  </property>
  <property fmtid="{D5CDD505-2E9C-101B-9397-08002B2CF9AE}" pid="39" name="NOSE2ID">
    <vt:lpwstr>1446</vt:lpwstr>
  </property>
  <property fmtid="{D5CDD505-2E9C-101B-9397-08002B2CF9AE}" pid="40" name="NOSE3ID">
    <vt:lpwstr>15443</vt:lpwstr>
  </property>
  <property fmtid="{D5CDD505-2E9C-101B-9397-08002B2CF9AE}" pid="41" name="NOSE11">
    <vt:lpwstr>עונשין</vt:lpwstr>
  </property>
  <property fmtid="{D5CDD505-2E9C-101B-9397-08002B2CF9AE}" pid="42" name="NOSE21">
    <vt:lpwstr>ענישה</vt:lpwstr>
  </property>
  <property fmtid="{D5CDD505-2E9C-101B-9397-08002B2CF9AE}" pid="43" name="NOSE31">
    <vt:lpwstr>מדיניות ענישה: ריבוי נישואין</vt:lpwstr>
  </property>
  <property fmtid="{D5CDD505-2E9C-101B-9397-08002B2CF9AE}" pid="44" name="NOSE12">
    <vt:lpwstr/>
  </property>
  <property fmtid="{D5CDD505-2E9C-101B-9397-08002B2CF9AE}" pid="45" name="NOSE22">
    <vt:lpwstr/>
  </property>
  <property fmtid="{D5CDD505-2E9C-101B-9397-08002B2CF9AE}" pid="46" name="NOSE32">
    <vt:lpwstr/>
  </property>
  <property fmtid="{D5CDD505-2E9C-101B-9397-08002B2CF9AE}" pid="47" name="NOSE13">
    <vt:lpwstr/>
  </property>
  <property fmtid="{D5CDD505-2E9C-101B-9397-08002B2CF9AE}" pid="48" name="NOSE23">
    <vt:lpwstr/>
  </property>
  <property fmtid="{D5CDD505-2E9C-101B-9397-08002B2CF9AE}" pid="49" name="NOSE33">
    <vt:lpwstr/>
  </property>
  <property fmtid="{D5CDD505-2E9C-101B-9397-08002B2CF9AE}" pid="50" name="NOSE14">
    <vt:lpwstr/>
  </property>
  <property fmtid="{D5CDD505-2E9C-101B-9397-08002B2CF9AE}" pid="51" name="NOSE24">
    <vt:lpwstr/>
  </property>
  <property fmtid="{D5CDD505-2E9C-101B-9397-08002B2CF9AE}" pid="52" name="NOSE34">
    <vt:lpwstr/>
  </property>
  <property fmtid="{D5CDD505-2E9C-101B-9397-08002B2CF9AE}" pid="53" name="NOSE15">
    <vt:lpwstr/>
  </property>
  <property fmtid="{D5CDD505-2E9C-101B-9397-08002B2CF9AE}" pid="54" name="NOSE25">
    <vt:lpwstr/>
  </property>
  <property fmtid="{D5CDD505-2E9C-101B-9397-08002B2CF9AE}" pid="55" name="NOSE35">
    <vt:lpwstr/>
  </property>
  <property fmtid="{D5CDD505-2E9C-101B-9397-08002B2CF9AE}" pid="56" name="NOSE16">
    <vt:lpwstr/>
  </property>
  <property fmtid="{D5CDD505-2E9C-101B-9397-08002B2CF9AE}" pid="57" name="NOSE26">
    <vt:lpwstr/>
  </property>
  <property fmtid="{D5CDD505-2E9C-101B-9397-08002B2CF9AE}" pid="58" name="NOSE36">
    <vt:lpwstr/>
  </property>
  <property fmtid="{D5CDD505-2E9C-101B-9397-08002B2CF9AE}" pid="59" name="NOSE17">
    <vt:lpwstr/>
  </property>
  <property fmtid="{D5CDD505-2E9C-101B-9397-08002B2CF9AE}" pid="60" name="NOSE27">
    <vt:lpwstr/>
  </property>
  <property fmtid="{D5CDD505-2E9C-101B-9397-08002B2CF9AE}" pid="61" name="NOSE37">
    <vt:lpwstr/>
  </property>
  <property fmtid="{D5CDD505-2E9C-101B-9397-08002B2CF9AE}" pid="62" name="NOSE18">
    <vt:lpwstr/>
  </property>
  <property fmtid="{D5CDD505-2E9C-101B-9397-08002B2CF9AE}" pid="63" name="NOSE28">
    <vt:lpwstr/>
  </property>
  <property fmtid="{D5CDD505-2E9C-101B-9397-08002B2CF9AE}" pid="64" name="NOSE38">
    <vt:lpwstr/>
  </property>
  <property fmtid="{D5CDD505-2E9C-101B-9397-08002B2CF9AE}" pid="65" name="NOSE19">
    <vt:lpwstr/>
  </property>
  <property fmtid="{D5CDD505-2E9C-101B-9397-08002B2CF9AE}" pid="66" name="NOSE29">
    <vt:lpwstr/>
  </property>
  <property fmtid="{D5CDD505-2E9C-101B-9397-08002B2CF9AE}" pid="67" name="NOSE39">
    <vt:lpwstr/>
  </property>
  <property fmtid="{D5CDD505-2E9C-101B-9397-08002B2CF9AE}" pid="68" name="NOSE110">
    <vt:lpwstr/>
  </property>
  <property fmtid="{D5CDD505-2E9C-101B-9397-08002B2CF9AE}" pid="69" name="NOSE210">
    <vt:lpwstr/>
  </property>
  <property fmtid="{D5CDD505-2E9C-101B-9397-08002B2CF9AE}" pid="70" name="NOSE310">
    <vt:lpwstr/>
  </property>
  <property fmtid="{D5CDD505-2E9C-101B-9397-08002B2CF9AE}" pid="71" name="PADIDATE">
    <vt:lpwstr>20201011</vt:lpwstr>
  </property>
  <property fmtid="{D5CDD505-2E9C-101B-9397-08002B2CF9AE}" pid="72" name="METAKZER">
    <vt:lpwstr>עומרי</vt:lpwstr>
  </property>
</Properties>
</file>