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EA1D69" w:rsidRPr="000E591D" w14:paraId="4D2A0B67" w14:textId="77777777" w:rsidTr="004C4BE7">
        <w:trPr>
          <w:trHeight w:hRule="exact" w:val="418"/>
          <w:jc w:val="center"/>
        </w:trPr>
        <w:tc>
          <w:tcPr>
            <w:tcW w:w="8721" w:type="dxa"/>
            <w:gridSpan w:val="2"/>
          </w:tcPr>
          <w:p w14:paraId="5AE98F44" w14:textId="77777777" w:rsidR="00EA1D69" w:rsidRPr="000E591D" w:rsidRDefault="00EA1D69" w:rsidP="00DF7032">
            <w:pPr>
              <w:pStyle w:val="a3"/>
              <w:jc w:val="center"/>
              <w:rPr>
                <w:rFonts w:ascii="Tahoma" w:hAnsi="Tahoma" w:cs="Tahoma"/>
                <w:color w:val="000080"/>
                <w:rtl/>
              </w:rPr>
            </w:pPr>
            <w:bookmarkStart w:id="0" w:name="LastJudge"/>
            <w:r w:rsidRPr="000E591D">
              <w:rPr>
                <w:rFonts w:ascii="Tahoma" w:hAnsi="Tahoma" w:cs="Tahoma"/>
                <w:b/>
                <w:bCs/>
                <w:color w:val="000080"/>
                <w:rtl/>
              </w:rPr>
              <w:t>בית משפט השלום בכפר סבא</w:t>
            </w:r>
          </w:p>
        </w:tc>
      </w:tr>
      <w:tr w:rsidR="00EA1D69" w:rsidRPr="000E591D" w14:paraId="4DBADD84" w14:textId="77777777" w:rsidTr="004C4BE7">
        <w:trPr>
          <w:trHeight w:val="337"/>
          <w:jc w:val="center"/>
        </w:trPr>
        <w:tc>
          <w:tcPr>
            <w:tcW w:w="5059" w:type="dxa"/>
          </w:tcPr>
          <w:p w14:paraId="6104573E" w14:textId="77777777" w:rsidR="00EA1D69" w:rsidRPr="000E591D" w:rsidRDefault="00EA1D69" w:rsidP="00DF7032">
            <w:pPr>
              <w:rPr>
                <w:rFonts w:cs="FrankRuehl"/>
                <w:sz w:val="28"/>
                <w:szCs w:val="28"/>
                <w:rtl/>
              </w:rPr>
            </w:pPr>
            <w:r w:rsidRPr="000E591D">
              <w:rPr>
                <w:rFonts w:cs="FrankRuehl"/>
                <w:sz w:val="28"/>
                <w:szCs w:val="28"/>
                <w:rtl/>
              </w:rPr>
              <w:t>ת"פ</w:t>
            </w:r>
            <w:r w:rsidRPr="000E591D">
              <w:rPr>
                <w:rFonts w:cs="FrankRuehl" w:hint="cs"/>
                <w:sz w:val="28"/>
                <w:szCs w:val="28"/>
                <w:rtl/>
              </w:rPr>
              <w:t xml:space="preserve"> </w:t>
            </w:r>
            <w:r w:rsidRPr="000E591D">
              <w:rPr>
                <w:rFonts w:cs="FrankRuehl"/>
                <w:sz w:val="28"/>
                <w:szCs w:val="28"/>
                <w:rtl/>
              </w:rPr>
              <w:t>35169-02-18</w:t>
            </w:r>
            <w:r w:rsidRPr="000E591D">
              <w:rPr>
                <w:rFonts w:cs="FrankRuehl" w:hint="cs"/>
                <w:sz w:val="28"/>
                <w:szCs w:val="28"/>
                <w:rtl/>
              </w:rPr>
              <w:t xml:space="preserve"> </w:t>
            </w:r>
            <w:r w:rsidRPr="000E591D">
              <w:rPr>
                <w:rFonts w:cs="FrankRuehl"/>
                <w:sz w:val="28"/>
                <w:szCs w:val="28"/>
                <w:rtl/>
              </w:rPr>
              <w:t>מדינת ישראל נ' עזריאל(עציר)</w:t>
            </w:r>
          </w:p>
          <w:p w14:paraId="7E93C3C8" w14:textId="77777777" w:rsidR="00EA1D69" w:rsidRPr="000E591D" w:rsidRDefault="00EA1D69" w:rsidP="00DF7032">
            <w:pPr>
              <w:pStyle w:val="a3"/>
              <w:rPr>
                <w:rFonts w:cs="FrankRuehl"/>
                <w:sz w:val="28"/>
                <w:szCs w:val="28"/>
                <w:rtl/>
              </w:rPr>
            </w:pPr>
          </w:p>
        </w:tc>
        <w:tc>
          <w:tcPr>
            <w:tcW w:w="3662" w:type="dxa"/>
          </w:tcPr>
          <w:p w14:paraId="05CABCD5" w14:textId="77777777" w:rsidR="00EA1D69" w:rsidRPr="000E591D" w:rsidRDefault="00EA1D69" w:rsidP="00DF7032">
            <w:pPr>
              <w:pStyle w:val="a3"/>
              <w:jc w:val="right"/>
              <w:rPr>
                <w:rFonts w:cs="FrankRuehl"/>
                <w:sz w:val="28"/>
                <w:szCs w:val="28"/>
                <w:rtl/>
              </w:rPr>
            </w:pPr>
          </w:p>
        </w:tc>
      </w:tr>
    </w:tbl>
    <w:p w14:paraId="14D0FC41" w14:textId="77777777" w:rsidR="00EA1D69" w:rsidRPr="000E591D" w:rsidRDefault="00EA1D69" w:rsidP="00EA1D69">
      <w:pPr>
        <w:pStyle w:val="a3"/>
        <w:rPr>
          <w:rtl/>
        </w:rPr>
      </w:pPr>
      <w:r w:rsidRPr="000E591D">
        <w:rPr>
          <w:rFonts w:hint="cs"/>
          <w:rtl/>
        </w:rPr>
        <w:t xml:space="preserve"> </w:t>
      </w:r>
    </w:p>
    <w:p w14:paraId="306A0149" w14:textId="77777777" w:rsidR="00EA1D69" w:rsidRPr="000E591D" w:rsidRDefault="00EA1D69" w:rsidP="00EA1D69">
      <w:pPr>
        <w:rPr>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EA1D69" w:rsidRPr="000E591D" w14:paraId="26A213E5" w14:textId="77777777" w:rsidTr="004C4BE7">
        <w:trPr>
          <w:trHeight w:val="295"/>
          <w:jc w:val="center"/>
        </w:trPr>
        <w:tc>
          <w:tcPr>
            <w:tcW w:w="945" w:type="dxa"/>
            <w:tcBorders>
              <w:top w:val="nil"/>
              <w:left w:val="nil"/>
              <w:bottom w:val="nil"/>
              <w:right w:val="nil"/>
            </w:tcBorders>
            <w:shd w:val="clear" w:color="auto" w:fill="auto"/>
          </w:tcPr>
          <w:p w14:paraId="6DC025C8" w14:textId="77777777" w:rsidR="00EA1D69" w:rsidRPr="000E591D" w:rsidRDefault="00EA1D69" w:rsidP="00EA1D69">
            <w:pPr>
              <w:jc w:val="both"/>
              <w:rPr>
                <w:rFonts w:ascii="Arial" w:hAnsi="Arial"/>
                <w:b/>
                <w:bCs/>
                <w:sz w:val="28"/>
                <w:szCs w:val="28"/>
              </w:rPr>
            </w:pPr>
            <w:r w:rsidRPr="000E591D">
              <w:rPr>
                <w:rFonts w:ascii="Arial" w:hAnsi="Arial" w:hint="cs"/>
                <w:b/>
                <w:bCs/>
                <w:sz w:val="28"/>
                <w:szCs w:val="28"/>
                <w:rtl/>
              </w:rPr>
              <w:t>ב</w:t>
            </w:r>
            <w:r w:rsidRPr="000E591D">
              <w:rPr>
                <w:rFonts w:ascii="Arial" w:hAnsi="Arial"/>
                <w:b/>
                <w:bCs/>
                <w:sz w:val="28"/>
                <w:szCs w:val="28"/>
                <w:rtl/>
              </w:rPr>
              <w:t xml:space="preserve">פני </w:t>
            </w:r>
          </w:p>
        </w:tc>
        <w:tc>
          <w:tcPr>
            <w:tcW w:w="7875" w:type="dxa"/>
            <w:gridSpan w:val="2"/>
            <w:tcBorders>
              <w:top w:val="nil"/>
              <w:left w:val="nil"/>
              <w:bottom w:val="nil"/>
              <w:right w:val="nil"/>
            </w:tcBorders>
            <w:shd w:val="clear" w:color="auto" w:fill="auto"/>
          </w:tcPr>
          <w:p w14:paraId="7F7668CE" w14:textId="77777777" w:rsidR="00EA1D69" w:rsidRPr="000E591D" w:rsidRDefault="00EA1D69" w:rsidP="00DF7032">
            <w:pPr>
              <w:rPr>
                <w:rFonts w:ascii="Arial" w:hAnsi="Arial"/>
                <w:b/>
                <w:bCs/>
                <w:sz w:val="28"/>
                <w:szCs w:val="28"/>
                <w:rtl/>
              </w:rPr>
            </w:pPr>
            <w:r w:rsidRPr="000E591D">
              <w:rPr>
                <w:rFonts w:ascii="Arial" w:hAnsi="Arial" w:hint="cs"/>
                <w:b/>
                <w:bCs/>
                <w:sz w:val="28"/>
                <w:szCs w:val="28"/>
                <w:rtl/>
              </w:rPr>
              <w:t>כבוד ה</w:t>
            </w:r>
            <w:r w:rsidRPr="000E591D">
              <w:rPr>
                <w:rFonts w:ascii="Arial" w:hAnsi="Arial"/>
                <w:b/>
                <w:bCs/>
                <w:sz w:val="28"/>
                <w:szCs w:val="28"/>
                <w:rtl/>
              </w:rPr>
              <w:t>שופטת</w:t>
            </w:r>
            <w:r w:rsidRPr="000E591D">
              <w:rPr>
                <w:rFonts w:ascii="Arial" w:hAnsi="Arial" w:hint="cs"/>
                <w:b/>
                <w:bCs/>
                <w:sz w:val="28"/>
                <w:szCs w:val="28"/>
                <w:rtl/>
              </w:rPr>
              <w:t xml:space="preserve">  </w:t>
            </w:r>
            <w:r w:rsidRPr="000E591D">
              <w:rPr>
                <w:rFonts w:ascii="Arial" w:hAnsi="Arial"/>
                <w:b/>
                <w:bCs/>
                <w:sz w:val="28"/>
                <w:szCs w:val="28"/>
                <w:rtl/>
              </w:rPr>
              <w:t>מרב גרינברג</w:t>
            </w:r>
          </w:p>
          <w:p w14:paraId="7C9FB07A" w14:textId="77777777" w:rsidR="00EA1D69" w:rsidRPr="000E591D" w:rsidRDefault="00EA1D69" w:rsidP="00DF7032">
            <w:pPr>
              <w:rPr>
                <w:b/>
                <w:bCs/>
                <w:sz w:val="28"/>
                <w:szCs w:val="28"/>
                <w:rtl/>
              </w:rPr>
            </w:pPr>
          </w:p>
          <w:p w14:paraId="15422C16" w14:textId="77777777" w:rsidR="00EA1D69" w:rsidRPr="000E591D" w:rsidRDefault="00EA1D69" w:rsidP="00EA1D69">
            <w:pPr>
              <w:jc w:val="both"/>
              <w:rPr>
                <w:rFonts w:ascii="Arial" w:hAnsi="Arial"/>
                <w:b/>
                <w:bCs/>
                <w:sz w:val="28"/>
                <w:szCs w:val="28"/>
              </w:rPr>
            </w:pPr>
          </w:p>
        </w:tc>
      </w:tr>
      <w:tr w:rsidR="00EA1D69" w:rsidRPr="000E591D" w14:paraId="329225F6" w14:textId="77777777" w:rsidTr="004C4BE7">
        <w:trPr>
          <w:trHeight w:val="355"/>
          <w:jc w:val="center"/>
        </w:trPr>
        <w:tc>
          <w:tcPr>
            <w:tcW w:w="945" w:type="dxa"/>
            <w:tcBorders>
              <w:top w:val="nil"/>
              <w:left w:val="nil"/>
              <w:bottom w:val="nil"/>
              <w:right w:val="nil"/>
            </w:tcBorders>
            <w:shd w:val="clear" w:color="auto" w:fill="auto"/>
          </w:tcPr>
          <w:p w14:paraId="32E2121B" w14:textId="77777777" w:rsidR="00EA1D69" w:rsidRPr="000E591D" w:rsidRDefault="00EA1D69" w:rsidP="00EA1D69">
            <w:pPr>
              <w:jc w:val="both"/>
              <w:rPr>
                <w:rFonts w:ascii="Arial" w:hAnsi="Arial"/>
                <w:b/>
                <w:bCs/>
                <w:sz w:val="28"/>
                <w:szCs w:val="28"/>
              </w:rPr>
            </w:pPr>
            <w:bookmarkStart w:id="1" w:name="FirstAppellant"/>
            <w:r w:rsidRPr="000E591D">
              <w:rPr>
                <w:rFonts w:ascii="Arial" w:hAnsi="Arial" w:hint="cs"/>
                <w:b/>
                <w:bCs/>
                <w:sz w:val="28"/>
                <w:szCs w:val="28"/>
                <w:rtl/>
              </w:rPr>
              <w:t>בעניין:</w:t>
            </w:r>
          </w:p>
        </w:tc>
        <w:tc>
          <w:tcPr>
            <w:tcW w:w="4114" w:type="dxa"/>
            <w:tcBorders>
              <w:top w:val="nil"/>
              <w:left w:val="nil"/>
              <w:bottom w:val="nil"/>
              <w:right w:val="nil"/>
            </w:tcBorders>
            <w:shd w:val="clear" w:color="auto" w:fill="auto"/>
          </w:tcPr>
          <w:p w14:paraId="25DD6E73" w14:textId="77777777" w:rsidR="00EA1D69" w:rsidRPr="000E591D" w:rsidRDefault="00EA1D69" w:rsidP="00DF7032">
            <w:pPr>
              <w:rPr>
                <w:b/>
                <w:bCs/>
                <w:sz w:val="28"/>
                <w:szCs w:val="28"/>
              </w:rPr>
            </w:pPr>
            <w:r w:rsidRPr="000E591D">
              <w:rPr>
                <w:rFonts w:ascii="Arial" w:hAnsi="Arial"/>
                <w:b/>
                <w:bCs/>
                <w:sz w:val="28"/>
                <w:szCs w:val="28"/>
                <w:rtl/>
              </w:rPr>
              <w:t>מדינת ישראל</w:t>
            </w:r>
          </w:p>
        </w:tc>
        <w:tc>
          <w:tcPr>
            <w:tcW w:w="3761" w:type="dxa"/>
            <w:tcBorders>
              <w:top w:val="nil"/>
              <w:left w:val="nil"/>
              <w:bottom w:val="nil"/>
              <w:right w:val="nil"/>
            </w:tcBorders>
            <w:shd w:val="clear" w:color="auto" w:fill="auto"/>
          </w:tcPr>
          <w:p w14:paraId="3AE3070C" w14:textId="77777777" w:rsidR="00EA1D69" w:rsidRPr="000E591D" w:rsidRDefault="00EA1D69" w:rsidP="00EA1D69">
            <w:pPr>
              <w:jc w:val="both"/>
              <w:rPr>
                <w:rFonts w:ascii="Arial" w:hAnsi="Arial"/>
                <w:b/>
                <w:bCs/>
                <w:sz w:val="28"/>
                <w:szCs w:val="28"/>
              </w:rPr>
            </w:pPr>
          </w:p>
        </w:tc>
      </w:tr>
      <w:tr w:rsidR="00EA1D69" w:rsidRPr="000E591D" w14:paraId="611BCCFC" w14:textId="77777777" w:rsidTr="004C4BE7">
        <w:trPr>
          <w:trHeight w:val="355"/>
          <w:jc w:val="center"/>
        </w:trPr>
        <w:tc>
          <w:tcPr>
            <w:tcW w:w="945" w:type="dxa"/>
            <w:tcBorders>
              <w:top w:val="nil"/>
              <w:left w:val="nil"/>
              <w:bottom w:val="nil"/>
              <w:right w:val="nil"/>
            </w:tcBorders>
            <w:shd w:val="clear" w:color="auto" w:fill="auto"/>
          </w:tcPr>
          <w:p w14:paraId="2BC7169A" w14:textId="77777777" w:rsidR="00EA1D69" w:rsidRPr="000E591D" w:rsidRDefault="00EA1D69" w:rsidP="00EA1D69">
            <w:pPr>
              <w:jc w:val="both"/>
              <w:rPr>
                <w:rFonts w:ascii="Arial" w:hAnsi="Arial"/>
                <w:b/>
                <w:bCs/>
                <w:sz w:val="28"/>
                <w:szCs w:val="28"/>
                <w:rtl/>
              </w:rPr>
            </w:pPr>
            <w:bookmarkStart w:id="2" w:name="FirstLawyer"/>
            <w:bookmarkEnd w:id="1"/>
          </w:p>
        </w:tc>
        <w:tc>
          <w:tcPr>
            <w:tcW w:w="4114" w:type="dxa"/>
            <w:tcBorders>
              <w:top w:val="nil"/>
              <w:left w:val="nil"/>
              <w:bottom w:val="nil"/>
              <w:right w:val="nil"/>
            </w:tcBorders>
            <w:shd w:val="clear" w:color="auto" w:fill="auto"/>
          </w:tcPr>
          <w:p w14:paraId="0FBAC952" w14:textId="77777777" w:rsidR="00EA1D69" w:rsidRPr="000E591D" w:rsidRDefault="00EA1D69" w:rsidP="00EA1D69">
            <w:pPr>
              <w:jc w:val="both"/>
              <w:rPr>
                <w:b/>
                <w:bCs/>
                <w:sz w:val="28"/>
                <w:szCs w:val="28"/>
                <w:rtl/>
              </w:rPr>
            </w:pPr>
            <w:r w:rsidRPr="000E591D">
              <w:rPr>
                <w:rFonts w:hint="cs"/>
                <w:b/>
                <w:bCs/>
                <w:sz w:val="28"/>
                <w:szCs w:val="28"/>
                <w:rtl/>
              </w:rPr>
              <w:t>ע"י ב"כ עו"ד רוית שפיר</w:t>
            </w:r>
          </w:p>
        </w:tc>
        <w:tc>
          <w:tcPr>
            <w:tcW w:w="3761" w:type="dxa"/>
            <w:tcBorders>
              <w:top w:val="nil"/>
              <w:left w:val="nil"/>
              <w:bottom w:val="nil"/>
              <w:right w:val="nil"/>
            </w:tcBorders>
            <w:shd w:val="clear" w:color="auto" w:fill="auto"/>
          </w:tcPr>
          <w:p w14:paraId="0BCA0B2F" w14:textId="77777777" w:rsidR="00EA1D69" w:rsidRPr="000E591D" w:rsidRDefault="00EA1D69" w:rsidP="00EA1D69">
            <w:pPr>
              <w:jc w:val="right"/>
              <w:rPr>
                <w:rFonts w:ascii="Arial" w:hAnsi="Arial"/>
                <w:b/>
                <w:bCs/>
                <w:sz w:val="28"/>
                <w:szCs w:val="28"/>
                <w:rtl/>
              </w:rPr>
            </w:pPr>
            <w:r w:rsidRPr="000E591D">
              <w:rPr>
                <w:rFonts w:ascii="Arial" w:hAnsi="Arial" w:hint="cs"/>
                <w:b/>
                <w:bCs/>
                <w:sz w:val="28"/>
                <w:szCs w:val="28"/>
                <w:rtl/>
              </w:rPr>
              <w:t>ה</w:t>
            </w:r>
            <w:r w:rsidRPr="000E591D">
              <w:rPr>
                <w:rFonts w:ascii="Arial" w:hAnsi="Arial"/>
                <w:b/>
                <w:bCs/>
                <w:sz w:val="28"/>
                <w:szCs w:val="28"/>
                <w:rtl/>
              </w:rPr>
              <w:t>מאשימה</w:t>
            </w:r>
          </w:p>
        </w:tc>
      </w:tr>
      <w:bookmarkEnd w:id="2"/>
      <w:tr w:rsidR="00EA1D69" w:rsidRPr="000E591D" w14:paraId="0BD32B70" w14:textId="77777777" w:rsidTr="004C4BE7">
        <w:trPr>
          <w:trHeight w:val="355"/>
          <w:jc w:val="center"/>
        </w:trPr>
        <w:tc>
          <w:tcPr>
            <w:tcW w:w="945" w:type="dxa"/>
            <w:tcBorders>
              <w:top w:val="nil"/>
              <w:left w:val="nil"/>
              <w:bottom w:val="nil"/>
              <w:right w:val="nil"/>
            </w:tcBorders>
            <w:shd w:val="clear" w:color="auto" w:fill="auto"/>
          </w:tcPr>
          <w:p w14:paraId="0293C142" w14:textId="77777777" w:rsidR="00EA1D69" w:rsidRPr="000E591D" w:rsidRDefault="00EA1D69" w:rsidP="00EA1D69">
            <w:pPr>
              <w:jc w:val="both"/>
              <w:rPr>
                <w:rFonts w:ascii="Arial" w:hAnsi="Arial"/>
                <w:b/>
                <w:bCs/>
                <w:sz w:val="28"/>
                <w:szCs w:val="28"/>
                <w:rtl/>
              </w:rPr>
            </w:pPr>
          </w:p>
        </w:tc>
        <w:tc>
          <w:tcPr>
            <w:tcW w:w="7875" w:type="dxa"/>
            <w:gridSpan w:val="2"/>
            <w:tcBorders>
              <w:top w:val="nil"/>
              <w:left w:val="nil"/>
              <w:bottom w:val="nil"/>
              <w:right w:val="nil"/>
            </w:tcBorders>
            <w:shd w:val="clear" w:color="auto" w:fill="auto"/>
          </w:tcPr>
          <w:p w14:paraId="7969AF0E" w14:textId="77777777" w:rsidR="00EA1D69" w:rsidRPr="000E591D" w:rsidRDefault="00EA1D69" w:rsidP="00EA1D69">
            <w:pPr>
              <w:jc w:val="center"/>
              <w:rPr>
                <w:rFonts w:ascii="Arial" w:hAnsi="Arial"/>
                <w:b/>
                <w:bCs/>
                <w:sz w:val="28"/>
                <w:szCs w:val="28"/>
                <w:rtl/>
              </w:rPr>
            </w:pPr>
          </w:p>
          <w:p w14:paraId="666DA120" w14:textId="77777777" w:rsidR="00EA1D69" w:rsidRPr="000E591D" w:rsidRDefault="00EA1D69" w:rsidP="00EA1D69">
            <w:pPr>
              <w:jc w:val="center"/>
              <w:rPr>
                <w:rFonts w:ascii="Arial" w:hAnsi="Arial"/>
                <w:b/>
                <w:bCs/>
                <w:sz w:val="28"/>
                <w:szCs w:val="28"/>
                <w:rtl/>
              </w:rPr>
            </w:pPr>
            <w:r w:rsidRPr="000E591D">
              <w:rPr>
                <w:rFonts w:ascii="Arial" w:hAnsi="Arial"/>
                <w:b/>
                <w:bCs/>
                <w:sz w:val="28"/>
                <w:szCs w:val="28"/>
                <w:rtl/>
              </w:rPr>
              <w:t>נגד</w:t>
            </w:r>
          </w:p>
          <w:p w14:paraId="16CB2EE8" w14:textId="77777777" w:rsidR="00EA1D69" w:rsidRPr="000E591D" w:rsidRDefault="00EA1D69" w:rsidP="00EA1D69">
            <w:pPr>
              <w:jc w:val="both"/>
              <w:rPr>
                <w:rFonts w:ascii="Arial" w:hAnsi="Arial"/>
                <w:b/>
                <w:bCs/>
                <w:sz w:val="28"/>
                <w:szCs w:val="28"/>
              </w:rPr>
            </w:pPr>
          </w:p>
        </w:tc>
      </w:tr>
      <w:tr w:rsidR="00EA1D69" w:rsidRPr="000E591D" w14:paraId="3AEBA3A4" w14:textId="77777777" w:rsidTr="004C4BE7">
        <w:trPr>
          <w:trHeight w:val="355"/>
          <w:jc w:val="center"/>
        </w:trPr>
        <w:tc>
          <w:tcPr>
            <w:tcW w:w="945" w:type="dxa"/>
            <w:tcBorders>
              <w:top w:val="nil"/>
              <w:left w:val="nil"/>
              <w:bottom w:val="nil"/>
              <w:right w:val="nil"/>
            </w:tcBorders>
            <w:shd w:val="clear" w:color="auto" w:fill="auto"/>
          </w:tcPr>
          <w:p w14:paraId="3F362128" w14:textId="77777777" w:rsidR="00EA1D69" w:rsidRPr="000E591D" w:rsidRDefault="00EA1D69" w:rsidP="00DF7032">
            <w:pPr>
              <w:rPr>
                <w:rFonts w:ascii="Arial" w:hAnsi="Arial"/>
                <w:b/>
                <w:bCs/>
                <w:sz w:val="28"/>
                <w:szCs w:val="28"/>
                <w:rtl/>
              </w:rPr>
            </w:pPr>
          </w:p>
        </w:tc>
        <w:tc>
          <w:tcPr>
            <w:tcW w:w="4114" w:type="dxa"/>
            <w:tcBorders>
              <w:top w:val="nil"/>
              <w:left w:val="nil"/>
              <w:bottom w:val="nil"/>
              <w:right w:val="nil"/>
            </w:tcBorders>
            <w:shd w:val="clear" w:color="auto" w:fill="auto"/>
          </w:tcPr>
          <w:p w14:paraId="1AA2E196" w14:textId="77777777" w:rsidR="00EA1D69" w:rsidRPr="000E591D" w:rsidRDefault="00EA1D69" w:rsidP="00DF7032">
            <w:pPr>
              <w:rPr>
                <w:b/>
                <w:bCs/>
                <w:sz w:val="28"/>
                <w:szCs w:val="28"/>
                <w:rtl/>
              </w:rPr>
            </w:pPr>
            <w:r w:rsidRPr="000E591D">
              <w:rPr>
                <w:rFonts w:ascii="Arial" w:hAnsi="Arial"/>
                <w:b/>
                <w:bCs/>
                <w:sz w:val="28"/>
                <w:szCs w:val="28"/>
                <w:rtl/>
              </w:rPr>
              <w:t>יניב בן יוסף עזריאל (עציר)</w:t>
            </w:r>
            <w:r w:rsidRPr="000E591D">
              <w:rPr>
                <w:rFonts w:hint="cs"/>
                <w:b/>
                <w:bCs/>
                <w:sz w:val="28"/>
                <w:szCs w:val="28"/>
                <w:rtl/>
              </w:rPr>
              <w:t xml:space="preserve"> - הובא</w:t>
            </w:r>
          </w:p>
        </w:tc>
        <w:tc>
          <w:tcPr>
            <w:tcW w:w="3761" w:type="dxa"/>
            <w:tcBorders>
              <w:top w:val="nil"/>
              <w:left w:val="nil"/>
              <w:bottom w:val="nil"/>
              <w:right w:val="nil"/>
            </w:tcBorders>
            <w:shd w:val="clear" w:color="auto" w:fill="auto"/>
          </w:tcPr>
          <w:p w14:paraId="75B4FA1A" w14:textId="77777777" w:rsidR="00EA1D69" w:rsidRPr="000E591D" w:rsidRDefault="00EA1D69" w:rsidP="00EA1D69">
            <w:pPr>
              <w:jc w:val="right"/>
              <w:rPr>
                <w:rFonts w:ascii="Arial" w:hAnsi="Arial"/>
                <w:b/>
                <w:bCs/>
                <w:sz w:val="28"/>
                <w:szCs w:val="28"/>
              </w:rPr>
            </w:pPr>
          </w:p>
        </w:tc>
      </w:tr>
      <w:tr w:rsidR="00EA1D69" w:rsidRPr="000E591D" w14:paraId="7FAE2770" w14:textId="77777777" w:rsidTr="004C4BE7">
        <w:trPr>
          <w:trHeight w:val="355"/>
          <w:jc w:val="center"/>
        </w:trPr>
        <w:tc>
          <w:tcPr>
            <w:tcW w:w="945" w:type="dxa"/>
            <w:tcBorders>
              <w:top w:val="nil"/>
              <w:left w:val="nil"/>
              <w:bottom w:val="nil"/>
              <w:right w:val="nil"/>
            </w:tcBorders>
            <w:shd w:val="clear" w:color="auto" w:fill="auto"/>
          </w:tcPr>
          <w:p w14:paraId="7CF1AF81" w14:textId="77777777" w:rsidR="00EA1D69" w:rsidRPr="000E591D" w:rsidRDefault="00EA1D69" w:rsidP="00EA1D69">
            <w:pPr>
              <w:jc w:val="both"/>
              <w:rPr>
                <w:rFonts w:ascii="Arial" w:hAnsi="Arial"/>
                <w:b/>
                <w:bCs/>
                <w:sz w:val="28"/>
                <w:szCs w:val="28"/>
                <w:rtl/>
              </w:rPr>
            </w:pPr>
          </w:p>
        </w:tc>
        <w:tc>
          <w:tcPr>
            <w:tcW w:w="4114" w:type="dxa"/>
            <w:tcBorders>
              <w:top w:val="nil"/>
              <w:left w:val="nil"/>
              <w:bottom w:val="nil"/>
              <w:right w:val="nil"/>
            </w:tcBorders>
            <w:shd w:val="clear" w:color="auto" w:fill="auto"/>
          </w:tcPr>
          <w:p w14:paraId="5EE6DB67" w14:textId="77777777" w:rsidR="00EA1D69" w:rsidRPr="000E591D" w:rsidRDefault="00EA1D69" w:rsidP="00EA1D69">
            <w:pPr>
              <w:jc w:val="both"/>
              <w:rPr>
                <w:b/>
                <w:bCs/>
                <w:sz w:val="28"/>
                <w:szCs w:val="28"/>
                <w:rtl/>
              </w:rPr>
            </w:pPr>
            <w:r w:rsidRPr="000E591D">
              <w:rPr>
                <w:rFonts w:hint="cs"/>
                <w:b/>
                <w:bCs/>
                <w:sz w:val="28"/>
                <w:szCs w:val="28"/>
                <w:rtl/>
              </w:rPr>
              <w:t>ע"י ב"כ עו"ד רן שטרצר</w:t>
            </w:r>
          </w:p>
        </w:tc>
        <w:tc>
          <w:tcPr>
            <w:tcW w:w="3761" w:type="dxa"/>
            <w:tcBorders>
              <w:top w:val="nil"/>
              <w:left w:val="nil"/>
              <w:bottom w:val="nil"/>
              <w:right w:val="nil"/>
            </w:tcBorders>
            <w:shd w:val="clear" w:color="auto" w:fill="auto"/>
          </w:tcPr>
          <w:p w14:paraId="597BDBDA" w14:textId="77777777" w:rsidR="00EA1D69" w:rsidRPr="000E591D" w:rsidRDefault="00EA1D69" w:rsidP="00EA1D69">
            <w:pPr>
              <w:jc w:val="right"/>
              <w:rPr>
                <w:rFonts w:ascii="Arial" w:hAnsi="Arial"/>
                <w:b/>
                <w:bCs/>
                <w:sz w:val="28"/>
                <w:szCs w:val="28"/>
              </w:rPr>
            </w:pPr>
            <w:r w:rsidRPr="000E591D">
              <w:rPr>
                <w:rFonts w:ascii="Arial" w:hAnsi="Arial" w:hint="cs"/>
                <w:b/>
                <w:bCs/>
                <w:sz w:val="28"/>
                <w:szCs w:val="28"/>
                <w:rtl/>
              </w:rPr>
              <w:t>ה</w:t>
            </w:r>
            <w:r w:rsidRPr="000E591D">
              <w:rPr>
                <w:rFonts w:ascii="Arial" w:hAnsi="Arial"/>
                <w:b/>
                <w:bCs/>
                <w:sz w:val="28"/>
                <w:szCs w:val="28"/>
                <w:rtl/>
              </w:rPr>
              <w:t>נאשם</w:t>
            </w:r>
          </w:p>
        </w:tc>
      </w:tr>
      <w:tr w:rsidR="00EA1D69" w:rsidRPr="000E591D" w14:paraId="7DFD4705" w14:textId="77777777" w:rsidTr="00EA1D69">
        <w:trPr>
          <w:trHeight w:val="355"/>
          <w:jc w:val="center"/>
        </w:trPr>
        <w:tc>
          <w:tcPr>
            <w:tcW w:w="8820" w:type="dxa"/>
            <w:gridSpan w:val="3"/>
            <w:tcBorders>
              <w:top w:val="nil"/>
              <w:left w:val="nil"/>
              <w:bottom w:val="nil"/>
              <w:right w:val="nil"/>
            </w:tcBorders>
            <w:shd w:val="clear" w:color="auto" w:fill="auto"/>
          </w:tcPr>
          <w:p w14:paraId="572BED72" w14:textId="77777777" w:rsidR="00882B4C" w:rsidRDefault="00882B4C" w:rsidP="00EA1D69">
            <w:pPr>
              <w:jc w:val="center"/>
              <w:rPr>
                <w:rFonts w:ascii="Arial" w:hAnsi="Arial" w:cs="FrankRuehl"/>
                <w:sz w:val="36"/>
                <w:szCs w:val="36"/>
                <w:rtl/>
              </w:rPr>
            </w:pPr>
            <w:bookmarkStart w:id="3" w:name="PsakDin"/>
            <w:bookmarkStart w:id="4" w:name="LawTable"/>
            <w:bookmarkEnd w:id="4"/>
          </w:p>
          <w:p w14:paraId="4B410EB2" w14:textId="77777777" w:rsidR="00882B4C" w:rsidRPr="00882B4C" w:rsidRDefault="00882B4C" w:rsidP="00882B4C">
            <w:pPr>
              <w:spacing w:after="120" w:line="240" w:lineRule="exact"/>
              <w:ind w:left="283" w:hanging="283"/>
              <w:jc w:val="both"/>
              <w:rPr>
                <w:rFonts w:ascii="FrankRuehl" w:hAnsi="FrankRuehl" w:cs="FrankRuehl"/>
                <w:rtl/>
              </w:rPr>
            </w:pPr>
          </w:p>
          <w:p w14:paraId="19DDAC2A" w14:textId="77777777" w:rsidR="00882B4C" w:rsidRPr="00882B4C" w:rsidRDefault="00882B4C" w:rsidP="00882B4C">
            <w:pPr>
              <w:spacing w:after="120" w:line="240" w:lineRule="exact"/>
              <w:ind w:left="283" w:hanging="283"/>
              <w:jc w:val="both"/>
              <w:rPr>
                <w:rFonts w:ascii="FrankRuehl" w:hAnsi="FrankRuehl" w:cs="FrankRuehl"/>
                <w:rtl/>
              </w:rPr>
            </w:pPr>
            <w:r w:rsidRPr="00882B4C">
              <w:rPr>
                <w:rFonts w:ascii="FrankRuehl" w:hAnsi="FrankRuehl" w:cs="FrankRuehl"/>
                <w:rtl/>
              </w:rPr>
              <w:t xml:space="preserve">חקיקה שאוזכרה: </w:t>
            </w:r>
          </w:p>
          <w:p w14:paraId="68229781" w14:textId="77777777" w:rsidR="00882B4C" w:rsidRPr="00882B4C" w:rsidRDefault="00882B4C" w:rsidP="00882B4C">
            <w:pPr>
              <w:spacing w:after="120" w:line="240" w:lineRule="exact"/>
              <w:ind w:left="283" w:hanging="283"/>
              <w:jc w:val="both"/>
              <w:rPr>
                <w:rFonts w:ascii="FrankRuehl" w:hAnsi="FrankRuehl" w:cs="FrankRuehl"/>
                <w:rtl/>
              </w:rPr>
            </w:pPr>
            <w:hyperlink r:id="rId7" w:history="1">
              <w:r w:rsidRPr="00882B4C">
                <w:rPr>
                  <w:rFonts w:ascii="FrankRuehl" w:hAnsi="FrankRuehl" w:cs="FrankRuehl"/>
                  <w:color w:val="0000FF"/>
                  <w:u w:val="single"/>
                  <w:rtl/>
                </w:rPr>
                <w:t>פקודת הסמים המסוכנים [נוסח חדש], תשל"ג-1973</w:t>
              </w:r>
            </w:hyperlink>
            <w:r w:rsidRPr="00882B4C">
              <w:rPr>
                <w:rFonts w:ascii="FrankRuehl" w:hAnsi="FrankRuehl" w:cs="FrankRuehl"/>
                <w:rtl/>
              </w:rPr>
              <w:t xml:space="preserve">: סע'  </w:t>
            </w:r>
            <w:hyperlink r:id="rId8" w:history="1">
              <w:r w:rsidRPr="00882B4C">
                <w:rPr>
                  <w:rFonts w:ascii="FrankRuehl" w:hAnsi="FrankRuehl" w:cs="FrankRuehl"/>
                  <w:color w:val="0000FF"/>
                  <w:u w:val="single"/>
                  <w:rtl/>
                </w:rPr>
                <w:t>6</w:t>
              </w:r>
            </w:hyperlink>
            <w:r w:rsidRPr="00882B4C">
              <w:rPr>
                <w:rFonts w:ascii="FrankRuehl" w:hAnsi="FrankRuehl" w:cs="FrankRuehl"/>
                <w:rtl/>
              </w:rPr>
              <w:t xml:space="preserve">, </w:t>
            </w:r>
            <w:hyperlink r:id="rId9" w:history="1">
              <w:r w:rsidRPr="00882B4C">
                <w:rPr>
                  <w:rFonts w:ascii="FrankRuehl" w:hAnsi="FrankRuehl" w:cs="FrankRuehl"/>
                  <w:color w:val="0000FF"/>
                  <w:u w:val="single"/>
                  <w:rtl/>
                </w:rPr>
                <w:t>7.א.</w:t>
              </w:r>
            </w:hyperlink>
            <w:r w:rsidRPr="00882B4C">
              <w:rPr>
                <w:rFonts w:ascii="FrankRuehl" w:hAnsi="FrankRuehl" w:cs="FrankRuehl"/>
                <w:rtl/>
              </w:rPr>
              <w:t xml:space="preserve">, </w:t>
            </w:r>
            <w:hyperlink r:id="rId10" w:history="1">
              <w:r w:rsidRPr="00882B4C">
                <w:rPr>
                  <w:rFonts w:ascii="FrankRuehl" w:hAnsi="FrankRuehl" w:cs="FrankRuehl"/>
                  <w:color w:val="0000FF"/>
                  <w:u w:val="single"/>
                  <w:rtl/>
                </w:rPr>
                <w:t>7.ג</w:t>
              </w:r>
            </w:hyperlink>
          </w:p>
          <w:p w14:paraId="121B1E50" w14:textId="77777777" w:rsidR="00882B4C" w:rsidRPr="00882B4C" w:rsidRDefault="00882B4C" w:rsidP="00882B4C">
            <w:pPr>
              <w:spacing w:after="120" w:line="240" w:lineRule="exact"/>
              <w:ind w:left="283" w:hanging="283"/>
              <w:jc w:val="both"/>
              <w:rPr>
                <w:rFonts w:ascii="FrankRuehl" w:hAnsi="FrankRuehl" w:cs="FrankRuehl"/>
                <w:rtl/>
              </w:rPr>
            </w:pPr>
            <w:hyperlink r:id="rId11" w:history="1">
              <w:r w:rsidRPr="00882B4C">
                <w:rPr>
                  <w:rFonts w:ascii="FrankRuehl" w:hAnsi="FrankRuehl" w:cs="FrankRuehl"/>
                  <w:color w:val="0000FF"/>
                  <w:u w:val="single"/>
                  <w:rtl/>
                </w:rPr>
                <w:t>חוק העונשין, תשל"ז-1977</w:t>
              </w:r>
            </w:hyperlink>
            <w:r w:rsidRPr="00882B4C">
              <w:rPr>
                <w:rFonts w:ascii="FrankRuehl" w:hAnsi="FrankRuehl" w:cs="FrankRuehl"/>
                <w:rtl/>
              </w:rPr>
              <w:t xml:space="preserve">: סע'  </w:t>
            </w:r>
            <w:hyperlink r:id="rId12" w:history="1">
              <w:r w:rsidRPr="00882B4C">
                <w:rPr>
                  <w:rFonts w:ascii="FrankRuehl" w:hAnsi="FrankRuehl" w:cs="FrankRuehl"/>
                  <w:color w:val="0000FF"/>
                  <w:u w:val="single"/>
                  <w:rtl/>
                </w:rPr>
                <w:t>31</w:t>
              </w:r>
            </w:hyperlink>
            <w:r w:rsidRPr="00882B4C">
              <w:rPr>
                <w:rFonts w:ascii="FrankRuehl" w:hAnsi="FrankRuehl" w:cs="FrankRuehl"/>
                <w:rtl/>
              </w:rPr>
              <w:t xml:space="preserve">, </w:t>
            </w:r>
            <w:hyperlink r:id="rId13" w:history="1">
              <w:r w:rsidRPr="00882B4C">
                <w:rPr>
                  <w:rFonts w:ascii="FrankRuehl" w:hAnsi="FrankRuehl" w:cs="FrankRuehl"/>
                  <w:color w:val="0000FF"/>
                  <w:u w:val="single"/>
                  <w:rtl/>
                </w:rPr>
                <w:t>192</w:t>
              </w:r>
            </w:hyperlink>
            <w:r w:rsidRPr="00882B4C">
              <w:rPr>
                <w:rFonts w:ascii="FrankRuehl" w:hAnsi="FrankRuehl" w:cs="FrankRuehl"/>
                <w:rtl/>
              </w:rPr>
              <w:t xml:space="preserve">, </w:t>
            </w:r>
            <w:hyperlink r:id="rId14" w:history="1">
              <w:r w:rsidRPr="00882B4C">
                <w:rPr>
                  <w:rFonts w:ascii="FrankRuehl" w:hAnsi="FrankRuehl" w:cs="FrankRuehl"/>
                  <w:color w:val="0000FF"/>
                  <w:u w:val="single"/>
                  <w:rtl/>
                </w:rPr>
                <w:t>499(א)(1)</w:t>
              </w:r>
            </w:hyperlink>
          </w:p>
          <w:p w14:paraId="35668C80" w14:textId="77777777" w:rsidR="00882B4C" w:rsidRPr="00882B4C" w:rsidRDefault="00882B4C" w:rsidP="00882B4C">
            <w:pPr>
              <w:spacing w:after="120" w:line="240" w:lineRule="exact"/>
              <w:ind w:left="283" w:hanging="283"/>
              <w:jc w:val="both"/>
              <w:rPr>
                <w:rFonts w:ascii="FrankRuehl" w:hAnsi="FrankRuehl" w:cs="FrankRuehl"/>
                <w:rtl/>
              </w:rPr>
            </w:pPr>
          </w:p>
          <w:p w14:paraId="3A28CF23" w14:textId="77777777" w:rsidR="00882B4C" w:rsidRPr="00882B4C" w:rsidRDefault="00882B4C" w:rsidP="00EA1D69">
            <w:pPr>
              <w:jc w:val="center"/>
              <w:rPr>
                <w:rFonts w:ascii="Arial" w:hAnsi="Arial" w:cs="FrankRuehl"/>
                <w:sz w:val="36"/>
                <w:szCs w:val="36"/>
                <w:rtl/>
              </w:rPr>
            </w:pPr>
            <w:bookmarkStart w:id="5" w:name="LawTable_End"/>
            <w:bookmarkEnd w:id="5"/>
          </w:p>
          <w:p w14:paraId="4A9F33E0" w14:textId="77777777" w:rsidR="00882B4C" w:rsidRPr="00882B4C" w:rsidRDefault="00882B4C" w:rsidP="00EA1D69">
            <w:pPr>
              <w:jc w:val="center"/>
              <w:rPr>
                <w:rFonts w:ascii="Arial" w:hAnsi="Arial" w:cs="FrankRuehl"/>
                <w:sz w:val="36"/>
                <w:szCs w:val="36"/>
                <w:rtl/>
              </w:rPr>
            </w:pPr>
          </w:p>
          <w:p w14:paraId="58960120" w14:textId="77777777" w:rsidR="004C4BE7" w:rsidRPr="004C4BE7" w:rsidRDefault="004C4BE7" w:rsidP="00EA1D69">
            <w:pPr>
              <w:jc w:val="center"/>
              <w:rPr>
                <w:rFonts w:ascii="Arial" w:hAnsi="Arial" w:cs="FrankRuehl"/>
                <w:sz w:val="36"/>
                <w:szCs w:val="36"/>
                <w:rtl/>
              </w:rPr>
            </w:pPr>
          </w:p>
          <w:p w14:paraId="0DB5FFEB" w14:textId="77777777" w:rsidR="00EA1D69" w:rsidRDefault="00EA1D69" w:rsidP="00EA1D69">
            <w:pPr>
              <w:jc w:val="center"/>
              <w:rPr>
                <w:rFonts w:ascii="Arial" w:hAnsi="Arial" w:cs="FrankRuehl" w:hint="cs"/>
                <w:sz w:val="36"/>
                <w:szCs w:val="36"/>
                <w:rtl/>
              </w:rPr>
            </w:pPr>
            <w:r w:rsidRPr="000E591D">
              <w:rPr>
                <w:rFonts w:ascii="Arial" w:hAnsi="Arial" w:cs="FrankRuehl" w:hint="cs"/>
                <w:b/>
                <w:bCs/>
                <w:sz w:val="36"/>
                <w:szCs w:val="36"/>
                <w:rtl/>
              </w:rPr>
              <w:t>גזר  דין</w:t>
            </w:r>
            <w:bookmarkEnd w:id="3"/>
          </w:p>
          <w:p w14:paraId="1A27A54D" w14:textId="77777777" w:rsidR="004C4BE7" w:rsidRPr="000E591D" w:rsidRDefault="004C4BE7" w:rsidP="00EA1D69">
            <w:pPr>
              <w:jc w:val="center"/>
              <w:rPr>
                <w:rFonts w:ascii="Arial" w:hAnsi="Arial" w:cs="FrankRuehl" w:hint="cs"/>
                <w:sz w:val="36"/>
                <w:szCs w:val="36"/>
                <w:rtl/>
              </w:rPr>
            </w:pPr>
          </w:p>
        </w:tc>
      </w:tr>
    </w:tbl>
    <w:p w14:paraId="789A9907" w14:textId="77777777" w:rsidR="00EA1D69" w:rsidRPr="000E591D" w:rsidRDefault="00EA1D69" w:rsidP="00EA1D69">
      <w:pPr>
        <w:rPr>
          <w:rFonts w:ascii="Arial" w:hAnsi="Arial"/>
          <w:rtl/>
        </w:rPr>
      </w:pPr>
    </w:p>
    <w:p w14:paraId="5DED9874" w14:textId="77777777" w:rsidR="00EA1D69" w:rsidRPr="000E591D" w:rsidRDefault="00EA1D69" w:rsidP="00EA1D69">
      <w:pPr>
        <w:rPr>
          <w:rFonts w:ascii="Arial" w:hAnsi="Arial"/>
          <w:rtl/>
        </w:rPr>
      </w:pPr>
    </w:p>
    <w:p w14:paraId="7EFE7E2B" w14:textId="77777777" w:rsidR="00EA1D69" w:rsidRPr="000E591D" w:rsidRDefault="00EA1D69" w:rsidP="00EA1D69">
      <w:pPr>
        <w:rPr>
          <w:rtl/>
        </w:rPr>
      </w:pPr>
    </w:p>
    <w:p w14:paraId="043B2445" w14:textId="77777777" w:rsidR="00EA1D69" w:rsidRPr="000E591D" w:rsidRDefault="00EA1D69" w:rsidP="00EA1D69">
      <w:pPr>
        <w:spacing w:line="360" w:lineRule="auto"/>
        <w:contextualSpacing/>
        <w:rPr>
          <w:rFonts w:ascii="Arial" w:hAnsi="Arial"/>
          <w:b/>
          <w:bCs/>
        </w:rPr>
      </w:pPr>
      <w:r w:rsidRPr="000E591D">
        <w:rPr>
          <w:rFonts w:ascii="Arial" w:hAnsi="Arial" w:hint="cs"/>
          <w:b/>
          <w:bCs/>
          <w:rtl/>
        </w:rPr>
        <w:t>כללי</w:t>
      </w:r>
      <w:bookmarkStart w:id="6" w:name="ABSTRACT_START"/>
      <w:bookmarkEnd w:id="6"/>
    </w:p>
    <w:p w14:paraId="6BEB2D3A" w14:textId="77777777" w:rsidR="00EA1D69" w:rsidRPr="000E591D" w:rsidRDefault="00EA1D69" w:rsidP="00EA1D69">
      <w:pPr>
        <w:spacing w:line="360" w:lineRule="auto"/>
        <w:ind w:left="720" w:hanging="720"/>
        <w:jc w:val="both"/>
        <w:rPr>
          <w:rFonts w:ascii="Calibri" w:hAnsi="Calibri" w:cs="Times New Roman"/>
        </w:rPr>
      </w:pPr>
      <w:r w:rsidRPr="000E591D">
        <w:rPr>
          <w:rFonts w:hint="cs"/>
          <w:rtl/>
        </w:rPr>
        <w:t>1.</w:t>
      </w:r>
      <w:r w:rsidRPr="000E591D">
        <w:rPr>
          <w:rtl/>
        </w:rPr>
        <w:tab/>
      </w:r>
      <w:r w:rsidRPr="000E591D">
        <w:rPr>
          <w:rFonts w:hint="cs"/>
          <w:rtl/>
        </w:rPr>
        <w:t xml:space="preserve">הנאשם הורשע על יסוד הודאתו בעובדות כתב אישום מתוקן בתיק דנא בעבירה של </w:t>
      </w:r>
      <w:r w:rsidRPr="000E591D">
        <w:rPr>
          <w:rFonts w:hint="cs"/>
          <w:b/>
          <w:bCs/>
          <w:rtl/>
        </w:rPr>
        <w:t>סיוע לגידול יצור והכנת סמים מסוכנים</w:t>
      </w:r>
      <w:r w:rsidRPr="000E591D">
        <w:rPr>
          <w:rFonts w:hint="cs"/>
          <w:rtl/>
        </w:rPr>
        <w:t xml:space="preserve"> - לפי </w:t>
      </w:r>
      <w:hyperlink r:id="rId15" w:history="1">
        <w:r w:rsidR="004C4BE7" w:rsidRPr="004C4BE7">
          <w:rPr>
            <w:color w:val="0000FF"/>
            <w:u w:val="single"/>
            <w:rtl/>
          </w:rPr>
          <w:t>סעיף 6</w:t>
        </w:r>
      </w:hyperlink>
      <w:r w:rsidRPr="000E591D">
        <w:rPr>
          <w:rFonts w:hint="cs"/>
          <w:rtl/>
        </w:rPr>
        <w:t xml:space="preserve"> ל</w:t>
      </w:r>
      <w:hyperlink r:id="rId16" w:history="1">
        <w:r w:rsidR="000E591D" w:rsidRPr="000E591D">
          <w:rPr>
            <w:color w:val="0000FF"/>
            <w:u w:val="single"/>
            <w:rtl/>
          </w:rPr>
          <w:t>פקודת הסמים המסוכנים</w:t>
        </w:r>
      </w:hyperlink>
      <w:r w:rsidRPr="000E591D">
        <w:rPr>
          <w:rFonts w:hint="cs"/>
          <w:rtl/>
        </w:rPr>
        <w:t xml:space="preserve"> [נוסח חדש], התשל"ג –  1973  (להלן: "פקודת הסמים") </w:t>
      </w:r>
      <w:hyperlink r:id="rId17" w:history="1">
        <w:r w:rsidR="004C4BE7" w:rsidRPr="004C4BE7">
          <w:rPr>
            <w:color w:val="0000FF"/>
            <w:u w:val="single"/>
            <w:rtl/>
          </w:rPr>
          <w:t>וסעיף 31</w:t>
        </w:r>
      </w:hyperlink>
      <w:r w:rsidRPr="000E591D">
        <w:rPr>
          <w:rFonts w:hint="cs"/>
          <w:rtl/>
        </w:rPr>
        <w:t xml:space="preserve"> ל</w:t>
      </w:r>
      <w:hyperlink r:id="rId18" w:history="1">
        <w:r w:rsidR="000E591D" w:rsidRPr="000E591D">
          <w:rPr>
            <w:color w:val="0000FF"/>
            <w:u w:val="single"/>
            <w:rtl/>
          </w:rPr>
          <w:t>חוק העונשין</w:t>
        </w:r>
      </w:hyperlink>
      <w:r w:rsidRPr="000E591D">
        <w:rPr>
          <w:rFonts w:hint="cs"/>
          <w:rtl/>
        </w:rPr>
        <w:t xml:space="preserve">, </w:t>
      </w:r>
      <w:r w:rsidRPr="000E591D">
        <w:rPr>
          <w:rFonts w:hint="cs"/>
          <w:b/>
          <w:bCs/>
          <w:rtl/>
        </w:rPr>
        <w:t>עבירה של החזקת סם שלא לצריכה עצמית</w:t>
      </w:r>
      <w:r w:rsidRPr="000E591D">
        <w:rPr>
          <w:rFonts w:hint="cs"/>
          <w:rtl/>
        </w:rPr>
        <w:t xml:space="preserve">, לפי סעיף </w:t>
      </w:r>
      <w:hyperlink r:id="rId19" w:history="1">
        <w:r w:rsidR="004C4BE7" w:rsidRPr="004C4BE7">
          <w:rPr>
            <w:color w:val="0000FF"/>
            <w:u w:val="single"/>
            <w:rtl/>
          </w:rPr>
          <w:t>7 (א)+(ג)</w:t>
        </w:r>
      </w:hyperlink>
      <w:r w:rsidRPr="000E591D">
        <w:rPr>
          <w:rFonts w:hint="cs"/>
          <w:rtl/>
        </w:rPr>
        <w:t xml:space="preserve"> רישא לפקודת הסמים וקשירת קשר לעשות פשע, לפי </w:t>
      </w:r>
      <w:hyperlink r:id="rId20" w:history="1">
        <w:r w:rsidR="004C4BE7" w:rsidRPr="004C4BE7">
          <w:rPr>
            <w:color w:val="0000FF"/>
            <w:u w:val="single"/>
            <w:rtl/>
          </w:rPr>
          <w:t>סעיף 499(א)(1)</w:t>
        </w:r>
      </w:hyperlink>
      <w:r w:rsidRPr="000E591D">
        <w:rPr>
          <w:rFonts w:hint="cs"/>
          <w:rtl/>
        </w:rPr>
        <w:t xml:space="preserve"> לחוק. עוד הורשע  </w:t>
      </w:r>
      <w:r w:rsidRPr="000E591D">
        <w:rPr>
          <w:rFonts w:hint="cs"/>
          <w:b/>
          <w:bCs/>
          <w:rtl/>
        </w:rPr>
        <w:t>בעבירת איומים</w:t>
      </w:r>
      <w:r w:rsidRPr="000E591D">
        <w:rPr>
          <w:rFonts w:hint="cs"/>
          <w:rtl/>
        </w:rPr>
        <w:t xml:space="preserve"> לפי </w:t>
      </w:r>
      <w:hyperlink r:id="rId21" w:history="1">
        <w:r w:rsidR="004C4BE7" w:rsidRPr="004C4BE7">
          <w:rPr>
            <w:color w:val="0000FF"/>
            <w:u w:val="single"/>
            <w:rtl/>
          </w:rPr>
          <w:t>סעיף 192</w:t>
        </w:r>
      </w:hyperlink>
      <w:r w:rsidRPr="000E591D">
        <w:rPr>
          <w:rFonts w:hint="cs"/>
          <w:rtl/>
        </w:rPr>
        <w:t xml:space="preserve"> ל</w:t>
      </w:r>
      <w:hyperlink r:id="rId22" w:history="1">
        <w:r w:rsidR="000E591D" w:rsidRPr="000E591D">
          <w:rPr>
            <w:color w:val="0000FF"/>
            <w:u w:val="single"/>
            <w:rtl/>
          </w:rPr>
          <w:t>חוק העונשין</w:t>
        </w:r>
      </w:hyperlink>
      <w:r w:rsidRPr="000E591D">
        <w:rPr>
          <w:rFonts w:hint="cs"/>
          <w:rtl/>
        </w:rPr>
        <w:t>.</w:t>
      </w:r>
    </w:p>
    <w:p w14:paraId="3832F2D2" w14:textId="77777777" w:rsidR="00EA1D69" w:rsidRPr="000E591D" w:rsidRDefault="00EA1D69" w:rsidP="00EA1D69">
      <w:pPr>
        <w:spacing w:line="360" w:lineRule="auto"/>
        <w:ind w:left="785"/>
        <w:contextualSpacing/>
        <w:jc w:val="both"/>
        <w:rPr>
          <w:rFonts w:ascii="Calibri" w:hAnsi="Calibri" w:cs="Calibri"/>
        </w:rPr>
      </w:pPr>
      <w:bookmarkStart w:id="7" w:name="ABSTRACT_END"/>
      <w:bookmarkEnd w:id="7"/>
    </w:p>
    <w:p w14:paraId="159A39BC" w14:textId="77777777" w:rsidR="00EA1D69" w:rsidRPr="000E591D" w:rsidRDefault="00EA1D69" w:rsidP="00EA1D69">
      <w:pPr>
        <w:spacing w:line="360" w:lineRule="auto"/>
        <w:ind w:left="720" w:hanging="720"/>
        <w:jc w:val="both"/>
        <w:rPr>
          <w:rFonts w:ascii="Calibri" w:hAnsi="Calibri"/>
        </w:rPr>
      </w:pPr>
      <w:r w:rsidRPr="000E591D">
        <w:rPr>
          <w:rFonts w:hint="cs"/>
          <w:rtl/>
        </w:rPr>
        <w:t>2.</w:t>
      </w:r>
      <w:r w:rsidRPr="000E591D">
        <w:rPr>
          <w:rtl/>
        </w:rPr>
        <w:tab/>
      </w:r>
      <w:r w:rsidRPr="000E591D">
        <w:rPr>
          <w:rFonts w:hint="cs"/>
          <w:rtl/>
        </w:rPr>
        <w:t xml:space="preserve">כמפורט בכתב האישום המתוקן- הנאשם ,שהינו שכנו של המתלונן קשר עמו  קשר לצורך גידול סמים מסוג קאנביס. הנאשם הלווה למתלונן סך של 25,000 ₪ לצורך שכירת מקום </w:t>
      </w:r>
      <w:r w:rsidRPr="000E591D">
        <w:rPr>
          <w:rFonts w:hint="cs"/>
          <w:rtl/>
        </w:rPr>
        <w:lastRenderedPageBreak/>
        <w:t xml:space="preserve">והקמת מעבדה לגידול סמים. עוד הוסכם בין הצדדים, כי בתמורה למימון יקבל הנאשם 1 ק"ג סם ואופציה לרכישה נוספת או לחילופין יפרע המתלונן את ההלוואה בעבור 37,000 ₪ שישולמו לנאשם בתשלומים. בהמשך שכר המתלונן מקום וגידל 15 שתילים אך כעבור זמן, התברר כי הגידול לא צלח והניב רק 100 גר' סם. בהמשך השיב המתלונן לנאשם 18,000 ₪ וכן רכש 800 גר' סם והעבירו לנאשם כפירעון להלוואה אך כעבור יומיים השיב לו אותם הנאשם ודרש שישיב לו את יתרת החוב. </w:t>
      </w:r>
    </w:p>
    <w:p w14:paraId="58A593CC" w14:textId="77777777" w:rsidR="00EA1D69" w:rsidRPr="000E591D" w:rsidRDefault="00EA1D69" w:rsidP="00EA1D69">
      <w:pPr>
        <w:spacing w:line="360" w:lineRule="auto"/>
        <w:ind w:left="785"/>
        <w:contextualSpacing/>
        <w:jc w:val="both"/>
        <w:rPr>
          <w:rFonts w:ascii="Calibri" w:hAnsi="Calibri"/>
          <w:rtl/>
        </w:rPr>
      </w:pPr>
    </w:p>
    <w:p w14:paraId="6323E348" w14:textId="77777777" w:rsidR="00EA1D69" w:rsidRPr="000E591D" w:rsidRDefault="00EA1D69" w:rsidP="00EA1D69">
      <w:pPr>
        <w:spacing w:line="360" w:lineRule="auto"/>
        <w:ind w:left="720" w:hanging="720"/>
        <w:contextualSpacing/>
        <w:jc w:val="both"/>
        <w:rPr>
          <w:rFonts w:ascii="Calibri" w:hAnsi="Calibri"/>
          <w:rtl/>
        </w:rPr>
      </w:pPr>
      <w:r w:rsidRPr="000E591D">
        <w:rPr>
          <w:rFonts w:ascii="Calibri" w:hAnsi="Calibri"/>
          <w:rtl/>
        </w:rPr>
        <w:tab/>
      </w:r>
      <w:r w:rsidRPr="000E591D">
        <w:rPr>
          <w:rFonts w:ascii="Calibri" w:hAnsi="Calibri" w:hint="cs"/>
          <w:rtl/>
        </w:rPr>
        <w:t xml:space="preserve">באישום השני, שהינו המשכו הישיר של דרישת הנאשם מהמתלונן לתשלום החוב, במהלך פגישה בין השניים נטען כי הנאשם איים המתלונן באיומים שונים, כמפורט שם, בפגיעה בו וברכושו, אם לו ישלם את יתרת חובו. </w:t>
      </w:r>
    </w:p>
    <w:bookmarkEnd w:id="0"/>
    <w:p w14:paraId="72D329C1" w14:textId="77777777" w:rsidR="00EA1D69" w:rsidRPr="00990954" w:rsidRDefault="00EA1D69" w:rsidP="00EA1D69">
      <w:pPr>
        <w:spacing w:line="360" w:lineRule="auto"/>
        <w:ind w:left="720" w:hanging="720"/>
        <w:jc w:val="both"/>
        <w:rPr>
          <w:rFonts w:ascii="Calibri" w:hAnsi="Calibri"/>
          <w:rtl/>
        </w:rPr>
      </w:pPr>
      <w:r>
        <w:rPr>
          <w:rFonts w:hint="cs"/>
          <w:rtl/>
        </w:rPr>
        <w:t>3.</w:t>
      </w:r>
      <w:r>
        <w:rPr>
          <w:rtl/>
        </w:rPr>
        <w:tab/>
      </w:r>
      <w:r w:rsidRPr="00990954">
        <w:rPr>
          <w:rFonts w:hint="cs"/>
          <w:rtl/>
        </w:rPr>
        <w:t>ביום 17.4.18 ולאחר שהתקיים דיון גישור בתיק, הגיעו הצדדים להסדר דיוני, לפיו הודה הנאשם במיוחס לו בכתב האישום המתוקן, הורשע והצדדים טענו לעונש.</w:t>
      </w:r>
    </w:p>
    <w:p w14:paraId="29F5C0D5" w14:textId="77777777" w:rsidR="00EA1D69" w:rsidRDefault="00EA1D69" w:rsidP="00EA1D69">
      <w:pPr>
        <w:pStyle w:val="a9"/>
        <w:spacing w:line="360" w:lineRule="auto"/>
        <w:ind w:left="1145"/>
        <w:jc w:val="both"/>
        <w:rPr>
          <w:rFonts w:cs="David"/>
          <w:sz w:val="24"/>
          <w:szCs w:val="24"/>
        </w:rPr>
      </w:pPr>
    </w:p>
    <w:p w14:paraId="53F37EA0" w14:textId="77777777" w:rsidR="00EA1D69" w:rsidRPr="00990954" w:rsidRDefault="00EA1D69" w:rsidP="00EA1D69">
      <w:pPr>
        <w:spacing w:line="360" w:lineRule="auto"/>
        <w:ind w:left="720" w:hanging="720"/>
        <w:jc w:val="both"/>
      </w:pPr>
      <w:r>
        <w:rPr>
          <w:rFonts w:hint="cs"/>
          <w:rtl/>
        </w:rPr>
        <w:t>4.</w:t>
      </w:r>
      <w:r>
        <w:rPr>
          <w:rtl/>
        </w:rPr>
        <w:tab/>
      </w:r>
      <w:r w:rsidRPr="00990954">
        <w:rPr>
          <w:rFonts w:hint="cs"/>
          <w:rtl/>
        </w:rPr>
        <w:t xml:space="preserve">ב"כ המאשימה, עו"ד קצובסקי, הדגישה חומרת מעשי הנאשם ועברו הפלילי. מדובר, לשיטתה, בהתנהלות עבריינית מחושבת ומתוחכמת כשהנאשם מתנהג כאחרון העבריינים ואף מאיים באיומים קשים על המתלונן. לשיטתה מדובר בשני אירועים נפרדים, על כן עתרה למתחמים עונשיים נפרדים ולעונש כולל שאינו פחות מ-22 חודשי מאסר, הפעלת תנאי בן 3 חודשים במצטבר וענישה נלווית מכבידה. </w:t>
      </w:r>
    </w:p>
    <w:p w14:paraId="3F4D9266" w14:textId="77777777" w:rsidR="00EA1D69" w:rsidRDefault="00EA1D69" w:rsidP="00EA1D69">
      <w:pPr>
        <w:pStyle w:val="a9"/>
        <w:spacing w:line="360" w:lineRule="auto"/>
        <w:ind w:left="1145"/>
        <w:jc w:val="both"/>
        <w:rPr>
          <w:rFonts w:cs="David"/>
          <w:sz w:val="24"/>
          <w:szCs w:val="24"/>
        </w:rPr>
      </w:pPr>
    </w:p>
    <w:p w14:paraId="1DF61777" w14:textId="77777777" w:rsidR="00EA1D69" w:rsidRPr="00990954" w:rsidRDefault="00EA1D69" w:rsidP="00EA1D69">
      <w:pPr>
        <w:spacing w:line="360" w:lineRule="auto"/>
        <w:ind w:left="720" w:hanging="720"/>
        <w:jc w:val="both"/>
      </w:pPr>
      <w:r>
        <w:rPr>
          <w:rFonts w:hint="cs"/>
          <w:rtl/>
        </w:rPr>
        <w:t>5.</w:t>
      </w:r>
      <w:r>
        <w:rPr>
          <w:rtl/>
        </w:rPr>
        <w:tab/>
      </w:r>
      <w:r w:rsidRPr="00990954">
        <w:rPr>
          <w:rFonts w:hint="cs"/>
          <w:rtl/>
        </w:rPr>
        <w:t xml:space="preserve">ב"כ הנאשם, עו"ד שטרצר, לא הפחית מחומרת מעשי הנאשם אך סבור שיש ליתן משקל נכבד לתיקון לקולא של כתב האישום, לנסיבות הנאשם שהינו אב לששה ילדים, לכך שעצור עד תום ההליכים בתיק זה ולחרטתו. ב"כ הנאשם הדגיש כי חלקו של הנאשם בעבירות הסם היה במתן הלוואה לאחר, שהינו המבצע העיקרי וכי התביעה לא עצרה אותו ואף לא הגישה נגדו כתב אישום. על כן ביקש להסתפק בתקופת מאסר קצרה. </w:t>
      </w:r>
    </w:p>
    <w:p w14:paraId="04EF03DB" w14:textId="77777777" w:rsidR="00EA1D69" w:rsidRDefault="00EA1D69" w:rsidP="00EA1D69">
      <w:pPr>
        <w:pStyle w:val="a9"/>
        <w:spacing w:line="360" w:lineRule="auto"/>
        <w:ind w:left="1145"/>
        <w:jc w:val="both"/>
        <w:rPr>
          <w:rFonts w:cs="David"/>
          <w:sz w:val="24"/>
          <w:szCs w:val="24"/>
        </w:rPr>
      </w:pPr>
    </w:p>
    <w:p w14:paraId="607390F1" w14:textId="77777777" w:rsidR="00EA1D69" w:rsidRPr="00990954" w:rsidRDefault="00EA1D69" w:rsidP="00EA1D69">
      <w:pPr>
        <w:spacing w:line="360" w:lineRule="auto"/>
        <w:ind w:left="720" w:hanging="720"/>
        <w:jc w:val="both"/>
      </w:pPr>
      <w:r>
        <w:rPr>
          <w:rFonts w:hint="cs"/>
          <w:rtl/>
        </w:rPr>
        <w:t>6.</w:t>
      </w:r>
      <w:r>
        <w:rPr>
          <w:rtl/>
        </w:rPr>
        <w:tab/>
      </w:r>
      <w:r w:rsidRPr="00990954">
        <w:rPr>
          <w:rFonts w:hint="cs"/>
          <w:rtl/>
        </w:rPr>
        <w:t xml:space="preserve">אף הנאשם עצמו ביקש בדמעות להתחשב בו והביע חרטה וצער על מעשיו. </w:t>
      </w:r>
    </w:p>
    <w:p w14:paraId="4C8C6A15" w14:textId="77777777" w:rsidR="00EA1D69" w:rsidRDefault="00EA1D69" w:rsidP="00EA1D69">
      <w:pPr>
        <w:spacing w:line="360" w:lineRule="auto"/>
        <w:ind w:left="785"/>
        <w:contextualSpacing/>
        <w:jc w:val="both"/>
        <w:rPr>
          <w:rFonts w:ascii="Calibri" w:hAnsi="Calibri"/>
          <w:rtl/>
        </w:rPr>
      </w:pPr>
    </w:p>
    <w:p w14:paraId="41CE7D1F" w14:textId="77777777" w:rsidR="00EA1D69" w:rsidRDefault="00EA1D69" w:rsidP="00EA1D69">
      <w:pPr>
        <w:spacing w:line="360" w:lineRule="auto"/>
        <w:contextualSpacing/>
        <w:rPr>
          <w:rFonts w:ascii="Calibri" w:hAnsi="Calibri"/>
          <w:b/>
          <w:bCs/>
          <w:u w:val="single"/>
          <w:rtl/>
        </w:rPr>
      </w:pPr>
      <w:r>
        <w:rPr>
          <w:rFonts w:ascii="Calibri" w:hAnsi="Calibri" w:hint="cs"/>
          <w:b/>
          <w:bCs/>
          <w:u w:val="single"/>
          <w:rtl/>
        </w:rPr>
        <w:t>דיון והכרעה</w:t>
      </w:r>
    </w:p>
    <w:p w14:paraId="29A2F1C5" w14:textId="77777777" w:rsidR="00EA1D69" w:rsidRDefault="00EA1D69" w:rsidP="00EA1D69">
      <w:pPr>
        <w:spacing w:line="360" w:lineRule="auto"/>
        <w:ind w:left="720" w:hanging="720"/>
        <w:jc w:val="both"/>
        <w:rPr>
          <w:rtl/>
        </w:rPr>
      </w:pPr>
    </w:p>
    <w:p w14:paraId="6B21CE6F" w14:textId="77777777" w:rsidR="00EA1D69" w:rsidRPr="00990954" w:rsidRDefault="00EA1D69" w:rsidP="00EA1D69">
      <w:pPr>
        <w:spacing w:line="360" w:lineRule="auto"/>
        <w:ind w:left="720" w:hanging="720"/>
        <w:jc w:val="both"/>
        <w:rPr>
          <w:rFonts w:ascii="Arial" w:hAnsi="Arial" w:cs="Arial"/>
          <w:rtl/>
        </w:rPr>
      </w:pPr>
      <w:r>
        <w:rPr>
          <w:rFonts w:hint="cs"/>
          <w:rtl/>
        </w:rPr>
        <w:t>7.</w:t>
      </w:r>
      <w:r>
        <w:rPr>
          <w:rtl/>
        </w:rPr>
        <w:tab/>
      </w:r>
      <w:r w:rsidRPr="00990954">
        <w:rPr>
          <w:rFonts w:hint="cs"/>
          <w:rtl/>
        </w:rPr>
        <w:t xml:space="preserve">תיקון 113 קובע כי על בית המשפט לגזור את הדין בהתאם לעקרון ההלימה, שהוא העיקרון העומד בראש קביעת מתחם העונש, לפיו בעת גזירת עונשו של נאשם על בית המשפט לקבוע, את מתחם העונש ההולם את המעשים בגינם הורשע הנאשם, להתחשב </w:t>
      </w:r>
      <w:r w:rsidRPr="00990954">
        <w:rPr>
          <w:rFonts w:cs="Miriam" w:hint="cs"/>
          <w:rtl/>
        </w:rPr>
        <w:t>בערך החברתי</w:t>
      </w:r>
      <w:r w:rsidRPr="00990954">
        <w:rPr>
          <w:rFonts w:hint="cs"/>
          <w:rtl/>
        </w:rPr>
        <w:t xml:space="preserve"> שנפגע מביצוע העבירה </w:t>
      </w:r>
      <w:r w:rsidRPr="00990954">
        <w:rPr>
          <w:rFonts w:cs="Miriam" w:hint="cs"/>
          <w:rtl/>
        </w:rPr>
        <w:t>ובמידת הפגיעה בו, במדיניות הענישה הנוהגת ובנסיבות הקשורות בביצוע העבירה</w:t>
      </w:r>
      <w:r w:rsidRPr="00990954">
        <w:rPr>
          <w:rFonts w:hint="cs"/>
          <w:rtl/>
        </w:rPr>
        <w:t>. בתוך מתחם העונש ההולם יגזור בית המשפט את העונש המתאים לנאשם, בהתחשב בנסיבות המקרה הספציפי.</w:t>
      </w:r>
    </w:p>
    <w:p w14:paraId="0AF95730" w14:textId="77777777" w:rsidR="00EA1D69" w:rsidRDefault="00EA1D69" w:rsidP="00EA1D69">
      <w:pPr>
        <w:spacing w:line="360" w:lineRule="auto"/>
        <w:jc w:val="both"/>
        <w:rPr>
          <w:rFonts w:ascii="Arial" w:hAnsi="Arial" w:cs="Arial"/>
        </w:rPr>
      </w:pPr>
      <w:r>
        <w:rPr>
          <w:rFonts w:ascii="Arial" w:hAnsi="Arial" w:cs="Arial"/>
        </w:rPr>
        <w:lastRenderedPageBreak/>
        <w:t xml:space="preserve"> </w:t>
      </w:r>
    </w:p>
    <w:p w14:paraId="1A927E6B" w14:textId="77777777" w:rsidR="00EA1D69" w:rsidRPr="00990954" w:rsidRDefault="00EA1D69" w:rsidP="00EA1D69">
      <w:pPr>
        <w:spacing w:line="360" w:lineRule="auto"/>
        <w:ind w:left="720" w:hanging="720"/>
        <w:jc w:val="both"/>
        <w:rPr>
          <w:rFonts w:cs="Times New Roman"/>
          <w:lang w:eastAsia="he-IL"/>
        </w:rPr>
      </w:pPr>
      <w:r>
        <w:rPr>
          <w:rFonts w:hint="cs"/>
          <w:rtl/>
          <w:lang w:eastAsia="he-IL"/>
        </w:rPr>
        <w:t>8.</w:t>
      </w:r>
      <w:r>
        <w:rPr>
          <w:rtl/>
          <w:lang w:eastAsia="he-IL"/>
        </w:rPr>
        <w:tab/>
      </w:r>
      <w:r w:rsidRPr="00990954">
        <w:rPr>
          <w:rFonts w:hint="cs"/>
          <w:rtl/>
          <w:lang w:eastAsia="he-IL"/>
        </w:rPr>
        <w:t xml:space="preserve">מעשיו של הנאשם בתיק זה חמורים. אמנם כתב האישום תוקן לקולא ואין להתעלם מכך שהנאשם הורשע, לבסוף בסיוע לעבירת גידול אך ברי כי חלקו אינו קטן ושולי. הנאשם קשר קשר עם אחר, לגדל מעבדת סמים כדי להנות מתוצריה. הנאשם מימן הקמת המעבדה, וכשהתברר שהגידול לא צלח כפי שציפה, ועל אף שקיבל מהמתלונן חלק נכבד מהשקעתו, הוסיף ודרש, בדרכי איום, תשלום יתרת החוב. </w:t>
      </w:r>
    </w:p>
    <w:p w14:paraId="01088845" w14:textId="77777777" w:rsidR="00EA1D69" w:rsidRDefault="00EA1D69" w:rsidP="00EA1D69">
      <w:pPr>
        <w:pStyle w:val="a9"/>
        <w:spacing w:line="360" w:lineRule="auto"/>
        <w:ind w:left="1145"/>
        <w:jc w:val="both"/>
        <w:rPr>
          <w:rFonts w:ascii="Times New Roman" w:hAnsi="Times New Roman"/>
          <w:sz w:val="24"/>
          <w:szCs w:val="24"/>
          <w:lang w:eastAsia="he-IL"/>
        </w:rPr>
      </w:pPr>
    </w:p>
    <w:p w14:paraId="3F6077CA" w14:textId="77777777" w:rsidR="00EA1D69" w:rsidRPr="00990954" w:rsidRDefault="00EA1D69" w:rsidP="00EA1D69">
      <w:pPr>
        <w:spacing w:line="360" w:lineRule="auto"/>
        <w:ind w:left="720" w:hanging="720"/>
        <w:jc w:val="both"/>
        <w:rPr>
          <w:lang w:eastAsia="he-IL"/>
        </w:rPr>
      </w:pPr>
      <w:r>
        <w:rPr>
          <w:rFonts w:hint="cs"/>
          <w:rtl/>
          <w:lang w:eastAsia="he-IL"/>
        </w:rPr>
        <w:t>9.</w:t>
      </w:r>
      <w:r>
        <w:rPr>
          <w:rtl/>
          <w:lang w:eastAsia="he-IL"/>
        </w:rPr>
        <w:tab/>
      </w:r>
      <w:r w:rsidRPr="00990954">
        <w:rPr>
          <w:rFonts w:hint="cs"/>
          <w:rtl/>
          <w:lang w:eastAsia="he-IL"/>
        </w:rPr>
        <w:t xml:space="preserve">האישום השני, הכולל איומים רבים וקשים כלפי המתלונן, מלמד כי מעשי הנאשם הטילו מורא ופגעו בשלוות נפשו של המתלונן. עד כדי כך היה רב חששו של המתלונן, שהלך והתלונן בפני רשויות החוק על מעשי הנאשם, על אף שידע היטב שמסבך עצמו בביצוע עבירות סם חמורות.  </w:t>
      </w:r>
    </w:p>
    <w:p w14:paraId="72E0471D" w14:textId="77777777" w:rsidR="00EA1D69" w:rsidRDefault="00EA1D69" w:rsidP="00EA1D69">
      <w:pPr>
        <w:pStyle w:val="a9"/>
        <w:spacing w:line="360" w:lineRule="auto"/>
        <w:ind w:left="1145"/>
        <w:rPr>
          <w:rFonts w:ascii="Times New Roman" w:hAnsi="Times New Roman"/>
          <w:sz w:val="24"/>
          <w:szCs w:val="24"/>
          <w:lang w:eastAsia="he-IL"/>
        </w:rPr>
      </w:pPr>
    </w:p>
    <w:p w14:paraId="21151AD3" w14:textId="77777777" w:rsidR="00EA1D69" w:rsidRPr="00990954" w:rsidRDefault="00EA1D69" w:rsidP="00EA1D69">
      <w:pPr>
        <w:spacing w:line="360" w:lineRule="auto"/>
        <w:ind w:left="720" w:hanging="720"/>
        <w:jc w:val="both"/>
        <w:rPr>
          <w:lang w:eastAsia="he-IL"/>
        </w:rPr>
      </w:pPr>
      <w:r>
        <w:rPr>
          <w:rFonts w:hint="cs"/>
          <w:rtl/>
          <w:lang w:eastAsia="he-IL"/>
        </w:rPr>
        <w:t>10.</w:t>
      </w:r>
      <w:r>
        <w:rPr>
          <w:rtl/>
          <w:lang w:eastAsia="he-IL"/>
        </w:rPr>
        <w:tab/>
      </w:r>
      <w:r w:rsidRPr="00990954">
        <w:rPr>
          <w:rFonts w:hint="cs"/>
          <w:rtl/>
          <w:lang w:eastAsia="he-IL"/>
        </w:rPr>
        <w:t xml:space="preserve">אינני מקבלת עתירת המאשימה לקביעת מתחמי ענישה נפרדים בתיק, הנאשם החל בדרישותיו לתשלום החוב כבר במסגרת האישום הראשון והאישום השני הינו המשכו הישיר. </w:t>
      </w:r>
    </w:p>
    <w:p w14:paraId="41B2CAB9" w14:textId="77777777" w:rsidR="00EA1D69" w:rsidRDefault="00EA1D69" w:rsidP="00EA1D69">
      <w:pPr>
        <w:pStyle w:val="a9"/>
        <w:spacing w:line="360" w:lineRule="auto"/>
        <w:ind w:left="1145"/>
        <w:jc w:val="both"/>
        <w:rPr>
          <w:rFonts w:ascii="Times New Roman" w:hAnsi="Times New Roman" w:cs="David"/>
          <w:sz w:val="24"/>
          <w:szCs w:val="24"/>
          <w:lang w:eastAsia="he-IL"/>
        </w:rPr>
      </w:pPr>
    </w:p>
    <w:p w14:paraId="0317EC49" w14:textId="77777777" w:rsidR="00EA1D69" w:rsidRPr="00990954" w:rsidRDefault="00EA1D69" w:rsidP="00EA1D69">
      <w:pPr>
        <w:spacing w:line="360" w:lineRule="auto"/>
        <w:ind w:left="720" w:hanging="720"/>
        <w:jc w:val="both"/>
        <w:rPr>
          <w:lang w:eastAsia="he-IL"/>
        </w:rPr>
      </w:pPr>
      <w:r>
        <w:rPr>
          <w:rFonts w:hint="cs"/>
          <w:rtl/>
          <w:lang w:eastAsia="he-IL"/>
        </w:rPr>
        <w:t>11.</w:t>
      </w:r>
      <w:r>
        <w:rPr>
          <w:rtl/>
          <w:lang w:eastAsia="he-IL"/>
        </w:rPr>
        <w:tab/>
      </w:r>
      <w:r w:rsidRPr="00990954">
        <w:rPr>
          <w:rFonts w:hint="cs"/>
          <w:rtl/>
          <w:lang w:eastAsia="he-IL"/>
        </w:rPr>
        <w:t xml:space="preserve">באשר למתחם הענישה, אכן מדובר בעבירות של גידול סם והחזקת סם שלא לצריכה עצמית אך צודק ב"כ הנאשם, כי יש מקום ליתן משקל להרשעת הנאשם בסיוע לעבירה בלבד ולתנובת הגידול </w:t>
      </w:r>
      <w:r>
        <w:rPr>
          <w:rFonts w:hint="cs"/>
          <w:rtl/>
          <w:lang w:eastAsia="he-IL"/>
        </w:rPr>
        <w:t>ה</w:t>
      </w:r>
      <w:r w:rsidRPr="00990954">
        <w:rPr>
          <w:rFonts w:hint="cs"/>
          <w:rtl/>
          <w:lang w:eastAsia="he-IL"/>
        </w:rPr>
        <w:t xml:space="preserve">דלה, שהניבה לא יותר מ-100 גר' סם. גם באשר להחזקת הסם שלא לצריכה עצמית, אין להתעלם מכך שההחזקה הייתה לתקופה קצרה בת יומיים, כשלאחריה הוחזר הסם לאחר. שונה קביעתי ביחס לעבירת האיומים, שנסיבותיה חמורות וקשות ופגיעתה בערכים המוגנים עוצמתית. </w:t>
      </w:r>
    </w:p>
    <w:p w14:paraId="47D04E2A" w14:textId="77777777" w:rsidR="00EA1D69" w:rsidRDefault="00EA1D69" w:rsidP="00EA1D69">
      <w:pPr>
        <w:pStyle w:val="a9"/>
        <w:spacing w:line="360" w:lineRule="auto"/>
        <w:ind w:left="1145"/>
        <w:jc w:val="both"/>
        <w:rPr>
          <w:rFonts w:ascii="Times New Roman" w:hAnsi="Times New Roman" w:cs="David"/>
          <w:sz w:val="24"/>
          <w:szCs w:val="24"/>
          <w:lang w:eastAsia="he-IL"/>
        </w:rPr>
      </w:pPr>
    </w:p>
    <w:p w14:paraId="1D536A18" w14:textId="77777777" w:rsidR="00EA1D69" w:rsidRPr="00990954" w:rsidRDefault="00EA1D69" w:rsidP="00EA1D69">
      <w:pPr>
        <w:spacing w:line="360" w:lineRule="auto"/>
        <w:ind w:left="720" w:hanging="720"/>
        <w:jc w:val="both"/>
        <w:rPr>
          <w:rFonts w:ascii="Calibri" w:hAnsi="Calibri"/>
          <w:b/>
          <w:bCs/>
        </w:rPr>
      </w:pPr>
      <w:r w:rsidRPr="00990954">
        <w:rPr>
          <w:rFonts w:hint="cs"/>
          <w:rtl/>
        </w:rPr>
        <w:t>12.</w:t>
      </w:r>
      <w:r>
        <w:rPr>
          <w:b/>
          <w:bCs/>
          <w:rtl/>
        </w:rPr>
        <w:tab/>
      </w:r>
      <w:r w:rsidRPr="00990954">
        <w:rPr>
          <w:rFonts w:hint="cs"/>
          <w:b/>
          <w:bCs/>
          <w:rtl/>
        </w:rPr>
        <w:t xml:space="preserve">בהתחשב בנסיבותיו של תיק זה והפסיקה הנוהגת, מצאתי לקבוע מתחם ענישה כולל שנע בין 6-14 חודשי מאסר.  </w:t>
      </w:r>
    </w:p>
    <w:p w14:paraId="2419D41E" w14:textId="77777777" w:rsidR="00EA1D69" w:rsidRDefault="00EA1D69" w:rsidP="00EA1D69">
      <w:pPr>
        <w:pStyle w:val="a9"/>
        <w:spacing w:line="360" w:lineRule="auto"/>
        <w:ind w:left="1145"/>
        <w:jc w:val="both"/>
        <w:rPr>
          <w:rFonts w:cs="David"/>
          <w:b/>
          <w:bCs/>
          <w:sz w:val="24"/>
          <w:szCs w:val="24"/>
        </w:rPr>
      </w:pPr>
    </w:p>
    <w:p w14:paraId="0DEB3B9F" w14:textId="77777777" w:rsidR="00EA1D69" w:rsidRDefault="00EA1D69" w:rsidP="00EA1D69">
      <w:pPr>
        <w:spacing w:line="360" w:lineRule="auto"/>
        <w:contextualSpacing/>
        <w:jc w:val="both"/>
        <w:rPr>
          <w:b/>
          <w:bCs/>
          <w:u w:val="single"/>
          <w:rtl/>
        </w:rPr>
      </w:pPr>
      <w:r>
        <w:rPr>
          <w:rFonts w:hint="cs"/>
          <w:b/>
          <w:bCs/>
          <w:u w:val="single"/>
          <w:rtl/>
        </w:rPr>
        <w:t>נסיבות הנאשם</w:t>
      </w:r>
    </w:p>
    <w:p w14:paraId="145B097F" w14:textId="77777777" w:rsidR="00EA1D69" w:rsidRDefault="00EA1D69" w:rsidP="00EA1D69">
      <w:pPr>
        <w:spacing w:line="360" w:lineRule="auto"/>
        <w:jc w:val="both"/>
        <w:rPr>
          <w:rFonts w:ascii="Arial" w:hAnsi="Arial"/>
          <w:rtl/>
        </w:rPr>
      </w:pPr>
    </w:p>
    <w:p w14:paraId="03881299" w14:textId="77777777" w:rsidR="00EA1D69" w:rsidRPr="00990954" w:rsidRDefault="00EA1D69" w:rsidP="00EA1D69">
      <w:pPr>
        <w:spacing w:line="360" w:lineRule="auto"/>
        <w:ind w:left="720" w:hanging="720"/>
        <w:jc w:val="both"/>
        <w:rPr>
          <w:rtl/>
        </w:rPr>
      </w:pPr>
      <w:r>
        <w:rPr>
          <w:rFonts w:ascii="Arial" w:hAnsi="Arial" w:hint="cs"/>
          <w:rtl/>
        </w:rPr>
        <w:t>13.</w:t>
      </w:r>
      <w:r>
        <w:rPr>
          <w:rFonts w:ascii="Arial" w:hAnsi="Arial"/>
          <w:rtl/>
        </w:rPr>
        <w:tab/>
      </w:r>
      <w:r w:rsidRPr="00990954">
        <w:rPr>
          <w:rFonts w:ascii="Arial" w:hAnsi="Arial" w:hint="cs"/>
          <w:rtl/>
        </w:rPr>
        <w:t xml:space="preserve">הנאשם שלפניי </w:t>
      </w:r>
      <w:r w:rsidRPr="00990954">
        <w:rPr>
          <w:rFonts w:hint="cs"/>
          <w:rtl/>
        </w:rPr>
        <w:t xml:space="preserve"> </w:t>
      </w:r>
      <w:r w:rsidRPr="00990954">
        <w:rPr>
          <w:rFonts w:ascii="Arial" w:hAnsi="Arial" w:hint="cs"/>
          <w:rtl/>
        </w:rPr>
        <w:t>יליד</w:t>
      </w:r>
      <w:r w:rsidRPr="00990954">
        <w:rPr>
          <w:rFonts w:hint="cs"/>
          <w:rtl/>
        </w:rPr>
        <w:t xml:space="preserve"> 1982, </w:t>
      </w:r>
      <w:r w:rsidRPr="00990954">
        <w:rPr>
          <w:rFonts w:ascii="Arial" w:hAnsi="Arial" w:hint="cs"/>
          <w:rtl/>
        </w:rPr>
        <w:t>נשוי</w:t>
      </w:r>
      <w:r w:rsidRPr="00990954">
        <w:rPr>
          <w:rFonts w:hint="cs"/>
          <w:rtl/>
        </w:rPr>
        <w:t xml:space="preserve"> </w:t>
      </w:r>
      <w:r w:rsidRPr="00990954">
        <w:rPr>
          <w:rFonts w:ascii="Arial" w:hAnsi="Arial" w:hint="cs"/>
          <w:rtl/>
        </w:rPr>
        <w:t>ואב</w:t>
      </w:r>
      <w:r w:rsidRPr="00990954">
        <w:rPr>
          <w:rFonts w:hint="cs"/>
          <w:rtl/>
        </w:rPr>
        <w:t xml:space="preserve"> </w:t>
      </w:r>
      <w:r w:rsidRPr="00990954">
        <w:rPr>
          <w:rFonts w:ascii="Arial" w:hAnsi="Arial" w:hint="cs"/>
          <w:rtl/>
        </w:rPr>
        <w:t>לשישה ילדים</w:t>
      </w:r>
      <w:r w:rsidRPr="00990954">
        <w:rPr>
          <w:rFonts w:hint="cs"/>
          <w:rtl/>
        </w:rPr>
        <w:t xml:space="preserve">. </w:t>
      </w:r>
      <w:r w:rsidRPr="00990954">
        <w:rPr>
          <w:rFonts w:ascii="Arial" w:hAnsi="Arial" w:hint="cs"/>
          <w:rtl/>
        </w:rPr>
        <w:t>לנאש</w:t>
      </w:r>
      <w:r w:rsidRPr="00990954">
        <w:rPr>
          <w:rFonts w:hint="cs"/>
          <w:rtl/>
        </w:rPr>
        <w:t xml:space="preserve">ם עבר פלילי מכביד הכולל  13 הרשעות קודמות ובין היתר הרשעות בעבירות סמים, רכוש ואלימות. הנאשם ריצה מספר מאסרים ממושכים בגין עבירות סמים ובשנת 2009 נדון למאסר בן 33 חודשים בגין עבירת שוד. בשנת 2012 הורשע בעבירות סם שונות, ובין היתר ניסיון לגידול סם ונדון למאסר בן 28 חודשי מאסר. </w:t>
      </w:r>
    </w:p>
    <w:p w14:paraId="163E39AC" w14:textId="77777777" w:rsidR="00EA1D69" w:rsidRDefault="00EA1D69" w:rsidP="00EA1D69">
      <w:pPr>
        <w:pStyle w:val="a9"/>
        <w:spacing w:line="360" w:lineRule="auto"/>
        <w:ind w:left="1145"/>
        <w:jc w:val="both"/>
        <w:rPr>
          <w:rFonts w:cs="David"/>
          <w:sz w:val="24"/>
          <w:szCs w:val="24"/>
        </w:rPr>
      </w:pPr>
    </w:p>
    <w:p w14:paraId="6C3736E6" w14:textId="77777777" w:rsidR="00EA1D69" w:rsidRDefault="00EA1D69" w:rsidP="00EA1D69">
      <w:pPr>
        <w:spacing w:line="360" w:lineRule="auto"/>
        <w:ind w:left="720" w:hanging="720"/>
        <w:jc w:val="both"/>
        <w:rPr>
          <w:rtl/>
        </w:rPr>
      </w:pPr>
      <w:r>
        <w:rPr>
          <w:rFonts w:hint="cs"/>
          <w:rtl/>
        </w:rPr>
        <w:t>14.</w:t>
      </w:r>
      <w:r>
        <w:rPr>
          <w:rtl/>
        </w:rPr>
        <w:tab/>
      </w:r>
      <w:r w:rsidRPr="00990954">
        <w:rPr>
          <w:rFonts w:hint="cs"/>
          <w:rtl/>
        </w:rPr>
        <w:t xml:space="preserve">בהרשעתו האחרונה, מיום 16.1.18 דנתי הנאשם בגין עבירת איומים כלפי שכנו למאסר על תנאי בן 3 חודשים שהינו בר הפעלה בתיק דנא. התנהלותו בתיק זה, כמו גם עברו, מלמדת על אדם בעל דפוסי התנהגות עברייניים מושרשים הבוחר לפתור את בעיותיו, אם זאת מצוקה כלכלית או ויכוח על עניין של מה בכך עם שכן, בדרכי אלימות. בעודו עומד לפניי בתיקו הקודם ומבקש להתחשב בנסיבותיו היה מעורב עד צוואר במיזם עברייני של גידול סם למטרת רווח קל. מטעמים אלו אין מקום לבחון חפיפת התנאי לתקופת מאסרו. </w:t>
      </w:r>
    </w:p>
    <w:p w14:paraId="1D421755" w14:textId="77777777" w:rsidR="00EA1D69" w:rsidRDefault="00EA1D69" w:rsidP="00EA1D69">
      <w:pPr>
        <w:spacing w:line="360" w:lineRule="auto"/>
        <w:ind w:left="720" w:hanging="720"/>
        <w:jc w:val="both"/>
        <w:rPr>
          <w:rtl/>
        </w:rPr>
      </w:pPr>
    </w:p>
    <w:p w14:paraId="0B85E270" w14:textId="77777777" w:rsidR="00EA1D69" w:rsidRDefault="00EA1D69" w:rsidP="00EA1D69">
      <w:pPr>
        <w:spacing w:line="360" w:lineRule="auto"/>
        <w:ind w:left="720" w:hanging="720"/>
        <w:jc w:val="both"/>
      </w:pPr>
      <w:r>
        <w:rPr>
          <w:rFonts w:hint="cs"/>
          <w:rtl/>
        </w:rPr>
        <w:t>15.</w:t>
      </w:r>
      <w:r>
        <w:rPr>
          <w:rtl/>
        </w:rPr>
        <w:tab/>
      </w:r>
      <w:r>
        <w:rPr>
          <w:rFonts w:hint="cs"/>
          <w:rtl/>
        </w:rPr>
        <w:t xml:space="preserve">בבואי לגזור עונשו של הנאשם, מצאתי לשקול מחד חומרת מעשיו ועברו הפלילי לצד התיקון של כתב האישום, הודאתו ונסיבותיו. עוד אתחשב בכך שהמאשימה, מסיבה שאינה ברורה, בחרה תחילה שלא לנקוט בהליכים כנגד המבצע העיקרי של עבירת הגידול. לא ייתכן הוא שמחד תעמוד המאשימה ותטען בלהט ביחס לחומרת מעשי הנאשם, שכל חלקו הוא בסיוע לגידול הסם, כשמנגד, לא הוגש כתב אישום כנגד המבצע העיקרי של עבירות אלו. </w:t>
      </w:r>
    </w:p>
    <w:p w14:paraId="2A4C8BE6" w14:textId="77777777" w:rsidR="00EA1D69" w:rsidRDefault="00EA1D69" w:rsidP="00EA1D69">
      <w:pPr>
        <w:pStyle w:val="a9"/>
        <w:spacing w:line="360" w:lineRule="auto"/>
        <w:ind w:left="1145"/>
        <w:jc w:val="both"/>
        <w:rPr>
          <w:rFonts w:cs="David"/>
          <w:sz w:val="24"/>
          <w:szCs w:val="24"/>
        </w:rPr>
      </w:pPr>
    </w:p>
    <w:p w14:paraId="559FCCA5" w14:textId="77777777" w:rsidR="00EA1D69" w:rsidRPr="00214E8C" w:rsidRDefault="00EA1D69" w:rsidP="00EA1D69">
      <w:pPr>
        <w:spacing w:line="360" w:lineRule="auto"/>
        <w:ind w:left="720" w:hanging="720"/>
        <w:jc w:val="both"/>
      </w:pPr>
      <w:r w:rsidRPr="00214E8C">
        <w:rPr>
          <w:rFonts w:hint="cs"/>
          <w:rtl/>
        </w:rPr>
        <w:t>16.</w:t>
      </w:r>
      <w:r w:rsidRPr="00214E8C">
        <w:rPr>
          <w:rtl/>
        </w:rPr>
        <w:tab/>
      </w:r>
      <w:r w:rsidRPr="00214E8C">
        <w:rPr>
          <w:rFonts w:hint="cs"/>
          <w:b/>
          <w:bCs/>
          <w:u w:val="single"/>
          <w:rtl/>
        </w:rPr>
        <w:t>אשר על כן אני גוזרת על הנאשם העונשים כדלקמן</w:t>
      </w:r>
      <w:r w:rsidRPr="00214E8C">
        <w:rPr>
          <w:rFonts w:hint="cs"/>
          <w:rtl/>
        </w:rPr>
        <w:t xml:space="preserve">: </w:t>
      </w:r>
    </w:p>
    <w:p w14:paraId="6E7ACAD4" w14:textId="77777777" w:rsidR="00EA1D69" w:rsidRDefault="00EA1D69" w:rsidP="00EA1D69">
      <w:pPr>
        <w:spacing w:line="360" w:lineRule="auto"/>
        <w:ind w:left="785"/>
        <w:contextualSpacing/>
        <w:jc w:val="both"/>
      </w:pPr>
    </w:p>
    <w:p w14:paraId="77C40EA3" w14:textId="77777777" w:rsidR="00EA1D69" w:rsidRPr="00EA1D69" w:rsidRDefault="00EA1D69" w:rsidP="00EA1D69">
      <w:pPr>
        <w:pStyle w:val="a9"/>
        <w:numPr>
          <w:ilvl w:val="0"/>
          <w:numId w:val="1"/>
        </w:numPr>
        <w:spacing w:after="160" w:line="360" w:lineRule="auto"/>
        <w:jc w:val="both"/>
        <w:rPr>
          <w:rFonts w:eastAsia="Calibri" w:cs="David"/>
          <w:sz w:val="24"/>
          <w:szCs w:val="24"/>
          <w:u w:val="single"/>
        </w:rPr>
      </w:pPr>
      <w:r w:rsidRPr="00EA1D69">
        <w:rPr>
          <w:rFonts w:eastAsia="Calibri" w:cs="David" w:hint="cs"/>
          <w:sz w:val="24"/>
          <w:szCs w:val="24"/>
          <w:rtl/>
        </w:rPr>
        <w:t xml:space="preserve">8 חודשי מאסר החל מיום מעצרו </w:t>
      </w:r>
      <w:r w:rsidRPr="00EA1D69">
        <w:rPr>
          <w:rFonts w:eastAsia="Calibri" w:cs="David"/>
          <w:sz w:val="24"/>
          <w:szCs w:val="24"/>
          <w:rtl/>
        </w:rPr>
        <w:t>–</w:t>
      </w:r>
      <w:r w:rsidRPr="00EA1D69">
        <w:rPr>
          <w:rFonts w:eastAsia="Calibri" w:cs="David" w:hint="cs"/>
          <w:sz w:val="24"/>
          <w:szCs w:val="24"/>
          <w:rtl/>
        </w:rPr>
        <w:t xml:space="preserve"> 9.2.18. </w:t>
      </w:r>
    </w:p>
    <w:p w14:paraId="37728B83" w14:textId="77777777" w:rsidR="00EA1D69" w:rsidRPr="00EA1D69" w:rsidRDefault="00EA1D69" w:rsidP="00EA1D69">
      <w:pPr>
        <w:pStyle w:val="a9"/>
        <w:numPr>
          <w:ilvl w:val="0"/>
          <w:numId w:val="1"/>
        </w:numPr>
        <w:spacing w:after="160" w:line="360" w:lineRule="auto"/>
        <w:jc w:val="both"/>
        <w:rPr>
          <w:rFonts w:eastAsia="Calibri" w:cs="David"/>
          <w:sz w:val="24"/>
          <w:szCs w:val="24"/>
          <w:u w:val="single"/>
        </w:rPr>
      </w:pPr>
      <w:r w:rsidRPr="00EA1D69">
        <w:rPr>
          <w:rFonts w:eastAsia="Calibri" w:cs="David" w:hint="cs"/>
          <w:sz w:val="24"/>
          <w:szCs w:val="24"/>
          <w:rtl/>
        </w:rPr>
        <w:t xml:space="preserve"> מפעילה תנאי בן 3 חודשים שהוטל על הנאשם ב</w:t>
      </w:r>
      <w:hyperlink r:id="rId23" w:history="1">
        <w:r w:rsidR="000E591D" w:rsidRPr="000E591D">
          <w:rPr>
            <w:rFonts w:eastAsia="Calibri" w:cs="David" w:hint="cs"/>
            <w:color w:val="0000FF"/>
            <w:sz w:val="24"/>
            <w:szCs w:val="24"/>
            <w:u w:val="single"/>
            <w:rtl/>
          </w:rPr>
          <w:t>ת</w:t>
        </w:r>
        <w:r w:rsidR="000E591D" w:rsidRPr="000E591D">
          <w:rPr>
            <w:rFonts w:eastAsia="Calibri" w:cs="David"/>
            <w:color w:val="0000FF"/>
            <w:sz w:val="24"/>
            <w:szCs w:val="24"/>
            <w:u w:val="single"/>
            <w:rtl/>
          </w:rPr>
          <w:t>"</w:t>
        </w:r>
        <w:r w:rsidR="000E591D" w:rsidRPr="000E591D">
          <w:rPr>
            <w:rFonts w:eastAsia="Calibri" w:cs="David" w:hint="cs"/>
            <w:color w:val="0000FF"/>
            <w:sz w:val="24"/>
            <w:szCs w:val="24"/>
            <w:u w:val="single"/>
            <w:rtl/>
          </w:rPr>
          <w:t>פ</w:t>
        </w:r>
        <w:r w:rsidR="000E591D" w:rsidRPr="000E591D">
          <w:rPr>
            <w:rFonts w:eastAsia="Calibri" w:cs="David"/>
            <w:color w:val="0000FF"/>
            <w:sz w:val="24"/>
            <w:szCs w:val="24"/>
            <w:u w:val="single"/>
            <w:rtl/>
          </w:rPr>
          <w:t xml:space="preserve"> 58284-02-17</w:t>
        </w:r>
      </w:hyperlink>
      <w:r w:rsidRPr="00EA1D69">
        <w:rPr>
          <w:rFonts w:eastAsia="Calibri" w:cs="David" w:hint="cs"/>
          <w:sz w:val="24"/>
          <w:szCs w:val="24"/>
          <w:rtl/>
        </w:rPr>
        <w:t xml:space="preserve"> (כ"ס) ביום 16.1.18 ע"י מותב זה, באופן מצטבר </w:t>
      </w:r>
      <w:r w:rsidRPr="00EA1D69">
        <w:rPr>
          <w:rFonts w:eastAsia="Calibri" w:cs="David" w:hint="cs"/>
          <w:b/>
          <w:bCs/>
          <w:sz w:val="24"/>
          <w:szCs w:val="24"/>
          <w:rtl/>
        </w:rPr>
        <w:t>כך שהנאשם ירצה 11 חודשי מאסר מיום מעצרו.</w:t>
      </w:r>
      <w:r w:rsidRPr="00EA1D69">
        <w:rPr>
          <w:rFonts w:eastAsia="Calibri" w:cs="David" w:hint="cs"/>
          <w:sz w:val="24"/>
          <w:szCs w:val="24"/>
          <w:rtl/>
        </w:rPr>
        <w:t xml:space="preserve"> </w:t>
      </w:r>
    </w:p>
    <w:p w14:paraId="405EE3A7" w14:textId="77777777" w:rsidR="00EA1D69" w:rsidRDefault="00EA1D69" w:rsidP="00EA1D69">
      <w:pPr>
        <w:numPr>
          <w:ilvl w:val="0"/>
          <w:numId w:val="1"/>
        </w:numPr>
        <w:spacing w:after="120" w:line="480" w:lineRule="auto"/>
        <w:jc w:val="both"/>
      </w:pPr>
      <w:r>
        <w:rPr>
          <w:rFonts w:hint="cs"/>
          <w:rtl/>
        </w:rPr>
        <w:t xml:space="preserve">6 חודשי מאסר על תנאי, לבל יעבור הנאשם עבירות סמים מסוג פשע או אלימות במשך שלוש שנים מיום שחרורו. </w:t>
      </w:r>
    </w:p>
    <w:p w14:paraId="135046F3" w14:textId="77777777" w:rsidR="00EA1D69" w:rsidRDefault="00EA1D69" w:rsidP="00EA1D69">
      <w:pPr>
        <w:numPr>
          <w:ilvl w:val="0"/>
          <w:numId w:val="1"/>
        </w:numPr>
        <w:spacing w:after="120" w:line="360" w:lineRule="auto"/>
        <w:jc w:val="both"/>
      </w:pPr>
      <w:r>
        <w:rPr>
          <w:rFonts w:hint="cs"/>
          <w:rtl/>
        </w:rPr>
        <w:t xml:space="preserve">4 חודשי מאסר על תנאי, לבל יעבור הנאשם עבירות סמים מסוג עוון או עבירת איומים במשך 3 שנים מיום שחרורו. </w:t>
      </w:r>
    </w:p>
    <w:p w14:paraId="09BEA47C" w14:textId="77777777" w:rsidR="00EA1D69" w:rsidRDefault="00EA1D69" w:rsidP="00EA1D69">
      <w:pPr>
        <w:numPr>
          <w:ilvl w:val="0"/>
          <w:numId w:val="1"/>
        </w:numPr>
        <w:spacing w:after="120" w:line="360" w:lineRule="auto"/>
        <w:jc w:val="both"/>
      </w:pPr>
      <w:r>
        <w:rPr>
          <w:rFonts w:hint="cs"/>
          <w:rtl/>
        </w:rPr>
        <w:t xml:space="preserve">קנס בסך 1000 ש"ח  או 14 ימי מאסר תמורתו. הקנס ישולם עד ליום 1.8.18. </w:t>
      </w:r>
    </w:p>
    <w:p w14:paraId="71B8D21B" w14:textId="77777777" w:rsidR="00EA1D69" w:rsidRDefault="00EA1D69" w:rsidP="00EA1D69">
      <w:pPr>
        <w:numPr>
          <w:ilvl w:val="0"/>
          <w:numId w:val="1"/>
        </w:numPr>
        <w:spacing w:after="120" w:line="360" w:lineRule="auto"/>
        <w:jc w:val="both"/>
      </w:pPr>
      <w:r>
        <w:rPr>
          <w:rFonts w:hint="cs"/>
          <w:rtl/>
        </w:rPr>
        <w:t>3 חודשים פסילה על תנאי לבל יעבור הנאשם עבירה על פקודת הסמים במשך שנתיים מיום שחרורו.</w:t>
      </w:r>
    </w:p>
    <w:p w14:paraId="5A614454" w14:textId="77777777" w:rsidR="00EA1D69" w:rsidRDefault="00EA1D69" w:rsidP="00EA1D69">
      <w:pPr>
        <w:spacing w:line="360" w:lineRule="auto"/>
        <w:contextualSpacing/>
        <w:rPr>
          <w:rFonts w:ascii="Calibri" w:hAnsi="Calibri"/>
          <w:b/>
          <w:bCs/>
          <w:rtl/>
        </w:rPr>
      </w:pPr>
    </w:p>
    <w:p w14:paraId="6087215B" w14:textId="77777777" w:rsidR="00EA1D69" w:rsidRDefault="00EA1D69" w:rsidP="00EA1D69">
      <w:pPr>
        <w:spacing w:line="360" w:lineRule="auto"/>
        <w:contextualSpacing/>
        <w:rPr>
          <w:rFonts w:ascii="Calibri" w:hAnsi="Calibri"/>
          <w:b/>
          <w:bCs/>
          <w:rtl/>
        </w:rPr>
      </w:pPr>
      <w:r>
        <w:rPr>
          <w:rFonts w:ascii="Calibri" w:hAnsi="Calibri" w:hint="cs"/>
          <w:b/>
          <w:bCs/>
          <w:rtl/>
        </w:rPr>
        <w:t xml:space="preserve">מכשיר הטלפון של הנאשם יושב לאשת הנאשם או למי מטעמו. </w:t>
      </w:r>
    </w:p>
    <w:p w14:paraId="3B178DE7" w14:textId="77777777" w:rsidR="00EA1D69" w:rsidRDefault="00EA1D69" w:rsidP="00EA1D69">
      <w:pPr>
        <w:spacing w:line="360" w:lineRule="auto"/>
        <w:contextualSpacing/>
        <w:rPr>
          <w:rFonts w:ascii="Calibri" w:hAnsi="Calibri"/>
          <w:b/>
          <w:bCs/>
          <w:rtl/>
        </w:rPr>
      </w:pPr>
    </w:p>
    <w:p w14:paraId="11ABBBB3" w14:textId="77777777" w:rsidR="00EA1D69" w:rsidRPr="00EA1D69" w:rsidRDefault="000E591D" w:rsidP="00EA1D69">
      <w:pPr>
        <w:spacing w:line="360" w:lineRule="auto"/>
        <w:contextualSpacing/>
        <w:rPr>
          <w:rFonts w:ascii="Calibri" w:hAnsi="Calibri" w:cs="Arial"/>
          <w:sz w:val="22"/>
          <w:szCs w:val="22"/>
          <w:rtl/>
        </w:rPr>
      </w:pPr>
      <w:r w:rsidRPr="000E591D">
        <w:rPr>
          <w:rFonts w:ascii="Calibri" w:hAnsi="Calibri"/>
          <w:b/>
          <w:bCs/>
          <w:color w:val="FFFFFF"/>
          <w:sz w:val="2"/>
          <w:szCs w:val="2"/>
          <w:rtl/>
        </w:rPr>
        <w:t>5129371</w:t>
      </w:r>
      <w:r w:rsidR="00EA1D69">
        <w:rPr>
          <w:rFonts w:ascii="Calibri" w:hAnsi="Calibri" w:hint="cs"/>
          <w:b/>
          <w:bCs/>
          <w:rtl/>
        </w:rPr>
        <w:t>זכות ערעור לבית המשפט המחוזי תוך 45 יום</w:t>
      </w:r>
    </w:p>
    <w:p w14:paraId="044C8145" w14:textId="77777777" w:rsidR="00EA1D69" w:rsidRPr="000E591D" w:rsidRDefault="000E591D" w:rsidP="00EA1D69">
      <w:pPr>
        <w:rPr>
          <w:color w:val="FFFFFF"/>
          <w:sz w:val="2"/>
          <w:szCs w:val="2"/>
          <w:rtl/>
        </w:rPr>
      </w:pPr>
      <w:r w:rsidRPr="000E591D">
        <w:rPr>
          <w:color w:val="FFFFFF"/>
          <w:sz w:val="2"/>
          <w:szCs w:val="2"/>
          <w:rtl/>
        </w:rPr>
        <w:t>54678313</w:t>
      </w:r>
    </w:p>
    <w:p w14:paraId="0607F33C" w14:textId="77777777" w:rsidR="00EA1D69" w:rsidRPr="00B05847" w:rsidRDefault="00EA1D69" w:rsidP="00EA1D69">
      <w:pPr>
        <w:rPr>
          <w:rtl/>
        </w:rPr>
      </w:pPr>
    </w:p>
    <w:p w14:paraId="7A0AFCFD" w14:textId="77777777" w:rsidR="00EA1D69" w:rsidRPr="008419E4" w:rsidRDefault="000E591D" w:rsidP="00EA1D69">
      <w:pPr>
        <w:rPr>
          <w:rFonts w:cs="FrankRuehl"/>
          <w:sz w:val="28"/>
          <w:szCs w:val="28"/>
          <w:rtl/>
        </w:rPr>
      </w:pPr>
      <w:r>
        <w:rPr>
          <w:rFonts w:ascii="Arial" w:hAnsi="Arial"/>
          <w:rtl/>
        </w:rPr>
        <w:t xml:space="preserve">ניתן היום,  י"ח אייר תשע"ח, 03 מאי 2018, במעמד הצדדים. </w:t>
      </w:r>
    </w:p>
    <w:p w14:paraId="12987EF5" w14:textId="77777777" w:rsidR="00EA1D69" w:rsidRDefault="00EA1D69" w:rsidP="00EA1D6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7F4B3905" w14:textId="77777777" w:rsidR="00EA1D69" w:rsidRPr="004C4BE7" w:rsidRDefault="004C4BE7" w:rsidP="00EA1D69">
      <w:pPr>
        <w:jc w:val="center"/>
        <w:rPr>
          <w:rFonts w:ascii="Arial" w:hAnsi="Arial" w:cs="FrankRuehl"/>
          <w:color w:val="FFFFFF"/>
          <w:sz w:val="2"/>
          <w:szCs w:val="2"/>
          <w:rtl/>
        </w:rPr>
      </w:pPr>
      <w:r w:rsidRPr="004C4BE7">
        <w:rPr>
          <w:rFonts w:ascii="Arial" w:hAnsi="Arial" w:cs="FrankRuehl"/>
          <w:color w:val="FFFFFF"/>
          <w:sz w:val="2"/>
          <w:szCs w:val="2"/>
          <w:rtl/>
        </w:rPr>
        <w:t>5129371</w:t>
      </w:r>
    </w:p>
    <w:p w14:paraId="03D7619E" w14:textId="77777777" w:rsidR="002D7B2F" w:rsidRPr="004C4BE7" w:rsidRDefault="004C4BE7" w:rsidP="000E591D">
      <w:pPr>
        <w:keepNext/>
        <w:rPr>
          <w:rFonts w:ascii="David" w:hAnsi="David"/>
          <w:color w:val="FFFFFF"/>
          <w:sz w:val="2"/>
          <w:szCs w:val="2"/>
          <w:rtl/>
        </w:rPr>
      </w:pPr>
      <w:r w:rsidRPr="004C4BE7">
        <w:rPr>
          <w:rFonts w:ascii="David" w:hAnsi="David"/>
          <w:color w:val="FFFFFF"/>
          <w:sz w:val="2"/>
          <w:szCs w:val="2"/>
          <w:rtl/>
        </w:rPr>
        <w:t>54678313</w:t>
      </w:r>
    </w:p>
    <w:p w14:paraId="78C893FB" w14:textId="77777777" w:rsidR="000E591D" w:rsidRPr="000E591D" w:rsidRDefault="000E591D" w:rsidP="000E591D">
      <w:pPr>
        <w:keepNext/>
        <w:rPr>
          <w:rFonts w:ascii="David" w:hAnsi="David"/>
          <w:color w:val="000000"/>
          <w:sz w:val="22"/>
          <w:szCs w:val="22"/>
          <w:rtl/>
        </w:rPr>
      </w:pPr>
      <w:r w:rsidRPr="000E591D">
        <w:rPr>
          <w:rFonts w:ascii="David" w:hAnsi="David"/>
          <w:color w:val="000000"/>
          <w:sz w:val="22"/>
          <w:szCs w:val="22"/>
          <w:rtl/>
        </w:rPr>
        <w:t>מרב גרינברג 54678313</w:t>
      </w:r>
    </w:p>
    <w:p w14:paraId="41E1FD1E" w14:textId="77777777" w:rsidR="000E591D" w:rsidRDefault="000E591D" w:rsidP="000E591D">
      <w:r w:rsidRPr="000E591D">
        <w:rPr>
          <w:color w:val="000000"/>
          <w:rtl/>
        </w:rPr>
        <w:t>נוסח מסמך זה כפוף לשינויי ניסוח ועריכה</w:t>
      </w:r>
    </w:p>
    <w:p w14:paraId="15B84856" w14:textId="77777777" w:rsidR="000E591D" w:rsidRDefault="000E591D" w:rsidP="000E591D">
      <w:pPr>
        <w:rPr>
          <w:rtl/>
        </w:rPr>
      </w:pPr>
    </w:p>
    <w:p w14:paraId="59BBB5F3" w14:textId="77777777" w:rsidR="000E591D" w:rsidRDefault="000E591D" w:rsidP="000E591D">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114019A6" w14:textId="77777777" w:rsidR="004C4BE7" w:rsidRPr="004C4BE7" w:rsidRDefault="004C4BE7" w:rsidP="004C4BE7">
      <w:pPr>
        <w:keepNext/>
        <w:rPr>
          <w:rFonts w:ascii="David" w:hAnsi="David"/>
          <w:color w:val="000000"/>
          <w:sz w:val="22"/>
          <w:szCs w:val="22"/>
          <w:rtl/>
        </w:rPr>
      </w:pPr>
    </w:p>
    <w:p w14:paraId="6324BE22" w14:textId="77777777" w:rsidR="000E591D" w:rsidRPr="000E591D" w:rsidRDefault="000E591D" w:rsidP="004C4BE7">
      <w:pPr>
        <w:rPr>
          <w:color w:val="0000FF"/>
          <w:u w:val="single"/>
        </w:rPr>
      </w:pPr>
    </w:p>
    <w:sectPr w:rsidR="000E591D" w:rsidRPr="000E591D" w:rsidSect="004C4BE7">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8BEFDF" w14:textId="77777777" w:rsidR="00A548F6" w:rsidRDefault="00A548F6" w:rsidP="00C41E41">
      <w:r>
        <w:separator/>
      </w:r>
    </w:p>
  </w:endnote>
  <w:endnote w:type="continuationSeparator" w:id="0">
    <w:p w14:paraId="29BBE87B" w14:textId="77777777" w:rsidR="00A548F6" w:rsidRDefault="00A548F6" w:rsidP="00C41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0AA02" w14:textId="77777777" w:rsidR="004C4BE7" w:rsidRDefault="004C4BE7" w:rsidP="004C4BE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BB6F05B" w14:textId="77777777" w:rsidR="00DF7032" w:rsidRPr="004C4BE7" w:rsidRDefault="004C4BE7" w:rsidP="004C4BE7">
    <w:pPr>
      <w:pStyle w:val="a5"/>
      <w:pBdr>
        <w:top w:val="single" w:sz="4" w:space="1" w:color="auto"/>
        <w:between w:val="single" w:sz="4" w:space="0" w:color="auto"/>
      </w:pBdr>
      <w:spacing w:after="60"/>
      <w:jc w:val="center"/>
      <w:rPr>
        <w:rFonts w:ascii="FrankRuehl" w:hAnsi="FrankRuehl" w:cs="FrankRuehl"/>
        <w:color w:val="000000"/>
      </w:rPr>
    </w:pPr>
    <w:r w:rsidRPr="004C4BE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1183A" w14:textId="77777777" w:rsidR="004C4BE7" w:rsidRDefault="004C4BE7" w:rsidP="004C4BE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70B7D">
      <w:rPr>
        <w:rFonts w:ascii="FrankRuehl" w:hAnsi="FrankRuehl" w:cs="FrankRuehl"/>
        <w:noProof/>
        <w:rtl/>
      </w:rPr>
      <w:t>1</w:t>
    </w:r>
    <w:r>
      <w:rPr>
        <w:rFonts w:ascii="FrankRuehl" w:hAnsi="FrankRuehl" w:cs="FrankRuehl"/>
        <w:rtl/>
      </w:rPr>
      <w:fldChar w:fldCharType="end"/>
    </w:r>
  </w:p>
  <w:p w14:paraId="473B0D69" w14:textId="77777777" w:rsidR="00DF7032" w:rsidRPr="004C4BE7" w:rsidRDefault="004C4BE7" w:rsidP="004C4BE7">
    <w:pPr>
      <w:pStyle w:val="a5"/>
      <w:pBdr>
        <w:top w:val="single" w:sz="4" w:space="1" w:color="auto"/>
        <w:between w:val="single" w:sz="4" w:space="0" w:color="auto"/>
      </w:pBdr>
      <w:spacing w:after="60"/>
      <w:jc w:val="center"/>
      <w:rPr>
        <w:rFonts w:ascii="FrankRuehl" w:hAnsi="FrankRuehl" w:cs="FrankRuehl"/>
        <w:color w:val="000000"/>
      </w:rPr>
    </w:pPr>
    <w:r w:rsidRPr="004C4BE7">
      <w:rPr>
        <w:rFonts w:ascii="FrankRuehl" w:hAnsi="FrankRuehl" w:cs="FrankRuehl"/>
        <w:color w:val="000000"/>
      </w:rPr>
      <w:pict w14:anchorId="65CEE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D49CBE" w14:textId="77777777" w:rsidR="00A548F6" w:rsidRDefault="00A548F6" w:rsidP="00C41E41">
      <w:r>
        <w:separator/>
      </w:r>
    </w:p>
  </w:footnote>
  <w:footnote w:type="continuationSeparator" w:id="0">
    <w:p w14:paraId="6F3A5624" w14:textId="77777777" w:rsidR="00A548F6" w:rsidRDefault="00A548F6" w:rsidP="00C41E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D4AFD" w14:textId="77777777" w:rsidR="000E591D" w:rsidRPr="004C4BE7" w:rsidRDefault="004C4BE7" w:rsidP="004C4BE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35169-02-18</w:t>
    </w:r>
    <w:r>
      <w:rPr>
        <w:rFonts w:ascii="David" w:hAnsi="David"/>
        <w:color w:val="000000"/>
        <w:sz w:val="22"/>
        <w:szCs w:val="22"/>
        <w:rtl/>
      </w:rPr>
      <w:tab/>
      <w:t xml:space="preserve"> מדינת ישראל נ' יניב בן יוסף עזריאל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513BB1" w14:textId="77777777" w:rsidR="000E591D" w:rsidRPr="004C4BE7" w:rsidRDefault="004C4BE7" w:rsidP="004C4BE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35169-02-18</w:t>
    </w:r>
    <w:r>
      <w:rPr>
        <w:rFonts w:ascii="David" w:hAnsi="David"/>
        <w:color w:val="000000"/>
        <w:sz w:val="22"/>
        <w:szCs w:val="22"/>
        <w:rtl/>
      </w:rPr>
      <w:tab/>
      <w:t xml:space="preserve"> מדינת ישראל נ' יניב בן יוסף עזריאל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444FF"/>
    <w:multiLevelType w:val="hybridMultilevel"/>
    <w:tmpl w:val="70BA3364"/>
    <w:lvl w:ilvl="0" w:tplc="DED6746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356715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A1D69"/>
    <w:rsid w:val="000E591D"/>
    <w:rsid w:val="00170B7D"/>
    <w:rsid w:val="002D7B2F"/>
    <w:rsid w:val="004C4BE7"/>
    <w:rsid w:val="00854077"/>
    <w:rsid w:val="00882B4C"/>
    <w:rsid w:val="00A548F6"/>
    <w:rsid w:val="00BA16A0"/>
    <w:rsid w:val="00C41E41"/>
    <w:rsid w:val="00C67C2E"/>
    <w:rsid w:val="00D131FA"/>
    <w:rsid w:val="00DF7032"/>
    <w:rsid w:val="00EA1D69"/>
    <w:rsid w:val="00EB23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A892742"/>
  <w15:chartTrackingRefBased/>
  <w15:docId w15:val="{1F1671B5-6EFB-417F-B1B6-304FFB5F9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A1D6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A1D69"/>
    <w:pPr>
      <w:tabs>
        <w:tab w:val="center" w:pos="4153"/>
        <w:tab w:val="right" w:pos="8306"/>
      </w:tabs>
    </w:pPr>
  </w:style>
  <w:style w:type="character" w:customStyle="1" w:styleId="a4">
    <w:name w:val="כותרת עליונה תו"/>
    <w:link w:val="a3"/>
    <w:rsid w:val="00EA1D69"/>
    <w:rPr>
      <w:rFonts w:ascii="Times New Roman" w:eastAsia="Times New Roman" w:hAnsi="Times New Roman" w:cs="David"/>
      <w:sz w:val="24"/>
      <w:szCs w:val="24"/>
    </w:rPr>
  </w:style>
  <w:style w:type="paragraph" w:styleId="a5">
    <w:name w:val="footer"/>
    <w:basedOn w:val="a"/>
    <w:link w:val="a6"/>
    <w:rsid w:val="00EA1D69"/>
    <w:pPr>
      <w:tabs>
        <w:tab w:val="center" w:pos="4153"/>
        <w:tab w:val="right" w:pos="8306"/>
      </w:tabs>
    </w:pPr>
  </w:style>
  <w:style w:type="character" w:customStyle="1" w:styleId="a6">
    <w:name w:val="כותרת תחתונה תו"/>
    <w:link w:val="a5"/>
    <w:rsid w:val="00EA1D69"/>
    <w:rPr>
      <w:rFonts w:ascii="Times New Roman" w:eastAsia="Times New Roman" w:hAnsi="Times New Roman" w:cs="David"/>
      <w:sz w:val="24"/>
      <w:szCs w:val="24"/>
    </w:rPr>
  </w:style>
  <w:style w:type="table" w:styleId="a7">
    <w:name w:val="Table Grid"/>
    <w:basedOn w:val="a1"/>
    <w:rsid w:val="00EA1D6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A1D69"/>
  </w:style>
  <w:style w:type="paragraph" w:styleId="a9">
    <w:name w:val="List Paragraph"/>
    <w:basedOn w:val="a"/>
    <w:qFormat/>
    <w:rsid w:val="00EA1D69"/>
    <w:pPr>
      <w:ind w:left="720"/>
      <w:contextualSpacing/>
    </w:pPr>
    <w:rPr>
      <w:rFonts w:ascii="Calibri" w:hAnsi="Calibri" w:cs="Times New Roman"/>
      <w:sz w:val="22"/>
      <w:szCs w:val="22"/>
    </w:rPr>
  </w:style>
  <w:style w:type="character" w:styleId="Hyperlink">
    <w:name w:val="Hyperlink"/>
    <w:rsid w:val="000E591D"/>
    <w:rPr>
      <w:color w:val="0563C1"/>
      <w:u w:val="single"/>
    </w:rPr>
  </w:style>
  <w:style w:type="character" w:styleId="aa">
    <w:name w:val="Unresolved Mention"/>
    <w:rsid w:val="000E591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law/70301/192" TargetMode="External"/><Relationship Id="rId18" Type="http://schemas.openxmlformats.org/officeDocument/2006/relationships/hyperlink" Target="http://www.nevo.co.il/law/70301"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law/70301/192"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31" TargetMode="External"/><Relationship Id="rId17" Type="http://schemas.openxmlformats.org/officeDocument/2006/relationships/hyperlink" Target="http://www.nevo.co.il/law/70301/31"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70301/499.a.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4216/6" TargetMode="External"/><Relationship Id="rId23" Type="http://schemas.openxmlformats.org/officeDocument/2006/relationships/hyperlink" Target="http://www.nevo.co.il/case/22277133" TargetMode="External"/><Relationship Id="rId28" Type="http://schemas.openxmlformats.org/officeDocument/2006/relationships/footer" Target="footer2.xml"/><Relationship Id="rId10" Type="http://schemas.openxmlformats.org/officeDocument/2006/relationships/hyperlink" Target="http://www.nevo.co.il/law/4216/7.c" TargetMode="External"/><Relationship Id="rId19" Type="http://schemas.openxmlformats.org/officeDocument/2006/relationships/hyperlink" Target="http://www.nevo.co.il/law/4216/7.a.;7.c"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99.a.1" TargetMode="External"/><Relationship Id="rId22" Type="http://schemas.openxmlformats.org/officeDocument/2006/relationships/hyperlink" Target="http://www.nevo.co.il/law/70301"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1201</Words>
  <Characters>6010</Characters>
  <Application>Microsoft Office Word</Application>
  <DocSecurity>0</DocSecurity>
  <Lines>50</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7197</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3407984</vt:i4>
      </vt:variant>
      <vt:variant>
        <vt:i4>48</vt:i4>
      </vt:variant>
      <vt:variant>
        <vt:i4>0</vt:i4>
      </vt:variant>
      <vt:variant>
        <vt:i4>5</vt:i4>
      </vt:variant>
      <vt:variant>
        <vt:lpwstr>http://www.nevo.co.il/case/22277133</vt:lpwstr>
      </vt:variant>
      <vt:variant>
        <vt:lpwstr/>
      </vt:variant>
      <vt:variant>
        <vt:i4>7995492</vt:i4>
      </vt:variant>
      <vt:variant>
        <vt:i4>45</vt:i4>
      </vt:variant>
      <vt:variant>
        <vt:i4>0</vt:i4>
      </vt:variant>
      <vt:variant>
        <vt:i4>5</vt:i4>
      </vt:variant>
      <vt:variant>
        <vt:lpwstr>http://www.nevo.co.il/law/70301</vt:lpwstr>
      </vt:variant>
      <vt:variant>
        <vt:lpwstr/>
      </vt:variant>
      <vt:variant>
        <vt:i4>7077988</vt:i4>
      </vt:variant>
      <vt:variant>
        <vt:i4>42</vt:i4>
      </vt:variant>
      <vt:variant>
        <vt:i4>0</vt:i4>
      </vt:variant>
      <vt:variant>
        <vt:i4>5</vt:i4>
      </vt:variant>
      <vt:variant>
        <vt:lpwstr>http://www.nevo.co.il/law/70301/192</vt:lpwstr>
      </vt:variant>
      <vt:variant>
        <vt:lpwstr/>
      </vt:variant>
      <vt:variant>
        <vt:i4>7077945</vt:i4>
      </vt:variant>
      <vt:variant>
        <vt:i4>39</vt:i4>
      </vt:variant>
      <vt:variant>
        <vt:i4>0</vt:i4>
      </vt:variant>
      <vt:variant>
        <vt:i4>5</vt:i4>
      </vt:variant>
      <vt:variant>
        <vt:lpwstr>http://www.nevo.co.il/law/70301/499.a.1</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7995492</vt:i4>
      </vt:variant>
      <vt:variant>
        <vt:i4>33</vt:i4>
      </vt:variant>
      <vt:variant>
        <vt:i4>0</vt:i4>
      </vt:variant>
      <vt:variant>
        <vt:i4>5</vt:i4>
      </vt:variant>
      <vt:variant>
        <vt:lpwstr>http://www.nevo.co.il/law/70301</vt:lpwstr>
      </vt:variant>
      <vt:variant>
        <vt:lpwstr/>
      </vt:variant>
      <vt:variant>
        <vt:i4>6553702</vt:i4>
      </vt:variant>
      <vt:variant>
        <vt:i4>30</vt:i4>
      </vt:variant>
      <vt:variant>
        <vt:i4>0</vt:i4>
      </vt:variant>
      <vt:variant>
        <vt:i4>5</vt:i4>
      </vt:variant>
      <vt:variant>
        <vt:lpwstr>http://www.nevo.co.il/law/70301/31</vt:lpwstr>
      </vt:variant>
      <vt:variant>
        <vt:lpwstr/>
      </vt:variant>
      <vt:variant>
        <vt:i4>8257637</vt:i4>
      </vt:variant>
      <vt:variant>
        <vt:i4>27</vt:i4>
      </vt:variant>
      <vt:variant>
        <vt:i4>0</vt:i4>
      </vt:variant>
      <vt:variant>
        <vt:i4>5</vt:i4>
      </vt:variant>
      <vt:variant>
        <vt:lpwstr>http://www.nevo.co.il/law/4216</vt:lpwstr>
      </vt:variant>
      <vt:variant>
        <vt:lpwstr/>
      </vt:variant>
      <vt:variant>
        <vt:i4>4718666</vt:i4>
      </vt:variant>
      <vt:variant>
        <vt:i4>24</vt:i4>
      </vt:variant>
      <vt:variant>
        <vt:i4>0</vt:i4>
      </vt:variant>
      <vt:variant>
        <vt:i4>5</vt:i4>
      </vt:variant>
      <vt:variant>
        <vt:lpwstr>http://www.nevo.co.il/law/4216/6</vt:lpwstr>
      </vt:variant>
      <vt:variant>
        <vt:lpwstr/>
      </vt:variant>
      <vt:variant>
        <vt:i4>7077945</vt:i4>
      </vt:variant>
      <vt:variant>
        <vt:i4>21</vt:i4>
      </vt:variant>
      <vt:variant>
        <vt:i4>0</vt:i4>
      </vt:variant>
      <vt:variant>
        <vt:i4>5</vt:i4>
      </vt:variant>
      <vt:variant>
        <vt:lpwstr>http://www.nevo.co.il/law/70301/499.a.1</vt:lpwstr>
      </vt:variant>
      <vt:variant>
        <vt:lpwstr/>
      </vt:variant>
      <vt:variant>
        <vt:i4>7077988</vt:i4>
      </vt:variant>
      <vt:variant>
        <vt:i4>18</vt:i4>
      </vt:variant>
      <vt:variant>
        <vt:i4>0</vt:i4>
      </vt:variant>
      <vt:variant>
        <vt:i4>5</vt:i4>
      </vt:variant>
      <vt:variant>
        <vt:lpwstr>http://www.nevo.co.il/law/70301/192</vt:lpwstr>
      </vt:variant>
      <vt:variant>
        <vt:lpwstr/>
      </vt:variant>
      <vt:variant>
        <vt:i4>6553702</vt:i4>
      </vt:variant>
      <vt:variant>
        <vt:i4>15</vt:i4>
      </vt:variant>
      <vt:variant>
        <vt:i4>0</vt:i4>
      </vt:variant>
      <vt:variant>
        <vt:i4>5</vt:i4>
      </vt:variant>
      <vt:variant>
        <vt:lpwstr>http://www.nevo.co.il/law/70301/31</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2025-04-22T23:40:00Z</dcterms:created>
  <dcterms:modified xsi:type="dcterms:W3CDTF">2025-04-22T23:40:00Z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35169</vt:lpwstr>
  </property>
  <property fmtid="{D5CDD505-2E9C-101B-9397-08002B2CF9AE}" pid="6" name="NEWPARTB">
    <vt:lpwstr>02</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יניב בן יוסף עזריאל </vt:lpwstr>
  </property>
  <property fmtid="{D5CDD505-2E9C-101B-9397-08002B2CF9AE}" pid="10" name="LAWYER">
    <vt:lpwstr>רוית שפיר;רן שטרצר</vt:lpwstr>
  </property>
  <property fmtid="{D5CDD505-2E9C-101B-9397-08002B2CF9AE}" pid="11" name="JUDGE">
    <vt:lpwstr>מרב גרינברג</vt:lpwstr>
  </property>
  <property fmtid="{D5CDD505-2E9C-101B-9397-08002B2CF9AE}" pid="12" name="CITY">
    <vt:lpwstr>כ"ס</vt:lpwstr>
  </property>
  <property fmtid="{D5CDD505-2E9C-101B-9397-08002B2CF9AE}" pid="13" name="DATE">
    <vt:lpwstr>20180503</vt:lpwstr>
  </property>
  <property fmtid="{D5CDD505-2E9C-101B-9397-08002B2CF9AE}" pid="14" name="TYPE_N_DATE">
    <vt:lpwstr>38020180503</vt:lpwstr>
  </property>
  <property fmtid="{D5CDD505-2E9C-101B-9397-08002B2CF9AE}" pid="15" name="WORDNUMPAGES">
    <vt:lpwstr>5</vt:lpwstr>
  </property>
  <property fmtid="{D5CDD505-2E9C-101B-9397-08002B2CF9AE}" pid="16" name="TYPE_ABS_DATE">
    <vt:lpwstr>380020180503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22277133</vt:lpwstr>
  </property>
  <property fmtid="{D5CDD505-2E9C-101B-9397-08002B2CF9AE}" pid="36" name="LAWLISTTMP1">
    <vt:lpwstr>4216/006;007.a;007.c</vt:lpwstr>
  </property>
  <property fmtid="{D5CDD505-2E9C-101B-9397-08002B2CF9AE}" pid="37" name="LAWLISTTMP2">
    <vt:lpwstr>70301/031;499.a.1;192</vt:lpwstr>
  </property>
</Properties>
</file>