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46AFD" w:rsidRPr="007F47BB" w14:paraId="277CAB71" w14:textId="77777777" w:rsidTr="00121965">
        <w:trPr>
          <w:trHeight w:hRule="exact" w:val="418"/>
          <w:jc w:val="center"/>
        </w:trPr>
        <w:tc>
          <w:tcPr>
            <w:tcW w:w="8721" w:type="dxa"/>
            <w:gridSpan w:val="2"/>
          </w:tcPr>
          <w:p w14:paraId="1DA03E24" w14:textId="77777777" w:rsidR="00146AFD" w:rsidRPr="007F47BB" w:rsidRDefault="00146AFD" w:rsidP="00AD44FB">
            <w:pPr>
              <w:pStyle w:val="a3"/>
              <w:jc w:val="center"/>
              <w:rPr>
                <w:rFonts w:ascii="Tahoma" w:hAnsi="Tahoma" w:cs="Tahoma"/>
                <w:color w:val="000080"/>
                <w:rtl/>
              </w:rPr>
            </w:pPr>
            <w:bookmarkStart w:id="0" w:name="LastJudge"/>
            <w:r w:rsidRPr="007F47BB">
              <w:rPr>
                <w:rFonts w:ascii="Tahoma" w:hAnsi="Tahoma" w:cs="Tahoma"/>
                <w:b/>
                <w:bCs/>
                <w:color w:val="000080"/>
                <w:rtl/>
              </w:rPr>
              <w:t>בית משפט השלום בראשון לציון</w:t>
            </w:r>
          </w:p>
        </w:tc>
      </w:tr>
      <w:tr w:rsidR="00146AFD" w:rsidRPr="007F47BB" w14:paraId="068E5D11" w14:textId="77777777" w:rsidTr="00121965">
        <w:trPr>
          <w:trHeight w:val="337"/>
          <w:jc w:val="center"/>
        </w:trPr>
        <w:tc>
          <w:tcPr>
            <w:tcW w:w="5054" w:type="dxa"/>
          </w:tcPr>
          <w:p w14:paraId="74C9E903" w14:textId="77777777" w:rsidR="00146AFD" w:rsidRPr="007F47BB" w:rsidRDefault="00146AFD" w:rsidP="00AD44FB">
            <w:pPr>
              <w:rPr>
                <w:rFonts w:cs="FrankRuehl"/>
                <w:sz w:val="28"/>
                <w:szCs w:val="28"/>
                <w:rtl/>
              </w:rPr>
            </w:pPr>
            <w:r w:rsidRPr="007F47BB">
              <w:rPr>
                <w:rFonts w:cs="FrankRuehl"/>
                <w:sz w:val="28"/>
                <w:szCs w:val="28"/>
                <w:rtl/>
              </w:rPr>
              <w:t>ת"פ</w:t>
            </w:r>
            <w:r w:rsidRPr="007F47BB">
              <w:rPr>
                <w:rFonts w:cs="FrankRuehl" w:hint="cs"/>
                <w:sz w:val="28"/>
                <w:szCs w:val="28"/>
                <w:rtl/>
              </w:rPr>
              <w:t xml:space="preserve"> </w:t>
            </w:r>
            <w:r w:rsidRPr="007F47BB">
              <w:rPr>
                <w:rFonts w:cs="FrankRuehl"/>
                <w:sz w:val="28"/>
                <w:szCs w:val="28"/>
                <w:rtl/>
              </w:rPr>
              <w:t>37379-02-18</w:t>
            </w:r>
            <w:r w:rsidRPr="007F47BB">
              <w:rPr>
                <w:rFonts w:cs="FrankRuehl" w:hint="cs"/>
                <w:sz w:val="28"/>
                <w:szCs w:val="28"/>
                <w:rtl/>
              </w:rPr>
              <w:t xml:space="preserve"> </w:t>
            </w:r>
            <w:r w:rsidRPr="007F47BB">
              <w:rPr>
                <w:rFonts w:cs="FrankRuehl"/>
                <w:sz w:val="28"/>
                <w:szCs w:val="28"/>
                <w:rtl/>
              </w:rPr>
              <w:t>מדינת ישראל נ' ועקנין</w:t>
            </w:r>
          </w:p>
          <w:p w14:paraId="00FD0590" w14:textId="77777777" w:rsidR="00146AFD" w:rsidRPr="007F47BB" w:rsidRDefault="00146AFD" w:rsidP="00AD44FB">
            <w:pPr>
              <w:rPr>
                <w:rFonts w:cs="FrankRuehl"/>
                <w:sz w:val="28"/>
                <w:szCs w:val="28"/>
                <w:rtl/>
              </w:rPr>
            </w:pPr>
            <w:r w:rsidRPr="007F47BB">
              <w:rPr>
                <w:rFonts w:cs="FrankRuehl"/>
                <w:sz w:val="28"/>
                <w:szCs w:val="28"/>
                <w:rtl/>
              </w:rPr>
              <w:t>ת"פ</w:t>
            </w:r>
            <w:r w:rsidRPr="007F47BB">
              <w:rPr>
                <w:rFonts w:cs="FrankRuehl" w:hint="cs"/>
                <w:sz w:val="28"/>
                <w:szCs w:val="28"/>
                <w:rtl/>
              </w:rPr>
              <w:t xml:space="preserve"> 1142-05-18 </w:t>
            </w:r>
            <w:r w:rsidRPr="007F47BB">
              <w:rPr>
                <w:rFonts w:cs="FrankRuehl"/>
                <w:sz w:val="28"/>
                <w:szCs w:val="28"/>
                <w:rtl/>
              </w:rPr>
              <w:t>מדינת ישראל נ' ועקנין</w:t>
            </w:r>
          </w:p>
          <w:p w14:paraId="05CB2754" w14:textId="77777777" w:rsidR="00146AFD" w:rsidRPr="007F47BB" w:rsidRDefault="00146AFD" w:rsidP="00AD44FB">
            <w:pPr>
              <w:rPr>
                <w:rFonts w:cs="FrankRuehl"/>
                <w:sz w:val="28"/>
                <w:szCs w:val="28"/>
                <w:rtl/>
              </w:rPr>
            </w:pPr>
            <w:r w:rsidRPr="007F47BB">
              <w:rPr>
                <w:rFonts w:cs="FrankRuehl"/>
                <w:sz w:val="28"/>
                <w:szCs w:val="28"/>
                <w:rtl/>
              </w:rPr>
              <w:t>ת"פ</w:t>
            </w:r>
            <w:r w:rsidRPr="007F47BB">
              <w:rPr>
                <w:rFonts w:cs="FrankRuehl" w:hint="cs"/>
                <w:sz w:val="28"/>
                <w:szCs w:val="28"/>
                <w:rtl/>
              </w:rPr>
              <w:t xml:space="preserve"> 275</w:t>
            </w:r>
            <w:r w:rsidRPr="007F47BB">
              <w:rPr>
                <w:rFonts w:hint="cs"/>
                <w:rtl/>
              </w:rPr>
              <w:t>08-06-18</w:t>
            </w:r>
            <w:r w:rsidRPr="007F47BB">
              <w:rPr>
                <w:rFonts w:cs="FrankRuehl" w:hint="cs"/>
                <w:sz w:val="28"/>
                <w:szCs w:val="28"/>
                <w:rtl/>
              </w:rPr>
              <w:t xml:space="preserve"> </w:t>
            </w:r>
            <w:r w:rsidRPr="007F47BB">
              <w:rPr>
                <w:rFonts w:cs="FrankRuehl"/>
                <w:sz w:val="28"/>
                <w:szCs w:val="28"/>
                <w:rtl/>
              </w:rPr>
              <w:t>מדינת ישראל נ' ועקנין</w:t>
            </w:r>
          </w:p>
          <w:p w14:paraId="5DB075F7" w14:textId="77777777" w:rsidR="00146AFD" w:rsidRPr="007F47BB" w:rsidRDefault="00146AFD" w:rsidP="00AD44FB">
            <w:pPr>
              <w:pStyle w:val="a3"/>
              <w:rPr>
                <w:rFonts w:cs="FrankRuehl"/>
                <w:sz w:val="28"/>
                <w:szCs w:val="28"/>
                <w:rtl/>
              </w:rPr>
            </w:pPr>
          </w:p>
        </w:tc>
        <w:tc>
          <w:tcPr>
            <w:tcW w:w="3667" w:type="dxa"/>
          </w:tcPr>
          <w:p w14:paraId="55AA6FC3" w14:textId="77777777" w:rsidR="00146AFD" w:rsidRPr="007F47BB" w:rsidRDefault="00146AFD" w:rsidP="00AD44FB">
            <w:pPr>
              <w:pStyle w:val="a3"/>
              <w:jc w:val="right"/>
              <w:rPr>
                <w:rFonts w:cs="FrankRuehl"/>
                <w:sz w:val="28"/>
                <w:szCs w:val="28"/>
                <w:rtl/>
              </w:rPr>
            </w:pPr>
          </w:p>
        </w:tc>
      </w:tr>
    </w:tbl>
    <w:p w14:paraId="1E9504C2" w14:textId="77777777" w:rsidR="00146AFD" w:rsidRPr="007F47BB" w:rsidRDefault="00146AFD" w:rsidP="00146AFD">
      <w:pPr>
        <w:pStyle w:val="a3"/>
        <w:rPr>
          <w:rtl/>
        </w:rPr>
      </w:pPr>
      <w:r w:rsidRPr="007F47BB">
        <w:rPr>
          <w:rFonts w:hint="cs"/>
          <w:rtl/>
        </w:rPr>
        <w:t xml:space="preserve"> </w:t>
      </w:r>
    </w:p>
    <w:p w14:paraId="55E44710" w14:textId="77777777" w:rsidR="00146AFD" w:rsidRPr="007F47BB" w:rsidRDefault="00146AFD" w:rsidP="00146AFD">
      <w:pPr>
        <w:rPr>
          <w:rtl/>
        </w:rPr>
      </w:pPr>
    </w:p>
    <w:p w14:paraId="318720AF" w14:textId="77777777" w:rsidR="00146AFD" w:rsidRPr="007F47BB" w:rsidRDefault="00146AFD" w:rsidP="00146AF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46AFD" w:rsidRPr="007F47BB" w14:paraId="2D264C1B" w14:textId="77777777" w:rsidTr="00146AFD">
        <w:trPr>
          <w:trHeight w:val="295"/>
          <w:jc w:val="center"/>
        </w:trPr>
        <w:tc>
          <w:tcPr>
            <w:tcW w:w="923" w:type="dxa"/>
            <w:tcBorders>
              <w:top w:val="nil"/>
              <w:left w:val="nil"/>
              <w:bottom w:val="nil"/>
              <w:right w:val="nil"/>
            </w:tcBorders>
            <w:shd w:val="clear" w:color="auto" w:fill="auto"/>
          </w:tcPr>
          <w:p w14:paraId="27FD9452" w14:textId="77777777" w:rsidR="00146AFD" w:rsidRPr="007F47BB" w:rsidRDefault="00146AFD" w:rsidP="00146AFD">
            <w:pPr>
              <w:jc w:val="both"/>
              <w:rPr>
                <w:rFonts w:ascii="Arial" w:hAnsi="Arial" w:cs="FrankRuehl"/>
                <w:sz w:val="28"/>
                <w:szCs w:val="28"/>
              </w:rPr>
            </w:pPr>
            <w:r w:rsidRPr="007F47BB">
              <w:rPr>
                <w:rFonts w:ascii="Arial" w:hAnsi="Arial" w:cs="FrankRuehl" w:hint="cs"/>
                <w:sz w:val="28"/>
                <w:szCs w:val="28"/>
                <w:rtl/>
              </w:rPr>
              <w:t>ב</w:t>
            </w:r>
            <w:r w:rsidRPr="007F47B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62FD0DA" w14:textId="77777777" w:rsidR="00146AFD" w:rsidRPr="007F47BB" w:rsidRDefault="00146AFD" w:rsidP="00AD44FB">
            <w:pPr>
              <w:rPr>
                <w:rFonts w:ascii="Arial" w:hAnsi="Arial"/>
                <w:b/>
                <w:bCs/>
                <w:rtl/>
              </w:rPr>
            </w:pPr>
            <w:r w:rsidRPr="007F47BB">
              <w:rPr>
                <w:rFonts w:ascii="Arial" w:hAnsi="Arial" w:hint="cs"/>
                <w:b/>
                <w:bCs/>
                <w:rtl/>
              </w:rPr>
              <w:t>כבוד ה</w:t>
            </w:r>
            <w:r w:rsidRPr="007F47BB">
              <w:rPr>
                <w:rFonts w:ascii="Arial" w:hAnsi="Arial"/>
                <w:b/>
                <w:bCs/>
                <w:rtl/>
              </w:rPr>
              <w:t>שופט</w:t>
            </w:r>
            <w:r w:rsidRPr="007F47BB">
              <w:rPr>
                <w:rFonts w:ascii="Arial" w:hAnsi="Arial" w:hint="cs"/>
                <w:b/>
                <w:bCs/>
                <w:rtl/>
              </w:rPr>
              <w:t xml:space="preserve">  </w:t>
            </w:r>
            <w:r w:rsidRPr="007F47BB">
              <w:rPr>
                <w:rFonts w:ascii="Arial" w:hAnsi="Arial"/>
                <w:b/>
                <w:bCs/>
                <w:rtl/>
              </w:rPr>
              <w:t>עמית מיכלס</w:t>
            </w:r>
          </w:p>
          <w:p w14:paraId="336C047A" w14:textId="77777777" w:rsidR="00146AFD" w:rsidRPr="007F47BB" w:rsidRDefault="00146AFD" w:rsidP="00AD44FB">
            <w:pPr>
              <w:rPr>
                <w:rtl/>
              </w:rPr>
            </w:pPr>
          </w:p>
          <w:p w14:paraId="51F48886" w14:textId="77777777" w:rsidR="00146AFD" w:rsidRPr="007F47BB" w:rsidRDefault="00146AFD" w:rsidP="00146AFD">
            <w:pPr>
              <w:jc w:val="both"/>
              <w:rPr>
                <w:rFonts w:ascii="Arial" w:hAnsi="Arial" w:cs="FrankRuehl"/>
                <w:sz w:val="28"/>
                <w:szCs w:val="28"/>
              </w:rPr>
            </w:pPr>
          </w:p>
        </w:tc>
      </w:tr>
      <w:tr w:rsidR="00146AFD" w:rsidRPr="007F47BB" w14:paraId="5B3B83FD" w14:textId="77777777" w:rsidTr="00146AFD">
        <w:trPr>
          <w:trHeight w:val="355"/>
          <w:jc w:val="center"/>
        </w:trPr>
        <w:tc>
          <w:tcPr>
            <w:tcW w:w="923" w:type="dxa"/>
            <w:tcBorders>
              <w:top w:val="nil"/>
              <w:left w:val="nil"/>
              <w:bottom w:val="nil"/>
              <w:right w:val="nil"/>
            </w:tcBorders>
            <w:shd w:val="clear" w:color="auto" w:fill="auto"/>
          </w:tcPr>
          <w:p w14:paraId="31426FF7" w14:textId="77777777" w:rsidR="00146AFD" w:rsidRPr="007F47BB" w:rsidRDefault="00146AFD" w:rsidP="00146AFD">
            <w:pPr>
              <w:jc w:val="both"/>
              <w:rPr>
                <w:rFonts w:ascii="Arial" w:hAnsi="Arial" w:cs="FrankRuehl"/>
                <w:sz w:val="28"/>
                <w:szCs w:val="28"/>
              </w:rPr>
            </w:pPr>
            <w:bookmarkStart w:id="1" w:name="FirstAppellant"/>
            <w:r w:rsidRPr="007F47B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CCE2D7F" w14:textId="77777777" w:rsidR="00146AFD" w:rsidRPr="007F47BB" w:rsidRDefault="00146AFD" w:rsidP="00AD44FB">
            <w:r w:rsidRPr="007F47B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CB44803" w14:textId="77777777" w:rsidR="00146AFD" w:rsidRPr="007F47BB" w:rsidRDefault="00146AFD" w:rsidP="00146AFD">
            <w:pPr>
              <w:jc w:val="both"/>
              <w:rPr>
                <w:rFonts w:ascii="Arial" w:hAnsi="Arial" w:cs="FrankRuehl"/>
                <w:sz w:val="28"/>
                <w:szCs w:val="28"/>
              </w:rPr>
            </w:pPr>
          </w:p>
        </w:tc>
      </w:tr>
      <w:bookmarkEnd w:id="1"/>
      <w:tr w:rsidR="00146AFD" w:rsidRPr="007F47BB" w14:paraId="20F3A02C" w14:textId="77777777" w:rsidTr="00146AFD">
        <w:trPr>
          <w:trHeight w:val="355"/>
          <w:jc w:val="center"/>
        </w:trPr>
        <w:tc>
          <w:tcPr>
            <w:tcW w:w="923" w:type="dxa"/>
            <w:tcBorders>
              <w:top w:val="nil"/>
              <w:left w:val="nil"/>
              <w:bottom w:val="nil"/>
              <w:right w:val="nil"/>
            </w:tcBorders>
            <w:shd w:val="clear" w:color="auto" w:fill="auto"/>
          </w:tcPr>
          <w:p w14:paraId="15436624" w14:textId="77777777" w:rsidR="00146AFD" w:rsidRPr="007F47BB" w:rsidRDefault="00146AFD" w:rsidP="00146AF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B235C3" w14:textId="77777777" w:rsidR="00146AFD" w:rsidRPr="007F47BB" w:rsidRDefault="00146AFD" w:rsidP="00146AFD">
            <w:pPr>
              <w:jc w:val="both"/>
              <w:rPr>
                <w:rtl/>
              </w:rPr>
            </w:pPr>
          </w:p>
        </w:tc>
        <w:tc>
          <w:tcPr>
            <w:tcW w:w="3771" w:type="dxa"/>
            <w:tcBorders>
              <w:top w:val="nil"/>
              <w:left w:val="nil"/>
              <w:bottom w:val="nil"/>
              <w:right w:val="nil"/>
            </w:tcBorders>
            <w:shd w:val="clear" w:color="auto" w:fill="auto"/>
          </w:tcPr>
          <w:p w14:paraId="30C56D02" w14:textId="77777777" w:rsidR="00146AFD" w:rsidRPr="007F47BB" w:rsidRDefault="00146AFD" w:rsidP="00146AFD">
            <w:pPr>
              <w:jc w:val="right"/>
              <w:rPr>
                <w:rFonts w:ascii="Arial" w:hAnsi="Arial" w:cs="FrankRuehl"/>
                <w:sz w:val="28"/>
                <w:szCs w:val="28"/>
                <w:rtl/>
              </w:rPr>
            </w:pPr>
            <w:r w:rsidRPr="007F47BB">
              <w:rPr>
                <w:rFonts w:ascii="Arial" w:hAnsi="Arial" w:cs="FrankRuehl" w:hint="cs"/>
                <w:sz w:val="28"/>
                <w:szCs w:val="28"/>
                <w:rtl/>
              </w:rPr>
              <w:t>ה</w:t>
            </w:r>
            <w:r w:rsidRPr="007F47BB">
              <w:rPr>
                <w:rFonts w:ascii="Arial" w:hAnsi="Arial" w:cs="FrankRuehl"/>
                <w:sz w:val="28"/>
                <w:szCs w:val="28"/>
                <w:rtl/>
              </w:rPr>
              <w:t>מאשימה</w:t>
            </w:r>
          </w:p>
        </w:tc>
      </w:tr>
      <w:tr w:rsidR="00146AFD" w:rsidRPr="007F47BB" w14:paraId="65E42850" w14:textId="77777777" w:rsidTr="00146AFD">
        <w:trPr>
          <w:trHeight w:val="355"/>
          <w:jc w:val="center"/>
        </w:trPr>
        <w:tc>
          <w:tcPr>
            <w:tcW w:w="923" w:type="dxa"/>
            <w:tcBorders>
              <w:top w:val="nil"/>
              <w:left w:val="nil"/>
              <w:bottom w:val="nil"/>
              <w:right w:val="nil"/>
            </w:tcBorders>
            <w:shd w:val="clear" w:color="auto" w:fill="auto"/>
          </w:tcPr>
          <w:p w14:paraId="3D548589" w14:textId="77777777" w:rsidR="00146AFD" w:rsidRPr="007F47BB" w:rsidRDefault="00146AFD" w:rsidP="00146AF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E93B288" w14:textId="77777777" w:rsidR="00146AFD" w:rsidRPr="007F47BB" w:rsidRDefault="00146AFD" w:rsidP="00146AFD">
            <w:pPr>
              <w:jc w:val="center"/>
              <w:rPr>
                <w:rFonts w:ascii="Arial" w:hAnsi="Arial" w:cs="FrankRuehl"/>
                <w:b/>
                <w:bCs/>
                <w:sz w:val="28"/>
                <w:szCs w:val="28"/>
                <w:rtl/>
              </w:rPr>
            </w:pPr>
          </w:p>
          <w:p w14:paraId="3334FC79" w14:textId="77777777" w:rsidR="00146AFD" w:rsidRPr="007F47BB" w:rsidRDefault="00146AFD" w:rsidP="00146AFD">
            <w:pPr>
              <w:jc w:val="center"/>
              <w:rPr>
                <w:rFonts w:ascii="Arial" w:hAnsi="Arial" w:cs="FrankRuehl"/>
                <w:b/>
                <w:bCs/>
                <w:sz w:val="28"/>
                <w:szCs w:val="28"/>
                <w:rtl/>
              </w:rPr>
            </w:pPr>
            <w:r w:rsidRPr="007F47BB">
              <w:rPr>
                <w:rFonts w:ascii="Arial" w:hAnsi="Arial" w:cs="FrankRuehl"/>
                <w:b/>
                <w:bCs/>
                <w:sz w:val="28"/>
                <w:szCs w:val="28"/>
                <w:rtl/>
              </w:rPr>
              <w:t>נגד</w:t>
            </w:r>
          </w:p>
          <w:p w14:paraId="12C68B8C" w14:textId="77777777" w:rsidR="00146AFD" w:rsidRPr="007F47BB" w:rsidRDefault="00146AFD" w:rsidP="00146AFD">
            <w:pPr>
              <w:jc w:val="both"/>
              <w:rPr>
                <w:rFonts w:ascii="Arial" w:hAnsi="Arial" w:cs="FrankRuehl"/>
                <w:sz w:val="28"/>
                <w:szCs w:val="28"/>
              </w:rPr>
            </w:pPr>
          </w:p>
        </w:tc>
      </w:tr>
      <w:tr w:rsidR="00146AFD" w:rsidRPr="007F47BB" w14:paraId="47884E01" w14:textId="77777777" w:rsidTr="00146AFD">
        <w:trPr>
          <w:trHeight w:val="355"/>
          <w:jc w:val="center"/>
        </w:trPr>
        <w:tc>
          <w:tcPr>
            <w:tcW w:w="923" w:type="dxa"/>
            <w:tcBorders>
              <w:top w:val="nil"/>
              <w:left w:val="nil"/>
              <w:bottom w:val="nil"/>
              <w:right w:val="nil"/>
            </w:tcBorders>
            <w:shd w:val="clear" w:color="auto" w:fill="auto"/>
          </w:tcPr>
          <w:p w14:paraId="7CEB7693" w14:textId="77777777" w:rsidR="00146AFD" w:rsidRPr="007F47BB" w:rsidRDefault="00146AFD" w:rsidP="00AD44FB">
            <w:pPr>
              <w:rPr>
                <w:rFonts w:ascii="Arial" w:hAnsi="Arial" w:cs="FrankRuehl"/>
                <w:sz w:val="28"/>
                <w:szCs w:val="28"/>
                <w:rtl/>
              </w:rPr>
            </w:pPr>
          </w:p>
        </w:tc>
        <w:tc>
          <w:tcPr>
            <w:tcW w:w="4126" w:type="dxa"/>
            <w:tcBorders>
              <w:top w:val="nil"/>
              <w:left w:val="nil"/>
              <w:bottom w:val="nil"/>
              <w:right w:val="nil"/>
            </w:tcBorders>
            <w:shd w:val="clear" w:color="auto" w:fill="auto"/>
          </w:tcPr>
          <w:p w14:paraId="7030ECB8" w14:textId="77777777" w:rsidR="00146AFD" w:rsidRPr="007F47BB" w:rsidRDefault="00146AFD" w:rsidP="00AD44FB">
            <w:pPr>
              <w:rPr>
                <w:rtl/>
              </w:rPr>
            </w:pPr>
            <w:r w:rsidRPr="007F47BB">
              <w:rPr>
                <w:rFonts w:ascii="Arial" w:hAnsi="Arial" w:cs="FrankRuehl"/>
                <w:sz w:val="28"/>
                <w:szCs w:val="28"/>
                <w:rtl/>
              </w:rPr>
              <w:t>יעקב משה ועקנין</w:t>
            </w:r>
          </w:p>
        </w:tc>
        <w:tc>
          <w:tcPr>
            <w:tcW w:w="3771" w:type="dxa"/>
            <w:tcBorders>
              <w:top w:val="nil"/>
              <w:left w:val="nil"/>
              <w:bottom w:val="nil"/>
              <w:right w:val="nil"/>
            </w:tcBorders>
            <w:shd w:val="clear" w:color="auto" w:fill="auto"/>
          </w:tcPr>
          <w:p w14:paraId="1FF650D9" w14:textId="77777777" w:rsidR="00146AFD" w:rsidRPr="007F47BB" w:rsidRDefault="00146AFD" w:rsidP="00146AFD">
            <w:pPr>
              <w:jc w:val="right"/>
              <w:rPr>
                <w:rFonts w:ascii="Arial" w:hAnsi="Arial" w:cs="FrankRuehl"/>
                <w:sz w:val="28"/>
                <w:szCs w:val="28"/>
              </w:rPr>
            </w:pPr>
          </w:p>
        </w:tc>
      </w:tr>
      <w:tr w:rsidR="00146AFD" w:rsidRPr="007F47BB" w14:paraId="6CCF103C" w14:textId="77777777" w:rsidTr="00146AFD">
        <w:trPr>
          <w:trHeight w:val="355"/>
          <w:jc w:val="center"/>
        </w:trPr>
        <w:tc>
          <w:tcPr>
            <w:tcW w:w="923" w:type="dxa"/>
            <w:tcBorders>
              <w:top w:val="nil"/>
              <w:left w:val="nil"/>
              <w:bottom w:val="nil"/>
              <w:right w:val="nil"/>
            </w:tcBorders>
            <w:shd w:val="clear" w:color="auto" w:fill="auto"/>
          </w:tcPr>
          <w:p w14:paraId="5325468B" w14:textId="77777777" w:rsidR="00146AFD" w:rsidRPr="007F47BB" w:rsidRDefault="00146AFD" w:rsidP="00146AF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8101597" w14:textId="77777777" w:rsidR="00146AFD" w:rsidRPr="007F47BB" w:rsidRDefault="00146AFD" w:rsidP="00146AFD">
            <w:pPr>
              <w:jc w:val="both"/>
              <w:rPr>
                <w:rtl/>
              </w:rPr>
            </w:pPr>
          </w:p>
        </w:tc>
        <w:tc>
          <w:tcPr>
            <w:tcW w:w="3771" w:type="dxa"/>
            <w:tcBorders>
              <w:top w:val="nil"/>
              <w:left w:val="nil"/>
              <w:bottom w:val="nil"/>
              <w:right w:val="nil"/>
            </w:tcBorders>
            <w:shd w:val="clear" w:color="auto" w:fill="auto"/>
          </w:tcPr>
          <w:p w14:paraId="7C192C8D" w14:textId="77777777" w:rsidR="00146AFD" w:rsidRPr="007F47BB" w:rsidRDefault="00146AFD" w:rsidP="00146AFD">
            <w:pPr>
              <w:jc w:val="right"/>
              <w:rPr>
                <w:rFonts w:ascii="Arial" w:hAnsi="Arial" w:cs="FrankRuehl"/>
                <w:sz w:val="28"/>
                <w:szCs w:val="28"/>
              </w:rPr>
            </w:pPr>
            <w:r w:rsidRPr="007F47BB">
              <w:rPr>
                <w:rFonts w:ascii="Arial" w:hAnsi="Arial" w:cs="FrankRuehl" w:hint="cs"/>
                <w:sz w:val="28"/>
                <w:szCs w:val="28"/>
                <w:rtl/>
              </w:rPr>
              <w:t>ה</w:t>
            </w:r>
            <w:r w:rsidRPr="007F47BB">
              <w:rPr>
                <w:rFonts w:ascii="Arial" w:hAnsi="Arial" w:cs="FrankRuehl"/>
                <w:sz w:val="28"/>
                <w:szCs w:val="28"/>
                <w:rtl/>
              </w:rPr>
              <w:t>נאשם</w:t>
            </w:r>
          </w:p>
        </w:tc>
      </w:tr>
    </w:tbl>
    <w:p w14:paraId="5EAEC71B" w14:textId="77777777" w:rsidR="00146AFD" w:rsidRPr="007F47BB" w:rsidRDefault="00146AFD" w:rsidP="00146AFD">
      <w:pPr>
        <w:rPr>
          <w:rtl/>
        </w:rPr>
      </w:pPr>
    </w:p>
    <w:p w14:paraId="721933A4" w14:textId="77777777" w:rsidR="00146AFD" w:rsidRPr="007F47BB" w:rsidRDefault="00146AFD" w:rsidP="00146AFD">
      <w:pPr>
        <w:rPr>
          <w:rtl/>
        </w:rPr>
      </w:pPr>
    </w:p>
    <w:p w14:paraId="4BDF1CCE" w14:textId="77777777" w:rsidR="00146AFD" w:rsidRPr="007F47BB" w:rsidRDefault="00146AFD" w:rsidP="00146AFD">
      <w:pPr>
        <w:rPr>
          <w:rtl/>
        </w:rPr>
      </w:pPr>
      <w:bookmarkStart w:id="2" w:name="FirstLawyer"/>
      <w:r w:rsidRPr="007F47BB">
        <w:rPr>
          <w:rFonts w:hint="cs"/>
          <w:rtl/>
        </w:rPr>
        <w:t>ב"כ</w:t>
      </w:r>
      <w:bookmarkEnd w:id="2"/>
      <w:r w:rsidRPr="007F47BB">
        <w:rPr>
          <w:rFonts w:hint="cs"/>
          <w:rtl/>
        </w:rPr>
        <w:t xml:space="preserve"> המאשימה: עו"ד מור מלכה, שלוחת תביעות ראשל"צ</w:t>
      </w:r>
    </w:p>
    <w:p w14:paraId="4960D8FC" w14:textId="77777777" w:rsidR="00146AFD" w:rsidRPr="007F47BB" w:rsidRDefault="00146AFD" w:rsidP="00146AFD">
      <w:pPr>
        <w:rPr>
          <w:rtl/>
        </w:rPr>
      </w:pPr>
    </w:p>
    <w:p w14:paraId="237126B2" w14:textId="77777777" w:rsidR="00146AFD" w:rsidRPr="007F47BB" w:rsidRDefault="00146AFD" w:rsidP="00146AFD">
      <w:pPr>
        <w:rPr>
          <w:rtl/>
        </w:rPr>
      </w:pPr>
      <w:r w:rsidRPr="007F47BB">
        <w:rPr>
          <w:rFonts w:hint="cs"/>
          <w:rtl/>
        </w:rPr>
        <w:t>ב"כ הנאשם: עו"ד ערן ראו, הסנגוריה הציבורית</w:t>
      </w:r>
    </w:p>
    <w:p w14:paraId="46E64AC3" w14:textId="77777777" w:rsidR="00121965" w:rsidRDefault="00121965" w:rsidP="00146AFD">
      <w:pPr>
        <w:rPr>
          <w:rtl/>
        </w:rPr>
      </w:pPr>
      <w:bookmarkStart w:id="3" w:name="LawTable"/>
      <w:bookmarkEnd w:id="3"/>
    </w:p>
    <w:p w14:paraId="0BCEFB5A" w14:textId="77777777" w:rsidR="00121965" w:rsidRPr="00121965" w:rsidRDefault="00121965" w:rsidP="00121965">
      <w:pPr>
        <w:spacing w:after="120" w:line="240" w:lineRule="exact"/>
        <w:ind w:left="283" w:hanging="283"/>
        <w:jc w:val="both"/>
        <w:rPr>
          <w:rFonts w:ascii="FrankRuehl" w:hAnsi="FrankRuehl" w:cs="FrankRuehl"/>
          <w:rtl/>
        </w:rPr>
      </w:pPr>
    </w:p>
    <w:p w14:paraId="1E8D5D60" w14:textId="77777777" w:rsidR="00121965" w:rsidRPr="00121965" w:rsidRDefault="00121965" w:rsidP="00121965">
      <w:pPr>
        <w:spacing w:after="120" w:line="240" w:lineRule="exact"/>
        <w:ind w:left="283" w:hanging="283"/>
        <w:jc w:val="both"/>
        <w:rPr>
          <w:rFonts w:ascii="FrankRuehl" w:hAnsi="FrankRuehl" w:cs="FrankRuehl"/>
          <w:rtl/>
        </w:rPr>
      </w:pPr>
      <w:r w:rsidRPr="00121965">
        <w:rPr>
          <w:rFonts w:ascii="FrankRuehl" w:hAnsi="FrankRuehl" w:cs="FrankRuehl"/>
          <w:rtl/>
        </w:rPr>
        <w:t xml:space="preserve">חקיקה שאוזכרה: </w:t>
      </w:r>
    </w:p>
    <w:p w14:paraId="3043EFC3" w14:textId="77777777" w:rsidR="00121965" w:rsidRPr="00121965" w:rsidRDefault="00121965" w:rsidP="00121965">
      <w:pPr>
        <w:spacing w:after="120" w:line="240" w:lineRule="exact"/>
        <w:ind w:left="283" w:hanging="283"/>
        <w:jc w:val="both"/>
        <w:rPr>
          <w:rFonts w:ascii="FrankRuehl" w:hAnsi="FrankRuehl" w:cs="FrankRuehl"/>
          <w:rtl/>
        </w:rPr>
      </w:pPr>
      <w:hyperlink r:id="rId6" w:history="1">
        <w:r w:rsidRPr="00121965">
          <w:rPr>
            <w:rFonts w:ascii="FrankRuehl" w:hAnsi="FrankRuehl" w:cs="FrankRuehl"/>
            <w:color w:val="0000FF"/>
            <w:u w:val="single"/>
            <w:rtl/>
          </w:rPr>
          <w:t>פקודת הסמים המסוכנים [נוסח חדש], תשל"ג-1973</w:t>
        </w:r>
      </w:hyperlink>
      <w:r w:rsidRPr="00121965">
        <w:rPr>
          <w:rFonts w:ascii="FrankRuehl" w:hAnsi="FrankRuehl" w:cs="FrankRuehl"/>
          <w:rtl/>
        </w:rPr>
        <w:t xml:space="preserve">: סע'  </w:t>
      </w:r>
      <w:hyperlink r:id="rId7" w:history="1">
        <w:r w:rsidRPr="00121965">
          <w:rPr>
            <w:rFonts w:ascii="FrankRuehl" w:hAnsi="FrankRuehl" w:cs="FrankRuehl"/>
            <w:color w:val="0000FF"/>
            <w:u w:val="single"/>
            <w:rtl/>
          </w:rPr>
          <w:t>6</w:t>
        </w:r>
      </w:hyperlink>
      <w:r w:rsidRPr="00121965">
        <w:rPr>
          <w:rFonts w:ascii="FrankRuehl" w:hAnsi="FrankRuehl" w:cs="FrankRuehl"/>
          <w:rtl/>
        </w:rPr>
        <w:t xml:space="preserve">, </w:t>
      </w:r>
      <w:hyperlink r:id="rId8" w:history="1">
        <w:r w:rsidRPr="00121965">
          <w:rPr>
            <w:rFonts w:ascii="FrankRuehl" w:hAnsi="FrankRuehl" w:cs="FrankRuehl"/>
            <w:color w:val="0000FF"/>
            <w:u w:val="single"/>
            <w:rtl/>
          </w:rPr>
          <w:t>7(א)</w:t>
        </w:r>
      </w:hyperlink>
      <w:r w:rsidRPr="00121965">
        <w:rPr>
          <w:rFonts w:ascii="FrankRuehl" w:hAnsi="FrankRuehl" w:cs="FrankRuehl"/>
          <w:rtl/>
        </w:rPr>
        <w:t xml:space="preserve">, </w:t>
      </w:r>
      <w:hyperlink r:id="rId9" w:history="1">
        <w:r w:rsidRPr="00121965">
          <w:rPr>
            <w:rFonts w:ascii="FrankRuehl" w:hAnsi="FrankRuehl" w:cs="FrankRuehl"/>
            <w:color w:val="0000FF"/>
            <w:u w:val="single"/>
            <w:rtl/>
          </w:rPr>
          <w:t>(ג)</w:t>
        </w:r>
      </w:hyperlink>
      <w:r w:rsidRPr="00121965">
        <w:rPr>
          <w:rFonts w:ascii="FrankRuehl" w:hAnsi="FrankRuehl" w:cs="FrankRuehl"/>
          <w:rtl/>
        </w:rPr>
        <w:t xml:space="preserve">, </w:t>
      </w:r>
      <w:hyperlink r:id="rId10" w:history="1">
        <w:r w:rsidRPr="00121965">
          <w:rPr>
            <w:rFonts w:ascii="FrankRuehl" w:hAnsi="FrankRuehl" w:cs="FrankRuehl"/>
            <w:color w:val="0000FF"/>
            <w:u w:val="single"/>
            <w:rtl/>
          </w:rPr>
          <w:t>(ג)</w:t>
        </w:r>
      </w:hyperlink>
    </w:p>
    <w:p w14:paraId="3951D50C" w14:textId="77777777" w:rsidR="00121965" w:rsidRPr="00121965" w:rsidRDefault="00121965" w:rsidP="0012196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6AFD" w14:paraId="0A731AFD" w14:textId="77777777" w:rsidTr="00146AFD">
        <w:trPr>
          <w:trHeight w:val="355"/>
          <w:jc w:val="center"/>
        </w:trPr>
        <w:tc>
          <w:tcPr>
            <w:tcW w:w="8820" w:type="dxa"/>
            <w:tcBorders>
              <w:top w:val="nil"/>
              <w:left w:val="nil"/>
              <w:bottom w:val="nil"/>
              <w:right w:val="nil"/>
            </w:tcBorders>
            <w:shd w:val="clear" w:color="auto" w:fill="auto"/>
          </w:tcPr>
          <w:p w14:paraId="1366F299" w14:textId="77777777" w:rsidR="007F47BB" w:rsidRPr="007F47BB" w:rsidRDefault="007F47BB" w:rsidP="00121965">
            <w:pPr>
              <w:bidi w:val="0"/>
              <w:jc w:val="center"/>
              <w:rPr>
                <w:rFonts w:ascii="Arial" w:hAnsi="Arial" w:cs="FrankRuehl"/>
                <w:b/>
                <w:bCs/>
                <w:sz w:val="32"/>
                <w:szCs w:val="32"/>
                <w:u w:val="single"/>
                <w:rtl/>
              </w:rPr>
            </w:pPr>
            <w:bookmarkStart w:id="4" w:name="LawTable_End"/>
            <w:bookmarkStart w:id="5" w:name="PsakDin" w:colFirst="0" w:colLast="0"/>
            <w:bookmarkEnd w:id="0"/>
            <w:bookmarkEnd w:id="4"/>
            <w:r w:rsidRPr="007F47BB">
              <w:rPr>
                <w:rFonts w:ascii="Arial" w:hAnsi="Arial" w:cs="FrankRuehl"/>
                <w:b/>
                <w:bCs/>
                <w:sz w:val="32"/>
                <w:szCs w:val="32"/>
                <w:u w:val="single"/>
                <w:rtl/>
              </w:rPr>
              <w:t>גזר דין</w:t>
            </w:r>
          </w:p>
          <w:p w14:paraId="6F7584C3" w14:textId="77777777" w:rsidR="00146AFD" w:rsidRPr="007F47BB" w:rsidRDefault="00146AFD" w:rsidP="007F47BB">
            <w:pPr>
              <w:jc w:val="center"/>
              <w:rPr>
                <w:rFonts w:ascii="Arial" w:hAnsi="Arial" w:cs="FrankRuehl"/>
                <w:bCs/>
                <w:sz w:val="32"/>
                <w:szCs w:val="32"/>
                <w:u w:val="single"/>
                <w:rtl/>
              </w:rPr>
            </w:pPr>
          </w:p>
        </w:tc>
      </w:tr>
      <w:bookmarkEnd w:id="5"/>
    </w:tbl>
    <w:p w14:paraId="7CDF0FFB" w14:textId="77777777" w:rsidR="00146AFD" w:rsidRDefault="00146AFD" w:rsidP="00146AFD">
      <w:pPr>
        <w:spacing w:line="360" w:lineRule="auto"/>
        <w:jc w:val="both"/>
        <w:rPr>
          <w:rFonts w:ascii="Arial" w:hAnsi="Arial" w:cs="FrankRuehl"/>
          <w:sz w:val="28"/>
          <w:szCs w:val="28"/>
          <w:rtl/>
        </w:rPr>
      </w:pPr>
    </w:p>
    <w:p w14:paraId="1475199B" w14:textId="77777777" w:rsidR="00146AFD" w:rsidRPr="00F32C67" w:rsidRDefault="00146AFD" w:rsidP="00146AFD">
      <w:pPr>
        <w:spacing w:line="360" w:lineRule="auto"/>
        <w:jc w:val="both"/>
        <w:rPr>
          <w:rFonts w:ascii="Arial" w:hAnsi="Arial" w:cs="Miriam"/>
          <w:sz w:val="28"/>
          <w:szCs w:val="28"/>
          <w:rtl/>
        </w:rPr>
      </w:pPr>
      <w:r w:rsidRPr="00F32C67">
        <w:rPr>
          <w:rFonts w:ascii="Arial" w:hAnsi="Arial" w:cs="Miriam" w:hint="cs"/>
          <w:sz w:val="28"/>
          <w:szCs w:val="28"/>
          <w:rtl/>
        </w:rPr>
        <w:t>רקע ועובדות כתבי האישום</w:t>
      </w:r>
    </w:p>
    <w:p w14:paraId="6B6407E1" w14:textId="77777777" w:rsidR="00146AFD" w:rsidRDefault="00146AFD" w:rsidP="00146AFD">
      <w:pPr>
        <w:spacing w:line="360" w:lineRule="auto"/>
        <w:jc w:val="both"/>
        <w:rPr>
          <w:rFonts w:ascii="Arial" w:hAnsi="Arial" w:cs="FrankRuehl"/>
          <w:sz w:val="28"/>
          <w:szCs w:val="28"/>
          <w:rtl/>
        </w:rPr>
      </w:pPr>
    </w:p>
    <w:p w14:paraId="778F21E5"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6" w:name="ABSTRACT_START"/>
      <w:bookmarkEnd w:id="6"/>
      <w:r>
        <w:rPr>
          <w:rFonts w:ascii="Arial" w:hAnsi="Arial" w:cs="FrankRuehl" w:hint="cs"/>
          <w:sz w:val="28"/>
          <w:szCs w:val="28"/>
          <w:rtl/>
        </w:rPr>
        <w:t xml:space="preserve">הנאשם הורשע, על יסוד הודאתו ובמסגרת הסדר דיוני במסגרתו תוקן כתב האישום, בעבירות הבאות: </w:t>
      </w:r>
      <w:r w:rsidRPr="003D5237">
        <w:rPr>
          <w:rFonts w:ascii="Arial" w:hAnsi="Arial" w:cs="FrankRuehl" w:hint="cs"/>
          <w:b/>
          <w:bCs/>
          <w:sz w:val="28"/>
          <w:szCs w:val="28"/>
          <w:rtl/>
        </w:rPr>
        <w:t>גידול סם מסוכן</w:t>
      </w:r>
      <w:r>
        <w:rPr>
          <w:rFonts w:ascii="Arial" w:hAnsi="Arial" w:cs="FrankRuehl" w:hint="cs"/>
          <w:sz w:val="28"/>
          <w:szCs w:val="28"/>
          <w:rtl/>
        </w:rPr>
        <w:t xml:space="preserve">, לפי </w:t>
      </w:r>
      <w:hyperlink r:id="rId11" w:history="1">
        <w:r w:rsidR="00121965" w:rsidRPr="00121965">
          <w:rPr>
            <w:rFonts w:ascii="Arial" w:hAnsi="Arial" w:cs="FrankRuehl"/>
            <w:color w:val="0000FF"/>
            <w:sz w:val="28"/>
            <w:szCs w:val="28"/>
            <w:u w:val="single"/>
            <w:rtl/>
          </w:rPr>
          <w:t>סעיף 6</w:t>
        </w:r>
      </w:hyperlink>
      <w:r>
        <w:rPr>
          <w:rFonts w:ascii="Arial" w:hAnsi="Arial" w:cs="FrankRuehl" w:hint="cs"/>
          <w:sz w:val="28"/>
          <w:szCs w:val="28"/>
          <w:rtl/>
        </w:rPr>
        <w:t xml:space="preserve"> ל</w:t>
      </w:r>
      <w:hyperlink r:id="rId12" w:history="1">
        <w:r w:rsidR="007F47BB" w:rsidRPr="007F47BB">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[נוסח חדש], התשל"ג-1973 (להלן: הפקודה); </w:t>
      </w:r>
      <w:r w:rsidRPr="003D5237">
        <w:rPr>
          <w:rFonts w:ascii="Arial" w:hAnsi="Arial" w:cs="FrankRuehl" w:hint="cs"/>
          <w:b/>
          <w:bCs/>
          <w:sz w:val="28"/>
          <w:szCs w:val="28"/>
          <w:rtl/>
        </w:rPr>
        <w:t>החזקת סם לצריכה עצמית</w:t>
      </w:r>
      <w:r>
        <w:rPr>
          <w:rFonts w:ascii="Arial" w:hAnsi="Arial" w:cs="FrankRuehl" w:hint="cs"/>
          <w:sz w:val="28"/>
          <w:szCs w:val="28"/>
          <w:rtl/>
        </w:rPr>
        <w:t xml:space="preserve">, לפי </w:t>
      </w:r>
      <w:hyperlink r:id="rId13" w:history="1">
        <w:r w:rsidR="00121965" w:rsidRPr="00121965">
          <w:rPr>
            <w:rFonts w:ascii="Arial" w:hAnsi="Arial" w:cs="FrankRuehl"/>
            <w:color w:val="0000FF"/>
            <w:sz w:val="28"/>
            <w:szCs w:val="28"/>
            <w:u w:val="single"/>
            <w:rtl/>
          </w:rPr>
          <w:t>סעיף 7(א)</w:t>
        </w:r>
      </w:hyperlink>
      <w:r>
        <w:rPr>
          <w:rFonts w:ascii="Arial" w:hAnsi="Arial" w:cs="FrankRuehl" w:hint="cs"/>
          <w:sz w:val="28"/>
          <w:szCs w:val="28"/>
          <w:rtl/>
        </w:rPr>
        <w:t xml:space="preserve"> ו-</w:t>
      </w:r>
      <w:hyperlink r:id="rId14" w:history="1">
        <w:r w:rsidR="00121965" w:rsidRPr="00121965">
          <w:rPr>
            <w:rFonts w:ascii="Arial" w:hAnsi="Arial" w:cs="FrankRuehl"/>
            <w:color w:val="0000FF"/>
            <w:sz w:val="28"/>
            <w:szCs w:val="28"/>
            <w:u w:val="single"/>
            <w:rtl/>
          </w:rPr>
          <w:t>(ג)</w:t>
        </w:r>
      </w:hyperlink>
      <w:r>
        <w:rPr>
          <w:rFonts w:ascii="Arial" w:hAnsi="Arial" w:cs="FrankRuehl" w:hint="cs"/>
          <w:sz w:val="28"/>
          <w:szCs w:val="28"/>
          <w:rtl/>
        </w:rPr>
        <w:t xml:space="preserve"> סיפא לפקודה.</w:t>
      </w:r>
    </w:p>
    <w:p w14:paraId="49144268" w14:textId="77777777" w:rsidR="00146AFD" w:rsidRDefault="00146AFD" w:rsidP="00146AFD">
      <w:pPr>
        <w:spacing w:line="360" w:lineRule="auto"/>
        <w:jc w:val="both"/>
        <w:rPr>
          <w:rFonts w:ascii="Arial" w:hAnsi="Arial" w:cs="FrankRuehl"/>
          <w:sz w:val="28"/>
          <w:szCs w:val="28"/>
          <w:rtl/>
        </w:rPr>
      </w:pPr>
      <w:bookmarkStart w:id="7" w:name="ABSTRACT_END"/>
      <w:bookmarkEnd w:id="7"/>
      <w:r>
        <w:rPr>
          <w:rFonts w:ascii="Arial" w:hAnsi="Arial" w:cs="FrankRuehl" w:hint="cs"/>
          <w:sz w:val="28"/>
          <w:szCs w:val="28"/>
          <w:rtl/>
        </w:rPr>
        <w:t>נוסף על כך הורשע הנאשם בכתבי האישום המתוקנים הבאים:</w:t>
      </w:r>
    </w:p>
    <w:p w14:paraId="29445F22"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lastRenderedPageBreak/>
        <w:t>ב</w:t>
      </w:r>
      <w:hyperlink r:id="rId15" w:history="1">
        <w:r w:rsidR="007F47BB" w:rsidRPr="007F47BB">
          <w:rPr>
            <w:rFonts w:ascii="Arial" w:hAnsi="Arial" w:cs="FrankRuehl"/>
            <w:color w:val="0000FF"/>
            <w:sz w:val="28"/>
            <w:szCs w:val="28"/>
            <w:u w:val="single"/>
            <w:rtl/>
          </w:rPr>
          <w:t>ת"פ 1142-05-18</w:t>
        </w:r>
      </w:hyperlink>
      <w:r>
        <w:rPr>
          <w:rFonts w:ascii="Arial" w:hAnsi="Arial" w:cs="FrankRuehl" w:hint="cs"/>
          <w:sz w:val="28"/>
          <w:szCs w:val="28"/>
          <w:rtl/>
        </w:rPr>
        <w:t xml:space="preserve"> בעבירה של </w:t>
      </w:r>
      <w:r w:rsidRPr="003D5237">
        <w:rPr>
          <w:rFonts w:ascii="Arial" w:hAnsi="Arial" w:cs="FrankRuehl" w:hint="cs"/>
          <w:b/>
          <w:bCs/>
          <w:sz w:val="28"/>
          <w:szCs w:val="28"/>
          <w:rtl/>
        </w:rPr>
        <w:t>החזקת סם לצריכה עצמית</w:t>
      </w:r>
      <w:r>
        <w:rPr>
          <w:rFonts w:ascii="Arial" w:hAnsi="Arial" w:cs="FrankRuehl" w:hint="cs"/>
          <w:sz w:val="28"/>
          <w:szCs w:val="28"/>
          <w:rtl/>
        </w:rPr>
        <w:t xml:space="preserve">, לפי </w:t>
      </w:r>
      <w:hyperlink r:id="rId16" w:history="1">
        <w:r w:rsidR="00121965" w:rsidRPr="00121965">
          <w:rPr>
            <w:rFonts w:ascii="Arial" w:hAnsi="Arial" w:cs="FrankRuehl"/>
            <w:color w:val="0000FF"/>
            <w:sz w:val="28"/>
            <w:szCs w:val="28"/>
            <w:u w:val="single"/>
            <w:rtl/>
          </w:rPr>
          <w:t>סעיף 7(א)</w:t>
        </w:r>
      </w:hyperlink>
      <w:r>
        <w:rPr>
          <w:rFonts w:ascii="Arial" w:hAnsi="Arial" w:cs="FrankRuehl" w:hint="cs"/>
          <w:sz w:val="28"/>
          <w:szCs w:val="28"/>
          <w:rtl/>
        </w:rPr>
        <w:t xml:space="preserve"> ו-</w:t>
      </w:r>
      <w:hyperlink r:id="rId17" w:history="1">
        <w:r w:rsidR="00121965" w:rsidRPr="00121965">
          <w:rPr>
            <w:rFonts w:ascii="Arial" w:hAnsi="Arial" w:cs="FrankRuehl"/>
            <w:color w:val="0000FF"/>
            <w:sz w:val="28"/>
            <w:szCs w:val="28"/>
            <w:u w:val="single"/>
            <w:rtl/>
          </w:rPr>
          <w:t>(ג)</w:t>
        </w:r>
      </w:hyperlink>
      <w:r>
        <w:rPr>
          <w:rFonts w:ascii="Arial" w:hAnsi="Arial" w:cs="FrankRuehl" w:hint="cs"/>
          <w:sz w:val="28"/>
          <w:szCs w:val="28"/>
          <w:rtl/>
        </w:rPr>
        <w:t xml:space="preserve"> סיפא לפקודה. ב</w:t>
      </w:r>
      <w:hyperlink r:id="rId18" w:history="1">
        <w:r w:rsidR="007F47BB" w:rsidRPr="007F47BB">
          <w:rPr>
            <w:rFonts w:ascii="Arial" w:hAnsi="Arial" w:cs="FrankRuehl"/>
            <w:color w:val="0000FF"/>
            <w:sz w:val="28"/>
            <w:szCs w:val="28"/>
            <w:u w:val="single"/>
            <w:rtl/>
          </w:rPr>
          <w:t>ת"פ 27508-06-18</w:t>
        </w:r>
      </w:hyperlink>
      <w:r>
        <w:rPr>
          <w:rFonts w:ascii="Arial" w:hAnsi="Arial" w:cs="FrankRuehl" w:hint="cs"/>
          <w:sz w:val="28"/>
          <w:szCs w:val="28"/>
          <w:rtl/>
        </w:rPr>
        <w:t xml:space="preserve"> בעבירה של </w:t>
      </w:r>
      <w:r w:rsidRPr="003D5237">
        <w:rPr>
          <w:rFonts w:ascii="Arial" w:hAnsi="Arial" w:cs="FrankRuehl" w:hint="cs"/>
          <w:b/>
          <w:bCs/>
          <w:sz w:val="28"/>
          <w:szCs w:val="28"/>
          <w:rtl/>
        </w:rPr>
        <w:t xml:space="preserve">החזקת סם </w:t>
      </w:r>
      <w:r>
        <w:rPr>
          <w:rFonts w:ascii="Arial" w:hAnsi="Arial" w:cs="FrankRuehl" w:hint="cs"/>
          <w:b/>
          <w:bCs/>
          <w:sz w:val="28"/>
          <w:szCs w:val="28"/>
          <w:rtl/>
        </w:rPr>
        <w:t xml:space="preserve">שלא </w:t>
      </w:r>
      <w:r w:rsidRPr="003D5237">
        <w:rPr>
          <w:rFonts w:ascii="Arial" w:hAnsi="Arial" w:cs="FrankRuehl" w:hint="cs"/>
          <w:b/>
          <w:bCs/>
          <w:sz w:val="28"/>
          <w:szCs w:val="28"/>
          <w:rtl/>
        </w:rPr>
        <w:t>לצריכה עצמית</w:t>
      </w:r>
      <w:r>
        <w:rPr>
          <w:rFonts w:ascii="Arial" w:hAnsi="Arial" w:cs="FrankRuehl" w:hint="cs"/>
          <w:sz w:val="28"/>
          <w:szCs w:val="28"/>
          <w:rtl/>
        </w:rPr>
        <w:t xml:space="preserve">, לפי </w:t>
      </w:r>
      <w:hyperlink r:id="rId19" w:history="1">
        <w:r w:rsidR="00121965" w:rsidRPr="00121965">
          <w:rPr>
            <w:rFonts w:ascii="Arial" w:hAnsi="Arial" w:cs="FrankRuehl"/>
            <w:color w:val="0000FF"/>
            <w:sz w:val="28"/>
            <w:szCs w:val="28"/>
            <w:u w:val="single"/>
            <w:rtl/>
          </w:rPr>
          <w:t>סעיף 7(א)</w:t>
        </w:r>
      </w:hyperlink>
      <w:r>
        <w:rPr>
          <w:rFonts w:ascii="Arial" w:hAnsi="Arial" w:cs="FrankRuehl" w:hint="cs"/>
          <w:sz w:val="28"/>
          <w:szCs w:val="28"/>
          <w:rtl/>
        </w:rPr>
        <w:t xml:space="preserve"> ו-</w:t>
      </w:r>
      <w:hyperlink r:id="rId20" w:history="1">
        <w:r w:rsidR="00121965" w:rsidRPr="00121965">
          <w:rPr>
            <w:rFonts w:ascii="Arial" w:hAnsi="Arial" w:cs="FrankRuehl"/>
            <w:color w:val="0000FF"/>
            <w:sz w:val="28"/>
            <w:szCs w:val="28"/>
            <w:u w:val="single"/>
            <w:rtl/>
          </w:rPr>
          <w:t>(ג)</w:t>
        </w:r>
      </w:hyperlink>
      <w:r>
        <w:rPr>
          <w:rFonts w:ascii="Arial" w:hAnsi="Arial" w:cs="FrankRuehl" w:hint="cs"/>
          <w:sz w:val="28"/>
          <w:szCs w:val="28"/>
          <w:rtl/>
        </w:rPr>
        <w:t xml:space="preserve"> רישא לפקודה.</w:t>
      </w:r>
    </w:p>
    <w:p w14:paraId="3F025C8A" w14:textId="77777777" w:rsidR="00146AFD" w:rsidRPr="00B25CEF" w:rsidRDefault="00146AFD" w:rsidP="00146AFD">
      <w:pPr>
        <w:spacing w:line="360" w:lineRule="auto"/>
        <w:jc w:val="both"/>
        <w:rPr>
          <w:rFonts w:ascii="Arial" w:hAnsi="Arial" w:cs="FrankRuehl"/>
          <w:sz w:val="28"/>
          <w:szCs w:val="28"/>
          <w:rtl/>
        </w:rPr>
      </w:pPr>
    </w:p>
    <w:p w14:paraId="58A4F505"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2.</w:t>
      </w:r>
      <w:r>
        <w:rPr>
          <w:rFonts w:ascii="Arial" w:hAnsi="Arial" w:cs="FrankRuehl"/>
          <w:sz w:val="28"/>
          <w:szCs w:val="28"/>
          <w:rtl/>
        </w:rPr>
        <w:tab/>
      </w:r>
      <w:r>
        <w:rPr>
          <w:rFonts w:ascii="Arial" w:hAnsi="Arial" w:cs="FrankRuehl" w:hint="cs"/>
          <w:sz w:val="28"/>
          <w:szCs w:val="28"/>
          <w:rtl/>
        </w:rPr>
        <w:t>על פי עובדות כתב האישום המתוקן ב</w:t>
      </w:r>
      <w:hyperlink r:id="rId21" w:history="1">
        <w:r w:rsidR="007F47BB" w:rsidRPr="007F47BB">
          <w:rPr>
            <w:rFonts w:ascii="Arial" w:hAnsi="Arial" w:cs="FrankRuehl"/>
            <w:color w:val="0000FF"/>
            <w:sz w:val="28"/>
            <w:szCs w:val="28"/>
            <w:u w:val="single"/>
            <w:rtl/>
          </w:rPr>
          <w:t>ת"פ 37379-02-18</w:t>
        </w:r>
      </w:hyperlink>
      <w:r>
        <w:rPr>
          <w:rFonts w:ascii="Arial" w:hAnsi="Arial" w:cs="FrankRuehl" w:hint="cs"/>
          <w:sz w:val="28"/>
          <w:szCs w:val="28"/>
          <w:rtl/>
        </w:rPr>
        <w:t>, ביום 11.7.2017 גידל הנאשם בשני עציצים בביתו סם מסוכן מסוג קנאביס במשקל 917.3 גרם נטו. בנוסף החזיק הנאשם סם מסוכן מסוג קנאביס במשקל 89.6 גרם נטו בתוך צנצנת, וסם מסוכן מאותו סוג במשקל 4.3 גרם נטו בתוך שקית פלסטיק.</w:t>
      </w:r>
    </w:p>
    <w:p w14:paraId="4B58A751"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על פי עובדות כתב האישום ב</w:t>
      </w:r>
      <w:hyperlink r:id="rId22" w:history="1">
        <w:r w:rsidR="007F47BB" w:rsidRPr="007F47BB">
          <w:rPr>
            <w:rFonts w:ascii="Arial" w:hAnsi="Arial" w:cs="FrankRuehl"/>
            <w:color w:val="0000FF"/>
            <w:sz w:val="28"/>
            <w:szCs w:val="28"/>
            <w:u w:val="single"/>
            <w:rtl/>
          </w:rPr>
          <w:t>ת"פ 1142-05-18</w:t>
        </w:r>
      </w:hyperlink>
      <w:r>
        <w:rPr>
          <w:rFonts w:ascii="Arial" w:hAnsi="Arial" w:cs="FrankRuehl" w:hint="cs"/>
          <w:sz w:val="28"/>
          <w:szCs w:val="28"/>
          <w:rtl/>
        </w:rPr>
        <w:t>, ביום 19.12.2017 החזיק הנאשם בשעה שהיה רכוב על אופניו, בשתי חתיכות של סם מסוכן מסוג חשיש במשקלים של 31.4 ו- 4.5 גרם נטו, זאת לצריכתו העצמית.</w:t>
      </w:r>
    </w:p>
    <w:p w14:paraId="2317BAD9"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על פי עובדות כתב האישום המתוקן ב</w:t>
      </w:r>
      <w:hyperlink r:id="rId23" w:history="1">
        <w:r w:rsidR="007F47BB" w:rsidRPr="007F47BB">
          <w:rPr>
            <w:rFonts w:ascii="Arial" w:hAnsi="Arial" w:cs="FrankRuehl"/>
            <w:color w:val="0000FF"/>
            <w:sz w:val="28"/>
            <w:szCs w:val="28"/>
            <w:u w:val="single"/>
            <w:rtl/>
          </w:rPr>
          <w:t>ת"פ 27508-06-18</w:t>
        </w:r>
      </w:hyperlink>
      <w:r>
        <w:rPr>
          <w:rFonts w:ascii="Arial" w:hAnsi="Arial" w:cs="FrankRuehl" w:hint="cs"/>
          <w:sz w:val="28"/>
          <w:szCs w:val="28"/>
          <w:rtl/>
        </w:rPr>
        <w:t>, החזיק הנאשם ביום 11.4.2018 בתוך מונית בה ישב כנוסע בצומת הכניסה למושב בית עובד, בסם מסוכן מסוג חשיש במשקל 95.7 גרם נטו,</w:t>
      </w:r>
      <w:r w:rsidRPr="00C35E53">
        <w:rPr>
          <w:rFonts w:ascii="Arial" w:hAnsi="Arial" w:cs="FrankRuehl" w:hint="cs"/>
          <w:sz w:val="28"/>
          <w:szCs w:val="28"/>
          <w:rtl/>
        </w:rPr>
        <w:t xml:space="preserve"> </w:t>
      </w:r>
      <w:r>
        <w:rPr>
          <w:rFonts w:ascii="Arial" w:hAnsi="Arial" w:cs="FrankRuehl" w:hint="cs"/>
          <w:sz w:val="28"/>
          <w:szCs w:val="28"/>
          <w:rtl/>
        </w:rPr>
        <w:t>שלא לצריכתו העצמית.</w:t>
      </w:r>
    </w:p>
    <w:p w14:paraId="6067EA4D" w14:textId="77777777" w:rsidR="00146AFD" w:rsidRDefault="00146AFD" w:rsidP="00146AFD">
      <w:pPr>
        <w:spacing w:line="360" w:lineRule="auto"/>
        <w:jc w:val="both"/>
        <w:rPr>
          <w:rFonts w:ascii="Arial" w:hAnsi="Arial" w:cs="FrankRuehl"/>
          <w:sz w:val="28"/>
          <w:szCs w:val="28"/>
          <w:rtl/>
        </w:rPr>
      </w:pPr>
    </w:p>
    <w:p w14:paraId="0D947327" w14:textId="77777777" w:rsidR="00146AFD" w:rsidRPr="00F32C67" w:rsidRDefault="00146AFD" w:rsidP="00146AFD">
      <w:pPr>
        <w:spacing w:line="360" w:lineRule="auto"/>
        <w:jc w:val="both"/>
        <w:rPr>
          <w:rFonts w:ascii="Arial" w:hAnsi="Arial" w:cs="Miriam"/>
          <w:sz w:val="28"/>
          <w:szCs w:val="28"/>
          <w:rtl/>
        </w:rPr>
      </w:pPr>
      <w:r w:rsidRPr="00F32C67">
        <w:rPr>
          <w:rFonts w:ascii="Arial" w:hAnsi="Arial" w:cs="Miriam" w:hint="cs"/>
          <w:sz w:val="28"/>
          <w:szCs w:val="28"/>
          <w:rtl/>
        </w:rPr>
        <w:t>תסקירי שירות המבחן</w:t>
      </w:r>
    </w:p>
    <w:p w14:paraId="13125738" w14:textId="77777777" w:rsidR="00146AFD" w:rsidRDefault="00146AFD" w:rsidP="00146AFD">
      <w:pPr>
        <w:spacing w:line="360" w:lineRule="auto"/>
        <w:jc w:val="both"/>
        <w:rPr>
          <w:rFonts w:ascii="Arial" w:hAnsi="Arial" w:cs="FrankRuehl"/>
          <w:sz w:val="28"/>
          <w:szCs w:val="28"/>
          <w:rtl/>
        </w:rPr>
      </w:pPr>
    </w:p>
    <w:p w14:paraId="41A8ADB9"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3.</w:t>
      </w:r>
      <w:r>
        <w:rPr>
          <w:rFonts w:ascii="Arial" w:hAnsi="Arial" w:cs="FrankRuehl" w:hint="cs"/>
          <w:sz w:val="28"/>
          <w:szCs w:val="28"/>
          <w:rtl/>
        </w:rPr>
        <w:tab/>
        <w:t xml:space="preserve">במסגרת ההסדר הדיוני הופנה הנאשם לשירות המבחן, ובפני בית המשפט הונחו שני תסקירים. </w:t>
      </w:r>
    </w:p>
    <w:p w14:paraId="7F1D7CC0"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בתסקיר מיום 28.2.2019 סקר שירות המבחן את תולדות חייו של הנאשם, ובכלל זה את העובדה שחי במשפחה תומכת. הנאשם החל לצרוך סמים בגיל 14, חבר לחברה שולית והחל להיות מעורב בפלילים. הנאשם פוטר מהצבא כחודשיים לאחר גיוסו עקב אי התאמה, כאשר בתקופה זו העמיקה התמכרותו לסמים. הנאשם הסתבך עם החוק וריצה מספר תקופות מאסר, כאשר לאורך השנים לא השתלב במעגל העבודה, למעט בעבודות מזדמנות לתקופות קצרות.</w:t>
      </w:r>
    </w:p>
    <w:p w14:paraId="2947DD31"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מאבחון שנערך לנאשם בשנת 2007 עלה שהוא סובל מהפרעה התנהגותית הנובעת כתוצאה משימוש באלכוהול וסמים, וכן מהפרעת אישיות, בעלת קווים דיסוציאליים ואימפולסיבית.</w:t>
      </w:r>
    </w:p>
    <w:p w14:paraId="44FD7BFD"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לאורך השנים ערך הנאשם מספר ניסיונות גמילה, בין אם במסגרת שב"ס ובין אם בקהילה טיפולית, אותה עזב לאחר כשלושה חודשים בלבד. לשירות המבחן הסביר הנאשם שהוא צורך כיום סמים על רקע כאבים פיזיים שונים. עם זאת, לא נמצאה אבחנה רפואית לסיבה לכאביו. לאחרונה התמכר הנאשם גם למורפיום, אותו הוא צורך על פי מרשם רפואי.</w:t>
      </w:r>
    </w:p>
    <w:p w14:paraId="4B8A74EC"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lastRenderedPageBreak/>
        <w:t xml:space="preserve">הנאשם ציין בפני שירות המבחן שהוא אינו מעוניין בטיפול ייעודי לצורך גמילה, ונמצא שהוא מאופיין בעמדות נוקשות. עוד מצא שירות המבחן שהנאשם מטשטש מחומרת מעשיו ומצבו ההתמכרותי, אשר מוביל אותו לחזרתיות בביצוע עבירות על החוק. </w:t>
      </w:r>
    </w:p>
    <w:p w14:paraId="19B45DAD"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נוכח כל האמור, לא בא שירות המבחן בהמלצה טיפולית לנאשם.</w:t>
      </w:r>
    </w:p>
    <w:p w14:paraId="377A6474" w14:textId="77777777" w:rsidR="00146AFD" w:rsidRDefault="00146AFD" w:rsidP="00146AFD">
      <w:pPr>
        <w:spacing w:line="360" w:lineRule="auto"/>
        <w:jc w:val="both"/>
        <w:rPr>
          <w:rFonts w:ascii="Arial" w:hAnsi="Arial" w:cs="FrankRuehl"/>
          <w:sz w:val="28"/>
          <w:szCs w:val="28"/>
          <w:rtl/>
        </w:rPr>
      </w:pPr>
    </w:p>
    <w:p w14:paraId="6D6C8F3A"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4.</w:t>
      </w:r>
      <w:r>
        <w:rPr>
          <w:rFonts w:ascii="Arial" w:hAnsi="Arial" w:cs="FrankRuehl"/>
          <w:sz w:val="28"/>
          <w:szCs w:val="28"/>
          <w:rtl/>
        </w:rPr>
        <w:tab/>
      </w:r>
      <w:r>
        <w:rPr>
          <w:rFonts w:ascii="Arial" w:hAnsi="Arial" w:cs="FrankRuehl" w:hint="cs"/>
          <w:sz w:val="28"/>
          <w:szCs w:val="28"/>
          <w:rtl/>
        </w:rPr>
        <w:t xml:space="preserve">בדיון שנערך בפני ביום 4.3.2019 ביקשו הנאשם ובא כוחו להפנותו פעם נוספת לשירות המבחן, לצורך בחינת אפשרות למצוא לו טיפול מתאים. הנאשם הסביר שהוא מאוד רוצה "להפסיק עם כל זה", אולם ציין כי הדבר קשה לו, בפרט עתה לאור גילו המתקדם. יחד עם זאת אמר הנאשם: "ננסה, אני מוכן לעשות הכול". על אף התנגדות המאשימה, מצאתי להפנות את הנאשם פעם נוספת לשירות המבחן על מנת שתיבחן רצינות כוונותיו. </w:t>
      </w:r>
    </w:p>
    <w:p w14:paraId="78BFA325"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ואולם, ויש להוסיף - למרבה הצער, תסקיר שירות המבחן שהוגש ביום 2.5.2019 לא נשא עמו בשורות. לאחר שהנאשם מסר שעל מנת להימנע מעונש מאסר הוא מוכן לעבור הליך גמילה פיזית במסגרת אשפוזית, ולאחריה לערוך ניסיון טיפולי במסגרת גמילה סגורה, הוא ניתק קשר עם שירות המבחן. משחודש הקשר, התרשם שירות המבחן כי הנאשם נעדר כוחות לקידום שינוי משמעותי באורח חייו, וכי הסכמתו להשתלב בטיפול גמילה מונעת ממוטיבציה חיצונית בלבד.</w:t>
      </w:r>
    </w:p>
    <w:p w14:paraId="6AE2C50A" w14:textId="77777777" w:rsidR="00146AFD" w:rsidRDefault="00146AFD" w:rsidP="00146AFD">
      <w:pPr>
        <w:spacing w:line="360" w:lineRule="auto"/>
        <w:jc w:val="both"/>
        <w:rPr>
          <w:rFonts w:ascii="Arial" w:hAnsi="Arial" w:cs="FrankRuehl"/>
          <w:sz w:val="28"/>
          <w:szCs w:val="28"/>
          <w:rtl/>
        </w:rPr>
      </w:pPr>
    </w:p>
    <w:p w14:paraId="18AE018D" w14:textId="77777777" w:rsidR="00146AFD" w:rsidRPr="00F32C67" w:rsidRDefault="00146AFD" w:rsidP="00146AFD">
      <w:pPr>
        <w:spacing w:line="360" w:lineRule="auto"/>
        <w:jc w:val="both"/>
        <w:rPr>
          <w:rFonts w:ascii="Arial" w:hAnsi="Arial" w:cs="Miriam"/>
          <w:sz w:val="28"/>
          <w:szCs w:val="28"/>
          <w:rtl/>
        </w:rPr>
      </w:pPr>
      <w:r w:rsidRPr="00F32C67">
        <w:rPr>
          <w:rFonts w:ascii="Arial" w:hAnsi="Arial" w:cs="Miriam" w:hint="cs"/>
          <w:sz w:val="28"/>
          <w:szCs w:val="28"/>
          <w:rtl/>
        </w:rPr>
        <w:t>טיעוני הצדדים לעונש ודבר הנאשם</w:t>
      </w:r>
    </w:p>
    <w:p w14:paraId="667E4DDF" w14:textId="77777777" w:rsidR="00146AFD" w:rsidRDefault="00146AFD" w:rsidP="00146AFD">
      <w:pPr>
        <w:spacing w:line="360" w:lineRule="auto"/>
        <w:jc w:val="both"/>
        <w:rPr>
          <w:rFonts w:ascii="Arial" w:hAnsi="Arial" w:cs="FrankRuehl"/>
          <w:sz w:val="28"/>
          <w:szCs w:val="28"/>
          <w:rtl/>
        </w:rPr>
      </w:pPr>
    </w:p>
    <w:p w14:paraId="167E4113"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5.</w:t>
      </w:r>
      <w:r>
        <w:rPr>
          <w:rFonts w:ascii="Arial" w:hAnsi="Arial" w:cs="FrankRuehl"/>
          <w:sz w:val="28"/>
          <w:szCs w:val="28"/>
          <w:rtl/>
        </w:rPr>
        <w:tab/>
      </w:r>
      <w:r>
        <w:rPr>
          <w:rFonts w:ascii="Arial" w:hAnsi="Arial" w:cs="FrankRuehl" w:hint="cs"/>
          <w:sz w:val="28"/>
          <w:szCs w:val="28"/>
          <w:rtl/>
        </w:rPr>
        <w:t>בטיעוניה לעונש ציינה ב"כ המאשימה את נסיבות ביצוע העבירות, ואת הערכים החברתיים שנפגעו כתוצאה ממעשיו. על חומרת מעשיו של הנאשם ביקשה המאשימה ללמוד מהצטברות התיקים בהם הורשע, תדירותם, העובדה שהנאשם החזיק שני סוגי סמים, ובהם חשיש אותו החזיק במונית, כאשר בכל אלו יש כדי ללמד על פוטנציאל ההפצה של הסם. המאשימה הפנתה לפסיקה המלמדת על מדיניות הענישה הנוהגת, וביקשה לקבוע מתחמי ענישה כדלקמן: לעבירת הגידול והחזקת הסם בביתו של הנאשם, מתחם הנע בין מספר חודשי מאסר ועד 15 חודשים; לעבירת החזקת סם לצריכה עצמית, מתחם הנע בין מאסר על תנאי ועד 8 חודשי מאסר; לעבירה של החזקת סם שלא לצריכה עצמית, מתחם הנע בין מספר חודשי מאסר ועד 14 חודשים.</w:t>
      </w:r>
    </w:p>
    <w:p w14:paraId="0493404F"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המאשימה הפנתה לעברו הפלילי המכביד של הנאשם, לעונשי המאסר אותם ריצה בגין הרשעותיו בעבירות מגוונות, ולתסקירי שירות המבחן שלא נשאו אופי חיובי. בתוך כך ציינה שעל אף טיעוניו של הנאשם על כך שהסמים מקלים על כאביו, נתפס אצל הנאשם גם סם מסוכן מסוג חשיש, שבינו לבין הקלה על כאבים אין, לדבריה, כל קשר.</w:t>
      </w:r>
    </w:p>
    <w:p w14:paraId="2016D857"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נוכח כל האמור עתרה המאשימה למקם את הנאשם בחלק האמצעי-עליון של המתחמים, ולהשית עליו עונש כולל של 14 חודשי מאסר.</w:t>
      </w:r>
    </w:p>
    <w:p w14:paraId="27763994" w14:textId="77777777" w:rsidR="00146AFD" w:rsidRDefault="00146AFD" w:rsidP="00146AFD">
      <w:pPr>
        <w:spacing w:line="360" w:lineRule="auto"/>
        <w:jc w:val="both"/>
        <w:rPr>
          <w:rFonts w:ascii="Arial" w:hAnsi="Arial" w:cs="FrankRuehl"/>
          <w:sz w:val="28"/>
          <w:szCs w:val="28"/>
          <w:rtl/>
        </w:rPr>
      </w:pPr>
    </w:p>
    <w:p w14:paraId="7D8BB08A"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6.</w:t>
      </w:r>
      <w:r>
        <w:rPr>
          <w:rFonts w:ascii="Arial" w:hAnsi="Arial" w:cs="FrankRuehl"/>
          <w:sz w:val="28"/>
          <w:szCs w:val="28"/>
          <w:rtl/>
        </w:rPr>
        <w:tab/>
      </w:r>
      <w:r>
        <w:rPr>
          <w:rFonts w:ascii="Arial" w:hAnsi="Arial" w:cs="FrankRuehl" w:hint="cs"/>
          <w:sz w:val="28"/>
          <w:szCs w:val="28"/>
          <w:rtl/>
        </w:rPr>
        <w:t>בפתח דבריו טען ב"כ הנאשם שסוגי הסמים אותם החזיק הנאשם, קנאביס וחשיש, הם בעצם אותו סוג, וכי ההשפעה על המשתמש בהם זהה. עוד טען שטיעוני המאשימה אינם רלוונטיים לתקופתנו, בשים לב למגמת השינוי בכל הקשור ליחס המחוקק והחברה לשימוש בקנאבוס.</w:t>
      </w:r>
    </w:p>
    <w:p w14:paraId="73008CCD"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 xml:space="preserve">אשר לעבירת הגידול, טען שיש לתת את הדעת לכמות השתילים ופחות למשקל הסם שנתפס, כמו גם לאופי הגידול, כאשר במקרה זה מדובר בשני שתילים בלבד שגודלו בעציצים, להבדיל ממעבדה מצוידת. </w:t>
      </w:r>
    </w:p>
    <w:p w14:paraId="77267940"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ב"כ הנאשם הפנה לנסיבותיו האישיות של הנאשם, לגילו, להתמכרותו ארוכת השנים לסמים ולכך שהוא חולה. ב"כ הנאשם לא התכחש לעברו הפלילי המכביד של הנאשם, אולם ביקש לציין שמאז שנת 2013, לא ביצע הנאשם כל עבירה שאיננה עבירת סמים, זאת בניגוד לשנים קודמות בהן ביצע עבירות רבות ומגוונות. בתוך כך הפנה ב"כ הנאשם לנסיבות חייו של הנאשם שהביאו להידרדרותו לסמים. עוד הוסיף שהנאשם הודה בהזדמנות הראשונה, ובכך הוכיח שקיבל אחריות על מעשיו.</w:t>
      </w:r>
    </w:p>
    <w:p w14:paraId="1A0671EE"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לדבריו, עם השנים פיתח הנאשם התמכרות למורפיום, אותו הוא מקבל באופן חוקי, המקשה עליו אף יותר להשתלב בהליך גמילה פיזית מסמים.</w:t>
      </w:r>
    </w:p>
    <w:p w14:paraId="044D7DAC"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נוכח העובדה שמעשיו של הנאשם קשורים לצריכת הסמים שלו, והפגיעה הנמוכה בערך המוגן,  ביקש למקם את עונשו של הנאשם בתחתית מתחם עונשי המתחיל במאסר על תנאי, ולהסתפק בעונש צופה פני עתיד. גם מטעם ב"כ הנאשם הוגשה פסיקה התומכת, להבנתו, במתחם העונשי ובעונש המבוקשים.</w:t>
      </w:r>
    </w:p>
    <w:p w14:paraId="2BDAEA88" w14:textId="77777777" w:rsidR="00146AFD" w:rsidRDefault="00146AFD" w:rsidP="00146AFD">
      <w:pPr>
        <w:spacing w:line="360" w:lineRule="auto"/>
        <w:jc w:val="both"/>
        <w:rPr>
          <w:rFonts w:ascii="Arial" w:hAnsi="Arial" w:cs="FrankRuehl"/>
          <w:sz w:val="28"/>
          <w:szCs w:val="28"/>
          <w:rtl/>
        </w:rPr>
      </w:pPr>
    </w:p>
    <w:p w14:paraId="08641BFB"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7.</w:t>
      </w:r>
      <w:r>
        <w:rPr>
          <w:rFonts w:ascii="Arial" w:hAnsi="Arial" w:cs="FrankRuehl" w:hint="cs"/>
          <w:sz w:val="28"/>
          <w:szCs w:val="28"/>
          <w:rtl/>
        </w:rPr>
        <w:tab/>
        <w:t>הנאשם ניצל את זכות המילה האחרונה, ציין שהוא לא מזיק לחברה, וכי הוא צורך סמים באופן יומיומי עקב כאביו. לדבריו, הוא אוכל את החשיש בשבת מאחר שהוא אינו מעשן בשבת.</w:t>
      </w:r>
    </w:p>
    <w:p w14:paraId="039224FC" w14:textId="77777777" w:rsidR="00146AFD" w:rsidRDefault="00146AFD" w:rsidP="00146AFD">
      <w:pPr>
        <w:spacing w:line="360" w:lineRule="auto"/>
        <w:jc w:val="both"/>
        <w:rPr>
          <w:rFonts w:ascii="Arial" w:hAnsi="Arial" w:cs="FrankRuehl"/>
          <w:sz w:val="28"/>
          <w:szCs w:val="28"/>
          <w:rtl/>
        </w:rPr>
      </w:pPr>
    </w:p>
    <w:p w14:paraId="18A17EE3" w14:textId="77777777" w:rsidR="00146AFD" w:rsidRPr="009523D9" w:rsidRDefault="00146AFD" w:rsidP="00146AFD">
      <w:pPr>
        <w:spacing w:line="360" w:lineRule="auto"/>
        <w:jc w:val="both"/>
        <w:rPr>
          <w:rFonts w:ascii="Arial" w:hAnsi="Arial" w:cs="Miriam"/>
          <w:sz w:val="28"/>
          <w:szCs w:val="28"/>
          <w:rtl/>
        </w:rPr>
      </w:pPr>
      <w:r w:rsidRPr="009523D9">
        <w:rPr>
          <w:rFonts w:ascii="Arial" w:hAnsi="Arial" w:cs="Miriam" w:hint="cs"/>
          <w:sz w:val="28"/>
          <w:szCs w:val="28"/>
          <w:rtl/>
        </w:rPr>
        <w:t>קביעת מתחם העונש ההולם</w:t>
      </w:r>
    </w:p>
    <w:p w14:paraId="068D8BCE" w14:textId="77777777" w:rsidR="00146AFD" w:rsidRDefault="00146AFD" w:rsidP="00146AFD">
      <w:pPr>
        <w:spacing w:line="360" w:lineRule="auto"/>
        <w:jc w:val="both"/>
        <w:rPr>
          <w:rFonts w:ascii="Arial" w:hAnsi="Arial" w:cs="FrankRuehl"/>
          <w:sz w:val="28"/>
          <w:szCs w:val="28"/>
          <w:rtl/>
        </w:rPr>
      </w:pPr>
    </w:p>
    <w:p w14:paraId="7F39204B"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8.</w:t>
      </w:r>
      <w:r>
        <w:rPr>
          <w:rFonts w:ascii="Arial" w:hAnsi="Arial" w:cs="FrankRuehl" w:hint="cs"/>
          <w:sz w:val="28"/>
          <w:szCs w:val="28"/>
          <w:rtl/>
        </w:rPr>
        <w:tab/>
        <w:t xml:space="preserve">הערכים החברתיים בהם פגע הנאשם הם שמירה על שלום הציבור, בריאותו וביטחונו, במובן זה שהסמים שהוחזקו שלא לצריכתו העצמית יכול והיו מופצים לציבור הרחב. </w:t>
      </w:r>
    </w:p>
    <w:p w14:paraId="4D98E1DE"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אשר לעבירת הגידול, מדובר בנאשם המכור לסמים מזה עשרות שנים, ומכאן שהגידול של שני השתילים בביתו, על אף שמדובר בעבירה פלילית, אינו נמצא ברף חומרה גבוה. בעניין זה מקובלים עלי דברי ב"כ הנאשם שכאשר מדובר בעבירה של גידול סם מסוכן, יש לתת את הדעת בעיקר למספר השתילים, ופחות למשקלם, שכן משקל השתיל הינו פועל יוצא של מועד ביצוע החיפוש ותפיסת הסם. במלים אחרות, לא דומה החזקת שני שתילים במשקל של 917.3 גרם, אותם החזיק הנאשם, להחזקת 100 שתילים באותו משקל, והדברים ברורים. נוסף על כך לא נטען שהנאשם גידל סמים במעבדה או שהשתמש בציוד יקר או מתוחכם.</w:t>
      </w:r>
    </w:p>
    <w:p w14:paraId="7D1DEEF7" w14:textId="77777777" w:rsidR="00146AFD" w:rsidRDefault="00146AFD" w:rsidP="00146AFD">
      <w:pPr>
        <w:spacing w:line="360" w:lineRule="auto"/>
        <w:jc w:val="both"/>
        <w:rPr>
          <w:rFonts w:ascii="Arial" w:hAnsi="Arial" w:cs="FrankRuehl"/>
          <w:sz w:val="28"/>
          <w:szCs w:val="28"/>
          <w:rtl/>
        </w:rPr>
      </w:pPr>
    </w:p>
    <w:p w14:paraId="00657A76"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9.</w:t>
      </w:r>
      <w:r>
        <w:rPr>
          <w:rFonts w:ascii="Arial" w:hAnsi="Arial" w:cs="FrankRuehl" w:hint="cs"/>
          <w:sz w:val="28"/>
          <w:szCs w:val="28"/>
          <w:rtl/>
        </w:rPr>
        <w:tab/>
        <w:t xml:space="preserve">הנאשם ציין בפני שירות המבחן שהוא גידל את הסמים לצריכתו העצמית בלבד, והסביר את השימוש בסמים על רקע כאבים פיזיים מהם סובל. יחד עם זאת לא נמצאה כל אסמכתא רפואית לכך. מנגד, יש לתת את הדעת לכך שהנאשם מכור לסמים מזה עשרות שנים, כך שטענתו בדבר גידול הסמים לצריכתו העצמית, כאשר מדובר בגידול של שני שתילים בלבד, אינה מופרכת כלל ועיקר. ואולם, דברי הנאשם לפיהם כל הסמים שבהחזקתם הורשע נועדו לצורך הקלה על כאביו, אינם עולים בקנה אחד עם הרשעתו בהחזקת החשיש בכמות לא מבוטלת, מחוץ לביתו, ועם העובדה שהורשע בגינה בעבירה של החזקת סם שלא לצריכה עצמית. </w:t>
      </w:r>
    </w:p>
    <w:p w14:paraId="5017B6BD"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במאמר מוסגר אציין שטענת ב"כ הנאשם על השפעתם הזהה של החשיש ושל הקנאביס על גופו של אדם הסובל מכאבים, כמו גם טענת הנאשם לפיה הוא אוכל חתיכת חשיש בשבת לצורך הקלה על כאביו, במקום לעשנו בגלל קדושת השבת, אינן עובדות המצויות בידיעתו השיפוטית של בית המשפט, ועל כן הן דורשות הוכחה.</w:t>
      </w:r>
    </w:p>
    <w:p w14:paraId="38CA6181" w14:textId="77777777" w:rsidR="00146AFD" w:rsidRDefault="00146AFD" w:rsidP="00146AFD">
      <w:pPr>
        <w:spacing w:line="360" w:lineRule="auto"/>
        <w:jc w:val="both"/>
        <w:rPr>
          <w:rFonts w:ascii="Arial" w:hAnsi="Arial" w:cs="FrankRuehl"/>
          <w:sz w:val="28"/>
          <w:szCs w:val="28"/>
          <w:rtl/>
        </w:rPr>
      </w:pPr>
    </w:p>
    <w:p w14:paraId="470B68DB"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10.</w:t>
      </w:r>
      <w:r>
        <w:rPr>
          <w:rFonts w:ascii="Arial" w:hAnsi="Arial" w:cs="FrankRuehl"/>
          <w:sz w:val="28"/>
          <w:szCs w:val="28"/>
          <w:rtl/>
        </w:rPr>
        <w:tab/>
      </w:r>
      <w:r>
        <w:rPr>
          <w:rFonts w:ascii="Arial" w:hAnsi="Arial" w:cs="FrankRuehl" w:hint="cs"/>
          <w:sz w:val="28"/>
          <w:szCs w:val="28"/>
          <w:rtl/>
        </w:rPr>
        <w:t xml:space="preserve">אשר למתחמי הענישה הנוהגת בעבירות מסוג העבירות בהן הורשע הנאשם, הרי שאלו נלמדים מנסיבותיו הפרטניות של כל מקרה ומקרה, בהתאם לכמות הסם, סוג הסם, נסיבות ההחזקה או הגידול וכיו"ב. בשל משתנים רבים אלו, קיים מנעד רחב יחסית של עונשים אשר הושתו על נאשמים בנסיבות שונות. </w:t>
      </w:r>
    </w:p>
    <w:p w14:paraId="1BC26EFB" w14:textId="77777777" w:rsidR="00146AFD" w:rsidRDefault="00146AFD" w:rsidP="00146AFD">
      <w:pPr>
        <w:spacing w:line="360" w:lineRule="auto"/>
        <w:jc w:val="both"/>
        <w:rPr>
          <w:rFonts w:ascii="Arial" w:hAnsi="Arial" w:cs="FrankRuehl"/>
          <w:sz w:val="28"/>
          <w:szCs w:val="28"/>
          <w:rtl/>
        </w:rPr>
      </w:pPr>
    </w:p>
    <w:p w14:paraId="0D28495C"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 xml:space="preserve">ככל שהדבר נוגע להחזקת סם לצריכה עצמית, נע מתחם הענישה בין מאסר מותנה ושל"צ או קנס ועד למספר חודשי מאסר לריצוי בפועל, כאשר עונש של מאסר בפועל ניתן במקרים נדירים, על פי רוב כאשר היה קיים מאסר מותנה בר הפעלה או כאשר הנאשם סירב להשתלב בהליך גמילה [ראו והשוו: </w:t>
      </w:r>
      <w:hyperlink r:id="rId24" w:history="1">
        <w:r w:rsidR="007F47BB" w:rsidRPr="007F47BB">
          <w:rPr>
            <w:rFonts w:ascii="Arial" w:hAnsi="Arial" w:cs="FrankRuehl"/>
            <w:color w:val="0000FF"/>
            <w:sz w:val="28"/>
            <w:szCs w:val="28"/>
            <w:u w:val="single"/>
            <w:rtl/>
          </w:rPr>
          <w:t>רע"פ 6138/09</w:t>
        </w:r>
      </w:hyperlink>
      <w:r>
        <w:rPr>
          <w:rFonts w:ascii="Arial" w:hAnsi="Arial" w:cs="FrankRuehl" w:hint="cs"/>
          <w:sz w:val="28"/>
          <w:szCs w:val="28"/>
          <w:rtl/>
        </w:rPr>
        <w:t xml:space="preserve"> </w:t>
      </w:r>
      <w:r w:rsidRPr="00223AEF">
        <w:rPr>
          <w:rFonts w:ascii="Arial" w:hAnsi="Arial" w:cs="Miriam" w:hint="cs"/>
          <w:rtl/>
        </w:rPr>
        <w:t xml:space="preserve">איליה פרדזב נ' מדינת ישראל </w:t>
      </w:r>
      <w:r>
        <w:rPr>
          <w:rFonts w:ascii="Arial" w:hAnsi="Arial" w:cs="FrankRuehl" w:hint="cs"/>
          <w:sz w:val="28"/>
          <w:szCs w:val="28"/>
          <w:rtl/>
        </w:rPr>
        <w:t>(2.8.2009)].</w:t>
      </w:r>
    </w:p>
    <w:p w14:paraId="5D930E69" w14:textId="77777777" w:rsidR="00146AFD" w:rsidRDefault="00146AFD" w:rsidP="00146AFD">
      <w:pPr>
        <w:spacing w:line="360" w:lineRule="auto"/>
        <w:jc w:val="both"/>
        <w:rPr>
          <w:rFonts w:ascii="Arial" w:hAnsi="Arial" w:cs="FrankRuehl"/>
          <w:sz w:val="28"/>
          <w:szCs w:val="28"/>
          <w:rtl/>
        </w:rPr>
      </w:pPr>
    </w:p>
    <w:p w14:paraId="6D9CB0A0"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 xml:space="preserve">בכל הנוגע לעבירת גידול הסם, בנסיבות של גידול 2 שתילים שלא באופן מתוחכם וללא ציוד ייעודי, כאשר עולה בסבירות גבוהה שהסם נועד לצריכתו העצמית של המגדל, נע מתחם העונש בין מאסר מותנה ושל"צ או קנס ועד מספר קטן של חודשי מאסר [ראו והשוו: </w:t>
      </w:r>
      <w:hyperlink r:id="rId25" w:history="1">
        <w:r w:rsidR="007F47BB" w:rsidRPr="007F47BB">
          <w:rPr>
            <w:rFonts w:ascii="Arial" w:hAnsi="Arial" w:cs="FrankRuehl"/>
            <w:color w:val="0000FF"/>
            <w:sz w:val="28"/>
            <w:szCs w:val="28"/>
            <w:u w:val="single"/>
            <w:rtl/>
          </w:rPr>
          <w:t>רע"פ 8146/17</w:t>
        </w:r>
      </w:hyperlink>
      <w:r>
        <w:rPr>
          <w:rFonts w:ascii="Arial" w:hAnsi="Arial" w:cs="FrankRuehl" w:hint="cs"/>
          <w:sz w:val="28"/>
          <w:szCs w:val="28"/>
          <w:rtl/>
        </w:rPr>
        <w:t xml:space="preserve"> </w:t>
      </w:r>
      <w:r w:rsidRPr="00223AEF">
        <w:rPr>
          <w:rFonts w:ascii="Arial" w:hAnsi="Arial" w:cs="Miriam" w:hint="cs"/>
          <w:rtl/>
        </w:rPr>
        <w:t>אביגל אבישלום נ' מדינת ישראל</w:t>
      </w:r>
      <w:r>
        <w:rPr>
          <w:rFonts w:ascii="Arial" w:hAnsi="Arial" w:cs="FrankRuehl" w:hint="cs"/>
          <w:sz w:val="28"/>
          <w:szCs w:val="28"/>
          <w:rtl/>
        </w:rPr>
        <w:t xml:space="preserve"> (14.11.2017)] .</w:t>
      </w:r>
    </w:p>
    <w:p w14:paraId="2F30EC34" w14:textId="77777777" w:rsidR="00146AFD" w:rsidRDefault="00146AFD" w:rsidP="00146AFD">
      <w:pPr>
        <w:spacing w:line="360" w:lineRule="auto"/>
        <w:jc w:val="both"/>
        <w:rPr>
          <w:rFonts w:ascii="Arial" w:hAnsi="Arial" w:cs="FrankRuehl"/>
          <w:sz w:val="28"/>
          <w:szCs w:val="28"/>
          <w:rtl/>
        </w:rPr>
      </w:pPr>
    </w:p>
    <w:p w14:paraId="02E246F5"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 xml:space="preserve">לגבי עבירה של החזקת סם שלא לצריכה עצמית, בנסיבות של החזקת כמעט פלטת חשיש שלמה, אני קובע מתחם עונשי הנע בין מספר חודשי מאסר שיכול וירוצו בדרך של עבודות שירות ועד 10 חודשי מאסר [ראו והשוו מתחמי ענישה שנקבעו במקרים חמורים מהמקרה שלפנינו: </w:t>
      </w:r>
      <w:hyperlink r:id="rId26" w:history="1">
        <w:r w:rsidR="007F47BB" w:rsidRPr="007F47BB">
          <w:rPr>
            <w:rFonts w:ascii="Arial" w:hAnsi="Arial" w:cs="FrankRuehl"/>
            <w:color w:val="0000FF"/>
            <w:sz w:val="28"/>
            <w:szCs w:val="28"/>
            <w:u w:val="single"/>
            <w:rtl/>
          </w:rPr>
          <w:t>רע"פ 322/15</w:t>
        </w:r>
      </w:hyperlink>
      <w:r>
        <w:rPr>
          <w:rFonts w:ascii="Arial" w:hAnsi="Arial" w:cs="FrankRuehl" w:hint="cs"/>
          <w:sz w:val="28"/>
          <w:szCs w:val="28"/>
          <w:rtl/>
        </w:rPr>
        <w:t xml:space="preserve"> </w:t>
      </w:r>
      <w:r w:rsidRPr="00CE4FE9">
        <w:rPr>
          <w:rFonts w:ascii="Arial" w:hAnsi="Arial" w:cs="Miriam" w:hint="cs"/>
          <w:rtl/>
        </w:rPr>
        <w:t>חן ג'אנח נ' מדינת ישראל</w:t>
      </w:r>
      <w:r>
        <w:rPr>
          <w:rFonts w:ascii="Arial" w:hAnsi="Arial" w:cs="FrankRuehl" w:hint="cs"/>
          <w:sz w:val="28"/>
          <w:szCs w:val="28"/>
          <w:rtl/>
        </w:rPr>
        <w:t xml:space="preserve"> (22.1.2015); </w:t>
      </w:r>
      <w:hyperlink r:id="rId27" w:history="1">
        <w:r w:rsidR="007F47BB" w:rsidRPr="007F47BB">
          <w:rPr>
            <w:rFonts w:ascii="Arial" w:hAnsi="Arial" w:cs="FrankRuehl"/>
            <w:color w:val="0000FF"/>
            <w:sz w:val="28"/>
            <w:szCs w:val="28"/>
            <w:u w:val="single"/>
            <w:rtl/>
          </w:rPr>
          <w:t>רע"פ 1830/16</w:t>
        </w:r>
      </w:hyperlink>
      <w:r>
        <w:rPr>
          <w:rFonts w:ascii="Arial" w:hAnsi="Arial" w:cs="FrankRuehl" w:hint="cs"/>
          <w:sz w:val="28"/>
          <w:szCs w:val="28"/>
          <w:rtl/>
        </w:rPr>
        <w:t xml:space="preserve"> </w:t>
      </w:r>
      <w:r w:rsidRPr="00CA463B">
        <w:rPr>
          <w:rFonts w:ascii="Arial" w:hAnsi="Arial" w:cs="Miriam" w:hint="cs"/>
          <w:rtl/>
        </w:rPr>
        <w:t>סאלם רקיבי נ' מדינת ישראל</w:t>
      </w:r>
      <w:r>
        <w:rPr>
          <w:rFonts w:ascii="Arial" w:hAnsi="Arial" w:cs="FrankRuehl" w:hint="cs"/>
          <w:sz w:val="28"/>
          <w:szCs w:val="28"/>
          <w:rtl/>
        </w:rPr>
        <w:t xml:space="preserve"> (11.4.2016), שהוגשו מטעם המאשימה; </w:t>
      </w:r>
      <w:hyperlink r:id="rId28" w:history="1">
        <w:r w:rsidR="007F47BB" w:rsidRPr="007F47BB">
          <w:rPr>
            <w:rFonts w:ascii="Arial" w:hAnsi="Arial" w:cs="FrankRuehl"/>
            <w:color w:val="0000FF"/>
            <w:sz w:val="28"/>
            <w:szCs w:val="28"/>
            <w:u w:val="single"/>
            <w:rtl/>
          </w:rPr>
          <w:t>רע"פ 189/15</w:t>
        </w:r>
      </w:hyperlink>
      <w:r>
        <w:rPr>
          <w:rFonts w:ascii="Arial" w:hAnsi="Arial" w:cs="FrankRuehl" w:hint="cs"/>
          <w:sz w:val="28"/>
          <w:szCs w:val="28"/>
          <w:rtl/>
        </w:rPr>
        <w:t xml:space="preserve"> </w:t>
      </w:r>
      <w:r w:rsidRPr="00CA463B">
        <w:rPr>
          <w:rFonts w:ascii="Arial" w:hAnsi="Arial" w:cs="Miriam" w:hint="cs"/>
          <w:rtl/>
        </w:rPr>
        <w:t>כהן נ' מדינת ישראל</w:t>
      </w:r>
      <w:r>
        <w:rPr>
          <w:rFonts w:ascii="Arial" w:hAnsi="Arial" w:cs="FrankRuehl" w:hint="cs"/>
          <w:sz w:val="28"/>
          <w:szCs w:val="28"/>
          <w:rtl/>
        </w:rPr>
        <w:t xml:space="preserve"> (21.1.2015), בו נקבע על ידי הערכאה הדיונית מתחם עונשי הנע בין 6 ל-12 חודשי מאסר על עבירה של החזקת חשיש במשקל המתקרב למשקל אותו החזיק הנאשם].</w:t>
      </w:r>
    </w:p>
    <w:p w14:paraId="3DC8E418" w14:textId="77777777" w:rsidR="00146AFD" w:rsidRDefault="00146AFD" w:rsidP="00146AFD">
      <w:pPr>
        <w:spacing w:line="360" w:lineRule="auto"/>
        <w:jc w:val="both"/>
        <w:rPr>
          <w:rFonts w:ascii="Arial" w:hAnsi="Arial" w:cs="FrankRuehl"/>
          <w:sz w:val="28"/>
          <w:szCs w:val="28"/>
          <w:rtl/>
        </w:rPr>
      </w:pPr>
    </w:p>
    <w:p w14:paraId="5EE34450" w14:textId="77777777" w:rsidR="00146AFD" w:rsidRDefault="00146AFD" w:rsidP="00146AFD">
      <w:pPr>
        <w:spacing w:line="360" w:lineRule="auto"/>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t>אציין שביתר פסקי הדין שהוגשו מטעם הצדדים נדונו מקרים השונים באופן מהותי מענייננו, הן בנוגע לנסיבות המעשה והן בנוגע לנסיבות העושה, באופן שאינו מאפשר ללמוד מהם גזירה שווה לענייננו, או גזרי דין שהעונשים שנקבעו בהם הינם חריגים ואינם מלמדים על הכלל.</w:t>
      </w:r>
    </w:p>
    <w:p w14:paraId="4FC08881" w14:textId="77777777" w:rsidR="00146AFD" w:rsidRDefault="00146AFD" w:rsidP="00146AFD">
      <w:pPr>
        <w:spacing w:line="360" w:lineRule="auto"/>
        <w:jc w:val="both"/>
        <w:rPr>
          <w:rFonts w:ascii="Arial" w:hAnsi="Arial" w:cs="FrankRuehl"/>
          <w:sz w:val="28"/>
          <w:szCs w:val="28"/>
          <w:rtl/>
        </w:rPr>
      </w:pPr>
    </w:p>
    <w:p w14:paraId="284195BB" w14:textId="77777777" w:rsidR="00146AFD" w:rsidRPr="009C6D4C" w:rsidRDefault="00146AFD" w:rsidP="00146AFD">
      <w:pPr>
        <w:spacing w:line="360" w:lineRule="auto"/>
        <w:jc w:val="both"/>
        <w:rPr>
          <w:rFonts w:ascii="Arial" w:hAnsi="Arial" w:cs="Miriam"/>
          <w:sz w:val="28"/>
          <w:szCs w:val="28"/>
          <w:rtl/>
        </w:rPr>
      </w:pPr>
      <w:r w:rsidRPr="009C6D4C">
        <w:rPr>
          <w:rFonts w:ascii="Arial" w:hAnsi="Arial" w:cs="Miriam" w:hint="cs"/>
          <w:sz w:val="28"/>
          <w:szCs w:val="28"/>
          <w:rtl/>
        </w:rPr>
        <w:t>נסיבות שאינן קשורות לביצוע העבירה</w:t>
      </w:r>
    </w:p>
    <w:p w14:paraId="7719EABE" w14:textId="77777777" w:rsidR="00146AFD" w:rsidRDefault="00146AFD" w:rsidP="00146AFD">
      <w:pPr>
        <w:spacing w:line="360" w:lineRule="auto"/>
        <w:jc w:val="both"/>
        <w:rPr>
          <w:rFonts w:cs="FrankRuehl"/>
          <w:sz w:val="28"/>
          <w:szCs w:val="28"/>
          <w:rtl/>
        </w:rPr>
      </w:pPr>
    </w:p>
    <w:p w14:paraId="384F63A0" w14:textId="77777777" w:rsidR="00146AFD" w:rsidRDefault="00146AFD" w:rsidP="00146AFD">
      <w:pPr>
        <w:spacing w:line="360" w:lineRule="auto"/>
        <w:jc w:val="both"/>
        <w:rPr>
          <w:rFonts w:cs="FrankRuehl"/>
          <w:sz w:val="28"/>
          <w:szCs w:val="28"/>
          <w:rtl/>
        </w:rPr>
      </w:pPr>
      <w:r>
        <w:rPr>
          <w:rFonts w:cs="FrankRuehl" w:hint="cs"/>
          <w:sz w:val="28"/>
          <w:szCs w:val="28"/>
          <w:rtl/>
        </w:rPr>
        <w:t>12.</w:t>
      </w:r>
      <w:r>
        <w:rPr>
          <w:rFonts w:cs="FrankRuehl" w:hint="cs"/>
          <w:sz w:val="28"/>
          <w:szCs w:val="28"/>
          <w:rtl/>
        </w:rPr>
        <w:tab/>
        <w:t>הנאשם כבן 63, גרוש ואב לחמישה ילדים שנמסרו למסגרות אימוץ בהיותם תינוקות. מכאן שעונש מאסר לא יפגע במשפחתו של הנאשם. לדברי הנאשם הוא אינו בקו הבריאות, אולם, כאמור, לא הוצגו מסמכים רפואיים בעניין זה.</w:t>
      </w:r>
    </w:p>
    <w:p w14:paraId="58ADBA7B" w14:textId="77777777" w:rsidR="00146AFD" w:rsidRDefault="00146AFD" w:rsidP="00146AFD">
      <w:pPr>
        <w:spacing w:line="360" w:lineRule="auto"/>
        <w:jc w:val="both"/>
        <w:rPr>
          <w:rFonts w:cs="FrankRuehl"/>
          <w:sz w:val="28"/>
          <w:szCs w:val="28"/>
          <w:rtl/>
        </w:rPr>
      </w:pPr>
      <w:r>
        <w:rPr>
          <w:rFonts w:cs="FrankRuehl" w:hint="cs"/>
          <w:sz w:val="28"/>
          <w:szCs w:val="28"/>
          <w:rtl/>
        </w:rPr>
        <w:t>הנתונים הבולטים לחובתו של הנאשם הם עברו הפלילי וסירובו להירתם להליך שיקומי.</w:t>
      </w:r>
    </w:p>
    <w:p w14:paraId="1BD7D3DB" w14:textId="77777777" w:rsidR="00146AFD" w:rsidRDefault="00146AFD" w:rsidP="00146AFD">
      <w:pPr>
        <w:spacing w:line="360" w:lineRule="auto"/>
        <w:jc w:val="both"/>
        <w:rPr>
          <w:rFonts w:cs="FrankRuehl"/>
          <w:sz w:val="28"/>
          <w:szCs w:val="28"/>
          <w:rtl/>
        </w:rPr>
      </w:pPr>
      <w:r>
        <w:rPr>
          <w:rFonts w:cs="FrankRuehl" w:hint="cs"/>
          <w:sz w:val="28"/>
          <w:szCs w:val="28"/>
          <w:rtl/>
        </w:rPr>
        <w:t>בכל הנוגע לעברו הפלילי של הנאשם, הרי שלחובתו לא פחות מ-26 הרשעות קודמות, בין היתר בעבירות סמים לצריכה עצמית ושלא לצריכה עצמית, אלימות, עבירות נגד שוטרים, הפרת הוראה חוקית, ובעברו הרחוק גם עבירות רכוש חמורות. הנאשם ריצה מספר תקופות מאסר, הארוך שבהם למשך 20 חודשים. הרשעתו האחרונה של הנאשם היא משנת 2013, אז נדון לעונש מאסר של 6 חודשים.</w:t>
      </w:r>
    </w:p>
    <w:p w14:paraId="41E743DD" w14:textId="77777777" w:rsidR="00146AFD" w:rsidRDefault="00146AFD" w:rsidP="00146AFD">
      <w:pPr>
        <w:spacing w:line="360" w:lineRule="auto"/>
        <w:jc w:val="both"/>
        <w:rPr>
          <w:rFonts w:cs="FrankRuehl"/>
          <w:sz w:val="28"/>
          <w:szCs w:val="28"/>
          <w:rtl/>
        </w:rPr>
      </w:pPr>
      <w:r>
        <w:rPr>
          <w:rFonts w:cs="FrankRuehl" w:hint="cs"/>
          <w:sz w:val="28"/>
          <w:szCs w:val="28"/>
          <w:rtl/>
        </w:rPr>
        <w:t>הנאשם הביע את רצונו להשתלב בהליך טיפולי. ואולם, על אף הזדמנות שמצאתי לתת לו להוכיח את רצינות כוונותיו, התרשם שירות המבחן מכך שמדובר בהצהרת כוונות בלבד, שנעשתה מתוך ניסיון להיחלץ מריצוי עונש מאסר. משכך, כל שנותר הוא להביע תקווה שהנאשם ישכיל להשתלב בהליך שיקומי מיד לאחר שחרורו ממאסרו, וכי יעמדו לו הכוחות הדרושים לכך.</w:t>
      </w:r>
    </w:p>
    <w:p w14:paraId="60233DD0" w14:textId="77777777" w:rsidR="00146AFD" w:rsidRDefault="00146AFD" w:rsidP="00146AFD">
      <w:pPr>
        <w:spacing w:line="360" w:lineRule="auto"/>
        <w:jc w:val="both"/>
        <w:rPr>
          <w:rFonts w:cs="FrankRuehl"/>
          <w:sz w:val="28"/>
          <w:szCs w:val="28"/>
          <w:rtl/>
        </w:rPr>
      </w:pPr>
    </w:p>
    <w:p w14:paraId="43074E2C" w14:textId="77777777" w:rsidR="00146AFD" w:rsidRDefault="00146AFD" w:rsidP="00146AFD">
      <w:pPr>
        <w:spacing w:line="360" w:lineRule="auto"/>
        <w:jc w:val="both"/>
        <w:rPr>
          <w:rFonts w:cs="FrankRuehl"/>
          <w:sz w:val="28"/>
          <w:szCs w:val="28"/>
          <w:rtl/>
        </w:rPr>
      </w:pPr>
      <w:r>
        <w:rPr>
          <w:rFonts w:cs="FrankRuehl" w:hint="cs"/>
          <w:sz w:val="28"/>
          <w:szCs w:val="28"/>
          <w:rtl/>
        </w:rPr>
        <w:t>לזכות הנאשם זקפתי את הודאתו במיוחס לו, את לקיחת האחריות ואת החיסכון בזמן השיפוטי.</w:t>
      </w:r>
    </w:p>
    <w:p w14:paraId="0A4EC042" w14:textId="77777777" w:rsidR="00146AFD" w:rsidRDefault="00146AFD" w:rsidP="00146AFD">
      <w:pPr>
        <w:spacing w:line="360" w:lineRule="auto"/>
        <w:jc w:val="both"/>
        <w:rPr>
          <w:rFonts w:cs="FrankRuehl"/>
          <w:sz w:val="28"/>
          <w:szCs w:val="28"/>
          <w:rtl/>
        </w:rPr>
      </w:pPr>
    </w:p>
    <w:p w14:paraId="0A326864" w14:textId="77777777" w:rsidR="00146AFD" w:rsidRDefault="00146AFD" w:rsidP="00146AFD">
      <w:pPr>
        <w:spacing w:line="360" w:lineRule="auto"/>
        <w:jc w:val="both"/>
        <w:rPr>
          <w:rFonts w:cs="FrankRuehl"/>
          <w:sz w:val="28"/>
          <w:szCs w:val="28"/>
          <w:rtl/>
        </w:rPr>
      </w:pPr>
      <w:r>
        <w:rPr>
          <w:rFonts w:cs="FrankRuehl" w:hint="cs"/>
          <w:sz w:val="28"/>
          <w:szCs w:val="28"/>
          <w:rtl/>
        </w:rPr>
        <w:t>13.</w:t>
      </w:r>
      <w:r>
        <w:rPr>
          <w:rFonts w:cs="FrankRuehl" w:hint="cs"/>
          <w:sz w:val="28"/>
          <w:szCs w:val="28"/>
          <w:rtl/>
        </w:rPr>
        <w:tab/>
        <w:t>בהתחשב בנתונים לחומרא ולקולא, מצאתי לגזור על הנאשם עונש כולל, ולמקם את עניינו בחלקם המרכזי של המתחמים.</w:t>
      </w:r>
    </w:p>
    <w:p w14:paraId="4ADB7196" w14:textId="77777777" w:rsidR="00146AFD" w:rsidRDefault="00146AFD" w:rsidP="00146AFD">
      <w:pPr>
        <w:spacing w:line="360" w:lineRule="auto"/>
        <w:jc w:val="both"/>
        <w:rPr>
          <w:rFonts w:cs="FrankRuehl"/>
          <w:sz w:val="28"/>
          <w:szCs w:val="28"/>
          <w:rtl/>
        </w:rPr>
      </w:pPr>
    </w:p>
    <w:p w14:paraId="5FA1563D" w14:textId="77777777" w:rsidR="00146AFD" w:rsidRPr="00703BF5" w:rsidRDefault="00146AFD" w:rsidP="00146AFD">
      <w:pPr>
        <w:spacing w:line="360" w:lineRule="auto"/>
        <w:jc w:val="both"/>
        <w:rPr>
          <w:rFonts w:cs="Miriam"/>
          <w:sz w:val="28"/>
          <w:szCs w:val="28"/>
          <w:rtl/>
        </w:rPr>
      </w:pPr>
      <w:r w:rsidRPr="00703BF5">
        <w:rPr>
          <w:rFonts w:cs="Miriam" w:hint="cs"/>
          <w:sz w:val="28"/>
          <w:szCs w:val="28"/>
          <w:rtl/>
        </w:rPr>
        <w:t>סוף דבר</w:t>
      </w:r>
    </w:p>
    <w:p w14:paraId="4B765EB1" w14:textId="77777777" w:rsidR="00146AFD" w:rsidRDefault="00146AFD" w:rsidP="00146AFD">
      <w:pPr>
        <w:spacing w:line="360" w:lineRule="auto"/>
        <w:jc w:val="both"/>
        <w:rPr>
          <w:rFonts w:cs="FrankRuehl"/>
          <w:sz w:val="28"/>
          <w:szCs w:val="28"/>
          <w:rtl/>
        </w:rPr>
      </w:pPr>
    </w:p>
    <w:p w14:paraId="171B81CC" w14:textId="77777777" w:rsidR="00146AFD" w:rsidRPr="00B25CEF" w:rsidRDefault="00146AFD" w:rsidP="00146AFD">
      <w:pPr>
        <w:spacing w:line="360" w:lineRule="auto"/>
        <w:jc w:val="both"/>
        <w:rPr>
          <w:rFonts w:cs="FrankRuehl"/>
          <w:sz w:val="28"/>
          <w:szCs w:val="28"/>
          <w:rtl/>
        </w:rPr>
      </w:pPr>
      <w:r>
        <w:rPr>
          <w:rFonts w:cs="FrankRuehl" w:hint="cs"/>
          <w:sz w:val="28"/>
          <w:szCs w:val="28"/>
          <w:rtl/>
        </w:rPr>
        <w:t>14.</w:t>
      </w:r>
      <w:r>
        <w:rPr>
          <w:rFonts w:cs="FrankRuehl" w:hint="cs"/>
          <w:sz w:val="28"/>
          <w:szCs w:val="28"/>
          <w:rtl/>
        </w:rPr>
        <w:tab/>
        <w:t>נוכח כל האמור, אני גוזר על הנאשם את העונשים הבאים:</w:t>
      </w:r>
    </w:p>
    <w:p w14:paraId="154F2C41" w14:textId="77777777" w:rsidR="00146AFD" w:rsidRPr="00B25CEF" w:rsidRDefault="00146AFD" w:rsidP="00146AFD">
      <w:pPr>
        <w:spacing w:line="360" w:lineRule="auto"/>
        <w:jc w:val="both"/>
        <w:rPr>
          <w:rFonts w:cs="FrankRuehl"/>
          <w:sz w:val="28"/>
          <w:szCs w:val="28"/>
          <w:rtl/>
        </w:rPr>
      </w:pPr>
    </w:p>
    <w:p w14:paraId="1961757C" w14:textId="77777777" w:rsidR="00146AFD" w:rsidRDefault="00146AFD" w:rsidP="00146AFD">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r>
      <w:r>
        <w:rPr>
          <w:rFonts w:cs="FrankRuehl"/>
          <w:sz w:val="28"/>
          <w:szCs w:val="28"/>
          <w:rtl/>
        </w:rPr>
        <w:t xml:space="preserve">מאסר בפועל למשך </w:t>
      </w:r>
      <w:r>
        <w:rPr>
          <w:rFonts w:cs="FrankRuehl" w:hint="cs"/>
          <w:sz w:val="28"/>
          <w:szCs w:val="28"/>
          <w:rtl/>
        </w:rPr>
        <w:t>8</w:t>
      </w:r>
      <w:r>
        <w:rPr>
          <w:rFonts w:cs="FrankRuehl"/>
          <w:sz w:val="28"/>
          <w:szCs w:val="28"/>
          <w:rtl/>
        </w:rPr>
        <w:t xml:space="preserve"> חודשים. מתקופה זו ינוכו הימים בהם ישב הנאשם במעצר</w:t>
      </w:r>
      <w:r>
        <w:rPr>
          <w:rFonts w:cs="FrankRuehl" w:hint="cs"/>
          <w:sz w:val="28"/>
          <w:szCs w:val="28"/>
          <w:rtl/>
        </w:rPr>
        <w:t xml:space="preserve"> בין התאריכים 11-12.7.2017 ובין התאריכים 19-21.12.2017.</w:t>
      </w:r>
    </w:p>
    <w:p w14:paraId="4AE4CE8B" w14:textId="77777777" w:rsidR="00146AFD" w:rsidRPr="00D10260" w:rsidRDefault="00146AFD" w:rsidP="00146AFD">
      <w:pPr>
        <w:spacing w:line="360" w:lineRule="auto"/>
        <w:ind w:left="1440"/>
        <w:jc w:val="both"/>
        <w:rPr>
          <w:rFonts w:cs="FrankRuehl"/>
          <w:sz w:val="28"/>
          <w:szCs w:val="28"/>
          <w:rtl/>
        </w:rPr>
      </w:pPr>
      <w:r w:rsidRPr="00D10260">
        <w:rPr>
          <w:rFonts w:cs="FrankRuehl"/>
          <w:sz w:val="28"/>
          <w:szCs w:val="28"/>
          <w:rtl/>
        </w:rPr>
        <w:t>הנאשם יתייצב לריצוי עונש</w:t>
      </w:r>
      <w:r>
        <w:rPr>
          <w:rFonts w:cs="FrankRuehl" w:hint="cs"/>
          <w:sz w:val="28"/>
          <w:szCs w:val="28"/>
          <w:rtl/>
        </w:rPr>
        <w:t>ו</w:t>
      </w:r>
      <w:r w:rsidRPr="00D10260">
        <w:rPr>
          <w:rFonts w:cs="FrankRuehl"/>
          <w:sz w:val="28"/>
          <w:szCs w:val="28"/>
          <w:rtl/>
        </w:rPr>
        <w:t xml:space="preserve"> ביום </w:t>
      </w:r>
      <w:r>
        <w:rPr>
          <w:rFonts w:cs="FrankRuehl" w:hint="cs"/>
          <w:sz w:val="28"/>
          <w:szCs w:val="28"/>
          <w:rtl/>
        </w:rPr>
        <w:t>3.11.2019</w:t>
      </w:r>
      <w:r w:rsidRPr="00D10260">
        <w:rPr>
          <w:rFonts w:cs="FrankRuehl"/>
          <w:sz w:val="28"/>
          <w:szCs w:val="28"/>
          <w:rtl/>
        </w:rPr>
        <w:t xml:space="preserve"> עד השעה 09:00 בכלא ניצן או על-פי החלטת שירות בתי הסוהר, כשברשות</w:t>
      </w:r>
      <w:r>
        <w:rPr>
          <w:rFonts w:cs="FrankRuehl" w:hint="cs"/>
          <w:sz w:val="28"/>
          <w:szCs w:val="28"/>
          <w:rtl/>
        </w:rPr>
        <w:t>ו</w:t>
      </w:r>
      <w:r w:rsidRPr="00D10260">
        <w:rPr>
          <w:rFonts w:cs="FrankRuehl"/>
          <w:sz w:val="28"/>
          <w:szCs w:val="28"/>
          <w:rtl/>
        </w:rPr>
        <w:t xml:space="preserve"> תעודת זהות או דרכון ועותק מגזר הדין. על הנאשם לתאם את הכניסה למאסר עם ענף אבחון ומיון של שירות בתי הסוהר בטלפונים 08-9787377 או 08-9787336.</w:t>
      </w:r>
    </w:p>
    <w:p w14:paraId="46D482B0" w14:textId="77777777" w:rsidR="00146AFD" w:rsidRPr="00D10260" w:rsidRDefault="00146AFD" w:rsidP="00146AFD">
      <w:pPr>
        <w:spacing w:line="360" w:lineRule="auto"/>
        <w:jc w:val="both"/>
        <w:rPr>
          <w:rFonts w:cs="FrankRuehl"/>
          <w:sz w:val="28"/>
          <w:szCs w:val="28"/>
          <w:rtl/>
        </w:rPr>
      </w:pPr>
    </w:p>
    <w:p w14:paraId="61A66BC2" w14:textId="77777777" w:rsidR="00146AFD" w:rsidRPr="004F4328" w:rsidRDefault="00146AFD" w:rsidP="00146AFD">
      <w:pPr>
        <w:spacing w:line="360" w:lineRule="auto"/>
        <w:ind w:left="1440" w:hanging="720"/>
        <w:jc w:val="both"/>
        <w:rPr>
          <w:rFonts w:cs="FrankRuehl"/>
          <w:sz w:val="28"/>
          <w:szCs w:val="28"/>
          <w:rtl/>
        </w:rPr>
      </w:pPr>
      <w:r>
        <w:rPr>
          <w:rFonts w:cs="FrankRuehl"/>
          <w:sz w:val="28"/>
          <w:szCs w:val="28"/>
          <w:rtl/>
        </w:rPr>
        <w:t>ב.</w:t>
      </w:r>
      <w:r>
        <w:rPr>
          <w:rFonts w:cs="FrankRuehl"/>
          <w:sz w:val="28"/>
          <w:szCs w:val="28"/>
          <w:rtl/>
        </w:rPr>
        <w:tab/>
        <w:t xml:space="preserve">מאסר למשך </w:t>
      </w:r>
      <w:r>
        <w:rPr>
          <w:rFonts w:cs="FrankRuehl" w:hint="cs"/>
          <w:sz w:val="28"/>
          <w:szCs w:val="28"/>
          <w:rtl/>
        </w:rPr>
        <w:t>6</w:t>
      </w:r>
      <w:r>
        <w:rPr>
          <w:rFonts w:cs="FrankRuehl"/>
          <w:sz w:val="28"/>
          <w:szCs w:val="28"/>
          <w:rtl/>
        </w:rPr>
        <w:t xml:space="preserve"> חודשים</w:t>
      </w:r>
      <w:r>
        <w:rPr>
          <w:rFonts w:cs="FrankRuehl" w:hint="cs"/>
          <w:sz w:val="28"/>
          <w:szCs w:val="28"/>
          <w:rtl/>
        </w:rPr>
        <w:t>,</w:t>
      </w:r>
      <w:r>
        <w:rPr>
          <w:rFonts w:cs="FrankRuehl"/>
          <w:sz w:val="28"/>
          <w:szCs w:val="28"/>
          <w:rtl/>
        </w:rPr>
        <w:t xml:space="preserve"> אותו לא יישא אלא אם יעבור בתוך תקופה של 3 שנים מיום שחרורו על עבירה מסוג פשע לפי </w:t>
      </w:r>
      <w:hyperlink r:id="rId29" w:history="1">
        <w:r w:rsidR="007F47BB" w:rsidRPr="007F47BB">
          <w:rPr>
            <w:rFonts w:cs="FrankRuehl"/>
            <w:color w:val="0000FF"/>
            <w:sz w:val="28"/>
            <w:szCs w:val="28"/>
            <w:u w:val="single"/>
            <w:rtl/>
          </w:rPr>
          <w:t>פקודת הסמים המסוכנים</w:t>
        </w:r>
      </w:hyperlink>
      <w:r w:rsidRPr="004F4328">
        <w:rPr>
          <w:rFonts w:cs="FrankRuehl"/>
          <w:sz w:val="28"/>
          <w:szCs w:val="28"/>
          <w:rtl/>
        </w:rPr>
        <w:t>.</w:t>
      </w:r>
    </w:p>
    <w:p w14:paraId="4880D8CD" w14:textId="77777777" w:rsidR="00146AFD" w:rsidRDefault="00146AFD" w:rsidP="00146AFD">
      <w:pPr>
        <w:spacing w:line="360" w:lineRule="auto"/>
        <w:ind w:left="720" w:hanging="720"/>
        <w:jc w:val="both"/>
        <w:rPr>
          <w:rFonts w:cs="FrankRuehl"/>
          <w:sz w:val="28"/>
          <w:szCs w:val="28"/>
          <w:rtl/>
        </w:rPr>
      </w:pPr>
    </w:p>
    <w:p w14:paraId="120A1CD2" w14:textId="77777777" w:rsidR="00146AFD" w:rsidRDefault="00146AFD" w:rsidP="00146AFD">
      <w:pPr>
        <w:spacing w:line="360" w:lineRule="auto"/>
        <w:ind w:left="1440" w:hanging="720"/>
        <w:jc w:val="both"/>
        <w:rPr>
          <w:rFonts w:cs="FrankRuehl"/>
          <w:sz w:val="28"/>
          <w:szCs w:val="28"/>
          <w:rtl/>
        </w:rPr>
      </w:pPr>
      <w:r>
        <w:rPr>
          <w:rFonts w:cs="FrankRuehl"/>
          <w:sz w:val="28"/>
          <w:szCs w:val="28"/>
          <w:rtl/>
        </w:rPr>
        <w:t>ג.</w:t>
      </w:r>
      <w:r>
        <w:rPr>
          <w:rFonts w:cs="FrankRuehl"/>
          <w:sz w:val="28"/>
          <w:szCs w:val="28"/>
          <w:rtl/>
        </w:rPr>
        <w:tab/>
        <w:t xml:space="preserve">מאסר למשך </w:t>
      </w:r>
      <w:r>
        <w:rPr>
          <w:rFonts w:cs="FrankRuehl" w:hint="cs"/>
          <w:sz w:val="28"/>
          <w:szCs w:val="28"/>
          <w:rtl/>
        </w:rPr>
        <w:t>3</w:t>
      </w:r>
      <w:r>
        <w:rPr>
          <w:rFonts w:cs="FrankRuehl"/>
          <w:sz w:val="28"/>
          <w:szCs w:val="28"/>
          <w:rtl/>
        </w:rPr>
        <w:t xml:space="preserve"> חודשים</w:t>
      </w:r>
      <w:r>
        <w:rPr>
          <w:rFonts w:cs="FrankRuehl" w:hint="cs"/>
          <w:sz w:val="28"/>
          <w:szCs w:val="28"/>
          <w:rtl/>
        </w:rPr>
        <w:t>,</w:t>
      </w:r>
      <w:r>
        <w:rPr>
          <w:rFonts w:cs="FrankRuehl"/>
          <w:sz w:val="28"/>
          <w:szCs w:val="28"/>
          <w:rtl/>
        </w:rPr>
        <w:t xml:space="preserve"> אותו לא יישא אלא אם יעבור בתוך תקופה של 3 שנים </w:t>
      </w:r>
      <w:r w:rsidRPr="00087D32">
        <w:rPr>
          <w:rFonts w:cs="FrankRuehl"/>
          <w:sz w:val="28"/>
          <w:szCs w:val="28"/>
          <w:rtl/>
        </w:rPr>
        <w:t xml:space="preserve">מיום שחרורו ממאסר על עבירה מסוג עוון לפי </w:t>
      </w:r>
      <w:hyperlink r:id="rId30" w:history="1">
        <w:r w:rsidR="007F47BB" w:rsidRPr="007F47BB">
          <w:rPr>
            <w:rFonts w:cs="FrankRuehl"/>
            <w:color w:val="0000FF"/>
            <w:sz w:val="28"/>
            <w:szCs w:val="28"/>
            <w:u w:val="single"/>
            <w:rtl/>
          </w:rPr>
          <w:t>פקודת הסמים המסוכנים</w:t>
        </w:r>
      </w:hyperlink>
      <w:r>
        <w:rPr>
          <w:rFonts w:cs="FrankRuehl"/>
          <w:sz w:val="28"/>
          <w:szCs w:val="28"/>
          <w:rtl/>
        </w:rPr>
        <w:t>.</w:t>
      </w:r>
    </w:p>
    <w:p w14:paraId="290070CB" w14:textId="77777777" w:rsidR="00146AFD" w:rsidRDefault="00146AFD" w:rsidP="00146AFD">
      <w:pPr>
        <w:spacing w:line="360" w:lineRule="auto"/>
        <w:jc w:val="both"/>
        <w:rPr>
          <w:rFonts w:cs="FrankRuehl"/>
          <w:sz w:val="28"/>
          <w:szCs w:val="28"/>
          <w:rtl/>
        </w:rPr>
      </w:pPr>
    </w:p>
    <w:p w14:paraId="10F3E0AF" w14:textId="77777777" w:rsidR="00146AFD" w:rsidRDefault="00146AFD" w:rsidP="00146AFD">
      <w:pPr>
        <w:spacing w:line="360" w:lineRule="auto"/>
        <w:ind w:left="1440" w:hanging="720"/>
        <w:jc w:val="both"/>
        <w:rPr>
          <w:rFonts w:cs="FrankRuehl"/>
          <w:sz w:val="28"/>
          <w:szCs w:val="28"/>
          <w:rtl/>
        </w:rPr>
      </w:pPr>
      <w:r>
        <w:rPr>
          <w:rFonts w:cs="FrankRuehl"/>
          <w:sz w:val="28"/>
          <w:szCs w:val="28"/>
          <w:rtl/>
        </w:rPr>
        <w:t>ד.</w:t>
      </w:r>
      <w:r>
        <w:rPr>
          <w:rFonts w:cs="FrankRuehl"/>
          <w:sz w:val="28"/>
          <w:szCs w:val="28"/>
          <w:rtl/>
        </w:rPr>
        <w:tab/>
        <w:t xml:space="preserve">קנס כספי </w:t>
      </w:r>
      <w:r>
        <w:rPr>
          <w:rFonts w:cs="FrankRuehl" w:hint="cs"/>
          <w:sz w:val="28"/>
          <w:szCs w:val="28"/>
          <w:rtl/>
        </w:rPr>
        <w:t>בסך 1,000 ש"ח</w:t>
      </w:r>
      <w:r>
        <w:rPr>
          <w:rFonts w:cs="FrankRuehl"/>
          <w:sz w:val="28"/>
          <w:szCs w:val="28"/>
          <w:rtl/>
        </w:rPr>
        <w:t xml:space="preserve"> ₪ או </w:t>
      </w:r>
      <w:r>
        <w:rPr>
          <w:rFonts w:cs="FrankRuehl" w:hint="cs"/>
          <w:sz w:val="28"/>
          <w:szCs w:val="28"/>
          <w:rtl/>
        </w:rPr>
        <w:t>10</w:t>
      </w:r>
      <w:r>
        <w:rPr>
          <w:rFonts w:cs="FrankRuehl"/>
          <w:sz w:val="28"/>
          <w:szCs w:val="28"/>
          <w:rtl/>
        </w:rPr>
        <w:t xml:space="preserve"> </w:t>
      </w:r>
      <w:r>
        <w:rPr>
          <w:rFonts w:cs="FrankRuehl" w:hint="cs"/>
          <w:sz w:val="28"/>
          <w:szCs w:val="28"/>
          <w:rtl/>
        </w:rPr>
        <w:t>ימי</w:t>
      </w:r>
      <w:r>
        <w:rPr>
          <w:rFonts w:cs="FrankRuehl"/>
          <w:sz w:val="28"/>
          <w:szCs w:val="28"/>
          <w:rtl/>
        </w:rPr>
        <w:t xml:space="preserve"> מאסר תמורת</w:t>
      </w:r>
      <w:r>
        <w:rPr>
          <w:rFonts w:cs="FrankRuehl" w:hint="cs"/>
          <w:sz w:val="28"/>
          <w:szCs w:val="28"/>
          <w:rtl/>
        </w:rPr>
        <w:t xml:space="preserve">ו. </w:t>
      </w:r>
      <w:r>
        <w:rPr>
          <w:rFonts w:cs="FrankRuehl"/>
          <w:sz w:val="28"/>
          <w:szCs w:val="28"/>
          <w:rtl/>
        </w:rPr>
        <w:t xml:space="preserve">הקנס ישולם </w:t>
      </w:r>
      <w:r>
        <w:rPr>
          <w:rFonts w:cs="FrankRuehl" w:hint="cs"/>
          <w:sz w:val="28"/>
          <w:szCs w:val="28"/>
          <w:rtl/>
        </w:rPr>
        <w:t>עד ליום 1.12.2019. לחלופין ולבקשת הנאשם, יקוזז הקנס מהפקדה שהופקדה באחד מתיקי המעצר הקשורים לתיק זה (</w:t>
      </w:r>
      <w:hyperlink r:id="rId31" w:history="1">
        <w:r w:rsidR="007F47BB" w:rsidRPr="007F47BB">
          <w:rPr>
            <w:rFonts w:cs="FrankRuehl"/>
            <w:color w:val="0000FF"/>
            <w:sz w:val="28"/>
            <w:szCs w:val="28"/>
            <w:u w:val="single"/>
            <w:rtl/>
          </w:rPr>
          <w:t>מ"י 25802-07-17</w:t>
        </w:r>
      </w:hyperlink>
      <w:r>
        <w:rPr>
          <w:rFonts w:cs="FrankRuehl" w:hint="cs"/>
          <w:sz w:val="28"/>
          <w:szCs w:val="28"/>
          <w:rtl/>
        </w:rPr>
        <w:t>), כפוף לכל מניעה חוקית.</w:t>
      </w:r>
    </w:p>
    <w:p w14:paraId="76FF513E" w14:textId="77777777" w:rsidR="00146AFD" w:rsidRPr="00B25CEF" w:rsidRDefault="00146AFD" w:rsidP="00146AFD">
      <w:pPr>
        <w:spacing w:line="360" w:lineRule="auto"/>
        <w:jc w:val="both"/>
        <w:rPr>
          <w:rFonts w:cs="FrankRuehl"/>
          <w:sz w:val="28"/>
          <w:szCs w:val="28"/>
          <w:rtl/>
        </w:rPr>
      </w:pPr>
    </w:p>
    <w:p w14:paraId="3BDCB627" w14:textId="77777777" w:rsidR="00146AFD" w:rsidRDefault="00146AFD" w:rsidP="00146AFD">
      <w:pPr>
        <w:spacing w:line="360" w:lineRule="auto"/>
        <w:jc w:val="both"/>
        <w:rPr>
          <w:rFonts w:cs="FrankRuehl"/>
          <w:sz w:val="28"/>
          <w:szCs w:val="28"/>
          <w:rtl/>
        </w:rPr>
      </w:pPr>
      <w:r>
        <w:rPr>
          <w:rFonts w:cs="FrankRuehl" w:hint="cs"/>
          <w:sz w:val="28"/>
          <w:szCs w:val="28"/>
          <w:rtl/>
        </w:rPr>
        <w:t>15.</w:t>
      </w:r>
      <w:r>
        <w:rPr>
          <w:rFonts w:cs="FrankRuehl" w:hint="cs"/>
          <w:sz w:val="28"/>
          <w:szCs w:val="28"/>
          <w:rtl/>
        </w:rPr>
        <w:tab/>
        <w:t>הסמים שנתפסו יושמדו. ניתן צו כללי ליתר המוצגים. טלפון שתפוס במשטרה בפל"א 163879/18 יושב לנאשם.</w:t>
      </w:r>
    </w:p>
    <w:p w14:paraId="1D44CF1C" w14:textId="77777777" w:rsidR="00146AFD" w:rsidRDefault="00146AFD" w:rsidP="00146AFD">
      <w:pPr>
        <w:spacing w:line="360" w:lineRule="auto"/>
        <w:jc w:val="both"/>
        <w:rPr>
          <w:rFonts w:cs="FrankRuehl"/>
          <w:sz w:val="28"/>
          <w:szCs w:val="28"/>
          <w:rtl/>
        </w:rPr>
      </w:pPr>
    </w:p>
    <w:p w14:paraId="73CA2FF3" w14:textId="77777777" w:rsidR="00146AFD" w:rsidRDefault="00146AFD" w:rsidP="00146AFD">
      <w:pPr>
        <w:spacing w:line="360" w:lineRule="auto"/>
        <w:jc w:val="both"/>
        <w:rPr>
          <w:rFonts w:cs="FrankRuehl"/>
          <w:sz w:val="28"/>
          <w:szCs w:val="28"/>
          <w:rtl/>
        </w:rPr>
      </w:pPr>
      <w:r>
        <w:rPr>
          <w:rFonts w:cs="FrankRuehl" w:hint="cs"/>
          <w:sz w:val="28"/>
          <w:szCs w:val="28"/>
          <w:rtl/>
        </w:rPr>
        <w:t>16.</w:t>
      </w:r>
      <w:r>
        <w:rPr>
          <w:rFonts w:cs="FrankRuehl" w:hint="cs"/>
          <w:sz w:val="28"/>
          <w:szCs w:val="28"/>
          <w:rtl/>
        </w:rPr>
        <w:tab/>
        <w:t>כסף שהופקד במסגרת אחד התיקים הפליליים או אחד מתיקי המעצר הקשורים להם, יושב לנאשם מיד לאחר כניסתו למאסר, כפוף לכל מניעה חוקית אחרת. עד אז ישמשו ההפקדות והערבויות להבטחת התייצבותו של הנאשם לריצוי עונש המאסר.</w:t>
      </w:r>
    </w:p>
    <w:p w14:paraId="2E9E61C2" w14:textId="77777777" w:rsidR="00146AFD" w:rsidRDefault="00146AFD" w:rsidP="00146AFD">
      <w:pPr>
        <w:spacing w:line="360" w:lineRule="auto"/>
        <w:jc w:val="both"/>
        <w:rPr>
          <w:rFonts w:cs="FrankRuehl"/>
          <w:sz w:val="28"/>
          <w:szCs w:val="28"/>
          <w:rtl/>
        </w:rPr>
      </w:pPr>
    </w:p>
    <w:p w14:paraId="0D191949" w14:textId="77777777" w:rsidR="00146AFD" w:rsidRPr="00B25CEF" w:rsidRDefault="00146AFD" w:rsidP="00146AFD">
      <w:pPr>
        <w:spacing w:line="360" w:lineRule="auto"/>
        <w:jc w:val="both"/>
        <w:rPr>
          <w:rFonts w:cs="FrankRuehl"/>
          <w:sz w:val="28"/>
          <w:szCs w:val="28"/>
          <w:rtl/>
        </w:rPr>
      </w:pPr>
      <w:r>
        <w:rPr>
          <w:rFonts w:cs="FrankRuehl" w:hint="cs"/>
          <w:sz w:val="28"/>
          <w:szCs w:val="28"/>
          <w:rtl/>
        </w:rPr>
        <w:t>17.</w:t>
      </w:r>
      <w:r>
        <w:rPr>
          <w:rFonts w:cs="FrankRuehl" w:hint="cs"/>
          <w:sz w:val="28"/>
          <w:szCs w:val="28"/>
          <w:rtl/>
        </w:rPr>
        <w:tab/>
        <w:t>המזכירות תעביר העתק ההחלטה לשירות המבחן.</w:t>
      </w:r>
    </w:p>
    <w:p w14:paraId="16EBB5C7" w14:textId="77777777" w:rsidR="00146AFD" w:rsidRPr="007F47BB" w:rsidRDefault="007F47BB" w:rsidP="00146AFD">
      <w:pPr>
        <w:spacing w:line="360" w:lineRule="auto"/>
        <w:jc w:val="both"/>
        <w:rPr>
          <w:rFonts w:cs="FrankRuehl"/>
          <w:color w:val="FFFFFF"/>
          <w:sz w:val="2"/>
          <w:szCs w:val="2"/>
          <w:rtl/>
        </w:rPr>
      </w:pPr>
      <w:r w:rsidRPr="007F47BB">
        <w:rPr>
          <w:rFonts w:cs="FrankRuehl"/>
          <w:color w:val="FFFFFF"/>
          <w:sz w:val="2"/>
          <w:szCs w:val="2"/>
          <w:rtl/>
        </w:rPr>
        <w:t>5129371</w:t>
      </w:r>
    </w:p>
    <w:p w14:paraId="6BA945DE" w14:textId="77777777" w:rsidR="00146AFD" w:rsidRPr="00BA1FB7" w:rsidRDefault="007F47BB" w:rsidP="00146AFD">
      <w:pPr>
        <w:rPr>
          <w:rFonts w:cs="FrankRuehl"/>
          <w:sz w:val="28"/>
          <w:szCs w:val="28"/>
          <w:rtl/>
        </w:rPr>
      </w:pPr>
      <w:bookmarkStart w:id="8" w:name="Nitan"/>
      <w:r w:rsidRPr="007F47BB">
        <w:rPr>
          <w:rFonts w:ascii="Arial" w:hAnsi="Arial"/>
          <w:color w:val="FFFFFF"/>
          <w:sz w:val="2"/>
          <w:szCs w:val="2"/>
          <w:rtl/>
        </w:rPr>
        <w:t>54678313</w:t>
      </w:r>
      <w:r>
        <w:rPr>
          <w:rFonts w:ascii="Arial" w:hAnsi="Arial"/>
          <w:rtl/>
        </w:rPr>
        <w:t xml:space="preserve">ניתן היום,  ט' אלול תשע"ט, 09 ספטמבר 2019, בהעדר הצדדים. </w:t>
      </w:r>
      <w:bookmarkEnd w:id="8"/>
    </w:p>
    <w:p w14:paraId="57EA46CA" w14:textId="77777777" w:rsidR="00146AFD" w:rsidRDefault="00146AFD" w:rsidP="007F47B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AA9803" w14:textId="77777777" w:rsidR="007F47BB" w:rsidRDefault="007F47BB" w:rsidP="007F47BB">
      <w:pPr>
        <w:rPr>
          <w:rtl/>
        </w:rPr>
      </w:pPr>
    </w:p>
    <w:p w14:paraId="189682C2" w14:textId="77777777" w:rsidR="007F47BB" w:rsidRDefault="007F47BB" w:rsidP="007F47BB">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12313E2" w14:textId="77777777" w:rsidR="00121965" w:rsidRPr="00121965" w:rsidRDefault="00121965" w:rsidP="00121965">
      <w:pPr>
        <w:keepNext/>
        <w:rPr>
          <w:rFonts w:ascii="David" w:hAnsi="David"/>
          <w:color w:val="000000"/>
          <w:sz w:val="22"/>
          <w:szCs w:val="22"/>
          <w:rtl/>
        </w:rPr>
      </w:pPr>
    </w:p>
    <w:p w14:paraId="19BEA2EA" w14:textId="77777777" w:rsidR="00121965" w:rsidRPr="00121965" w:rsidRDefault="00121965" w:rsidP="00121965">
      <w:pPr>
        <w:keepNext/>
        <w:rPr>
          <w:rFonts w:ascii="David" w:hAnsi="David"/>
          <w:color w:val="000000"/>
          <w:sz w:val="22"/>
          <w:szCs w:val="22"/>
          <w:rtl/>
        </w:rPr>
      </w:pPr>
      <w:r w:rsidRPr="00121965">
        <w:rPr>
          <w:rFonts w:ascii="David" w:hAnsi="David"/>
          <w:color w:val="000000"/>
          <w:sz w:val="22"/>
          <w:szCs w:val="22"/>
          <w:rtl/>
        </w:rPr>
        <w:t>עמית מיכלס 54678313-/</w:t>
      </w:r>
    </w:p>
    <w:p w14:paraId="417CAE5E" w14:textId="77777777" w:rsidR="007F47BB" w:rsidRPr="007F47BB" w:rsidRDefault="00121965" w:rsidP="00121965">
      <w:pPr>
        <w:rPr>
          <w:color w:val="0000FF"/>
          <w:u w:val="single"/>
        </w:rPr>
      </w:pPr>
      <w:r w:rsidRPr="00121965">
        <w:rPr>
          <w:color w:val="000000"/>
          <w:u w:val="single"/>
          <w:rtl/>
        </w:rPr>
        <w:t>נוסח מסמך זה כפוף לשינויי ניסוח ועריכה</w:t>
      </w:r>
    </w:p>
    <w:sectPr w:rsidR="007F47BB" w:rsidRPr="007F47BB" w:rsidSect="0012196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E6319" w14:textId="77777777" w:rsidR="0029412C" w:rsidRDefault="0029412C" w:rsidP="00FA7954">
      <w:r>
        <w:separator/>
      </w:r>
    </w:p>
  </w:endnote>
  <w:endnote w:type="continuationSeparator" w:id="0">
    <w:p w14:paraId="0D2D5D8D" w14:textId="77777777" w:rsidR="0029412C" w:rsidRDefault="0029412C" w:rsidP="00FA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95C2" w14:textId="77777777" w:rsidR="00121965" w:rsidRDefault="00121965" w:rsidP="001219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ECFC61" w14:textId="77777777" w:rsidR="00AD44FB" w:rsidRPr="00121965" w:rsidRDefault="00121965" w:rsidP="00121965">
    <w:pPr>
      <w:pStyle w:val="a5"/>
      <w:pBdr>
        <w:top w:val="single" w:sz="4" w:space="1" w:color="auto"/>
        <w:between w:val="single" w:sz="4" w:space="0" w:color="auto"/>
      </w:pBdr>
      <w:spacing w:after="60"/>
      <w:jc w:val="center"/>
      <w:rPr>
        <w:rFonts w:ascii="FrankRuehl" w:hAnsi="FrankRuehl" w:cs="FrankRuehl"/>
        <w:color w:val="000000"/>
      </w:rPr>
    </w:pPr>
    <w:r w:rsidRPr="001219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532F" w14:textId="77777777" w:rsidR="00121965" w:rsidRDefault="00121965" w:rsidP="001219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0448">
      <w:rPr>
        <w:rFonts w:ascii="FrankRuehl" w:hAnsi="FrankRuehl" w:cs="FrankRuehl"/>
        <w:noProof/>
        <w:rtl/>
      </w:rPr>
      <w:t>1</w:t>
    </w:r>
    <w:r>
      <w:rPr>
        <w:rFonts w:ascii="FrankRuehl" w:hAnsi="FrankRuehl" w:cs="FrankRuehl"/>
        <w:rtl/>
      </w:rPr>
      <w:fldChar w:fldCharType="end"/>
    </w:r>
  </w:p>
  <w:p w14:paraId="1C99F85C" w14:textId="77777777" w:rsidR="00AD44FB" w:rsidRPr="00121965" w:rsidRDefault="00121965" w:rsidP="00121965">
    <w:pPr>
      <w:pStyle w:val="a5"/>
      <w:pBdr>
        <w:top w:val="single" w:sz="4" w:space="1" w:color="auto"/>
        <w:between w:val="single" w:sz="4" w:space="0" w:color="auto"/>
      </w:pBdr>
      <w:spacing w:after="60"/>
      <w:jc w:val="center"/>
      <w:rPr>
        <w:rFonts w:ascii="FrankRuehl" w:hAnsi="FrankRuehl" w:cs="FrankRuehl"/>
        <w:color w:val="000000"/>
      </w:rPr>
    </w:pPr>
    <w:r w:rsidRPr="00121965">
      <w:rPr>
        <w:rFonts w:ascii="FrankRuehl" w:hAnsi="FrankRuehl" w:cs="FrankRuehl"/>
        <w:color w:val="000000"/>
      </w:rPr>
      <w:pict w14:anchorId="2B8E8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2390E" w14:textId="77777777" w:rsidR="0029412C" w:rsidRDefault="0029412C" w:rsidP="00FA7954">
      <w:r>
        <w:separator/>
      </w:r>
    </w:p>
  </w:footnote>
  <w:footnote w:type="continuationSeparator" w:id="0">
    <w:p w14:paraId="6587F028" w14:textId="77777777" w:rsidR="0029412C" w:rsidRDefault="0029412C" w:rsidP="00FA7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894DF" w14:textId="77777777" w:rsidR="007F47BB" w:rsidRPr="00121965" w:rsidRDefault="00121965" w:rsidP="001219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37379-02-18</w:t>
    </w:r>
    <w:r>
      <w:rPr>
        <w:rFonts w:ascii="David" w:hAnsi="David"/>
        <w:color w:val="000000"/>
        <w:sz w:val="22"/>
        <w:szCs w:val="22"/>
        <w:rtl/>
      </w:rPr>
      <w:tab/>
      <w:t xml:space="preserve"> מדינת ישראל נ' יעקב משה ועקנין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4F08" w14:textId="77777777" w:rsidR="007F47BB" w:rsidRPr="00121965" w:rsidRDefault="00121965" w:rsidP="001219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37379-02-18</w:t>
    </w:r>
    <w:r>
      <w:rPr>
        <w:rFonts w:ascii="David" w:hAnsi="David"/>
        <w:color w:val="000000"/>
        <w:sz w:val="22"/>
        <w:szCs w:val="22"/>
        <w:rtl/>
      </w:rPr>
      <w:tab/>
      <w:t xml:space="preserve"> מדינת ישראל נ' יעקב משה ועקנין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6AFD"/>
    <w:rsid w:val="00021964"/>
    <w:rsid w:val="00121965"/>
    <w:rsid w:val="00146AFD"/>
    <w:rsid w:val="0029412C"/>
    <w:rsid w:val="00381020"/>
    <w:rsid w:val="003F6376"/>
    <w:rsid w:val="00570448"/>
    <w:rsid w:val="007F47BB"/>
    <w:rsid w:val="00AD44FB"/>
    <w:rsid w:val="00C25B43"/>
    <w:rsid w:val="00FA79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829E0F"/>
  <w15:chartTrackingRefBased/>
  <w15:docId w15:val="{6B7D75F0-553F-492F-84C7-D9EE05AB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6AF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6AFD"/>
    <w:pPr>
      <w:tabs>
        <w:tab w:val="center" w:pos="4153"/>
        <w:tab w:val="right" w:pos="8306"/>
      </w:tabs>
    </w:pPr>
  </w:style>
  <w:style w:type="character" w:customStyle="1" w:styleId="a4">
    <w:name w:val="כותרת עליונה תו"/>
    <w:link w:val="a3"/>
    <w:rsid w:val="00146AFD"/>
    <w:rPr>
      <w:rFonts w:ascii="Times New Roman" w:eastAsia="Times New Roman" w:hAnsi="Times New Roman" w:cs="David"/>
      <w:sz w:val="24"/>
      <w:szCs w:val="24"/>
    </w:rPr>
  </w:style>
  <w:style w:type="paragraph" w:styleId="a5">
    <w:name w:val="footer"/>
    <w:basedOn w:val="a"/>
    <w:link w:val="a6"/>
    <w:rsid w:val="00146AFD"/>
    <w:pPr>
      <w:tabs>
        <w:tab w:val="center" w:pos="4153"/>
        <w:tab w:val="right" w:pos="8306"/>
      </w:tabs>
    </w:pPr>
  </w:style>
  <w:style w:type="character" w:customStyle="1" w:styleId="a6">
    <w:name w:val="כותרת תחתונה תו"/>
    <w:link w:val="a5"/>
    <w:rsid w:val="00146AFD"/>
    <w:rPr>
      <w:rFonts w:ascii="Times New Roman" w:eastAsia="Times New Roman" w:hAnsi="Times New Roman" w:cs="David"/>
      <w:sz w:val="24"/>
      <w:szCs w:val="24"/>
    </w:rPr>
  </w:style>
  <w:style w:type="table" w:styleId="a7">
    <w:name w:val="Table Grid"/>
    <w:basedOn w:val="a1"/>
    <w:rsid w:val="00146AF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6AFD"/>
  </w:style>
  <w:style w:type="character" w:styleId="Hyperlink">
    <w:name w:val="Hyperlink"/>
    <w:rsid w:val="007F47B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4296610" TargetMode="External"/><Relationship Id="rId26" Type="http://schemas.openxmlformats.org/officeDocument/2006/relationships/hyperlink" Target="http://www.nevo.co.il/case/19999565" TargetMode="External"/><Relationship Id="rId21" Type="http://schemas.openxmlformats.org/officeDocument/2006/relationships/hyperlink" Target="http://www.nevo.co.il/case/23647901" TargetMode="External"/><Relationship Id="rId34"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322622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605162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4142083" TargetMode="External"/><Relationship Id="rId23" Type="http://schemas.openxmlformats.org/officeDocument/2006/relationships/hyperlink" Target="http://www.nevo.co.il/case/24296610" TargetMode="External"/><Relationship Id="rId28" Type="http://schemas.openxmlformats.org/officeDocument/2006/relationships/hyperlink" Target="http://www.nevo.co.il/case/19994719" TargetMode="External"/><Relationship Id="rId36"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2825009" TargetMode="External"/><Relationship Id="rId4" Type="http://schemas.openxmlformats.org/officeDocument/2006/relationships/footnotes" Target="footnotes.xml"/><Relationship Id="rId9" Type="http://schemas.openxmlformats.org/officeDocument/2006/relationships/hyperlink" Target="http://www.nevo.co.il/law/4216/7.b" TargetMode="External"/><Relationship Id="rId14" Type="http://schemas.openxmlformats.org/officeDocument/2006/relationships/hyperlink" Target="http://www.nevo.co.il/law/4216/7.b" TargetMode="External"/><Relationship Id="rId22" Type="http://schemas.openxmlformats.org/officeDocument/2006/relationships/hyperlink" Target="http://www.nevo.co.il/case/24142083" TargetMode="External"/><Relationship Id="rId27" Type="http://schemas.openxmlformats.org/officeDocument/2006/relationships/hyperlink" Target="http://www.nevo.co.il/case/21017469"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2195</Words>
  <Characters>10980</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13149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4128884</vt:i4>
      </vt:variant>
      <vt:variant>
        <vt:i4>75</vt:i4>
      </vt:variant>
      <vt:variant>
        <vt:i4>0</vt:i4>
      </vt:variant>
      <vt:variant>
        <vt:i4>5</vt:i4>
      </vt:variant>
      <vt:variant>
        <vt:lpwstr>http://www.nevo.co.il/case/22825009</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3997811</vt:i4>
      </vt:variant>
      <vt:variant>
        <vt:i4>66</vt:i4>
      </vt:variant>
      <vt:variant>
        <vt:i4>0</vt:i4>
      </vt:variant>
      <vt:variant>
        <vt:i4>5</vt:i4>
      </vt:variant>
      <vt:variant>
        <vt:lpwstr>http://www.nevo.co.il/case/19994719</vt:lpwstr>
      </vt:variant>
      <vt:variant>
        <vt:lpwstr/>
      </vt:variant>
      <vt:variant>
        <vt:i4>3342448</vt:i4>
      </vt:variant>
      <vt:variant>
        <vt:i4>63</vt:i4>
      </vt:variant>
      <vt:variant>
        <vt:i4>0</vt:i4>
      </vt:variant>
      <vt:variant>
        <vt:i4>5</vt:i4>
      </vt:variant>
      <vt:variant>
        <vt:lpwstr>http://www.nevo.co.il/case/21017469</vt:lpwstr>
      </vt:variant>
      <vt:variant>
        <vt:lpwstr/>
      </vt:variant>
      <vt:variant>
        <vt:i4>3604593</vt:i4>
      </vt:variant>
      <vt:variant>
        <vt:i4>60</vt:i4>
      </vt:variant>
      <vt:variant>
        <vt:i4>0</vt:i4>
      </vt:variant>
      <vt:variant>
        <vt:i4>5</vt:i4>
      </vt:variant>
      <vt:variant>
        <vt:lpwstr>http://www.nevo.co.il/case/19999565</vt:lpwstr>
      </vt:variant>
      <vt:variant>
        <vt:lpwstr/>
      </vt:variant>
      <vt:variant>
        <vt:i4>3407991</vt:i4>
      </vt:variant>
      <vt:variant>
        <vt:i4>57</vt:i4>
      </vt:variant>
      <vt:variant>
        <vt:i4>0</vt:i4>
      </vt:variant>
      <vt:variant>
        <vt:i4>5</vt:i4>
      </vt:variant>
      <vt:variant>
        <vt:lpwstr>http://www.nevo.co.il/case/23226226</vt:lpwstr>
      </vt:variant>
      <vt:variant>
        <vt:lpwstr/>
      </vt:variant>
      <vt:variant>
        <vt:i4>3539063</vt:i4>
      </vt:variant>
      <vt:variant>
        <vt:i4>54</vt:i4>
      </vt:variant>
      <vt:variant>
        <vt:i4>0</vt:i4>
      </vt:variant>
      <vt:variant>
        <vt:i4>5</vt:i4>
      </vt:variant>
      <vt:variant>
        <vt:lpwstr>http://www.nevo.co.il/case/6051623</vt:lpwstr>
      </vt:variant>
      <vt:variant>
        <vt:lpwstr/>
      </vt:variant>
      <vt:variant>
        <vt:i4>3604607</vt:i4>
      </vt:variant>
      <vt:variant>
        <vt:i4>51</vt:i4>
      </vt:variant>
      <vt:variant>
        <vt:i4>0</vt:i4>
      </vt:variant>
      <vt:variant>
        <vt:i4>5</vt:i4>
      </vt:variant>
      <vt:variant>
        <vt:lpwstr>http://www.nevo.co.il/case/24296610</vt:lpwstr>
      </vt:variant>
      <vt:variant>
        <vt:lpwstr/>
      </vt:variant>
      <vt:variant>
        <vt:i4>3735668</vt:i4>
      </vt:variant>
      <vt:variant>
        <vt:i4>48</vt:i4>
      </vt:variant>
      <vt:variant>
        <vt:i4>0</vt:i4>
      </vt:variant>
      <vt:variant>
        <vt:i4>5</vt:i4>
      </vt:variant>
      <vt:variant>
        <vt:lpwstr>http://www.nevo.co.il/case/24142083</vt:lpwstr>
      </vt:variant>
      <vt:variant>
        <vt:lpwstr/>
      </vt:variant>
      <vt:variant>
        <vt:i4>3342458</vt:i4>
      </vt:variant>
      <vt:variant>
        <vt:i4>45</vt:i4>
      </vt:variant>
      <vt:variant>
        <vt:i4>0</vt:i4>
      </vt:variant>
      <vt:variant>
        <vt:i4>5</vt:i4>
      </vt:variant>
      <vt:variant>
        <vt:lpwstr>http://www.nevo.co.il/case/23647901</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3604607</vt:i4>
      </vt:variant>
      <vt:variant>
        <vt:i4>36</vt:i4>
      </vt:variant>
      <vt:variant>
        <vt:i4>0</vt:i4>
      </vt:variant>
      <vt:variant>
        <vt:i4>5</vt:i4>
      </vt:variant>
      <vt:variant>
        <vt:lpwstr>http://www.nevo.co.il/case/24296610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3735668</vt:i4>
      </vt:variant>
      <vt:variant>
        <vt:i4>27</vt:i4>
      </vt:variant>
      <vt:variant>
        <vt:i4>0</vt:i4>
      </vt:variant>
      <vt:variant>
        <vt:i4>5</vt:i4>
      </vt:variant>
      <vt:variant>
        <vt:lpwstr>http://www.nevo.co.il/case/24142083</vt:lpwstr>
      </vt:variant>
      <vt:variant>
        <vt:lpwstr/>
      </vt:variant>
      <vt:variant>
        <vt:i4>2818148</vt:i4>
      </vt:variant>
      <vt:variant>
        <vt:i4>24</vt:i4>
      </vt:variant>
      <vt:variant>
        <vt:i4>0</vt:i4>
      </vt:variant>
      <vt:variant>
        <vt:i4>5</vt:i4>
      </vt:variant>
      <vt:variant>
        <vt:lpwstr>http://www.nevo.co.il/law/4216/7.b</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2818148</vt:i4>
      </vt:variant>
      <vt:variant>
        <vt:i4>9</vt:i4>
      </vt:variant>
      <vt:variant>
        <vt:i4>0</vt:i4>
      </vt:variant>
      <vt:variant>
        <vt:i4>5</vt:i4>
      </vt:variant>
      <vt:variant>
        <vt:lpwstr>http://www.nevo.co.il/law/4216/7.b</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37379;1142;27508</vt:lpwstr>
  </property>
  <property fmtid="{D5CDD505-2E9C-101B-9397-08002B2CF9AE}" pid="6" name="NEWPARTB">
    <vt:lpwstr>02;05;06</vt:lpwstr>
  </property>
  <property fmtid="{D5CDD505-2E9C-101B-9397-08002B2CF9AE}" pid="7" name="NEWPARTC">
    <vt:lpwstr>18;18;18</vt:lpwstr>
  </property>
  <property fmtid="{D5CDD505-2E9C-101B-9397-08002B2CF9AE}" pid="8" name="APPELLANT">
    <vt:lpwstr>מדינת ישראל</vt:lpwstr>
  </property>
  <property fmtid="{D5CDD505-2E9C-101B-9397-08002B2CF9AE}" pid="9" name="APPELLEE">
    <vt:lpwstr>יעקב משה ועקנין</vt:lpwstr>
  </property>
  <property fmtid="{D5CDD505-2E9C-101B-9397-08002B2CF9AE}" pid="10" name="LAWYER">
    <vt:lpwstr>מור מלכה;ערן ראו;</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20190909</vt:lpwstr>
  </property>
  <property fmtid="{D5CDD505-2E9C-101B-9397-08002B2CF9AE}" pid="14" name="TYPE_N_DATE">
    <vt:lpwstr>38020190909</vt:lpwstr>
  </property>
  <property fmtid="{D5CDD505-2E9C-101B-9397-08002B2CF9AE}" pid="15" name="CASESLISTTMP1">
    <vt:lpwstr>24142083:2;24296610:2;23647901;6051623;23226226;19999565;21017469;19994719;22825009</vt:lpwstr>
  </property>
  <property fmtid="{D5CDD505-2E9C-101B-9397-08002B2CF9AE}" pid="16" name="CASENOTES1">
    <vt:lpwstr>ProcID=279;184&amp;PartA=163879&amp;PartC=18</vt:lpwstr>
  </property>
  <property fmtid="{D5CDD505-2E9C-101B-9397-08002B2CF9AE}" pid="17" name="WORDNUMPAGES">
    <vt:lpwstr>8</vt:lpwstr>
  </property>
  <property fmtid="{D5CDD505-2E9C-101B-9397-08002B2CF9AE}" pid="18" name="TYPE_ABS_DATE">
    <vt:lpwstr>380020190909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4216/006;007.a:3;007.b;007.c:2</vt:lpwstr>
  </property>
</Properties>
</file>