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884A3E" w:rsidRPr="00DD4E32" w14:paraId="5664FD1D" w14:textId="77777777" w:rsidTr="005837EE">
        <w:trPr>
          <w:trHeight w:hRule="exact" w:val="418"/>
          <w:jc w:val="center"/>
        </w:trPr>
        <w:tc>
          <w:tcPr>
            <w:tcW w:w="8721" w:type="dxa"/>
            <w:gridSpan w:val="2"/>
          </w:tcPr>
          <w:p w14:paraId="34AFC6A8" w14:textId="77777777" w:rsidR="00884A3E" w:rsidRPr="00DD4E32" w:rsidRDefault="00884A3E" w:rsidP="005837EE">
            <w:pPr>
              <w:pStyle w:val="a3"/>
              <w:jc w:val="center"/>
              <w:rPr>
                <w:rFonts w:ascii="Tahoma" w:hAnsi="Tahoma" w:cs="Tahoma"/>
                <w:noProof w:val="0"/>
                <w:color w:val="000080"/>
                <w:rtl/>
              </w:rPr>
            </w:pPr>
            <w:bookmarkStart w:id="0" w:name="LastJudge"/>
            <w:r w:rsidRPr="00DD4E32">
              <w:rPr>
                <w:rFonts w:ascii="Tahoma" w:hAnsi="Tahoma" w:cs="Tahoma"/>
                <w:b/>
                <w:bCs/>
                <w:noProof w:val="0"/>
                <w:color w:val="000080"/>
                <w:rtl/>
              </w:rPr>
              <w:t>בית משפט השלום בקריית גת</w:t>
            </w:r>
          </w:p>
        </w:tc>
      </w:tr>
      <w:tr w:rsidR="00884A3E" w:rsidRPr="00DD4E32" w14:paraId="180BB256" w14:textId="77777777" w:rsidTr="005837EE">
        <w:trPr>
          <w:trHeight w:val="337"/>
          <w:jc w:val="center"/>
        </w:trPr>
        <w:tc>
          <w:tcPr>
            <w:tcW w:w="5047" w:type="dxa"/>
          </w:tcPr>
          <w:p w14:paraId="7B4F1274" w14:textId="77777777" w:rsidR="00884A3E" w:rsidRPr="00DD4E32" w:rsidRDefault="00884A3E" w:rsidP="005837EE">
            <w:pPr>
              <w:rPr>
                <w:b/>
                <w:bCs/>
                <w:noProof w:val="0"/>
                <w:sz w:val="26"/>
                <w:szCs w:val="26"/>
                <w:rtl/>
              </w:rPr>
            </w:pPr>
          </w:p>
        </w:tc>
        <w:tc>
          <w:tcPr>
            <w:tcW w:w="3674" w:type="dxa"/>
          </w:tcPr>
          <w:p w14:paraId="2383F2F0" w14:textId="77777777" w:rsidR="00884A3E" w:rsidRPr="00DD4E32" w:rsidRDefault="00884A3E" w:rsidP="005837EE">
            <w:pPr>
              <w:pStyle w:val="a3"/>
              <w:jc w:val="right"/>
              <w:rPr>
                <w:b/>
                <w:bCs/>
                <w:noProof w:val="0"/>
                <w:sz w:val="26"/>
                <w:szCs w:val="26"/>
                <w:rtl/>
              </w:rPr>
            </w:pPr>
            <w:r w:rsidRPr="00DD4E32">
              <w:rPr>
                <w:b/>
                <w:bCs/>
                <w:noProof w:val="0"/>
                <w:sz w:val="26"/>
                <w:szCs w:val="26"/>
                <w:rtl/>
              </w:rPr>
              <w:t>16 יולי 2018</w:t>
            </w:r>
          </w:p>
        </w:tc>
      </w:tr>
      <w:tr w:rsidR="00884A3E" w:rsidRPr="00DD4E32" w14:paraId="74B60337" w14:textId="77777777" w:rsidTr="005837EE">
        <w:trPr>
          <w:trHeight w:val="337"/>
          <w:jc w:val="center"/>
        </w:trPr>
        <w:tc>
          <w:tcPr>
            <w:tcW w:w="8721" w:type="dxa"/>
            <w:gridSpan w:val="2"/>
          </w:tcPr>
          <w:p w14:paraId="13C55C38" w14:textId="77777777" w:rsidR="00884A3E" w:rsidRPr="00DD4E32" w:rsidRDefault="00884A3E" w:rsidP="005837EE">
            <w:pPr>
              <w:rPr>
                <w:b/>
                <w:bCs/>
                <w:noProof w:val="0"/>
                <w:sz w:val="26"/>
                <w:szCs w:val="26"/>
                <w:rtl/>
              </w:rPr>
            </w:pPr>
            <w:r w:rsidRPr="00DD4E32">
              <w:rPr>
                <w:b/>
                <w:bCs/>
                <w:noProof w:val="0"/>
                <w:sz w:val="26"/>
                <w:szCs w:val="26"/>
                <w:rtl/>
              </w:rPr>
              <w:t>ת"פ 42456-02-18 ישראל נ' בנבנשטי</w:t>
            </w:r>
          </w:p>
          <w:p w14:paraId="156F950E" w14:textId="77777777" w:rsidR="00884A3E" w:rsidRPr="00DD4E32" w:rsidRDefault="00884A3E" w:rsidP="005837EE">
            <w:pPr>
              <w:rPr>
                <w:rtl/>
              </w:rPr>
            </w:pPr>
          </w:p>
        </w:tc>
      </w:tr>
    </w:tbl>
    <w:p w14:paraId="05A6399D" w14:textId="77777777" w:rsidR="00884A3E" w:rsidRPr="00DD4E32" w:rsidRDefault="00884A3E" w:rsidP="00884A3E"/>
    <w:tbl>
      <w:tblPr>
        <w:bidiVisual/>
        <w:tblW w:w="0" w:type="auto"/>
        <w:jc w:val="center"/>
        <w:tblLook w:val="0000" w:firstRow="0" w:lastRow="0" w:firstColumn="0" w:lastColumn="0" w:noHBand="0" w:noVBand="0"/>
      </w:tblPr>
      <w:tblGrid>
        <w:gridCol w:w="873"/>
        <w:gridCol w:w="7848"/>
      </w:tblGrid>
      <w:tr w:rsidR="00884A3E" w:rsidRPr="00DD4E32" w14:paraId="4ADC7B7B" w14:textId="77777777" w:rsidTr="005837EE">
        <w:trPr>
          <w:trHeight w:val="337"/>
          <w:jc w:val="center"/>
        </w:trPr>
        <w:tc>
          <w:tcPr>
            <w:tcW w:w="873" w:type="dxa"/>
          </w:tcPr>
          <w:p w14:paraId="54FCED69" w14:textId="77777777" w:rsidR="00884A3E" w:rsidRPr="00DD4E32" w:rsidRDefault="00884A3E" w:rsidP="005837EE">
            <w:pPr>
              <w:tabs>
                <w:tab w:val="left" w:pos="1710"/>
              </w:tabs>
              <w:rPr>
                <w:b/>
                <w:bCs/>
                <w:sz w:val="28"/>
                <w:szCs w:val="28"/>
                <w:rtl/>
              </w:rPr>
            </w:pPr>
            <w:r w:rsidRPr="00DD4E32">
              <w:rPr>
                <w:rFonts w:hint="cs"/>
                <w:b/>
                <w:bCs/>
                <w:sz w:val="28"/>
                <w:szCs w:val="28"/>
                <w:rtl/>
              </w:rPr>
              <w:t>בפני</w:t>
            </w:r>
          </w:p>
        </w:tc>
        <w:tc>
          <w:tcPr>
            <w:tcW w:w="7848" w:type="dxa"/>
          </w:tcPr>
          <w:p w14:paraId="062CC9E3" w14:textId="77777777" w:rsidR="00884A3E" w:rsidRPr="00DD4E32" w:rsidRDefault="00884A3E" w:rsidP="005837EE">
            <w:pPr>
              <w:rPr>
                <w:rFonts w:ascii="Arial" w:hAnsi="Arial"/>
                <w:b/>
                <w:bCs/>
                <w:sz w:val="28"/>
                <w:szCs w:val="28"/>
                <w:rtl/>
              </w:rPr>
            </w:pPr>
            <w:r w:rsidRPr="00DD4E32">
              <w:rPr>
                <w:rFonts w:ascii="Arial" w:hAnsi="Arial" w:hint="cs"/>
                <w:b/>
                <w:bCs/>
                <w:sz w:val="28"/>
                <w:szCs w:val="28"/>
                <w:rtl/>
              </w:rPr>
              <w:t>כב' ה</w:t>
            </w:r>
            <w:r w:rsidRPr="00DD4E32">
              <w:rPr>
                <w:rFonts w:ascii="Arial" w:hAnsi="Arial"/>
                <w:b/>
                <w:bCs/>
                <w:sz w:val="28"/>
                <w:szCs w:val="28"/>
                <w:rtl/>
              </w:rPr>
              <w:t>סגנית נשיאה</w:t>
            </w:r>
            <w:r w:rsidRPr="00DD4E32">
              <w:rPr>
                <w:rFonts w:ascii="Arial" w:hAnsi="Arial" w:hint="cs"/>
                <w:b/>
                <w:bCs/>
                <w:sz w:val="28"/>
                <w:szCs w:val="28"/>
                <w:rtl/>
              </w:rPr>
              <w:t xml:space="preserve">  </w:t>
            </w:r>
            <w:r w:rsidRPr="00DD4E32">
              <w:rPr>
                <w:rFonts w:ascii="Arial" w:hAnsi="Arial"/>
                <w:b/>
                <w:bCs/>
                <w:sz w:val="28"/>
                <w:szCs w:val="28"/>
                <w:rtl/>
              </w:rPr>
              <w:t>נגה שמואלי-מאייר</w:t>
            </w:r>
          </w:p>
          <w:p w14:paraId="7F49BCCA" w14:textId="77777777" w:rsidR="00884A3E" w:rsidRPr="00DD4E32" w:rsidRDefault="00884A3E" w:rsidP="005837EE">
            <w:pPr>
              <w:tabs>
                <w:tab w:val="left" w:pos="1710"/>
              </w:tabs>
              <w:rPr>
                <w:rtl/>
              </w:rPr>
            </w:pPr>
          </w:p>
        </w:tc>
      </w:tr>
    </w:tbl>
    <w:p w14:paraId="0779FF52" w14:textId="77777777" w:rsidR="00884A3E" w:rsidRPr="00DD4E32" w:rsidRDefault="00884A3E" w:rsidP="00884A3E">
      <w:pPr>
        <w:pStyle w:val="a3"/>
        <w:rPr>
          <w:noProof w:val="0"/>
          <w:rtl/>
        </w:rPr>
      </w:pPr>
      <w:r w:rsidRPr="00DD4E32">
        <w:rPr>
          <w:noProof w:val="0"/>
          <w:rtl/>
        </w:rPr>
        <w:t xml:space="preserve"> </w:t>
      </w:r>
    </w:p>
    <w:p w14:paraId="6E4493E6" w14:textId="77777777" w:rsidR="00884A3E" w:rsidRPr="00DD4E32" w:rsidRDefault="00884A3E" w:rsidP="00884A3E">
      <w:pPr>
        <w:spacing w:line="360" w:lineRule="auto"/>
        <w:jc w:val="both"/>
        <w:rPr>
          <w:rtl/>
        </w:rPr>
      </w:pPr>
    </w:p>
    <w:tbl>
      <w:tblPr>
        <w:bidiVisual/>
        <w:tblW w:w="8820" w:type="dxa"/>
        <w:jc w:val="center"/>
        <w:tblLook w:val="01E0" w:firstRow="1" w:lastRow="1" w:firstColumn="1" w:lastColumn="1" w:noHBand="0" w:noVBand="0"/>
      </w:tblPr>
      <w:tblGrid>
        <w:gridCol w:w="5603"/>
        <w:gridCol w:w="3217"/>
      </w:tblGrid>
      <w:tr w:rsidR="00884A3E" w:rsidRPr="00DD4E32" w14:paraId="5852ECEB" w14:textId="77777777" w:rsidTr="00884A3E">
        <w:trPr>
          <w:jc w:val="center"/>
        </w:trPr>
        <w:tc>
          <w:tcPr>
            <w:tcW w:w="5603" w:type="dxa"/>
            <w:shd w:val="clear" w:color="auto" w:fill="auto"/>
          </w:tcPr>
          <w:p w14:paraId="57EAD7B6" w14:textId="77777777" w:rsidR="00884A3E" w:rsidRPr="00DD4E32" w:rsidRDefault="00884A3E" w:rsidP="00884A3E">
            <w:pPr>
              <w:spacing w:line="360" w:lineRule="auto"/>
              <w:jc w:val="both"/>
              <w:rPr>
                <w:b/>
                <w:bCs/>
                <w:noProof w:val="0"/>
                <w:sz w:val="28"/>
                <w:szCs w:val="28"/>
                <w:rtl/>
              </w:rPr>
            </w:pPr>
            <w:bookmarkStart w:id="1" w:name="FirstAppellant"/>
            <w:bookmarkStart w:id="2" w:name="FirstLawyer"/>
            <w:r w:rsidRPr="00DD4E32">
              <w:rPr>
                <w:rFonts w:ascii="Arial" w:hAnsi="Arial" w:hint="cs"/>
                <w:b/>
                <w:bCs/>
                <w:noProof w:val="0"/>
                <w:sz w:val="28"/>
                <w:szCs w:val="28"/>
                <w:rtl/>
              </w:rPr>
              <w:t>מדינת ישראל</w:t>
            </w:r>
          </w:p>
          <w:p w14:paraId="67625661" w14:textId="77777777" w:rsidR="00884A3E" w:rsidRPr="00DD4E32" w:rsidRDefault="00884A3E" w:rsidP="00884A3E">
            <w:pPr>
              <w:spacing w:line="360" w:lineRule="auto"/>
              <w:jc w:val="both"/>
              <w:rPr>
                <w:b/>
                <w:bCs/>
                <w:noProof w:val="0"/>
                <w:sz w:val="28"/>
                <w:szCs w:val="28"/>
                <w:rtl/>
              </w:rPr>
            </w:pPr>
            <w:r w:rsidRPr="00DD4E32">
              <w:rPr>
                <w:rFonts w:hint="cs"/>
                <w:b/>
                <w:bCs/>
                <w:noProof w:val="0"/>
                <w:sz w:val="28"/>
                <w:szCs w:val="28"/>
                <w:rtl/>
              </w:rPr>
              <w:t>באמצעות תביעות לכיש</w:t>
            </w:r>
          </w:p>
          <w:p w14:paraId="4298AB58" w14:textId="77777777" w:rsidR="00884A3E" w:rsidRPr="00DD4E32" w:rsidRDefault="00884A3E" w:rsidP="00884A3E">
            <w:pPr>
              <w:spacing w:line="360" w:lineRule="auto"/>
              <w:jc w:val="both"/>
              <w:rPr>
                <w:b/>
                <w:bCs/>
                <w:sz w:val="28"/>
                <w:szCs w:val="28"/>
                <w:rtl/>
              </w:rPr>
            </w:pPr>
            <w:r w:rsidRPr="00DD4E32">
              <w:rPr>
                <w:rFonts w:hint="cs"/>
                <w:b/>
                <w:bCs/>
                <w:sz w:val="28"/>
                <w:szCs w:val="28"/>
                <w:rtl/>
              </w:rPr>
              <w:t>ע"י ב"כ עו"ד ליאורה זמיר - נוכחת</w:t>
            </w:r>
          </w:p>
        </w:tc>
        <w:tc>
          <w:tcPr>
            <w:tcW w:w="3217" w:type="dxa"/>
            <w:shd w:val="clear" w:color="auto" w:fill="auto"/>
          </w:tcPr>
          <w:p w14:paraId="75F21C38" w14:textId="77777777" w:rsidR="00884A3E" w:rsidRPr="00DD4E32" w:rsidRDefault="00884A3E" w:rsidP="00884A3E">
            <w:pPr>
              <w:bidi w:val="0"/>
              <w:spacing w:line="360" w:lineRule="auto"/>
              <w:jc w:val="right"/>
              <w:rPr>
                <w:rFonts w:ascii="Arial" w:hAnsi="Arial"/>
                <w:b/>
                <w:bCs/>
                <w:noProof w:val="0"/>
                <w:sz w:val="28"/>
                <w:szCs w:val="28"/>
                <w:rtl/>
              </w:rPr>
            </w:pPr>
            <w:r w:rsidRPr="00DD4E32">
              <w:rPr>
                <w:rFonts w:ascii="Arial" w:hAnsi="Arial" w:hint="cs"/>
                <w:b/>
                <w:bCs/>
                <w:noProof w:val="0"/>
                <w:sz w:val="28"/>
                <w:szCs w:val="28"/>
                <w:rtl/>
              </w:rPr>
              <w:t>ה</w:t>
            </w:r>
            <w:r w:rsidRPr="00DD4E32">
              <w:rPr>
                <w:rFonts w:ascii="Arial" w:hAnsi="Arial"/>
                <w:b/>
                <w:bCs/>
                <w:noProof w:val="0"/>
                <w:sz w:val="28"/>
                <w:szCs w:val="28"/>
                <w:rtl/>
              </w:rPr>
              <w:t>מאשימה</w:t>
            </w:r>
          </w:p>
          <w:p w14:paraId="64317499" w14:textId="77777777" w:rsidR="00884A3E" w:rsidRPr="00DD4E32" w:rsidRDefault="00884A3E" w:rsidP="00884A3E">
            <w:pPr>
              <w:spacing w:line="360" w:lineRule="auto"/>
              <w:jc w:val="both"/>
              <w:rPr>
                <w:b/>
                <w:bCs/>
                <w:noProof w:val="0"/>
                <w:sz w:val="26"/>
                <w:szCs w:val="26"/>
                <w:rtl/>
              </w:rPr>
            </w:pPr>
          </w:p>
        </w:tc>
      </w:tr>
      <w:bookmarkEnd w:id="1"/>
      <w:bookmarkEnd w:id="2"/>
      <w:tr w:rsidR="00884A3E" w:rsidRPr="00DD4E32" w14:paraId="45D2667C" w14:textId="77777777" w:rsidTr="00884A3E">
        <w:trPr>
          <w:jc w:val="center"/>
        </w:trPr>
        <w:tc>
          <w:tcPr>
            <w:tcW w:w="8820" w:type="dxa"/>
            <w:gridSpan w:val="2"/>
            <w:shd w:val="clear" w:color="auto" w:fill="auto"/>
          </w:tcPr>
          <w:p w14:paraId="0057DD53" w14:textId="77777777" w:rsidR="00884A3E" w:rsidRPr="00DD4E32" w:rsidRDefault="00884A3E" w:rsidP="00884A3E">
            <w:pPr>
              <w:spacing w:line="360" w:lineRule="auto"/>
              <w:jc w:val="center"/>
              <w:rPr>
                <w:rFonts w:ascii="Arial" w:hAnsi="Arial"/>
                <w:b/>
                <w:bCs/>
                <w:noProof w:val="0"/>
                <w:sz w:val="28"/>
                <w:szCs w:val="28"/>
              </w:rPr>
            </w:pPr>
            <w:r w:rsidRPr="00DD4E32">
              <w:rPr>
                <w:rFonts w:ascii="Arial" w:hAnsi="Arial"/>
                <w:b/>
                <w:bCs/>
                <w:noProof w:val="0"/>
                <w:sz w:val="28"/>
                <w:szCs w:val="28"/>
                <w:rtl/>
              </w:rPr>
              <w:t>נ</w:t>
            </w:r>
            <w:r w:rsidRPr="00DD4E32">
              <w:rPr>
                <w:rFonts w:ascii="Arial" w:hAnsi="Arial" w:hint="cs"/>
                <w:b/>
                <w:bCs/>
                <w:noProof w:val="0"/>
                <w:sz w:val="28"/>
                <w:szCs w:val="28"/>
                <w:rtl/>
              </w:rPr>
              <w:t xml:space="preserve"> </w:t>
            </w:r>
            <w:r w:rsidRPr="00DD4E32">
              <w:rPr>
                <w:rFonts w:ascii="Arial" w:hAnsi="Arial"/>
                <w:b/>
                <w:bCs/>
                <w:noProof w:val="0"/>
                <w:sz w:val="28"/>
                <w:szCs w:val="28"/>
                <w:rtl/>
              </w:rPr>
              <w:t>ג</w:t>
            </w:r>
            <w:r w:rsidRPr="00DD4E32">
              <w:rPr>
                <w:rFonts w:ascii="Arial" w:hAnsi="Arial" w:hint="cs"/>
                <w:b/>
                <w:bCs/>
                <w:noProof w:val="0"/>
                <w:sz w:val="28"/>
                <w:szCs w:val="28"/>
                <w:rtl/>
              </w:rPr>
              <w:t xml:space="preserve"> </w:t>
            </w:r>
            <w:r w:rsidRPr="00DD4E32">
              <w:rPr>
                <w:rFonts w:ascii="Arial" w:hAnsi="Arial"/>
                <w:b/>
                <w:bCs/>
                <w:noProof w:val="0"/>
                <w:sz w:val="28"/>
                <w:szCs w:val="28"/>
                <w:rtl/>
              </w:rPr>
              <w:t>ד</w:t>
            </w:r>
          </w:p>
        </w:tc>
      </w:tr>
      <w:tr w:rsidR="00884A3E" w:rsidRPr="00DD4E32" w14:paraId="5CBE33E3" w14:textId="77777777" w:rsidTr="00884A3E">
        <w:trPr>
          <w:jc w:val="center"/>
        </w:trPr>
        <w:tc>
          <w:tcPr>
            <w:tcW w:w="5603" w:type="dxa"/>
            <w:shd w:val="clear" w:color="auto" w:fill="auto"/>
          </w:tcPr>
          <w:p w14:paraId="33B278C4" w14:textId="77777777" w:rsidR="00884A3E" w:rsidRPr="00DD4E32" w:rsidRDefault="00884A3E" w:rsidP="00884A3E">
            <w:pPr>
              <w:spacing w:line="360" w:lineRule="auto"/>
              <w:jc w:val="both"/>
            </w:pPr>
            <w:r w:rsidRPr="00DD4E32">
              <w:rPr>
                <w:rFonts w:ascii="Arial" w:hAnsi="Arial" w:hint="cs"/>
                <w:b/>
                <w:bCs/>
                <w:noProof w:val="0"/>
                <w:sz w:val="28"/>
                <w:szCs w:val="28"/>
                <w:rtl/>
              </w:rPr>
              <w:t xml:space="preserve">שי צ'לבון בנבנשטי </w:t>
            </w:r>
            <w:r w:rsidRPr="00DD4E32">
              <w:rPr>
                <w:rFonts w:ascii="Arial" w:hAnsi="Arial"/>
                <w:b/>
                <w:bCs/>
                <w:noProof w:val="0"/>
                <w:sz w:val="28"/>
                <w:szCs w:val="28"/>
                <w:rtl/>
              </w:rPr>
              <w:t>–</w:t>
            </w:r>
            <w:r w:rsidRPr="00DD4E32">
              <w:rPr>
                <w:rFonts w:ascii="Arial" w:hAnsi="Arial" w:hint="cs"/>
                <w:b/>
                <w:bCs/>
                <w:noProof w:val="0"/>
                <w:sz w:val="28"/>
                <w:szCs w:val="28"/>
                <w:rtl/>
              </w:rPr>
              <w:t xml:space="preserve"> נוכח</w:t>
            </w:r>
          </w:p>
          <w:p w14:paraId="60CFD7A2" w14:textId="77777777" w:rsidR="00884A3E" w:rsidRPr="00DD4E32" w:rsidRDefault="00884A3E" w:rsidP="00884A3E">
            <w:pPr>
              <w:spacing w:line="360" w:lineRule="auto"/>
              <w:jc w:val="both"/>
              <w:rPr>
                <w:b/>
                <w:bCs/>
                <w:noProof w:val="0"/>
                <w:sz w:val="28"/>
                <w:szCs w:val="28"/>
                <w:rtl/>
              </w:rPr>
            </w:pPr>
            <w:r w:rsidRPr="00DD4E32">
              <w:rPr>
                <w:rFonts w:hint="cs"/>
                <w:b/>
                <w:bCs/>
                <w:sz w:val="28"/>
                <w:szCs w:val="28"/>
                <w:rtl/>
              </w:rPr>
              <w:t xml:space="preserve">ע"י ב"כ עו"ד שרון וקנין </w:t>
            </w:r>
            <w:r w:rsidRPr="00DD4E32">
              <w:rPr>
                <w:b/>
                <w:bCs/>
                <w:sz w:val="28"/>
                <w:szCs w:val="28"/>
                <w:rtl/>
              </w:rPr>
              <w:t>–</w:t>
            </w:r>
            <w:r w:rsidRPr="00DD4E32">
              <w:rPr>
                <w:rFonts w:hint="cs"/>
                <w:b/>
                <w:bCs/>
                <w:sz w:val="28"/>
                <w:szCs w:val="28"/>
                <w:rtl/>
              </w:rPr>
              <w:t xml:space="preserve"> נוכח</w:t>
            </w:r>
          </w:p>
        </w:tc>
        <w:tc>
          <w:tcPr>
            <w:tcW w:w="3217" w:type="dxa"/>
            <w:shd w:val="clear" w:color="auto" w:fill="auto"/>
          </w:tcPr>
          <w:p w14:paraId="2090594A" w14:textId="77777777" w:rsidR="00884A3E" w:rsidRPr="00DD4E32" w:rsidRDefault="00884A3E" w:rsidP="00884A3E">
            <w:pPr>
              <w:spacing w:line="360" w:lineRule="auto"/>
              <w:jc w:val="both"/>
              <w:rPr>
                <w:b/>
                <w:bCs/>
                <w:noProof w:val="0"/>
                <w:sz w:val="28"/>
                <w:szCs w:val="28"/>
                <w:rtl/>
              </w:rPr>
            </w:pPr>
            <w:r w:rsidRPr="00DD4E32">
              <w:rPr>
                <w:rFonts w:ascii="Arial" w:hAnsi="Arial" w:hint="cs"/>
                <w:b/>
                <w:bCs/>
                <w:noProof w:val="0"/>
                <w:sz w:val="28"/>
                <w:szCs w:val="28"/>
                <w:rtl/>
              </w:rPr>
              <w:t>ה</w:t>
            </w:r>
            <w:r w:rsidRPr="00DD4E32">
              <w:rPr>
                <w:rFonts w:ascii="Arial" w:hAnsi="Arial"/>
                <w:b/>
                <w:bCs/>
                <w:noProof w:val="0"/>
                <w:sz w:val="28"/>
                <w:szCs w:val="28"/>
                <w:rtl/>
              </w:rPr>
              <w:t>נאשם</w:t>
            </w:r>
          </w:p>
        </w:tc>
      </w:tr>
      <w:tr w:rsidR="00884A3E" w:rsidRPr="001F3CA0" w14:paraId="77313517" w14:textId="77777777" w:rsidTr="00884A3E">
        <w:trPr>
          <w:jc w:val="center"/>
        </w:trPr>
        <w:tc>
          <w:tcPr>
            <w:tcW w:w="8820" w:type="dxa"/>
            <w:gridSpan w:val="2"/>
            <w:shd w:val="clear" w:color="auto" w:fill="auto"/>
          </w:tcPr>
          <w:p w14:paraId="07D97AAA" w14:textId="77777777" w:rsidR="007C1032" w:rsidRDefault="007C1032" w:rsidP="00DD4E32">
            <w:pPr>
              <w:bidi w:val="0"/>
              <w:spacing w:line="360" w:lineRule="auto"/>
              <w:jc w:val="center"/>
              <w:rPr>
                <w:rFonts w:ascii="Arial" w:hAnsi="Arial"/>
                <w:noProof w:val="0"/>
                <w:sz w:val="32"/>
                <w:szCs w:val="32"/>
              </w:rPr>
            </w:pPr>
            <w:bookmarkStart w:id="3" w:name="PsakDin" w:colFirst="0" w:colLast="0"/>
            <w:bookmarkStart w:id="4" w:name="LawTable"/>
            <w:bookmarkEnd w:id="0"/>
            <w:bookmarkEnd w:id="4"/>
          </w:p>
          <w:p w14:paraId="3D436E27" w14:textId="77777777" w:rsidR="007C1032" w:rsidRPr="007C1032" w:rsidRDefault="007C1032" w:rsidP="007C1032">
            <w:pPr>
              <w:bidi w:val="0"/>
              <w:spacing w:after="120" w:line="240" w:lineRule="exact"/>
              <w:ind w:left="283" w:hanging="283"/>
              <w:jc w:val="both"/>
              <w:rPr>
                <w:rFonts w:ascii="FrankRuehl" w:hAnsi="FrankRuehl" w:cs="FrankRuehl"/>
                <w:noProof w:val="0"/>
              </w:rPr>
            </w:pPr>
          </w:p>
          <w:p w14:paraId="5EE58FF4" w14:textId="77777777" w:rsidR="007C1032" w:rsidRPr="007C1032" w:rsidRDefault="007C1032" w:rsidP="007C1032">
            <w:pPr>
              <w:bidi w:val="0"/>
              <w:spacing w:after="120" w:line="240" w:lineRule="exact"/>
              <w:ind w:left="283" w:hanging="283"/>
              <w:jc w:val="both"/>
              <w:rPr>
                <w:rFonts w:ascii="FrankRuehl" w:hAnsi="FrankRuehl" w:cs="FrankRuehl"/>
                <w:noProof w:val="0"/>
              </w:rPr>
            </w:pPr>
            <w:r w:rsidRPr="007C1032">
              <w:rPr>
                <w:rFonts w:ascii="FrankRuehl" w:hAnsi="FrankRuehl" w:cs="FrankRuehl"/>
                <w:noProof w:val="0"/>
                <w:rtl/>
              </w:rPr>
              <w:t>חקיקה שאוזכרה</w:t>
            </w:r>
            <w:r w:rsidRPr="007C1032">
              <w:rPr>
                <w:rFonts w:ascii="FrankRuehl" w:hAnsi="FrankRuehl" w:cs="FrankRuehl"/>
                <w:noProof w:val="0"/>
              </w:rPr>
              <w:t xml:space="preserve">: </w:t>
            </w:r>
          </w:p>
          <w:p w14:paraId="27D06FEA" w14:textId="77777777" w:rsidR="007C1032" w:rsidRPr="007C1032" w:rsidRDefault="007C1032" w:rsidP="007C1032">
            <w:pPr>
              <w:bidi w:val="0"/>
              <w:spacing w:after="120" w:line="240" w:lineRule="exact"/>
              <w:ind w:left="283" w:hanging="283"/>
              <w:jc w:val="both"/>
              <w:rPr>
                <w:rFonts w:ascii="FrankRuehl" w:hAnsi="FrankRuehl" w:cs="FrankRuehl"/>
                <w:noProof w:val="0"/>
              </w:rPr>
            </w:pPr>
            <w:hyperlink r:id="rId7" w:history="1">
              <w:r w:rsidRPr="007C1032">
                <w:rPr>
                  <w:rFonts w:ascii="FrankRuehl" w:hAnsi="FrankRuehl" w:cs="FrankRuehl"/>
                  <w:noProof w:val="0"/>
                  <w:color w:val="0000FF"/>
                  <w:u w:val="single"/>
                  <w:rtl/>
                </w:rPr>
                <w:t>פקודת הסמים המסוכנים [נוסח חדש], תשל"ג-1973</w:t>
              </w:r>
            </w:hyperlink>
            <w:r w:rsidRPr="007C1032">
              <w:rPr>
                <w:rFonts w:ascii="FrankRuehl" w:hAnsi="FrankRuehl" w:cs="FrankRuehl"/>
                <w:noProof w:val="0"/>
              </w:rPr>
              <w:t xml:space="preserve">: </w:t>
            </w:r>
            <w:r w:rsidRPr="007C1032">
              <w:rPr>
                <w:rFonts w:ascii="FrankRuehl" w:hAnsi="FrankRuehl" w:cs="FrankRuehl"/>
                <w:noProof w:val="0"/>
                <w:rtl/>
              </w:rPr>
              <w:t>סע</w:t>
            </w:r>
            <w:r w:rsidRPr="007C1032">
              <w:rPr>
                <w:rFonts w:ascii="FrankRuehl" w:hAnsi="FrankRuehl" w:cs="FrankRuehl"/>
                <w:noProof w:val="0"/>
              </w:rPr>
              <w:t xml:space="preserve">'  </w:t>
            </w:r>
            <w:hyperlink r:id="rId8" w:history="1">
              <w:r w:rsidRPr="007C1032">
                <w:rPr>
                  <w:rFonts w:ascii="FrankRuehl" w:hAnsi="FrankRuehl" w:cs="FrankRuehl"/>
                  <w:noProof w:val="0"/>
                  <w:color w:val="0000FF"/>
                  <w:u w:val="single"/>
                </w:rPr>
                <w:t>7.</w:t>
              </w:r>
              <w:r w:rsidRPr="007C1032">
                <w:rPr>
                  <w:rFonts w:ascii="FrankRuehl" w:hAnsi="FrankRuehl" w:cs="FrankRuehl"/>
                  <w:noProof w:val="0"/>
                  <w:color w:val="0000FF"/>
                  <w:u w:val="single"/>
                  <w:rtl/>
                </w:rPr>
                <w:t>א</w:t>
              </w:r>
              <w:r w:rsidRPr="007C1032">
                <w:rPr>
                  <w:rFonts w:ascii="FrankRuehl" w:hAnsi="FrankRuehl" w:cs="FrankRuehl"/>
                  <w:noProof w:val="0"/>
                  <w:color w:val="0000FF"/>
                  <w:u w:val="single"/>
                </w:rPr>
                <w:t>.</w:t>
              </w:r>
            </w:hyperlink>
            <w:r w:rsidRPr="007C1032">
              <w:rPr>
                <w:rFonts w:ascii="FrankRuehl" w:hAnsi="FrankRuehl" w:cs="FrankRuehl"/>
                <w:noProof w:val="0"/>
              </w:rPr>
              <w:t xml:space="preserve">, </w:t>
            </w:r>
            <w:hyperlink r:id="rId9" w:history="1">
              <w:r w:rsidRPr="007C1032">
                <w:rPr>
                  <w:rFonts w:ascii="FrankRuehl" w:hAnsi="FrankRuehl" w:cs="FrankRuehl"/>
                  <w:noProof w:val="0"/>
                  <w:color w:val="0000FF"/>
                  <w:u w:val="single"/>
                </w:rPr>
                <w:t>7.</w:t>
              </w:r>
              <w:r w:rsidRPr="007C1032">
                <w:rPr>
                  <w:rFonts w:ascii="FrankRuehl" w:hAnsi="FrankRuehl" w:cs="FrankRuehl"/>
                  <w:noProof w:val="0"/>
                  <w:color w:val="0000FF"/>
                  <w:u w:val="single"/>
                  <w:rtl/>
                </w:rPr>
                <w:t>ג</w:t>
              </w:r>
            </w:hyperlink>
          </w:p>
          <w:p w14:paraId="0262298C" w14:textId="77777777" w:rsidR="007C1032" w:rsidRPr="007C1032" w:rsidRDefault="007C1032" w:rsidP="007C1032">
            <w:pPr>
              <w:bidi w:val="0"/>
              <w:spacing w:after="120" w:line="240" w:lineRule="exact"/>
              <w:ind w:left="283" w:hanging="283"/>
              <w:jc w:val="both"/>
              <w:rPr>
                <w:rFonts w:ascii="FrankRuehl" w:hAnsi="FrankRuehl" w:cs="FrankRuehl"/>
                <w:noProof w:val="0"/>
              </w:rPr>
            </w:pPr>
            <w:hyperlink r:id="rId10" w:history="1">
              <w:r w:rsidRPr="007C1032">
                <w:rPr>
                  <w:rFonts w:ascii="FrankRuehl" w:hAnsi="FrankRuehl" w:cs="FrankRuehl"/>
                  <w:noProof w:val="0"/>
                  <w:color w:val="0000FF"/>
                  <w:u w:val="single"/>
                  <w:rtl/>
                </w:rPr>
                <w:t>חוק העונשין, תשל"ז-1977</w:t>
              </w:r>
            </w:hyperlink>
            <w:r w:rsidRPr="007C1032">
              <w:rPr>
                <w:rFonts w:ascii="FrankRuehl" w:hAnsi="FrankRuehl" w:cs="FrankRuehl"/>
                <w:noProof w:val="0"/>
              </w:rPr>
              <w:t xml:space="preserve">: </w:t>
            </w:r>
            <w:r w:rsidRPr="007C1032">
              <w:rPr>
                <w:rFonts w:ascii="FrankRuehl" w:hAnsi="FrankRuehl" w:cs="FrankRuehl"/>
                <w:noProof w:val="0"/>
                <w:rtl/>
              </w:rPr>
              <w:t>סע</w:t>
            </w:r>
            <w:r w:rsidRPr="007C1032">
              <w:rPr>
                <w:rFonts w:ascii="FrankRuehl" w:hAnsi="FrankRuehl" w:cs="FrankRuehl"/>
                <w:noProof w:val="0"/>
              </w:rPr>
              <w:t xml:space="preserve">'  </w:t>
            </w:r>
            <w:hyperlink r:id="rId11" w:history="1">
              <w:r w:rsidRPr="007C1032">
                <w:rPr>
                  <w:rFonts w:ascii="FrankRuehl" w:hAnsi="FrankRuehl" w:cs="FrankRuehl"/>
                  <w:noProof w:val="0"/>
                  <w:color w:val="0000FF"/>
                  <w:u w:val="single"/>
                </w:rPr>
                <w:t>40</w:t>
              </w:r>
              <w:r w:rsidRPr="007C1032">
                <w:rPr>
                  <w:rFonts w:ascii="FrankRuehl" w:hAnsi="FrankRuehl" w:cs="FrankRuehl"/>
                  <w:noProof w:val="0"/>
                  <w:color w:val="0000FF"/>
                  <w:u w:val="single"/>
                  <w:rtl/>
                </w:rPr>
                <w:t>ג(א)</w:t>
              </w:r>
            </w:hyperlink>
            <w:r w:rsidRPr="007C1032">
              <w:rPr>
                <w:rFonts w:ascii="FrankRuehl" w:hAnsi="FrankRuehl" w:cs="FrankRuehl"/>
                <w:noProof w:val="0"/>
              </w:rPr>
              <w:t xml:space="preserve">, </w:t>
            </w:r>
            <w:hyperlink r:id="rId12" w:history="1">
              <w:r w:rsidRPr="007C1032">
                <w:rPr>
                  <w:rFonts w:ascii="FrankRuehl" w:hAnsi="FrankRuehl" w:cs="FrankRuehl"/>
                  <w:noProof w:val="0"/>
                  <w:color w:val="0000FF"/>
                  <w:u w:val="single"/>
                </w:rPr>
                <w:t>40</w:t>
              </w:r>
              <w:r w:rsidRPr="007C1032">
                <w:rPr>
                  <w:rFonts w:ascii="FrankRuehl" w:hAnsi="FrankRuehl" w:cs="FrankRuehl"/>
                  <w:noProof w:val="0"/>
                  <w:color w:val="0000FF"/>
                  <w:u w:val="single"/>
                  <w:rtl/>
                </w:rPr>
                <w:t>ג(ב)</w:t>
              </w:r>
            </w:hyperlink>
            <w:r w:rsidRPr="007C1032">
              <w:rPr>
                <w:rFonts w:ascii="FrankRuehl" w:hAnsi="FrankRuehl" w:cs="FrankRuehl"/>
                <w:noProof w:val="0"/>
              </w:rPr>
              <w:t xml:space="preserve">, </w:t>
            </w:r>
            <w:hyperlink r:id="rId13" w:history="1">
              <w:r w:rsidRPr="007C1032">
                <w:rPr>
                  <w:rFonts w:ascii="FrankRuehl" w:hAnsi="FrankRuehl" w:cs="FrankRuehl"/>
                  <w:noProof w:val="0"/>
                  <w:color w:val="0000FF"/>
                  <w:u w:val="single"/>
                </w:rPr>
                <w:t>40</w:t>
              </w:r>
              <w:r w:rsidRPr="007C1032">
                <w:rPr>
                  <w:rFonts w:ascii="FrankRuehl" w:hAnsi="FrankRuehl" w:cs="FrankRuehl"/>
                  <w:noProof w:val="0"/>
                  <w:color w:val="0000FF"/>
                  <w:u w:val="single"/>
                  <w:rtl/>
                </w:rPr>
                <w:t>ד(א)</w:t>
              </w:r>
            </w:hyperlink>
            <w:r w:rsidRPr="007C1032">
              <w:rPr>
                <w:rFonts w:ascii="FrankRuehl" w:hAnsi="FrankRuehl" w:cs="FrankRuehl"/>
                <w:noProof w:val="0"/>
              </w:rPr>
              <w:t xml:space="preserve">, </w:t>
            </w:r>
            <w:hyperlink r:id="rId14" w:history="1">
              <w:r w:rsidRPr="007C1032">
                <w:rPr>
                  <w:rFonts w:ascii="FrankRuehl" w:hAnsi="FrankRuehl" w:cs="FrankRuehl"/>
                  <w:noProof w:val="0"/>
                  <w:color w:val="0000FF"/>
                  <w:u w:val="single"/>
                </w:rPr>
                <w:t>40</w:t>
              </w:r>
              <w:r w:rsidRPr="007C1032">
                <w:rPr>
                  <w:rFonts w:ascii="FrankRuehl" w:hAnsi="FrankRuehl" w:cs="FrankRuehl"/>
                  <w:noProof w:val="0"/>
                  <w:color w:val="0000FF"/>
                  <w:u w:val="single"/>
                  <w:rtl/>
                </w:rPr>
                <w:t>יא</w:t>
              </w:r>
            </w:hyperlink>
            <w:r w:rsidRPr="007C1032">
              <w:rPr>
                <w:rFonts w:ascii="FrankRuehl" w:hAnsi="FrankRuehl" w:cs="FrankRuehl"/>
                <w:noProof w:val="0"/>
              </w:rPr>
              <w:t xml:space="preserve">, </w:t>
            </w:r>
            <w:hyperlink r:id="rId15" w:history="1">
              <w:r w:rsidRPr="007C1032">
                <w:rPr>
                  <w:rFonts w:ascii="FrankRuehl" w:hAnsi="FrankRuehl" w:cs="FrankRuehl"/>
                  <w:noProof w:val="0"/>
                  <w:color w:val="0000FF"/>
                  <w:u w:val="single"/>
                </w:rPr>
                <w:t>40</w:t>
              </w:r>
              <w:r w:rsidRPr="007C1032">
                <w:rPr>
                  <w:rFonts w:ascii="FrankRuehl" w:hAnsi="FrankRuehl" w:cs="FrankRuehl"/>
                  <w:noProof w:val="0"/>
                  <w:color w:val="0000FF"/>
                  <w:u w:val="single"/>
                  <w:rtl/>
                </w:rPr>
                <w:t>יא</w:t>
              </w:r>
              <w:r w:rsidRPr="007C1032">
                <w:rPr>
                  <w:rFonts w:ascii="FrankRuehl" w:hAnsi="FrankRuehl" w:cs="FrankRuehl"/>
                  <w:noProof w:val="0"/>
                  <w:color w:val="0000FF"/>
                  <w:u w:val="single"/>
                </w:rPr>
                <w:t>(3)</w:t>
              </w:r>
            </w:hyperlink>
          </w:p>
          <w:p w14:paraId="0AE0828E" w14:textId="77777777" w:rsidR="007C1032" w:rsidRPr="007C1032" w:rsidRDefault="007C1032" w:rsidP="007C1032">
            <w:pPr>
              <w:bidi w:val="0"/>
              <w:spacing w:after="120" w:line="240" w:lineRule="exact"/>
              <w:ind w:left="283" w:hanging="283"/>
              <w:jc w:val="both"/>
              <w:rPr>
                <w:rFonts w:ascii="FrankRuehl" w:hAnsi="FrankRuehl" w:cs="FrankRuehl"/>
                <w:noProof w:val="0"/>
              </w:rPr>
            </w:pPr>
          </w:p>
          <w:p w14:paraId="61FD38E2" w14:textId="77777777" w:rsidR="007C1032" w:rsidRPr="007C1032" w:rsidRDefault="007C1032" w:rsidP="00DD4E32">
            <w:pPr>
              <w:bidi w:val="0"/>
              <w:spacing w:line="360" w:lineRule="auto"/>
              <w:jc w:val="center"/>
              <w:rPr>
                <w:rFonts w:ascii="Arial" w:hAnsi="Arial"/>
                <w:noProof w:val="0"/>
                <w:sz w:val="32"/>
                <w:szCs w:val="32"/>
              </w:rPr>
            </w:pPr>
            <w:bookmarkStart w:id="5" w:name="LawTable_End"/>
            <w:bookmarkEnd w:id="5"/>
          </w:p>
          <w:p w14:paraId="4A7C28E2" w14:textId="77777777" w:rsidR="007C1032" w:rsidRPr="007C1032" w:rsidRDefault="007C1032" w:rsidP="00DD4E32">
            <w:pPr>
              <w:bidi w:val="0"/>
              <w:spacing w:line="360" w:lineRule="auto"/>
              <w:jc w:val="center"/>
              <w:rPr>
                <w:rFonts w:ascii="Arial" w:hAnsi="Arial"/>
                <w:noProof w:val="0"/>
                <w:sz w:val="32"/>
                <w:szCs w:val="32"/>
                <w:rtl/>
              </w:rPr>
            </w:pPr>
          </w:p>
          <w:p w14:paraId="18393B26" w14:textId="77777777" w:rsidR="00DD4E32" w:rsidRPr="00DD4E32" w:rsidRDefault="00DD4E32" w:rsidP="00DD4E32">
            <w:pPr>
              <w:bidi w:val="0"/>
              <w:spacing w:line="360" w:lineRule="auto"/>
              <w:jc w:val="center"/>
              <w:rPr>
                <w:rFonts w:ascii="Arial" w:hAnsi="Arial"/>
                <w:b/>
                <w:bCs/>
                <w:noProof w:val="0"/>
                <w:sz w:val="32"/>
                <w:szCs w:val="32"/>
                <w:u w:val="single"/>
                <w:rtl/>
              </w:rPr>
            </w:pPr>
            <w:r w:rsidRPr="00DD4E32">
              <w:rPr>
                <w:rFonts w:ascii="Arial" w:hAnsi="Arial"/>
                <w:b/>
                <w:bCs/>
                <w:noProof w:val="0"/>
                <w:sz w:val="32"/>
                <w:szCs w:val="32"/>
                <w:u w:val="single"/>
                <w:rtl/>
              </w:rPr>
              <w:t>גזר דין</w:t>
            </w:r>
          </w:p>
          <w:p w14:paraId="669EDA7F" w14:textId="77777777" w:rsidR="00884A3E" w:rsidRPr="00DD4E32" w:rsidRDefault="00884A3E" w:rsidP="00DD4E32">
            <w:pPr>
              <w:bidi w:val="0"/>
              <w:spacing w:line="360" w:lineRule="auto"/>
              <w:jc w:val="center"/>
              <w:rPr>
                <w:rFonts w:ascii="Arial" w:hAnsi="Arial"/>
                <w:b/>
                <w:bCs/>
                <w:noProof w:val="0"/>
                <w:sz w:val="32"/>
                <w:szCs w:val="32"/>
                <w:u w:val="single"/>
              </w:rPr>
            </w:pPr>
          </w:p>
        </w:tc>
      </w:tr>
    </w:tbl>
    <w:bookmarkEnd w:id="3"/>
    <w:p w14:paraId="35CEB655" w14:textId="77777777" w:rsidR="00884A3E" w:rsidRPr="007C4348" w:rsidRDefault="00884A3E" w:rsidP="00884A3E">
      <w:pPr>
        <w:pStyle w:val="ListParagraph1"/>
        <w:spacing w:after="0"/>
        <w:ind w:left="0" w:firstLine="0"/>
        <w:rPr>
          <w:b/>
          <w:bCs/>
          <w:sz w:val="28"/>
          <w:szCs w:val="28"/>
          <w:u w:val="single"/>
        </w:rPr>
      </w:pPr>
      <w:r w:rsidRPr="007C4348">
        <w:rPr>
          <w:rFonts w:hint="cs"/>
          <w:b/>
          <w:bCs/>
          <w:sz w:val="28"/>
          <w:szCs w:val="28"/>
          <w:u w:val="single"/>
          <w:rtl/>
        </w:rPr>
        <w:t>רקע עובדתי</w:t>
      </w:r>
    </w:p>
    <w:p w14:paraId="5635A1D6" w14:textId="77777777" w:rsidR="00884A3E" w:rsidRPr="001F3CA0" w:rsidRDefault="00884A3E" w:rsidP="00884A3E">
      <w:pPr>
        <w:pStyle w:val="ListParagraph1"/>
        <w:numPr>
          <w:ilvl w:val="0"/>
          <w:numId w:val="1"/>
        </w:numPr>
        <w:spacing w:after="0"/>
        <w:ind w:left="-58"/>
        <w:rPr>
          <w:rtl/>
        </w:rPr>
      </w:pPr>
      <w:bookmarkStart w:id="6" w:name="ABSTRACT_START"/>
      <w:bookmarkEnd w:id="6"/>
      <w:r w:rsidRPr="001F3CA0">
        <w:rPr>
          <w:rFonts w:hint="cs"/>
          <w:rtl/>
        </w:rPr>
        <w:t xml:space="preserve">הנאשם הורשע על יסוד הודאתו בעבירה של </w:t>
      </w:r>
      <w:r w:rsidRPr="001F3CA0">
        <w:rPr>
          <w:rFonts w:hint="cs"/>
          <w:b/>
          <w:bCs/>
          <w:rtl/>
        </w:rPr>
        <w:t>החזקת סם שלא לצריכה עצמית</w:t>
      </w:r>
      <w:r w:rsidRPr="001F3CA0">
        <w:rPr>
          <w:rFonts w:hint="cs"/>
          <w:rtl/>
        </w:rPr>
        <w:t xml:space="preserve"> לפי </w:t>
      </w:r>
      <w:hyperlink r:id="rId16" w:history="1">
        <w:r w:rsidR="006F06BE" w:rsidRPr="006F06BE">
          <w:rPr>
            <w:rFonts w:hint="cs"/>
            <w:color w:val="0000FF"/>
            <w:u w:val="single"/>
            <w:rtl/>
          </w:rPr>
          <w:t>סעיפים</w:t>
        </w:r>
        <w:r w:rsidR="006F06BE" w:rsidRPr="006F06BE">
          <w:rPr>
            <w:color w:val="0000FF"/>
            <w:u w:val="single"/>
            <w:rtl/>
          </w:rPr>
          <w:t xml:space="preserve"> 7(</w:t>
        </w:r>
        <w:r w:rsidR="006F06BE" w:rsidRPr="006F06BE">
          <w:rPr>
            <w:rFonts w:hint="cs"/>
            <w:color w:val="0000FF"/>
            <w:u w:val="single"/>
            <w:rtl/>
          </w:rPr>
          <w:t>א</w:t>
        </w:r>
        <w:r w:rsidR="006F06BE" w:rsidRPr="006F06BE">
          <w:rPr>
            <w:color w:val="0000FF"/>
            <w:u w:val="single"/>
            <w:rtl/>
          </w:rPr>
          <w:t>)+7(</w:t>
        </w:r>
        <w:r w:rsidR="006F06BE" w:rsidRPr="006F06BE">
          <w:rPr>
            <w:rFonts w:hint="cs"/>
            <w:color w:val="0000FF"/>
            <w:u w:val="single"/>
            <w:rtl/>
          </w:rPr>
          <w:t>ג</w:t>
        </w:r>
        <w:r w:rsidR="006F06BE" w:rsidRPr="006F06BE">
          <w:rPr>
            <w:color w:val="0000FF"/>
            <w:u w:val="single"/>
            <w:rtl/>
          </w:rPr>
          <w:t>)</w:t>
        </w:r>
      </w:hyperlink>
      <w:r w:rsidRPr="001F3CA0">
        <w:rPr>
          <w:rFonts w:hint="cs"/>
          <w:rtl/>
        </w:rPr>
        <w:t xml:space="preserve"> רישא ל</w:t>
      </w:r>
      <w:hyperlink r:id="rId17" w:history="1">
        <w:r w:rsidR="00DD4E32" w:rsidRPr="00DD4E32">
          <w:rPr>
            <w:rFonts w:hint="cs"/>
            <w:color w:val="0000FF"/>
            <w:u w:val="single"/>
            <w:rtl/>
          </w:rPr>
          <w:t>פקודת</w:t>
        </w:r>
        <w:r w:rsidR="00DD4E32" w:rsidRPr="00DD4E32">
          <w:rPr>
            <w:color w:val="0000FF"/>
            <w:u w:val="single"/>
            <w:rtl/>
          </w:rPr>
          <w:t xml:space="preserve"> </w:t>
        </w:r>
        <w:r w:rsidR="00DD4E32" w:rsidRPr="00DD4E32">
          <w:rPr>
            <w:rFonts w:hint="cs"/>
            <w:color w:val="0000FF"/>
            <w:u w:val="single"/>
            <w:rtl/>
          </w:rPr>
          <w:t>הסמים</w:t>
        </w:r>
        <w:r w:rsidR="00DD4E32" w:rsidRPr="00DD4E32">
          <w:rPr>
            <w:color w:val="0000FF"/>
            <w:u w:val="single"/>
            <w:rtl/>
          </w:rPr>
          <w:t xml:space="preserve"> </w:t>
        </w:r>
        <w:r w:rsidR="00DD4E32" w:rsidRPr="00DD4E32">
          <w:rPr>
            <w:rFonts w:hint="cs"/>
            <w:color w:val="0000FF"/>
            <w:u w:val="single"/>
            <w:rtl/>
          </w:rPr>
          <w:t>המסוכנים</w:t>
        </w:r>
      </w:hyperlink>
      <w:r w:rsidRPr="001F3CA0">
        <w:rPr>
          <w:rFonts w:hint="cs"/>
          <w:rtl/>
        </w:rPr>
        <w:t xml:space="preserve"> [נוסח חדש], התשל"ג-1973 (להלן: </w:t>
      </w:r>
      <w:r w:rsidRPr="001F3CA0">
        <w:rPr>
          <w:rFonts w:hint="cs"/>
          <w:b/>
          <w:bCs/>
          <w:rtl/>
        </w:rPr>
        <w:t>"הפקודה"</w:t>
      </w:r>
      <w:r w:rsidRPr="001F3CA0">
        <w:rPr>
          <w:rFonts w:hint="cs"/>
          <w:rtl/>
        </w:rPr>
        <w:t xml:space="preserve">). </w:t>
      </w:r>
    </w:p>
    <w:p w14:paraId="628E691B" w14:textId="77777777" w:rsidR="00884A3E" w:rsidRPr="001F3CA0" w:rsidRDefault="00884A3E" w:rsidP="00884A3E">
      <w:pPr>
        <w:pStyle w:val="ListParagraph1"/>
        <w:spacing w:after="0"/>
        <w:ind w:left="-58" w:firstLine="0"/>
      </w:pPr>
      <w:r w:rsidRPr="001F3CA0">
        <w:rPr>
          <w:rFonts w:hint="cs"/>
          <w:rtl/>
        </w:rPr>
        <w:t xml:space="preserve">כפי שנטען בכתב האישום המתוקן, ביום 15.02.2018, בסמוך לשעה 09:50 החזיק הנאשם סם מסוכן מסוג קנבוס במשקלים ובמקומות הבאים: במשקל של 1233.80 גרם בתוך שקית לבנה, בחדר הארונות, בקומה השנייה בדירתו; במשקל של 7.30 גרם בתוך נייר לבן, במגירת השידה בסלון הבית; ובמשקל של 1.1424 גרם בקונוס בתוך רכבו. </w:t>
      </w:r>
    </w:p>
    <w:p w14:paraId="0C630CE6" w14:textId="77777777" w:rsidR="00884A3E" w:rsidRPr="001F3CA0" w:rsidRDefault="00884A3E" w:rsidP="00884A3E">
      <w:pPr>
        <w:pStyle w:val="ListParagraph1"/>
        <w:spacing w:after="0"/>
        <w:ind w:left="-58" w:firstLine="0"/>
        <w:rPr>
          <w:rtl/>
        </w:rPr>
      </w:pPr>
      <w:r w:rsidRPr="001F3CA0">
        <w:rPr>
          <w:rFonts w:hint="cs"/>
          <w:rtl/>
        </w:rPr>
        <w:t>יוצא אפוא, כי בסך הכול החזיק הנאשם סם מסוכן מסוג קנבוס שלא לצריכתו העצמית במשקל של  1.243 גרם.</w:t>
      </w:r>
    </w:p>
    <w:p w14:paraId="4EF29019" w14:textId="77777777" w:rsidR="00884A3E" w:rsidRPr="001F3CA0" w:rsidRDefault="00884A3E" w:rsidP="00884A3E">
      <w:pPr>
        <w:pStyle w:val="ListParagraph1"/>
        <w:numPr>
          <w:ilvl w:val="0"/>
          <w:numId w:val="1"/>
        </w:numPr>
        <w:spacing w:after="0"/>
        <w:ind w:left="-58"/>
        <w:rPr>
          <w:rtl/>
        </w:rPr>
      </w:pPr>
      <w:bookmarkStart w:id="7" w:name="ABSTRACT_END"/>
      <w:bookmarkEnd w:id="7"/>
      <w:r w:rsidRPr="001F3CA0">
        <w:rPr>
          <w:rFonts w:hint="cs"/>
          <w:rtl/>
        </w:rPr>
        <w:lastRenderedPageBreak/>
        <w:t xml:space="preserve">הצדדים לא הגיעו להסכמות עונשיות, אך הוסכם כי עובר לשמיעת הטיעונים לעונש יופנה הנאשם לשירות המבחן, תוך שהמאשימה הגבילה את עתירתה העונשית למאסר בן 4 חודשים שיכול וירוצה בעבודות שירות וענישה נלווית ככל שיתקבל תסקיר חיובי בעניינו של הנאשם. </w:t>
      </w:r>
    </w:p>
    <w:p w14:paraId="4A8EDFEE" w14:textId="77777777" w:rsidR="00884A3E" w:rsidRPr="001F3CA0" w:rsidRDefault="00884A3E" w:rsidP="00884A3E">
      <w:pPr>
        <w:pStyle w:val="ListParagraph1"/>
        <w:numPr>
          <w:ilvl w:val="0"/>
          <w:numId w:val="1"/>
        </w:numPr>
        <w:spacing w:after="0"/>
        <w:ind w:left="-58" w:hanging="425"/>
      </w:pPr>
      <w:r w:rsidRPr="001F3CA0">
        <w:rPr>
          <w:rFonts w:hint="cs"/>
          <w:rtl/>
        </w:rPr>
        <w:t xml:space="preserve">בעניינו של הנאשם </w:t>
      </w:r>
      <w:r w:rsidRPr="001F3CA0">
        <w:rPr>
          <w:rFonts w:hint="cs"/>
          <w:b/>
          <w:bCs/>
          <w:rtl/>
        </w:rPr>
        <w:t>התקבל תסקיר מאת שירות המבחן</w:t>
      </w:r>
      <w:r w:rsidRPr="001F3CA0">
        <w:rPr>
          <w:rFonts w:hint="cs"/>
          <w:rtl/>
        </w:rPr>
        <w:t xml:space="preserve">, הנושא אופי חיובי, ובסופו המלצה להשית עליו עונשים בדמות צו של"צ וצו מבחן. בתסקיר, עומד שירות המבחן על קורות חייו וחיי משפחתו של הנאשם, על מאפייניו האישיותיים, יחסו לעבירה, ועוד. מטעמים של צנעת הפרט לא אעלה עלי גזר הדין את כל המפורט בתסקיר האמור, מלבד אותם נתונים הרלוונטיים לשאלת העונש. </w:t>
      </w:r>
    </w:p>
    <w:p w14:paraId="663186EC" w14:textId="77777777" w:rsidR="00884A3E" w:rsidRDefault="00884A3E" w:rsidP="00884A3E">
      <w:pPr>
        <w:pStyle w:val="ListParagraph1"/>
        <w:numPr>
          <w:ilvl w:val="0"/>
          <w:numId w:val="1"/>
        </w:numPr>
        <w:spacing w:after="0"/>
        <w:ind w:left="-58" w:hanging="283"/>
      </w:pPr>
      <w:r w:rsidRPr="001F3CA0">
        <w:rPr>
          <w:rFonts w:hint="cs"/>
          <w:rtl/>
        </w:rPr>
        <w:t>על פי האמור בתסקיר, הנאשם הודה בביצוע העבירה והביע עליה חרטה והסביר כי ביצעהּ על מנת לסייע לו בהפגת כאבי הגב מהם הוא סובל כתוצאה מתאונה אותה עבר בשנת 2014, בגינה רותק למיטה במשך כשבעה חודשים, וסבל מכאבים חזקים. עוד מסר הנאשם כי מזה תקופה ממושכת הוא סבל מדיכאון וחרדות ולפני כשנתיים החל טיפול פסיכולוגי פרטי אצל הפסיכולוגית פרופ' אשכר. לדבריו, הוא הפסיק את השימוש בסם מיום מעצרו בתיק זה, וכי כיום הוא מקבל טיפול תרופתי על מנת להפיג את כאביו. הנאשם גילה תובנה לכך שהפעיל שיקול דעת מוטעה במשך תקופה ארוכה ומודעות לכך שתחת ביצוע העבירה היה עליו לפעול לקבלת אישור חוקי לשימוש בקנביס. פרופ' אשכר, הפסיכולוגית הפרטית המטפלת בנאשם מסרה לשירות המבחן כי הנאשם, טרם ביצוע העבירה ובמשך כשנה וחצי טופל אצלה בשל דיווחיו על לחצים רגשיים שהפריעו למהלך חייו ופגעו באיכותם. הפסיכולוגית המליצה להפנות את הנאשם לייעוץ פסיכיאטרי לאבחון וטיפול תרופתי ואולם, הנאשם התנגד לכך. לאחר שהלה נעצר בגין תיק זה, ובאישור בית המשפט הותר לנאשם לשוב לטיפול וכיום הלה מגיע לטיפול על פי הצורך. לבסוף, לאחר ששקל את מכלול הנתונים הרלוונטיים, ובכלל זה את חומרת העבירה  ונסיבותיה; גילו הצעיר; היותו חף מהרשעות קודמות; ניקיונו מסמים ואת היתרמותו של הנאשם מההליך הטיפולי שאותו עובר, העריך שירות המבחן כי יש לשקול בחיוב עונש בעל אפיק שיקומי בעניינו ומשכך, בא שירות המבחן בהמלצתו העונשית, כפי שזו פורטה קודם לכן.</w:t>
      </w:r>
    </w:p>
    <w:p w14:paraId="1512074B" w14:textId="77777777" w:rsidR="00884A3E" w:rsidRPr="001F3CA0" w:rsidRDefault="00884A3E" w:rsidP="00884A3E">
      <w:pPr>
        <w:pStyle w:val="ListParagraph1"/>
        <w:spacing w:after="0"/>
        <w:ind w:left="-58" w:firstLine="0"/>
      </w:pPr>
    </w:p>
    <w:p w14:paraId="6FAE8FE0" w14:textId="77777777" w:rsidR="00884A3E" w:rsidRPr="001F3CA0" w:rsidRDefault="00884A3E" w:rsidP="00884A3E">
      <w:pPr>
        <w:pStyle w:val="1"/>
        <w:spacing w:before="0" w:line="360" w:lineRule="auto"/>
        <w:jc w:val="both"/>
        <w:rPr>
          <w:rFonts w:cs="David"/>
          <w:b/>
          <w:bCs/>
          <w:color w:val="auto"/>
          <w:u w:val="single"/>
          <w:rtl/>
        </w:rPr>
      </w:pPr>
      <w:r w:rsidRPr="001F3CA0">
        <w:rPr>
          <w:rFonts w:cs="David" w:hint="cs"/>
          <w:b/>
          <w:bCs/>
          <w:color w:val="auto"/>
          <w:u w:val="single"/>
          <w:rtl/>
        </w:rPr>
        <w:t>טיעוני הצדדים (עיקר הדברים)</w:t>
      </w:r>
    </w:p>
    <w:p w14:paraId="16D27718" w14:textId="77777777" w:rsidR="00884A3E" w:rsidRPr="001F3CA0" w:rsidRDefault="00884A3E" w:rsidP="00884A3E">
      <w:pPr>
        <w:pStyle w:val="ListParagraph1"/>
        <w:numPr>
          <w:ilvl w:val="0"/>
          <w:numId w:val="1"/>
        </w:numPr>
        <w:spacing w:after="0"/>
        <w:ind w:left="-58"/>
      </w:pPr>
      <w:r w:rsidRPr="001F3CA0">
        <w:rPr>
          <w:rFonts w:hint="cs"/>
          <w:rtl/>
        </w:rPr>
        <w:t xml:space="preserve">באת כוח המאשימה עמדה על חומרת מעשיו של הנאשם תוך שנטען כי מתחם העונש ההולם במקרה הנדון צריך לנוע בין 6 ל- 12 חודשי מאסר. לבסוף, מצאה המאשימה לסטות לקולא ממתחם העונש ההולם בשל הודאתו של הנאשם במיוחס לו והתסקיר החיובי שהתקבל בעניינו. לאור כמות הסם אותה החזיק הנאשם שלא לצריכתו העצמית סברה המאשימה כי אין לקבלת את המלצת שירות המבחן לעניין העונש ועתרה להעמיד את עונשו של הנאשם על 4 חודשי מאסר שירוצו בעבודות שירות וענישה נלווית.  </w:t>
      </w:r>
    </w:p>
    <w:p w14:paraId="232F8ACB" w14:textId="77777777" w:rsidR="00884A3E" w:rsidRPr="001F3CA0" w:rsidRDefault="00884A3E" w:rsidP="00884A3E">
      <w:pPr>
        <w:pStyle w:val="ListParagraph1"/>
        <w:numPr>
          <w:ilvl w:val="0"/>
          <w:numId w:val="1"/>
        </w:numPr>
        <w:spacing w:after="0"/>
        <w:ind w:left="-58" w:hanging="425"/>
      </w:pPr>
      <w:r w:rsidRPr="001F3CA0">
        <w:rPr>
          <w:rFonts w:hint="cs"/>
          <w:rtl/>
        </w:rPr>
        <w:t xml:space="preserve">בא כוח הנאשם חלק על מתחם העונש ההולם לו עתרה המאשימה, תוך שעמד על ההליך הטיפולי הארוך והאינטנסיבי שעבר הנאשם, ותוך שהפנה גם להתמכרותו לסמים בשל מצבו הרפואי, להירתמותו להליך השיקומי ולשינוי באורחות חייו. לאור כל אלה, ביקש בא כוח הנאשם לאמץ את המלצות שירות המבחן במלואן. </w:t>
      </w:r>
    </w:p>
    <w:p w14:paraId="71EC54A0" w14:textId="77777777" w:rsidR="00884A3E" w:rsidRPr="001F3CA0" w:rsidRDefault="00884A3E" w:rsidP="00884A3E">
      <w:pPr>
        <w:pStyle w:val="ListParagraph1"/>
        <w:numPr>
          <w:ilvl w:val="0"/>
          <w:numId w:val="1"/>
        </w:numPr>
        <w:spacing w:after="0"/>
        <w:ind w:left="-58" w:hanging="425"/>
        <w:rPr>
          <w:rtl/>
        </w:rPr>
      </w:pPr>
      <w:r w:rsidRPr="001F3CA0">
        <w:rPr>
          <w:rFonts w:hint="cs"/>
          <w:rtl/>
        </w:rPr>
        <w:t xml:space="preserve">הנאשם הביע צער וחרטה על מעשיו ופרס בפני בית המשפט את השתלשלות הליך הגמילה והשיקום שאותו הוא עובר ועל התועלת הרבה שהוא מפיק מהליך זה. </w:t>
      </w:r>
    </w:p>
    <w:p w14:paraId="127777E3" w14:textId="77777777" w:rsidR="00884A3E" w:rsidRPr="001F3CA0" w:rsidRDefault="00884A3E" w:rsidP="00884A3E">
      <w:pPr>
        <w:pStyle w:val="ListParagraph1"/>
        <w:numPr>
          <w:ilvl w:val="0"/>
          <w:numId w:val="1"/>
        </w:numPr>
        <w:spacing w:after="0"/>
        <w:ind w:left="-58" w:hanging="425"/>
      </w:pPr>
      <w:r w:rsidRPr="001F3CA0">
        <w:rPr>
          <w:rFonts w:hint="cs"/>
          <w:rtl/>
        </w:rPr>
        <w:lastRenderedPageBreak/>
        <w:t>במסגרת הראיות לעונש הוגשו על ידי ההגנה המסמכים הבאים: חו"ד של הפסיכולוגית פרופ' מיקי אשכר(</w:t>
      </w:r>
      <w:r w:rsidRPr="001F3CA0">
        <w:rPr>
          <w:rFonts w:hint="cs"/>
          <w:b/>
          <w:bCs/>
          <w:rtl/>
        </w:rPr>
        <w:t>נ/1)</w:t>
      </w:r>
      <w:r w:rsidRPr="001F3CA0">
        <w:rPr>
          <w:rFonts w:hint="cs"/>
          <w:rtl/>
        </w:rPr>
        <w:t xml:space="preserve">; תעודת שחרור מהצבא </w:t>
      </w:r>
      <w:r w:rsidRPr="001F3CA0">
        <w:rPr>
          <w:rFonts w:hint="cs"/>
          <w:b/>
          <w:bCs/>
          <w:rtl/>
        </w:rPr>
        <w:t>(נ/2)</w:t>
      </w:r>
      <w:r w:rsidRPr="001F3CA0">
        <w:rPr>
          <w:rFonts w:hint="cs"/>
          <w:rtl/>
        </w:rPr>
        <w:t xml:space="preserve">; מכתב המלצה ממעסיקו הקודם של הנאשם </w:t>
      </w:r>
      <w:r w:rsidRPr="001F3CA0">
        <w:rPr>
          <w:rFonts w:hint="cs"/>
          <w:b/>
          <w:bCs/>
          <w:rtl/>
        </w:rPr>
        <w:t>(נ/3)</w:t>
      </w:r>
      <w:r w:rsidRPr="001F3CA0">
        <w:rPr>
          <w:rFonts w:hint="cs"/>
          <w:rtl/>
        </w:rPr>
        <w:t>; מכתב המלצה מהמרכז הקהילתי חוף אשקלון</w:t>
      </w:r>
      <w:r w:rsidRPr="001F3CA0">
        <w:rPr>
          <w:rFonts w:hint="cs"/>
          <w:b/>
          <w:bCs/>
          <w:rtl/>
        </w:rPr>
        <w:t>(נ/4)</w:t>
      </w:r>
      <w:r w:rsidRPr="001F3CA0">
        <w:rPr>
          <w:rFonts w:hint="cs"/>
          <w:rtl/>
        </w:rPr>
        <w:t>; מכתב המלצה משירותי בריאות וסיעוד בע"מ (</w:t>
      </w:r>
      <w:r w:rsidRPr="001F3CA0">
        <w:rPr>
          <w:rFonts w:hint="cs"/>
          <w:b/>
          <w:bCs/>
          <w:rtl/>
        </w:rPr>
        <w:t>נ/5)</w:t>
      </w:r>
      <w:r w:rsidRPr="001F3CA0">
        <w:rPr>
          <w:rFonts w:hint="cs"/>
          <w:rtl/>
        </w:rPr>
        <w:t>;</w:t>
      </w:r>
      <w:r w:rsidRPr="001F3CA0">
        <w:rPr>
          <w:rFonts w:hint="cs"/>
          <w:b/>
          <w:bCs/>
          <w:rtl/>
        </w:rPr>
        <w:t xml:space="preserve"> </w:t>
      </w:r>
      <w:r w:rsidRPr="001F3CA0">
        <w:rPr>
          <w:rFonts w:hint="cs"/>
          <w:rtl/>
        </w:rPr>
        <w:t>מכתב המלצה מהמעסיק הנוכחי (</w:t>
      </w:r>
      <w:r w:rsidRPr="001F3CA0">
        <w:rPr>
          <w:rFonts w:hint="cs"/>
          <w:b/>
          <w:bCs/>
          <w:rtl/>
        </w:rPr>
        <w:t>נ/6)</w:t>
      </w:r>
      <w:r w:rsidRPr="001F3CA0">
        <w:rPr>
          <w:rFonts w:hint="cs"/>
          <w:rtl/>
        </w:rPr>
        <w:t xml:space="preserve">. </w:t>
      </w:r>
    </w:p>
    <w:p w14:paraId="0C3EF963" w14:textId="77777777" w:rsidR="00884A3E" w:rsidRDefault="00884A3E" w:rsidP="00884A3E">
      <w:pPr>
        <w:pStyle w:val="1"/>
        <w:spacing w:before="0" w:line="360" w:lineRule="auto"/>
        <w:jc w:val="both"/>
        <w:rPr>
          <w:rFonts w:cs="David"/>
          <w:b/>
          <w:bCs/>
          <w:color w:val="auto"/>
          <w:u w:val="single"/>
          <w:rtl/>
        </w:rPr>
      </w:pPr>
    </w:p>
    <w:p w14:paraId="66F20E19" w14:textId="77777777" w:rsidR="00884A3E" w:rsidRPr="001F3CA0" w:rsidRDefault="00884A3E" w:rsidP="00884A3E">
      <w:pPr>
        <w:pStyle w:val="1"/>
        <w:spacing w:before="0" w:line="360" w:lineRule="auto"/>
        <w:jc w:val="center"/>
        <w:rPr>
          <w:rFonts w:cs="David"/>
          <w:b/>
          <w:bCs/>
          <w:color w:val="auto"/>
          <w:u w:val="single"/>
        </w:rPr>
      </w:pPr>
      <w:r w:rsidRPr="001F3CA0">
        <w:rPr>
          <w:rFonts w:cs="David" w:hint="cs"/>
          <w:b/>
          <w:bCs/>
          <w:color w:val="auto"/>
          <w:u w:val="single"/>
          <w:rtl/>
        </w:rPr>
        <w:t>דיון והכרעה</w:t>
      </w:r>
    </w:p>
    <w:p w14:paraId="6F13CBB1" w14:textId="77777777" w:rsidR="00884A3E" w:rsidRDefault="00884A3E" w:rsidP="00884A3E">
      <w:pPr>
        <w:pStyle w:val="ListParagraph1"/>
        <w:numPr>
          <w:ilvl w:val="0"/>
          <w:numId w:val="1"/>
        </w:numPr>
        <w:spacing w:after="0"/>
        <w:ind w:left="-58" w:hanging="567"/>
      </w:pPr>
      <w:r w:rsidRPr="001F3CA0">
        <w:rPr>
          <w:rFonts w:hint="cs"/>
          <w:rtl/>
        </w:rPr>
        <w:t>בהתאם למתווה שקבע המחוקק בתיקון 113 ל</w:t>
      </w:r>
      <w:hyperlink r:id="rId18" w:history="1">
        <w:r w:rsidR="00DD4E32" w:rsidRPr="00DD4E32">
          <w:rPr>
            <w:rFonts w:hint="cs"/>
            <w:color w:val="0000FF"/>
            <w:u w:val="single"/>
            <w:rtl/>
          </w:rPr>
          <w:t>חוק</w:t>
        </w:r>
        <w:r w:rsidR="00DD4E32" w:rsidRPr="00DD4E32">
          <w:rPr>
            <w:color w:val="0000FF"/>
            <w:u w:val="single"/>
            <w:rtl/>
          </w:rPr>
          <w:t xml:space="preserve"> </w:t>
        </w:r>
        <w:r w:rsidR="00DD4E32" w:rsidRPr="00DD4E32">
          <w:rPr>
            <w:rFonts w:hint="cs"/>
            <w:color w:val="0000FF"/>
            <w:u w:val="single"/>
            <w:rtl/>
          </w:rPr>
          <w:t>העונשין</w:t>
        </w:r>
      </w:hyperlink>
      <w:r w:rsidRPr="001F3CA0">
        <w:rPr>
          <w:rFonts w:hint="cs"/>
          <w:rtl/>
        </w:rPr>
        <w:t xml:space="preserve"> (ופורש לאחר מכן בפסיקתו של בית המשפט העליון), אקבע בשלב הראשון את מתחם העונש ההולם; ולאחר מכן אגזור את העונש המתאים לנאשם, תוך בחינה שמא יש מקום במקרה דנן לסטות לקולא מהמתחם שייקבע (אודות המתווה לגזירת העונש, ראו למשל: </w:t>
      </w:r>
      <w:hyperlink r:id="rId19" w:history="1">
        <w:r w:rsidR="00DD4E32" w:rsidRPr="00DD4E32">
          <w:rPr>
            <w:rFonts w:hint="cs"/>
            <w:color w:val="0000FF"/>
            <w:u w:val="single"/>
            <w:rtl/>
          </w:rPr>
          <w:t>ע</w:t>
        </w:r>
        <w:r w:rsidR="00DD4E32" w:rsidRPr="00DD4E32">
          <w:rPr>
            <w:color w:val="0000FF"/>
            <w:u w:val="single"/>
            <w:rtl/>
          </w:rPr>
          <w:t>"</w:t>
        </w:r>
        <w:r w:rsidR="00DD4E32" w:rsidRPr="00DD4E32">
          <w:rPr>
            <w:rFonts w:hint="cs"/>
            <w:color w:val="0000FF"/>
            <w:u w:val="single"/>
            <w:rtl/>
          </w:rPr>
          <w:t>פ</w:t>
        </w:r>
        <w:r w:rsidR="00DD4E32" w:rsidRPr="00DD4E32">
          <w:rPr>
            <w:color w:val="0000FF"/>
            <w:u w:val="single"/>
            <w:rtl/>
          </w:rPr>
          <w:t xml:space="preserve"> 8641/12</w:t>
        </w:r>
      </w:hyperlink>
      <w:r w:rsidRPr="001F3CA0">
        <w:rPr>
          <w:rFonts w:hint="cs"/>
          <w:rtl/>
        </w:rPr>
        <w:t xml:space="preserve"> </w:t>
      </w:r>
      <w:r w:rsidRPr="001F3CA0">
        <w:rPr>
          <w:rFonts w:hint="cs"/>
          <w:b/>
          <w:bCs/>
          <w:rtl/>
        </w:rPr>
        <w:t>מוחמד סעד נ' מדינת ישראל</w:t>
      </w:r>
      <w:r w:rsidRPr="001F3CA0">
        <w:rPr>
          <w:rFonts w:hint="cs"/>
          <w:rtl/>
        </w:rPr>
        <w:t>, (05.08.2013)).</w:t>
      </w:r>
    </w:p>
    <w:p w14:paraId="657A33BE" w14:textId="77777777" w:rsidR="00884A3E" w:rsidRPr="001F3CA0" w:rsidRDefault="00884A3E" w:rsidP="00884A3E">
      <w:pPr>
        <w:pStyle w:val="ListParagraph1"/>
        <w:spacing w:after="0"/>
        <w:ind w:left="-58" w:firstLine="0"/>
        <w:rPr>
          <w:rtl/>
        </w:rPr>
      </w:pPr>
    </w:p>
    <w:p w14:paraId="1C1FF656" w14:textId="77777777" w:rsidR="00884A3E" w:rsidRPr="001F3CA0" w:rsidRDefault="00884A3E" w:rsidP="00884A3E">
      <w:pPr>
        <w:pStyle w:val="1"/>
        <w:spacing w:before="0" w:line="360" w:lineRule="auto"/>
        <w:jc w:val="both"/>
        <w:rPr>
          <w:rFonts w:cs="David"/>
          <w:b/>
          <w:bCs/>
          <w:color w:val="auto"/>
          <w:u w:val="single"/>
        </w:rPr>
      </w:pPr>
      <w:r w:rsidRPr="001F3CA0">
        <w:rPr>
          <w:rFonts w:cs="David" w:hint="cs"/>
          <w:b/>
          <w:bCs/>
          <w:color w:val="auto"/>
          <w:u w:val="single"/>
          <w:rtl/>
        </w:rPr>
        <w:t>קביעת מתחם העונש ההולם</w:t>
      </w:r>
    </w:p>
    <w:p w14:paraId="113A13D1" w14:textId="77777777" w:rsidR="00884A3E" w:rsidRPr="001F3CA0" w:rsidRDefault="00884A3E" w:rsidP="00884A3E">
      <w:pPr>
        <w:pStyle w:val="ListParagraph1"/>
        <w:numPr>
          <w:ilvl w:val="0"/>
          <w:numId w:val="1"/>
        </w:numPr>
        <w:spacing w:after="0"/>
        <w:ind w:left="-58" w:hanging="567"/>
        <w:rPr>
          <w:rtl/>
        </w:rPr>
      </w:pPr>
      <w:r w:rsidRPr="001F3CA0">
        <w:rPr>
          <w:rFonts w:hint="cs"/>
          <w:rtl/>
        </w:rPr>
        <w:t xml:space="preserve">בהתאם לאמור </w:t>
      </w:r>
      <w:hyperlink r:id="rId20" w:history="1">
        <w:r w:rsidR="006F06BE" w:rsidRPr="006F06BE">
          <w:rPr>
            <w:rFonts w:hint="cs"/>
            <w:color w:val="0000FF"/>
            <w:u w:val="single"/>
            <w:rtl/>
          </w:rPr>
          <w:t>בסעיף</w:t>
        </w:r>
        <w:r w:rsidR="006F06BE" w:rsidRPr="006F06BE">
          <w:rPr>
            <w:color w:val="0000FF"/>
            <w:u w:val="single"/>
            <w:rtl/>
          </w:rPr>
          <w:t xml:space="preserve"> 40</w:t>
        </w:r>
        <w:r w:rsidR="006F06BE" w:rsidRPr="006F06BE">
          <w:rPr>
            <w:rFonts w:hint="cs"/>
            <w:color w:val="0000FF"/>
            <w:u w:val="single"/>
            <w:rtl/>
          </w:rPr>
          <w:t>ג</w:t>
        </w:r>
        <w:r w:rsidR="006F06BE" w:rsidRPr="006F06BE">
          <w:rPr>
            <w:color w:val="0000FF"/>
            <w:u w:val="single"/>
            <w:rtl/>
          </w:rPr>
          <w:t>(</w:t>
        </w:r>
        <w:r w:rsidR="006F06BE" w:rsidRPr="006F06BE">
          <w:rPr>
            <w:rFonts w:hint="cs"/>
            <w:color w:val="0000FF"/>
            <w:u w:val="single"/>
            <w:rtl/>
          </w:rPr>
          <w:t>א</w:t>
        </w:r>
        <w:r w:rsidR="006F06BE" w:rsidRPr="006F06BE">
          <w:rPr>
            <w:color w:val="0000FF"/>
            <w:u w:val="single"/>
            <w:rtl/>
          </w:rPr>
          <w:t>)</w:t>
        </w:r>
      </w:hyperlink>
      <w:r w:rsidRPr="001F3CA0">
        <w:rPr>
          <w:rFonts w:hint="cs"/>
          <w:rtl/>
        </w:rPr>
        <w:t xml:space="preserve"> ל</w:t>
      </w:r>
      <w:hyperlink r:id="rId21" w:history="1">
        <w:r w:rsidR="00DD4E32" w:rsidRPr="00DD4E32">
          <w:rPr>
            <w:rFonts w:hint="cs"/>
            <w:color w:val="0000FF"/>
            <w:u w:val="single"/>
            <w:rtl/>
          </w:rPr>
          <w:t>חוק</w:t>
        </w:r>
        <w:r w:rsidR="00DD4E32" w:rsidRPr="00DD4E32">
          <w:rPr>
            <w:color w:val="0000FF"/>
            <w:u w:val="single"/>
            <w:rtl/>
          </w:rPr>
          <w:t xml:space="preserve"> </w:t>
        </w:r>
        <w:r w:rsidR="00DD4E32" w:rsidRPr="00DD4E32">
          <w:rPr>
            <w:rFonts w:hint="cs"/>
            <w:color w:val="0000FF"/>
            <w:u w:val="single"/>
            <w:rtl/>
          </w:rPr>
          <w:t>העונשין</w:t>
        </w:r>
      </w:hyperlink>
      <w:r w:rsidRPr="001F3CA0">
        <w:rPr>
          <w:rFonts w:hint="cs"/>
          <w:rtl/>
        </w:rPr>
        <w:t>,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7C16F2D8" w14:textId="77777777" w:rsidR="00884A3E" w:rsidRDefault="00884A3E" w:rsidP="00884A3E">
      <w:pPr>
        <w:pStyle w:val="1"/>
        <w:spacing w:before="0" w:line="360" w:lineRule="auto"/>
        <w:jc w:val="both"/>
        <w:rPr>
          <w:rFonts w:ascii="Times New Roman" w:hAnsi="Times New Roman" w:cs="David"/>
          <w:color w:val="auto"/>
          <w:sz w:val="24"/>
          <w:szCs w:val="24"/>
          <w:rtl/>
        </w:rPr>
      </w:pPr>
    </w:p>
    <w:p w14:paraId="176F31F8" w14:textId="77777777" w:rsidR="00884A3E" w:rsidRPr="001F3CA0" w:rsidRDefault="00884A3E" w:rsidP="00884A3E">
      <w:pPr>
        <w:pStyle w:val="1"/>
        <w:spacing w:before="0" w:line="360" w:lineRule="auto"/>
        <w:jc w:val="both"/>
        <w:rPr>
          <w:rFonts w:cs="David"/>
          <w:b/>
          <w:bCs/>
          <w:color w:val="auto"/>
          <w:u w:val="single"/>
        </w:rPr>
      </w:pPr>
      <w:r w:rsidRPr="001F3CA0">
        <w:rPr>
          <w:rFonts w:cs="David" w:hint="cs"/>
          <w:b/>
          <w:bCs/>
          <w:color w:val="auto"/>
          <w:u w:val="single"/>
          <w:rtl/>
        </w:rPr>
        <w:t>הערכים המוגנים שנפגעו, מידת הפגיעה בהם, ונסיבות ביצוע העבירה</w:t>
      </w:r>
    </w:p>
    <w:p w14:paraId="1FDCC758" w14:textId="77777777" w:rsidR="00884A3E" w:rsidRPr="001F3CA0" w:rsidRDefault="00884A3E" w:rsidP="00884A3E">
      <w:pPr>
        <w:pStyle w:val="ListParagraph1"/>
        <w:numPr>
          <w:ilvl w:val="0"/>
          <w:numId w:val="1"/>
        </w:numPr>
        <w:spacing w:after="0"/>
        <w:ind w:left="-58"/>
      </w:pPr>
      <w:r w:rsidRPr="001F3CA0">
        <w:rPr>
          <w:rFonts w:hint="cs"/>
          <w:rtl/>
        </w:rPr>
        <w:t xml:space="preserve">בכל הנוגע </w:t>
      </w:r>
      <w:r w:rsidRPr="001F3CA0">
        <w:rPr>
          <w:rFonts w:hint="cs"/>
          <w:b/>
          <w:bCs/>
          <w:rtl/>
        </w:rPr>
        <w:t>לערכים החברתיים המוגנים</w:t>
      </w:r>
      <w:r w:rsidRPr="001F3CA0">
        <w:rPr>
          <w:rFonts w:hint="cs"/>
          <w:rtl/>
        </w:rPr>
        <w:t xml:space="preserve"> אשר נפגעו כתוצאה ממעשיו של הנאשם, נדמה כי אין צורך להכביר מילים בנוגע לחומרה הרבה הכרוכה בעבירות הסמים. </w:t>
      </w:r>
      <w:hyperlink r:id="rId22" w:history="1">
        <w:r w:rsidR="00DD4E32" w:rsidRPr="00DD4E32">
          <w:rPr>
            <w:rFonts w:hint="cs"/>
            <w:color w:val="0000FF"/>
            <w:u w:val="single"/>
            <w:rtl/>
          </w:rPr>
          <w:t>פקודת</w:t>
        </w:r>
        <w:r w:rsidR="00DD4E32" w:rsidRPr="00DD4E32">
          <w:rPr>
            <w:color w:val="0000FF"/>
            <w:u w:val="single"/>
            <w:rtl/>
          </w:rPr>
          <w:t xml:space="preserve"> </w:t>
        </w:r>
        <w:r w:rsidR="00DD4E32" w:rsidRPr="00DD4E32">
          <w:rPr>
            <w:rFonts w:hint="cs"/>
            <w:color w:val="0000FF"/>
            <w:u w:val="single"/>
            <w:rtl/>
          </w:rPr>
          <w:t>הסמים</w:t>
        </w:r>
        <w:r w:rsidR="00DD4E32" w:rsidRPr="00DD4E32">
          <w:rPr>
            <w:color w:val="0000FF"/>
            <w:u w:val="single"/>
            <w:rtl/>
          </w:rPr>
          <w:t xml:space="preserve"> </w:t>
        </w:r>
        <w:r w:rsidR="00DD4E32" w:rsidRPr="00DD4E32">
          <w:rPr>
            <w:rFonts w:hint="cs"/>
            <w:color w:val="0000FF"/>
            <w:u w:val="single"/>
            <w:rtl/>
          </w:rPr>
          <w:t>המסוכנים</w:t>
        </w:r>
      </w:hyperlink>
      <w:r w:rsidRPr="001F3CA0">
        <w:rPr>
          <w:rFonts w:hint="cs"/>
          <w:rtl/>
        </w:rPr>
        <w:t xml:space="preserve"> נחקקה על מנת להגן על ערכים חברתיים מרכזיים ובראשם החובה להגן על שלומו של הציבור, על בריאותו, על בטחונו האישי ועל רכושו. עבירות הסמים פוגעות פגיעה קשה לא רק במשתמשים בסם, אלא גם בבני משפחתם, חבריהם ומכריהם וכן בציבור בכללותו, אשר הופך לא פעם קורבן לעבירות רכוש ואלימות המבוצעות לצורך מימון ההתמכרות. </w:t>
      </w:r>
    </w:p>
    <w:p w14:paraId="73D8430C" w14:textId="77777777" w:rsidR="00884A3E" w:rsidRPr="001F3CA0" w:rsidRDefault="00884A3E" w:rsidP="00884A3E">
      <w:pPr>
        <w:pStyle w:val="ListParagraph1"/>
        <w:numPr>
          <w:ilvl w:val="0"/>
          <w:numId w:val="1"/>
        </w:numPr>
        <w:spacing w:after="0"/>
        <w:ind w:left="-58"/>
      </w:pPr>
      <w:r w:rsidRPr="001F3CA0">
        <w:rPr>
          <w:rFonts w:hint="cs"/>
          <w:rtl/>
        </w:rPr>
        <w:t xml:space="preserve">בשים לב לכמות הסם אותה החזיק הנאשם, שלא לצריכתו העצמית, ולאור יתר הנסיבות הקשורות בביצוע העבירה, כפי שיפורט בהמשך, נדמה כי </w:t>
      </w:r>
      <w:r w:rsidRPr="001F3CA0">
        <w:rPr>
          <w:rFonts w:hint="cs"/>
          <w:b/>
          <w:bCs/>
          <w:rtl/>
        </w:rPr>
        <w:t>מידת הפגיעה בערכים המוגנים</w:t>
      </w:r>
      <w:r w:rsidRPr="001F3CA0">
        <w:rPr>
          <w:rFonts w:hint="cs"/>
          <w:rtl/>
        </w:rPr>
        <w:t xml:space="preserve"> במקרה הנדון מצויה ברף שאיננו נמוך כלל ועיקר. </w:t>
      </w:r>
    </w:p>
    <w:p w14:paraId="4A911985" w14:textId="77777777" w:rsidR="00884A3E" w:rsidRPr="001F3CA0" w:rsidRDefault="00884A3E" w:rsidP="00884A3E">
      <w:pPr>
        <w:pStyle w:val="ListParagraph1"/>
        <w:numPr>
          <w:ilvl w:val="0"/>
          <w:numId w:val="1"/>
        </w:numPr>
        <w:spacing w:after="0"/>
        <w:ind w:left="-58" w:hanging="425"/>
      </w:pPr>
      <w:r w:rsidRPr="001F3CA0">
        <w:rPr>
          <w:rFonts w:hint="cs"/>
          <w:rtl/>
        </w:rPr>
        <w:t xml:space="preserve">בבחינת </w:t>
      </w:r>
      <w:r w:rsidRPr="001F3CA0">
        <w:rPr>
          <w:rFonts w:hint="cs"/>
          <w:b/>
          <w:bCs/>
          <w:rtl/>
        </w:rPr>
        <w:t>הנסיבות הקשורות בביצוע העבירה,</w:t>
      </w:r>
      <w:r w:rsidRPr="001F3CA0">
        <w:rPr>
          <w:rFonts w:hint="cs"/>
          <w:rtl/>
        </w:rPr>
        <w:t xml:space="preserve"> שקלתי בראש ובראשונה את משקל הסם שהנאשם החזיק, כאשר עסקינן ב- 1.243 גרם של סם הקנבוס. כאשר ברי כי אין החזקת סמים שלא לצריכה עצמית בכמויות גדולות, הנספרות בקילוגרמים כדין החזקת סמים בכמות של גרמים או מאות גרמים בודדים, ובוודאי שנתון זה, בהיותו נסיבה הקשורה בביצוע העבירה, רלוונטי לצורך קביעת מתחם העונש ההולם. מנגד ולקולא, נתתי דעתי לסוג הסם שהנאשם החזיק, כאשר עסקינן בסם הקנבוס שנמנה עם "הסמים הקלים", ואינו מצוי במדרג חומרה גבוה מבין הסמים השונים (והדברים נאמרים מבלי להקל ראש בנזקים שגם סם "קל" זה עלול להסב לנאשם ולסביבתו).</w:t>
      </w:r>
    </w:p>
    <w:p w14:paraId="3B8CEE64" w14:textId="77777777" w:rsidR="00884A3E" w:rsidRPr="001F3CA0" w:rsidRDefault="00884A3E" w:rsidP="00884A3E">
      <w:pPr>
        <w:pStyle w:val="ListParagraph1"/>
        <w:spacing w:after="0"/>
        <w:ind w:left="-58" w:firstLine="0"/>
      </w:pPr>
      <w:r w:rsidRPr="001F3CA0">
        <w:rPr>
          <w:rFonts w:hint="cs"/>
          <w:rtl/>
        </w:rPr>
        <w:t xml:space="preserve">כך גם, לא נעלמה מעיני העובדה כי הנאשם החזיק את הסמים במקומות שונים ובהם, בחדר הארונות; בסלון וברכבו. התנהלות כגון זו, יכולה ללמד כי החזקת הסמים הפכה למרכז חייו של הנאשם ולאינטרס המרכזי שלו, בעוד שהאינטרס האישי של בני המשפחה נסוג מפניו.  </w:t>
      </w:r>
    </w:p>
    <w:p w14:paraId="28A23B76" w14:textId="77777777" w:rsidR="00884A3E" w:rsidRPr="001F3CA0" w:rsidRDefault="00884A3E" w:rsidP="00884A3E">
      <w:pPr>
        <w:spacing w:line="360" w:lineRule="auto"/>
        <w:jc w:val="both"/>
        <w:rPr>
          <w:rtl/>
        </w:rPr>
      </w:pPr>
      <w:r w:rsidRPr="001F3CA0">
        <w:rPr>
          <w:rFonts w:hint="cs"/>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כפי שצוין זה מכבר,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72CFDC21" w14:textId="77777777" w:rsidR="00884A3E" w:rsidRPr="001F3CA0" w:rsidRDefault="00884A3E" w:rsidP="00884A3E">
      <w:pPr>
        <w:pStyle w:val="ListParagraph1"/>
        <w:spacing w:after="0"/>
        <w:ind w:left="-58" w:firstLine="0"/>
        <w:rPr>
          <w:rFonts w:ascii="David" w:hAnsi="David"/>
        </w:rPr>
      </w:pPr>
      <w:r w:rsidRPr="001F3CA0">
        <w:rPr>
          <w:rFonts w:hint="cs"/>
          <w:rtl/>
        </w:rPr>
        <w:t xml:space="preserve">לאור כל האמור, ובשים לב בין היתר לכמות הסם שהנאשם החזיק, ולנוכח מדיניות הענישה הנוהגת במקרים שבהם הורשעו הנאשמים בהחזקת סם מסוג קנבוס שלא לצריכה עצמית במשקל הנמדד בקילוגרמים בודדים, נדמה כי </w:t>
      </w:r>
      <w:r w:rsidRPr="001F3CA0">
        <w:rPr>
          <w:rFonts w:hint="cs"/>
          <w:b/>
          <w:bCs/>
          <w:rtl/>
        </w:rPr>
        <w:t>יש מקום לקבל את מתחם העונש ההולם לו עתרה המאשימה, הנע בין 6 ל-12 חודשי מאסר</w:t>
      </w:r>
      <w:r w:rsidRPr="001F3CA0">
        <w:rPr>
          <w:rFonts w:hint="cs"/>
          <w:rtl/>
        </w:rPr>
        <w:t xml:space="preserve"> </w:t>
      </w:r>
      <w:r w:rsidRPr="001F3CA0">
        <w:rPr>
          <w:rFonts w:ascii="Arimo" w:hAnsi="Arimo" w:hint="cs"/>
          <w:u w:val="single"/>
          <w:rtl/>
        </w:rPr>
        <w:t xml:space="preserve">(כך למשל ראו: </w:t>
      </w:r>
      <w:hyperlink r:id="rId23" w:history="1">
        <w:r w:rsidR="00DD4E32" w:rsidRPr="00DD4E32">
          <w:rPr>
            <w:rFonts w:ascii="Arimo" w:hAnsi="Arimo" w:hint="cs"/>
            <w:color w:val="0000FF"/>
            <w:u w:val="single"/>
            <w:rtl/>
          </w:rPr>
          <w:t>רע</w:t>
        </w:r>
        <w:r w:rsidR="00DD4E32" w:rsidRPr="00DD4E32">
          <w:rPr>
            <w:rFonts w:ascii="Arimo" w:hAnsi="Arimo"/>
            <w:color w:val="0000FF"/>
            <w:u w:val="single"/>
            <w:rtl/>
          </w:rPr>
          <w:t>"</w:t>
        </w:r>
        <w:r w:rsidR="00DD4E32" w:rsidRPr="00DD4E32">
          <w:rPr>
            <w:rFonts w:ascii="Arimo" w:hAnsi="Arimo" w:hint="cs"/>
            <w:color w:val="0000FF"/>
            <w:u w:val="single"/>
            <w:rtl/>
          </w:rPr>
          <w:t>פ</w:t>
        </w:r>
        <w:r w:rsidR="00DD4E32" w:rsidRPr="00DD4E32">
          <w:rPr>
            <w:rFonts w:ascii="Arimo" w:hAnsi="Arimo"/>
            <w:color w:val="0000FF"/>
            <w:u w:val="single"/>
            <w:rtl/>
          </w:rPr>
          <w:t xml:space="preserve"> 1830/16</w:t>
        </w:r>
      </w:hyperlink>
      <w:r w:rsidRPr="001F3CA0">
        <w:rPr>
          <w:rFonts w:ascii="Arimo" w:hAnsi="Arimo" w:hint="cs"/>
          <w:u w:val="single"/>
          <w:rtl/>
        </w:rPr>
        <w:t xml:space="preserve"> </w:t>
      </w:r>
      <w:r w:rsidRPr="001F3CA0">
        <w:rPr>
          <w:rFonts w:ascii="Arimo" w:hAnsi="Arimo" w:hint="cs"/>
          <w:b/>
          <w:bCs/>
          <w:rtl/>
        </w:rPr>
        <w:t>סאלם רקיבי</w:t>
      </w:r>
      <w:r w:rsidRPr="001F3CA0">
        <w:rPr>
          <w:rFonts w:ascii="Arimo" w:hAnsi="Arimo" w:hint="cs"/>
          <w:rtl/>
        </w:rPr>
        <w:t xml:space="preserve"> נ' </w:t>
      </w:r>
      <w:r w:rsidRPr="001F3CA0">
        <w:rPr>
          <w:rFonts w:ascii="Arimo" w:hAnsi="Arimo" w:hint="cs"/>
          <w:b/>
          <w:bCs/>
          <w:rtl/>
        </w:rPr>
        <w:t>מדינת ישראל</w:t>
      </w:r>
      <w:r w:rsidRPr="001F3CA0">
        <w:rPr>
          <w:rFonts w:ascii="Arimo" w:hAnsi="Arimo" w:hint="cs"/>
          <w:rtl/>
        </w:rPr>
        <w:t xml:space="preserve"> (11.04.2016); </w:t>
      </w:r>
      <w:r w:rsidRPr="001F3CA0">
        <w:rPr>
          <w:rFonts w:ascii="David" w:hAnsi="David" w:hint="cs"/>
          <w:u w:val="single"/>
          <w:rtl/>
        </w:rPr>
        <w:t>עפ"ג 46575-03-15</w:t>
      </w:r>
      <w:r w:rsidRPr="001F3CA0">
        <w:rPr>
          <w:rFonts w:ascii="David" w:hAnsi="David" w:hint="cs"/>
          <w:rtl/>
        </w:rPr>
        <w:t xml:space="preserve"> </w:t>
      </w:r>
      <w:r w:rsidRPr="001F3CA0">
        <w:rPr>
          <w:rFonts w:ascii="David" w:hAnsi="David" w:hint="cs"/>
          <w:b/>
          <w:bCs/>
          <w:rtl/>
        </w:rPr>
        <w:t>מדינת ישראל נ' זרביסקי</w:t>
      </w:r>
      <w:r w:rsidRPr="001F3CA0">
        <w:rPr>
          <w:rFonts w:ascii="David" w:hAnsi="David" w:hint="cs"/>
          <w:rtl/>
        </w:rPr>
        <w:t xml:space="preserve"> (01.06.2015);</w:t>
      </w:r>
      <w:r w:rsidRPr="001F3CA0">
        <w:rPr>
          <w:rFonts w:ascii="David" w:hAnsi="David" w:hint="cs"/>
          <w:b/>
          <w:bCs/>
          <w:rtl/>
        </w:rPr>
        <w:t xml:space="preserve"> </w:t>
      </w:r>
      <w:r w:rsidRPr="001F3CA0">
        <w:rPr>
          <w:rFonts w:ascii="David" w:hAnsi="David" w:hint="cs"/>
          <w:rtl/>
        </w:rPr>
        <w:t>(</w:t>
      </w:r>
      <w:hyperlink r:id="rId24" w:history="1">
        <w:r w:rsidR="00DD4E32" w:rsidRPr="00DD4E32">
          <w:rPr>
            <w:rStyle w:val="Hyperlink"/>
            <w:rFonts w:hint="cs"/>
            <w:color w:val="0000FF"/>
            <w:rtl/>
          </w:rPr>
          <w:t>ת</w:t>
        </w:r>
        <w:r w:rsidR="00DD4E32" w:rsidRPr="00DD4E32">
          <w:rPr>
            <w:rStyle w:val="Hyperlink"/>
            <w:color w:val="0000FF"/>
            <w:rtl/>
          </w:rPr>
          <w:t>"</w:t>
        </w:r>
        <w:r w:rsidR="00DD4E32" w:rsidRPr="00DD4E32">
          <w:rPr>
            <w:rStyle w:val="Hyperlink"/>
            <w:rFonts w:hint="cs"/>
            <w:color w:val="0000FF"/>
            <w:rtl/>
          </w:rPr>
          <w:t>פ</w:t>
        </w:r>
        <w:r w:rsidR="00DD4E32" w:rsidRPr="00DD4E32">
          <w:rPr>
            <w:rStyle w:val="Hyperlink"/>
            <w:color w:val="0000FF"/>
            <w:rtl/>
          </w:rPr>
          <w:t xml:space="preserve"> (</w:t>
        </w:r>
        <w:r w:rsidR="00DD4E32" w:rsidRPr="00DD4E32">
          <w:rPr>
            <w:rStyle w:val="Hyperlink"/>
            <w:rFonts w:hint="cs"/>
            <w:color w:val="0000FF"/>
            <w:rtl/>
          </w:rPr>
          <w:t>ראשל</w:t>
        </w:r>
        <w:r w:rsidR="00DD4E32" w:rsidRPr="00DD4E32">
          <w:rPr>
            <w:rStyle w:val="Hyperlink"/>
            <w:color w:val="0000FF"/>
            <w:rtl/>
          </w:rPr>
          <w:t>"</w:t>
        </w:r>
        <w:r w:rsidR="00DD4E32" w:rsidRPr="00DD4E32">
          <w:rPr>
            <w:rStyle w:val="Hyperlink"/>
            <w:rFonts w:hint="cs"/>
            <w:color w:val="0000FF"/>
            <w:rtl/>
          </w:rPr>
          <w:t>צ</w:t>
        </w:r>
        <w:r w:rsidR="00DD4E32" w:rsidRPr="00DD4E32">
          <w:rPr>
            <w:rStyle w:val="Hyperlink"/>
            <w:color w:val="0000FF"/>
            <w:rtl/>
          </w:rPr>
          <w:t>) 19158-06-11</w:t>
        </w:r>
      </w:hyperlink>
      <w:r w:rsidRPr="001F3CA0">
        <w:rPr>
          <w:rFonts w:ascii="David" w:hAnsi="David" w:hint="cs"/>
          <w:rtl/>
        </w:rPr>
        <w:t xml:space="preserve"> </w:t>
      </w:r>
      <w:r w:rsidRPr="001F3CA0">
        <w:rPr>
          <w:rFonts w:ascii="David" w:hAnsi="David" w:hint="cs"/>
          <w:b/>
          <w:bCs/>
          <w:rtl/>
        </w:rPr>
        <w:t xml:space="preserve">מדינת ישראל נ' ברנס </w:t>
      </w:r>
      <w:r w:rsidRPr="001F3CA0">
        <w:rPr>
          <w:rFonts w:ascii="David" w:hAnsi="David" w:hint="cs"/>
          <w:rtl/>
        </w:rPr>
        <w:t xml:space="preserve">(17.09.2011); </w:t>
      </w:r>
      <w:hyperlink r:id="rId25" w:history="1">
        <w:r w:rsidR="00DD4E32" w:rsidRPr="00DD4E32">
          <w:rPr>
            <w:rStyle w:val="Hyperlink"/>
            <w:rFonts w:ascii="David" w:hAnsi="David"/>
            <w:color w:val="0000FF"/>
            <w:rtl/>
          </w:rPr>
          <w:t>עפ"ג (מח' ת"א) 730-05-10</w:t>
        </w:r>
      </w:hyperlink>
      <w:r w:rsidRPr="001F3CA0">
        <w:rPr>
          <w:rFonts w:ascii="David" w:hAnsi="David" w:hint="cs"/>
          <w:rtl/>
        </w:rPr>
        <w:t xml:space="preserve"> </w:t>
      </w:r>
      <w:r w:rsidRPr="001F3CA0">
        <w:rPr>
          <w:rFonts w:ascii="David" w:hAnsi="David" w:hint="cs"/>
          <w:b/>
          <w:bCs/>
          <w:rtl/>
        </w:rPr>
        <w:t>אמיר אלוני נ' מדינת ישראל</w:t>
      </w:r>
      <w:r w:rsidRPr="001F3CA0">
        <w:rPr>
          <w:rFonts w:ascii="David" w:hAnsi="David" w:hint="cs"/>
          <w:rtl/>
        </w:rPr>
        <w:t xml:space="preserve"> (20.06.2011); </w:t>
      </w:r>
      <w:hyperlink r:id="rId26" w:history="1">
        <w:r w:rsidR="00DD4E32" w:rsidRPr="00DD4E32">
          <w:rPr>
            <w:rStyle w:val="Hyperlink"/>
            <w:rFonts w:ascii="David" w:hAnsi="David"/>
            <w:color w:val="0000FF"/>
            <w:rtl/>
          </w:rPr>
          <w:t>ת"פ 29627-09-15</w:t>
        </w:r>
      </w:hyperlink>
      <w:r w:rsidRPr="001F3CA0">
        <w:rPr>
          <w:rFonts w:ascii="David" w:hAnsi="David" w:hint="cs"/>
          <w:rtl/>
        </w:rPr>
        <w:t xml:space="preserve"> (שלום טבריה)</w:t>
      </w:r>
      <w:r w:rsidRPr="001F3CA0">
        <w:rPr>
          <w:rFonts w:ascii="David" w:hAnsi="David" w:hint="cs"/>
          <w:b/>
          <w:bCs/>
          <w:rtl/>
        </w:rPr>
        <w:t xml:space="preserve"> מדינת ישראל נ' חיים </w:t>
      </w:r>
      <w:r w:rsidRPr="001F3CA0">
        <w:rPr>
          <w:rFonts w:ascii="David" w:hAnsi="David" w:hint="cs"/>
          <w:rtl/>
        </w:rPr>
        <w:t xml:space="preserve">(01.08.2016).   </w:t>
      </w:r>
    </w:p>
    <w:p w14:paraId="2B3CDC05" w14:textId="77777777" w:rsidR="00884A3E" w:rsidRPr="00884A3E" w:rsidRDefault="00884A3E" w:rsidP="00884A3E">
      <w:pPr>
        <w:pStyle w:val="ListParagraph1"/>
        <w:spacing w:after="0"/>
        <w:ind w:left="-58" w:firstLine="0"/>
        <w:rPr>
          <w:rtl/>
        </w:rPr>
      </w:pPr>
      <w:r w:rsidRPr="001F3CA0">
        <w:rPr>
          <w:rFonts w:hint="cs"/>
          <w:rtl/>
        </w:rPr>
        <w:t xml:space="preserve">בשוליה של נקודה זו, אציין כי לא אוכל לקבל את טענת ההגנה, לפיה מתחם העונש ההולם במקרה הנדון צריך לנוע בין אי הרשעה לבין מאסר בעבודות שירות. בהתייחס לרף התחתון הנטען, יש לומר כי אך ורק במקרים חריגים ימנע בית המשפט מהרשעתו של נאשם שנמצא אשם בביצוע עבירה. קבלת עמדתו של הסנגור, תביא לידי כך שנאשמים בביצוע עבירות סמים שלא לצריכה עצמית ואשר נמצא כי בעניינם יש לגזור עונש ברף הנמוך של מתחם העונש ההולם, יסיימו את עניינם כמעט באופן אוטומטי ללא הרשעה. בעצם כך, הלכה למעשה, יהפוך החריג לכלל, וזאת בניגוד להלכה הנוהגת בשאלת אי ההרשעה. </w:t>
      </w:r>
    </w:p>
    <w:p w14:paraId="58D1735F" w14:textId="77777777" w:rsidR="00884A3E" w:rsidRDefault="00884A3E" w:rsidP="00884A3E">
      <w:pPr>
        <w:pStyle w:val="1"/>
        <w:spacing w:before="0" w:line="360" w:lineRule="auto"/>
        <w:jc w:val="both"/>
        <w:rPr>
          <w:rFonts w:ascii="David" w:hAnsi="David" w:cs="David"/>
          <w:noProof w:val="0"/>
          <w:color w:val="auto"/>
          <w:sz w:val="24"/>
          <w:szCs w:val="24"/>
          <w:rtl/>
        </w:rPr>
      </w:pPr>
    </w:p>
    <w:p w14:paraId="7643EF41" w14:textId="77777777" w:rsidR="00884A3E" w:rsidRPr="001F3CA0" w:rsidRDefault="00884A3E" w:rsidP="00884A3E">
      <w:pPr>
        <w:pStyle w:val="1"/>
        <w:spacing w:before="0" w:line="360" w:lineRule="auto"/>
        <w:jc w:val="both"/>
        <w:rPr>
          <w:rFonts w:cs="David"/>
          <w:b/>
          <w:bCs/>
          <w:color w:val="auto"/>
          <w:u w:val="single"/>
          <w:rtl/>
        </w:rPr>
      </w:pPr>
      <w:r w:rsidRPr="001F3CA0">
        <w:rPr>
          <w:rFonts w:cs="David" w:hint="cs"/>
          <w:b/>
          <w:bCs/>
          <w:color w:val="auto"/>
          <w:u w:val="single"/>
          <w:rtl/>
        </w:rPr>
        <w:t>גזירת העונש המתאים לנאשם</w:t>
      </w:r>
    </w:p>
    <w:p w14:paraId="273E9876" w14:textId="77777777" w:rsidR="00884A3E" w:rsidRPr="001F3CA0" w:rsidRDefault="00884A3E" w:rsidP="00884A3E">
      <w:pPr>
        <w:pStyle w:val="ListParagraph1"/>
        <w:numPr>
          <w:ilvl w:val="0"/>
          <w:numId w:val="1"/>
        </w:numPr>
        <w:spacing w:after="0"/>
        <w:ind w:left="-58"/>
        <w:rPr>
          <w:rtl/>
        </w:rPr>
      </w:pPr>
      <w:r w:rsidRPr="001F3CA0">
        <w:rPr>
          <w:rFonts w:hint="cs"/>
          <w:rtl/>
        </w:rPr>
        <w:t xml:space="preserve">אשר לגזירת עונשו של הנאשם בגדרי מתחם העונש ההולם, כאמור </w:t>
      </w:r>
      <w:hyperlink r:id="rId27" w:history="1">
        <w:r w:rsidR="006F06BE" w:rsidRPr="006F06BE">
          <w:rPr>
            <w:rFonts w:hint="cs"/>
            <w:color w:val="0000FF"/>
            <w:u w:val="single"/>
            <w:rtl/>
          </w:rPr>
          <w:t>בסעיף</w:t>
        </w:r>
        <w:r w:rsidR="006F06BE" w:rsidRPr="006F06BE">
          <w:rPr>
            <w:color w:val="0000FF"/>
            <w:u w:val="single"/>
            <w:rtl/>
          </w:rPr>
          <w:t xml:space="preserve"> 40</w:t>
        </w:r>
        <w:r w:rsidR="006F06BE" w:rsidRPr="006F06BE">
          <w:rPr>
            <w:rFonts w:hint="cs"/>
            <w:color w:val="0000FF"/>
            <w:u w:val="single"/>
            <w:rtl/>
          </w:rPr>
          <w:t>ג</w:t>
        </w:r>
        <w:r w:rsidR="006F06BE" w:rsidRPr="006F06BE">
          <w:rPr>
            <w:color w:val="0000FF"/>
            <w:u w:val="single"/>
            <w:rtl/>
          </w:rPr>
          <w:t>(</w:t>
        </w:r>
        <w:r w:rsidR="006F06BE" w:rsidRPr="006F06BE">
          <w:rPr>
            <w:rFonts w:hint="cs"/>
            <w:color w:val="0000FF"/>
            <w:u w:val="single"/>
            <w:rtl/>
          </w:rPr>
          <w:t>ב</w:t>
        </w:r>
        <w:r w:rsidR="006F06BE" w:rsidRPr="006F06BE">
          <w:rPr>
            <w:color w:val="0000FF"/>
            <w:u w:val="single"/>
            <w:rtl/>
          </w:rPr>
          <w:t>)</w:t>
        </w:r>
      </w:hyperlink>
      <w:r w:rsidRPr="001F3CA0">
        <w:rPr>
          <w:rFonts w:hint="cs"/>
          <w:rtl/>
        </w:rPr>
        <w:t xml:space="preserve"> ל</w:t>
      </w:r>
      <w:hyperlink r:id="rId28" w:history="1">
        <w:r w:rsidR="00DD4E32" w:rsidRPr="00DD4E32">
          <w:rPr>
            <w:rFonts w:hint="cs"/>
            <w:color w:val="0000FF"/>
            <w:u w:val="single"/>
            <w:rtl/>
          </w:rPr>
          <w:t>חוק</w:t>
        </w:r>
        <w:r w:rsidR="00DD4E32" w:rsidRPr="00DD4E32">
          <w:rPr>
            <w:color w:val="0000FF"/>
            <w:u w:val="single"/>
            <w:rtl/>
          </w:rPr>
          <w:t xml:space="preserve"> </w:t>
        </w:r>
        <w:r w:rsidR="00DD4E32" w:rsidRPr="00DD4E32">
          <w:rPr>
            <w:rFonts w:hint="cs"/>
            <w:color w:val="0000FF"/>
            <w:u w:val="single"/>
            <w:rtl/>
          </w:rPr>
          <w:t>העונשין</w:t>
        </w:r>
      </w:hyperlink>
      <w:r w:rsidRPr="001F3CA0">
        <w:rPr>
          <w:rFonts w:hint="cs"/>
          <w:rtl/>
        </w:rPr>
        <w:t xml:space="preserve">, על בית המשפט לשקול בעניין זה את הנסיבות שאינן קשורות בביצוע העבירה, כפי שאלו מפורטות </w:t>
      </w:r>
      <w:hyperlink r:id="rId29" w:history="1">
        <w:r w:rsidR="006F06BE" w:rsidRPr="006F06BE">
          <w:rPr>
            <w:rFonts w:hint="cs"/>
            <w:color w:val="0000FF"/>
            <w:u w:val="single"/>
            <w:rtl/>
          </w:rPr>
          <w:t>בסעיף</w:t>
        </w:r>
        <w:r w:rsidR="006F06BE" w:rsidRPr="006F06BE">
          <w:rPr>
            <w:color w:val="0000FF"/>
            <w:u w:val="single"/>
            <w:rtl/>
          </w:rPr>
          <w:t xml:space="preserve"> 40</w:t>
        </w:r>
        <w:r w:rsidR="006F06BE" w:rsidRPr="006F06BE">
          <w:rPr>
            <w:rFonts w:hint="cs"/>
            <w:color w:val="0000FF"/>
            <w:u w:val="single"/>
            <w:rtl/>
          </w:rPr>
          <w:t>יא</w:t>
        </w:r>
      </w:hyperlink>
      <w:r w:rsidRPr="001F3CA0">
        <w:rPr>
          <w:rFonts w:hint="cs"/>
          <w:rtl/>
        </w:rPr>
        <w:t xml:space="preserve"> לחוק העונשין.</w:t>
      </w:r>
    </w:p>
    <w:p w14:paraId="276BA67C" w14:textId="77777777" w:rsidR="00884A3E" w:rsidRPr="001F3CA0" w:rsidRDefault="00884A3E" w:rsidP="00884A3E">
      <w:pPr>
        <w:pStyle w:val="ListParagraph1"/>
        <w:spacing w:after="0"/>
        <w:ind w:left="-58" w:firstLine="0"/>
      </w:pPr>
      <w:r w:rsidRPr="001F3CA0">
        <w:rPr>
          <w:rFonts w:hint="cs"/>
          <w:rtl/>
        </w:rPr>
        <w:t>במסגרת זו, נתתי דעתי לעובדה כי הנאשם הודה במיוחס לו, נטל אחריות מלאה על מעשיו והביא לחיסכון בזמן שיפוטי. כך גם סבורתני, כי כברת הדרך שהוא עבר בפן הטיפולי, ושאודותיה ארחיב בהמשך, מלמדת במידה רבה אודות החרטה שהוא חש בנוגע לביצוע העבירה בפרט, ובנוגע לאורח החיים שאותו הוא ניהל בעבר בכלל. כן נתתי דעתי למצבו הבריאותי של הנאשם, כפי שניתן ללמוד מתסקיר שירות המבחן, כאשר אין זה מן הנמנע כי מצב בריאותי זה, עם כל השלכותיו הגופניות, והנפשיות תרם במידה כזו או אחרת לשימור התמכרותו של הנאשם לסם הקנבוס.</w:t>
      </w:r>
    </w:p>
    <w:p w14:paraId="67DE9EB0" w14:textId="77777777" w:rsidR="00884A3E" w:rsidRPr="001F3CA0" w:rsidRDefault="00884A3E" w:rsidP="00884A3E">
      <w:pPr>
        <w:pStyle w:val="ListParagraph1"/>
        <w:spacing w:after="0"/>
        <w:ind w:left="-58" w:firstLine="0"/>
        <w:rPr>
          <w:rtl/>
        </w:rPr>
      </w:pPr>
      <w:r w:rsidRPr="001F3CA0">
        <w:rPr>
          <w:rFonts w:hint="cs"/>
          <w:rtl/>
        </w:rPr>
        <w:t xml:space="preserve">כן יש להעניק משקל לפרק הזמן שחלף מעת ביצוע העבירה. כאן יצוין, כי לא בספירה הטכנית של חלוף הזמן טמון העיקר, כי אם בעובדה שבמשך פרק זמן זה הנאשם פעל רבות לשם שינוי אורחות חייו ושיקומו, תוך שהשתלב בהליך טיפולי אינטנסיבי. למעשה, נדמה כי כיום ניצב בפני בית המשפט אדם העושה מאמצים להיות "אדם חדש", שונה בתכלית מזה שביצע את העבירה שבמוקד כתב האישום (ראו והשוו דבריה של כב' השופטת ד' ברק ארז בפסקה 15 </w:t>
      </w:r>
      <w:r w:rsidRPr="001F3CA0">
        <w:rPr>
          <w:rFonts w:hint="cs"/>
          <w:u w:val="single"/>
          <w:rtl/>
        </w:rPr>
        <w:t>ב</w:t>
      </w:r>
      <w:hyperlink r:id="rId30" w:history="1">
        <w:r w:rsidR="00DD4E32" w:rsidRPr="00DD4E32">
          <w:rPr>
            <w:rFonts w:hint="cs"/>
            <w:color w:val="0000FF"/>
            <w:u w:val="single"/>
            <w:rtl/>
          </w:rPr>
          <w:t>ע</w:t>
        </w:r>
        <w:r w:rsidR="00DD4E32" w:rsidRPr="00DD4E32">
          <w:rPr>
            <w:color w:val="0000FF"/>
            <w:u w:val="single"/>
            <w:rtl/>
          </w:rPr>
          <w:t>"</w:t>
        </w:r>
        <w:r w:rsidR="00DD4E32" w:rsidRPr="00DD4E32">
          <w:rPr>
            <w:rFonts w:hint="cs"/>
            <w:color w:val="0000FF"/>
            <w:u w:val="single"/>
            <w:rtl/>
          </w:rPr>
          <w:t>פ</w:t>
        </w:r>
        <w:r w:rsidR="00DD4E32" w:rsidRPr="00DD4E32">
          <w:rPr>
            <w:color w:val="0000FF"/>
            <w:u w:val="single"/>
            <w:rtl/>
          </w:rPr>
          <w:t xml:space="preserve"> 111/14</w:t>
        </w:r>
      </w:hyperlink>
      <w:r w:rsidRPr="001F3CA0">
        <w:rPr>
          <w:rFonts w:hint="cs"/>
          <w:rtl/>
        </w:rPr>
        <w:t xml:space="preserve"> </w:t>
      </w:r>
      <w:r w:rsidRPr="001F3CA0">
        <w:rPr>
          <w:rFonts w:hint="cs"/>
          <w:b/>
          <w:bCs/>
          <w:rtl/>
        </w:rPr>
        <w:t>פלוני נ' מדינת ישראל</w:t>
      </w:r>
      <w:r w:rsidRPr="001F3CA0">
        <w:rPr>
          <w:rFonts w:hint="cs"/>
          <w:rtl/>
        </w:rPr>
        <w:t>, (01.04.2014)).</w:t>
      </w:r>
    </w:p>
    <w:p w14:paraId="627AB641" w14:textId="77777777" w:rsidR="00884A3E" w:rsidRPr="001F3CA0" w:rsidRDefault="00884A3E" w:rsidP="00884A3E">
      <w:pPr>
        <w:pStyle w:val="ListParagraph1"/>
        <w:spacing w:after="0"/>
        <w:ind w:left="-58" w:firstLine="0"/>
        <w:rPr>
          <w:rtl/>
        </w:rPr>
      </w:pPr>
      <w:r w:rsidRPr="001F3CA0">
        <w:rPr>
          <w:rFonts w:hint="cs"/>
          <w:rtl/>
        </w:rPr>
        <w:t xml:space="preserve">בנוסף, יש לשקול את העובדה שהנאשם שהה מספר ימים, במעצר מאחורי סורג ובריח, ובמשך פרק זמן נוסף היה נתון תחת תנאים מגבילים. ברי כי הליך המעצר אינו עונש או "מקדמה על חשבון העונש", אך סבורתני כי היה בהליך זה כדי להעביר לו את המסר הנדרש, וייתכן שאף ניתן לשקול שיקול זה במסגרת </w:t>
      </w:r>
      <w:hyperlink r:id="rId31" w:history="1">
        <w:r w:rsidR="006F06BE" w:rsidRPr="006F06BE">
          <w:rPr>
            <w:rFonts w:hint="cs"/>
            <w:color w:val="0000FF"/>
            <w:u w:val="single"/>
            <w:rtl/>
          </w:rPr>
          <w:t>סעיף</w:t>
        </w:r>
        <w:r w:rsidR="006F06BE" w:rsidRPr="006F06BE">
          <w:rPr>
            <w:color w:val="0000FF"/>
            <w:u w:val="single"/>
            <w:rtl/>
          </w:rPr>
          <w:t xml:space="preserve"> 40</w:t>
        </w:r>
        <w:r w:rsidR="006F06BE" w:rsidRPr="006F06BE">
          <w:rPr>
            <w:rFonts w:hint="cs"/>
            <w:color w:val="0000FF"/>
            <w:u w:val="single"/>
            <w:rtl/>
          </w:rPr>
          <w:t>יא</w:t>
        </w:r>
        <w:r w:rsidR="006F06BE" w:rsidRPr="006F06BE">
          <w:rPr>
            <w:color w:val="0000FF"/>
            <w:u w:val="single"/>
            <w:rtl/>
          </w:rPr>
          <w:t>(3)</w:t>
        </w:r>
      </w:hyperlink>
      <w:r w:rsidRPr="001F3CA0">
        <w:rPr>
          <w:rFonts w:hint="cs"/>
          <w:rtl/>
        </w:rPr>
        <w:t xml:space="preserve"> ל</w:t>
      </w:r>
      <w:hyperlink r:id="rId32" w:history="1">
        <w:r w:rsidR="00DD4E32" w:rsidRPr="00DD4E32">
          <w:rPr>
            <w:rFonts w:hint="cs"/>
            <w:color w:val="0000FF"/>
            <w:u w:val="single"/>
            <w:rtl/>
          </w:rPr>
          <w:t>חוק</w:t>
        </w:r>
        <w:r w:rsidR="00DD4E32" w:rsidRPr="00DD4E32">
          <w:rPr>
            <w:color w:val="0000FF"/>
            <w:u w:val="single"/>
            <w:rtl/>
          </w:rPr>
          <w:t xml:space="preserve"> </w:t>
        </w:r>
        <w:r w:rsidR="00DD4E32" w:rsidRPr="00DD4E32">
          <w:rPr>
            <w:rFonts w:hint="cs"/>
            <w:color w:val="0000FF"/>
            <w:u w:val="single"/>
            <w:rtl/>
          </w:rPr>
          <w:t>העונשין</w:t>
        </w:r>
      </w:hyperlink>
      <w:r w:rsidRPr="001F3CA0">
        <w:rPr>
          <w:rFonts w:hint="cs"/>
          <w:rtl/>
        </w:rPr>
        <w:t>. כמו כן, גם יתר מאפייניו האישיים החיוביים של הנאשם, כפי שהם משתקפים בין היתר מתסקיר שירות המבחן ומהתעודות מהצבא ומהמכתבים אשר הוגשו מטעם מעסיקיו בעבר ובהווה; מהמרכז הקהילתי אשקלון ומחברת "יחד", שירותי בריאות וסיעוד -בהם מתנדב הנאשם (</w:t>
      </w:r>
      <w:r w:rsidRPr="001F3CA0">
        <w:rPr>
          <w:rFonts w:hint="cs"/>
          <w:b/>
          <w:bCs/>
          <w:rtl/>
        </w:rPr>
        <w:t>נ/2; נ/3; נ/4 נ/5 ו- נ/6</w:t>
      </w:r>
      <w:r w:rsidRPr="001F3CA0">
        <w:rPr>
          <w:rFonts w:hint="cs"/>
          <w:rtl/>
        </w:rPr>
        <w:t>) - נלקחו בחשבון.</w:t>
      </w:r>
    </w:p>
    <w:p w14:paraId="18AEC02B" w14:textId="77777777" w:rsidR="00884A3E" w:rsidRPr="001F3CA0" w:rsidRDefault="00884A3E" w:rsidP="00884A3E">
      <w:pPr>
        <w:pStyle w:val="ListParagraph1"/>
        <w:spacing w:after="0"/>
        <w:ind w:left="-58" w:firstLine="0"/>
        <w:rPr>
          <w:rtl/>
        </w:rPr>
      </w:pPr>
      <w:r w:rsidRPr="001F3CA0">
        <w:rPr>
          <w:rFonts w:hint="cs"/>
          <w:rtl/>
        </w:rPr>
        <w:t>עוד במסגרת זו, נתתי דעתי לכך שעברו של הנאשם חף מהרשעות קודמות ולפגיעה שעלולה להיגרם לנאשם אם יושת עליו עונש הכולל רכיב של מאסר בפועל, ולו לריצוי בעבודות שירות. ובייחוד הדברים אמורים בשים לב לאמור בתסקיר שירות המבחן, ולהתרשמותי הבלתי אמצעית לפיה,  השתת ענישה כגון מאסר מאחורי סורג ובריח או לריצוי בעבודות שירות, עלולה לפגוע, בין היתר, בהליך השיקום של הנאשם.</w:t>
      </w:r>
    </w:p>
    <w:p w14:paraId="030F0253" w14:textId="77777777" w:rsidR="00884A3E" w:rsidRPr="001F3CA0" w:rsidRDefault="00884A3E" w:rsidP="00884A3E">
      <w:pPr>
        <w:pStyle w:val="ListParagraph1"/>
        <w:numPr>
          <w:ilvl w:val="0"/>
          <w:numId w:val="1"/>
        </w:numPr>
        <w:spacing w:after="0"/>
        <w:ind w:left="-58"/>
        <w:rPr>
          <w:rtl/>
        </w:rPr>
      </w:pPr>
      <w:r w:rsidRPr="001F3CA0">
        <w:rPr>
          <w:rFonts w:hint="cs"/>
          <w:rtl/>
        </w:rPr>
        <w:t xml:space="preserve">כל אלה, על פניו, היו צריכים להביא את בית המשפט למסקנה כי יש לגזור את עונשו של הנאשם ברף התחתון של מתחם העונש ההולם. אולם, בשים לב לאמור </w:t>
      </w:r>
      <w:hyperlink r:id="rId33" w:history="1">
        <w:r w:rsidR="006F06BE" w:rsidRPr="006F06BE">
          <w:rPr>
            <w:rFonts w:hint="cs"/>
            <w:color w:val="0000FF"/>
            <w:u w:val="single"/>
            <w:rtl/>
          </w:rPr>
          <w:t>בסעיף</w:t>
        </w:r>
        <w:r w:rsidR="006F06BE" w:rsidRPr="006F06BE">
          <w:rPr>
            <w:color w:val="0000FF"/>
            <w:u w:val="single"/>
            <w:rtl/>
          </w:rPr>
          <w:t xml:space="preserve"> 40</w:t>
        </w:r>
        <w:r w:rsidR="006F06BE" w:rsidRPr="006F06BE">
          <w:rPr>
            <w:rFonts w:hint="cs"/>
            <w:color w:val="0000FF"/>
            <w:u w:val="single"/>
            <w:rtl/>
          </w:rPr>
          <w:t>ד</w:t>
        </w:r>
        <w:r w:rsidR="006F06BE" w:rsidRPr="006F06BE">
          <w:rPr>
            <w:color w:val="0000FF"/>
            <w:u w:val="single"/>
            <w:rtl/>
          </w:rPr>
          <w:t>(</w:t>
        </w:r>
        <w:r w:rsidR="006F06BE" w:rsidRPr="006F06BE">
          <w:rPr>
            <w:rFonts w:hint="cs"/>
            <w:color w:val="0000FF"/>
            <w:u w:val="single"/>
            <w:rtl/>
          </w:rPr>
          <w:t>א</w:t>
        </w:r>
        <w:r w:rsidR="006F06BE" w:rsidRPr="006F06BE">
          <w:rPr>
            <w:color w:val="0000FF"/>
            <w:u w:val="single"/>
            <w:rtl/>
          </w:rPr>
          <w:t>)</w:t>
        </w:r>
      </w:hyperlink>
      <w:r w:rsidRPr="001F3CA0">
        <w:rPr>
          <w:rFonts w:hint="cs"/>
          <w:rtl/>
        </w:rPr>
        <w:t xml:space="preserve"> ל</w:t>
      </w:r>
      <w:hyperlink r:id="rId34" w:history="1">
        <w:r w:rsidR="00DD4E32" w:rsidRPr="00DD4E32">
          <w:rPr>
            <w:rFonts w:hint="cs"/>
            <w:color w:val="0000FF"/>
            <w:u w:val="single"/>
            <w:rtl/>
          </w:rPr>
          <w:t>חוק</w:t>
        </w:r>
        <w:r w:rsidR="00DD4E32" w:rsidRPr="00DD4E32">
          <w:rPr>
            <w:color w:val="0000FF"/>
            <w:u w:val="single"/>
            <w:rtl/>
          </w:rPr>
          <w:t xml:space="preserve"> </w:t>
        </w:r>
        <w:r w:rsidR="00DD4E32" w:rsidRPr="00DD4E32">
          <w:rPr>
            <w:rFonts w:hint="cs"/>
            <w:color w:val="0000FF"/>
            <w:u w:val="single"/>
            <w:rtl/>
          </w:rPr>
          <w:t>העונשין</w:t>
        </w:r>
      </w:hyperlink>
      <w:r w:rsidRPr="001F3CA0">
        <w:rPr>
          <w:rFonts w:hint="cs"/>
          <w:rtl/>
        </w:rPr>
        <w:t>, שוכנעתי כי יש מקום במקרה הנדון לסטות לקולא מהמתחם האמור, כהמלצת שירות המבחן, וזאת לנוכח ההליך הש</w:t>
      </w:r>
      <w:r>
        <w:rPr>
          <w:rFonts w:hint="cs"/>
          <w:rtl/>
        </w:rPr>
        <w:t xml:space="preserve">יקומי שאותו עובר הנאשם ואשר יש </w:t>
      </w:r>
      <w:r w:rsidRPr="001F3CA0">
        <w:rPr>
          <w:rFonts w:hint="cs"/>
          <w:rtl/>
        </w:rPr>
        <w:t xml:space="preserve">ו כדי להעיד על כך שהוא השתקם או לכל הפחות כי ישנו סיכוי של ממש שישתקם. למעשה, נדמה כי </w:t>
      </w:r>
      <w:hyperlink r:id="rId35" w:history="1">
        <w:r w:rsidR="006F06BE" w:rsidRPr="006F06BE">
          <w:rPr>
            <w:rFonts w:hint="cs"/>
            <w:color w:val="0000FF"/>
            <w:u w:val="single"/>
            <w:rtl/>
          </w:rPr>
          <w:t>סעיף</w:t>
        </w:r>
        <w:r w:rsidR="006F06BE" w:rsidRPr="006F06BE">
          <w:rPr>
            <w:color w:val="0000FF"/>
            <w:u w:val="single"/>
            <w:rtl/>
          </w:rPr>
          <w:t xml:space="preserve"> 40</w:t>
        </w:r>
        <w:r w:rsidR="006F06BE" w:rsidRPr="006F06BE">
          <w:rPr>
            <w:rFonts w:hint="cs"/>
            <w:color w:val="0000FF"/>
            <w:u w:val="single"/>
            <w:rtl/>
          </w:rPr>
          <w:t>ד</w:t>
        </w:r>
        <w:r w:rsidR="006F06BE" w:rsidRPr="006F06BE">
          <w:rPr>
            <w:color w:val="0000FF"/>
            <w:u w:val="single"/>
            <w:rtl/>
          </w:rPr>
          <w:t>(</w:t>
        </w:r>
        <w:r w:rsidR="006F06BE" w:rsidRPr="006F06BE">
          <w:rPr>
            <w:rFonts w:hint="cs"/>
            <w:color w:val="0000FF"/>
            <w:u w:val="single"/>
            <w:rtl/>
          </w:rPr>
          <w:t>א</w:t>
        </w:r>
        <w:r w:rsidR="006F06BE" w:rsidRPr="006F06BE">
          <w:rPr>
            <w:color w:val="0000FF"/>
            <w:u w:val="single"/>
            <w:rtl/>
          </w:rPr>
          <w:t>)</w:t>
        </w:r>
      </w:hyperlink>
      <w:r w:rsidRPr="001F3CA0">
        <w:rPr>
          <w:rFonts w:hint="cs"/>
          <w:rtl/>
        </w:rPr>
        <w:t xml:space="preserve"> ל</w:t>
      </w:r>
      <w:hyperlink r:id="rId36" w:history="1">
        <w:r w:rsidR="00DD4E32" w:rsidRPr="00DD4E32">
          <w:rPr>
            <w:rFonts w:hint="cs"/>
            <w:color w:val="0000FF"/>
            <w:u w:val="single"/>
            <w:rtl/>
          </w:rPr>
          <w:t>חוק</w:t>
        </w:r>
        <w:r w:rsidR="00DD4E32" w:rsidRPr="00DD4E32">
          <w:rPr>
            <w:color w:val="0000FF"/>
            <w:u w:val="single"/>
            <w:rtl/>
          </w:rPr>
          <w:t xml:space="preserve"> </w:t>
        </w:r>
        <w:r w:rsidR="00DD4E32" w:rsidRPr="00DD4E32">
          <w:rPr>
            <w:rFonts w:hint="cs"/>
            <w:color w:val="0000FF"/>
            <w:u w:val="single"/>
            <w:rtl/>
          </w:rPr>
          <w:t>העונשין</w:t>
        </w:r>
      </w:hyperlink>
      <w:r w:rsidRPr="001F3CA0">
        <w:rPr>
          <w:rFonts w:hint="cs"/>
          <w:rtl/>
        </w:rPr>
        <w:t xml:space="preserve"> נועד כל כולו למקרים כגון זה שבפניי, בהם אדם שבמשך שנים רבות היה מכור לסמים כדרך להתמודדות עם כאבים ומצבי לחץ ומשבר, וביצע על רקע זה עבירות, הצליח להשתקם ולהיגמל מהשימוש בסם, והעמיד את חייו על מסלול נורמטיבי של אזרח שומר חוק ויצרני. ובמה דברים אמורים?</w:t>
      </w:r>
    </w:p>
    <w:p w14:paraId="71D8CF50" w14:textId="77777777" w:rsidR="00884A3E" w:rsidRPr="001F3CA0" w:rsidRDefault="00884A3E" w:rsidP="00884A3E">
      <w:pPr>
        <w:pStyle w:val="ListParagraph1"/>
        <w:spacing w:after="0"/>
        <w:ind w:left="-58" w:firstLine="0"/>
      </w:pPr>
      <w:r w:rsidRPr="001F3CA0">
        <w:rPr>
          <w:rFonts w:hint="cs"/>
          <w:rtl/>
        </w:rPr>
        <w:t xml:space="preserve">כעולה מתסקיר שירות המבחן, הנאשם חדל משימוש בסמים; הנאשם ביצע באופן שוטף בדיקות שתן לגילוי שרידי סם ואלה שללו שימוש בכל סוגי הסמים; הלה שומר על רצף תעסוקתי; ניכר כי המדובר באדם בעל שאיפות נורמטיביות; לא נפתחו כנגדו תיקים פליליים נוספים; הלה משולב בטיפול פסיכולוגי ארוך טווח. כעולה מחוות הדעת שהוגשה על ידי פרופ' אשכר, מאז 2016 הנאשם משתתף בטיפול על בסיס שבועי. אכן, בתחילת הדרך הטיפולית הנאשם הביע התנגדות לקבלת טיפול תרופתי לצורך התמודדות עם שלל בעיותיו הפיזיות והרגשיות. ואולם, לאחר מעצרו, שב הנאשם לטיפול, תוך שהוא מקפיד להגיע בזמן לכל המפגשים, ונוטל טיפול תרופתי. להתרשמות פרופ' אשכר הנאשם, משתף בקשייו היום יומיים ובעולמו הפנימי, מראה יציבות ועקביות, מצליח לגבש אג'נדה אחידה בכל הקשור לשאלות שבמוסר עם דפסים ברורים יותר של מסגרת מנטאלית - דבר שלדידה מעיד על הימצאותו של הנאשם בתהליך של החלמה. עוד העריכה פרופ' אשכר כי הנאשם שעבר הליך טיפולי מורכב, מביע חרטה על מעשיו ומגלה מוטיבציה לנהל אורח חיים נורמטיבי וכי רמת מודעותו עלתה כמו גם ביטחונו העצמי. וכמובן תוך שהלה שומר כל העת על ניקונו מסמים. במהלך הטיפול ובמקביל אליו, הנאשם עובד באופן מסודר בחברת "פלטיניום אוטו קלאס" בע"מ ובין שלל תפקידיו מנהל במקום את צוות העובדים לרבות הכשרתם.   </w:t>
      </w:r>
    </w:p>
    <w:p w14:paraId="259633DE" w14:textId="77777777" w:rsidR="00884A3E" w:rsidRPr="001F3CA0" w:rsidRDefault="00884A3E" w:rsidP="00884A3E">
      <w:pPr>
        <w:pStyle w:val="ListParagraph1"/>
        <w:spacing w:after="0"/>
        <w:ind w:left="-58" w:firstLine="0"/>
        <w:rPr>
          <w:rtl/>
        </w:rPr>
      </w:pPr>
      <w:r w:rsidRPr="001F3CA0">
        <w:rPr>
          <w:rFonts w:hint="cs"/>
          <w:rtl/>
        </w:rPr>
        <w:t>יוצא אפוא, כי עסקינן בנאשם שעבר מהפך מוחלט בחייו: מאדם המכור לסמים– לאדם שאינו משתמש עוד בסמים, שומר חוק ומשולב בשוק התעסוקה. למעשה, הנאשם שם במרכז חייו את המטרה להיגמל משימוש בסמים, ובמשך תקופה ארוכה, פועל ומקדיש ממרצו לשׁם הגשמתה, אכן ייתכן כי עוד מצפה לנאשם דרך ארוכה עד לשיקומו באופן מלא. אולם, כבר בשלב הזה בהחלט ניתן לומר כי אין עסקינן ב"ניצני שיקום" או בשיקום ראשוני בלבד, אלא שהנאשם עבר זה מכבר כברת דרך ארוכה, ולא בכדי ניתן ללמוד מהמלצת שירות המבחן כי ההליך השיקומי שבו הוא משתתף, מצמצם את הסיכון להישנות התנהגות עוברת חוק מצדו.</w:t>
      </w:r>
    </w:p>
    <w:p w14:paraId="0E50832C" w14:textId="77777777" w:rsidR="00884A3E" w:rsidRDefault="00884A3E" w:rsidP="00884A3E">
      <w:pPr>
        <w:pStyle w:val="ListParagraph1"/>
        <w:numPr>
          <w:ilvl w:val="0"/>
          <w:numId w:val="1"/>
        </w:numPr>
        <w:spacing w:after="0"/>
        <w:ind w:left="-58"/>
      </w:pPr>
      <w:r w:rsidRPr="001F3CA0">
        <w:rPr>
          <w:rFonts w:hint="cs"/>
          <w:rtl/>
        </w:rPr>
        <w:t>לאור אלה, ובשים לב להליך השיקום שעבר הנאשם ועודנו עובר, תוך שהוא נגמל משימוש בסמים, מה שמלמד במידה רבה על איונו של המוקד הבעייתי שעמד ברקע לביצוע העבירה כך שהסיכון להישנותה הצטמצם עד דק, סבורתני שניתן לומר כבר עתה שהוא השתקם או למצער קיים סיכוי של ממש שהוא ישתקם בצורה מלאה בעתיד. משכך, כאמור, מצאתי לסטות לקולא ממתחם העונש ההולם אשר קבעתי, ולהימנע מהשתת רכיב של מאסר.</w:t>
      </w:r>
    </w:p>
    <w:p w14:paraId="41C4F950" w14:textId="77777777" w:rsidR="00884A3E" w:rsidRPr="001F3CA0" w:rsidRDefault="00884A3E" w:rsidP="00884A3E">
      <w:pPr>
        <w:spacing w:line="360" w:lineRule="auto"/>
      </w:pPr>
      <w:r w:rsidRPr="001F3CA0">
        <w:rPr>
          <w:rFonts w:hint="cs"/>
          <w:rtl/>
        </w:rPr>
        <w:t>אכן, מלאכת גזירת הדין איננה קלה כלל ועיקר, ובית המשפט אינו מקל ראש בחומרת מעשיו של הנאשם, ומביע מהם סלידה רבתי. לא אכחד ואומר, כי בית המשפט התחבט בתיק זה, אך לאחר שערך שקלא וטריא בנושא, ומשנתתי דעתי גם להמלצת שירות המבחן, מצאתי לבכר את הליך השיקום ולהסתפק בענישה מתונה יותר. כאן אף אזכיר, כי בשלב זה, כאשר יש סיכוי לא מבוטל כי הנאשם ייגמל באופן סופי מהשימוש בסמים, הרי שאינטרס השיקום איננו האינטרס שלו בלבד, כי אם של החברה כולה. שכן, ככל שהנאשם ישתקם, היא תקבל בחזרה לשורותיה אזרח נורמטיבי, פרודוקטיבי, שומר חוק ונקי מסמים. דומני כי השתה של עונש הכולל רכיב של מאסר בפועל, ולו לריצוי בעבודות שירות,  שכאמור ייתכן שיהיה בה כדי לקטוע את ההליך השיקומי שאותו עובר הנאשם, עלולה לפגוע הן באינטרס הפרטי של והן באינטרס של החברה כולה.</w:t>
      </w:r>
    </w:p>
    <w:p w14:paraId="3C9D5318" w14:textId="77777777" w:rsidR="00884A3E" w:rsidRPr="00884A3E" w:rsidRDefault="00884A3E" w:rsidP="00884A3E">
      <w:pPr>
        <w:spacing w:line="360" w:lineRule="auto"/>
        <w:rPr>
          <w:rFonts w:eastAsia="Calibri"/>
          <w:b/>
          <w:bCs/>
          <w:rtl/>
        </w:rPr>
      </w:pPr>
      <w:r w:rsidRPr="001F3CA0">
        <w:rPr>
          <w:rFonts w:hint="cs"/>
          <w:rtl/>
        </w:rPr>
        <w:t xml:space="preserve">לצד האמור, על מנת שחומרת מעשיו של הנאשם תמצא את ביטויה בענישה שתושת עליו, מצאתי לחרוג לחומרה מהמלצת שירות המבחן (שכידוע הינה כשמה כן היא – המלצה בלבד) בכל הנוגע להיקף שעות השל"צ. ביטוי נוסף לחומרת מעשיו יימצא גם בגובה הקנס שאשית עליו. </w:t>
      </w:r>
    </w:p>
    <w:p w14:paraId="7A89A22C" w14:textId="77777777" w:rsidR="00884A3E" w:rsidRPr="001F3CA0" w:rsidRDefault="00884A3E" w:rsidP="00884A3E">
      <w:pPr>
        <w:pStyle w:val="ListParagraph1"/>
        <w:numPr>
          <w:ilvl w:val="0"/>
          <w:numId w:val="1"/>
        </w:numPr>
        <w:spacing w:after="0"/>
        <w:ind w:left="-58"/>
        <w:rPr>
          <w:rtl/>
        </w:rPr>
      </w:pPr>
      <w:r w:rsidRPr="001F3CA0">
        <w:rPr>
          <w:rFonts w:hint="cs"/>
          <w:b/>
          <w:bCs/>
          <w:rtl/>
        </w:rPr>
        <w:t>לאור כל המקובץ לעיל, הריני גוזרת עליו את העונשים הבאים:</w:t>
      </w:r>
    </w:p>
    <w:p w14:paraId="0D1F65C1" w14:textId="77777777" w:rsidR="00884A3E" w:rsidRPr="001F3CA0" w:rsidRDefault="00884A3E" w:rsidP="00884A3E">
      <w:pPr>
        <w:pStyle w:val="ListParagraph1"/>
        <w:numPr>
          <w:ilvl w:val="0"/>
          <w:numId w:val="2"/>
        </w:numPr>
        <w:spacing w:after="0"/>
        <w:rPr>
          <w:b/>
          <w:bCs/>
        </w:rPr>
      </w:pPr>
      <w:r w:rsidRPr="001F3CA0">
        <w:rPr>
          <w:rFonts w:hint="cs"/>
          <w:b/>
          <w:bCs/>
          <w:rtl/>
        </w:rPr>
        <w:t>צו של"צ בהיקף של 250 שעות</w:t>
      </w:r>
      <w:r w:rsidRPr="001F3CA0">
        <w:rPr>
          <w:rFonts w:hint="cs"/>
          <w:rtl/>
        </w:rPr>
        <w:t>.</w:t>
      </w:r>
    </w:p>
    <w:p w14:paraId="088F42A8" w14:textId="77777777" w:rsidR="00884A3E" w:rsidRPr="001F3CA0" w:rsidRDefault="00884A3E" w:rsidP="00884A3E">
      <w:pPr>
        <w:pStyle w:val="ListParagraph1"/>
        <w:spacing w:after="0"/>
        <w:ind w:right="142" w:firstLine="0"/>
      </w:pPr>
      <w:r w:rsidRPr="001F3CA0">
        <w:rPr>
          <w:rFonts w:hint="cs"/>
          <w:rtl/>
        </w:rPr>
        <w:t>שירות המבחן יגיש תוך 30 תכנית של"צ בעניינו של הנאשם. לאחר קבלת התכנית, אאשרה ללא צורך בקיום דיון נוסף.</w:t>
      </w:r>
    </w:p>
    <w:p w14:paraId="7AFCDA94" w14:textId="77777777" w:rsidR="00884A3E" w:rsidRPr="001F3CA0" w:rsidRDefault="00884A3E" w:rsidP="00884A3E">
      <w:pPr>
        <w:pStyle w:val="ListParagraph1"/>
        <w:spacing w:after="0"/>
        <w:ind w:firstLine="0"/>
        <w:rPr>
          <w:b/>
          <w:bCs/>
        </w:rPr>
      </w:pPr>
      <w:r w:rsidRPr="001F3CA0">
        <w:rPr>
          <w:rFonts w:hint="cs"/>
          <w:b/>
          <w:bCs/>
          <w:u w:val="single"/>
          <w:rtl/>
        </w:rPr>
        <w:t>העתק ההחלטה בדחיפות לשירות המבחן</w:t>
      </w:r>
      <w:r>
        <w:rPr>
          <w:rFonts w:hint="cs"/>
          <w:b/>
          <w:bCs/>
          <w:rtl/>
        </w:rPr>
        <w:t>.</w:t>
      </w:r>
    </w:p>
    <w:p w14:paraId="515A5EC5" w14:textId="77777777" w:rsidR="00884A3E" w:rsidRPr="001F3CA0" w:rsidRDefault="00884A3E" w:rsidP="00884A3E">
      <w:pPr>
        <w:pStyle w:val="ListParagraph1"/>
        <w:numPr>
          <w:ilvl w:val="0"/>
          <w:numId w:val="2"/>
        </w:numPr>
        <w:spacing w:after="0"/>
        <w:rPr>
          <w:b/>
          <w:bCs/>
          <w:rtl/>
        </w:rPr>
      </w:pPr>
      <w:r w:rsidRPr="001F3CA0">
        <w:rPr>
          <w:rFonts w:hint="cs"/>
          <w:b/>
          <w:bCs/>
          <w:rtl/>
        </w:rPr>
        <w:t>צו מבחן של שירות המבחן למשך שנה מהיום.</w:t>
      </w:r>
    </w:p>
    <w:p w14:paraId="12F280EA" w14:textId="77777777" w:rsidR="00884A3E" w:rsidRPr="001F3CA0" w:rsidRDefault="00884A3E" w:rsidP="00884A3E">
      <w:pPr>
        <w:pStyle w:val="ListParagraph1"/>
        <w:spacing w:after="0"/>
        <w:ind w:firstLine="0"/>
      </w:pPr>
      <w:r w:rsidRPr="001F3CA0">
        <w:rPr>
          <w:rFonts w:hint="cs"/>
          <w:rtl/>
        </w:rPr>
        <w:t>הובהרה לנאשם חשיבות שיתוף הפעולה עם שירות המבחן והוסברו לו ההשלכות שעלולות להיות לאי שיתוף פעולה זה, ובפרט אם לא יבצע את עבודות השל"צ או לא יעמוד בתנאיו של צו המבחן.</w:t>
      </w:r>
    </w:p>
    <w:p w14:paraId="7C484036" w14:textId="77777777" w:rsidR="00884A3E" w:rsidRPr="001F3CA0" w:rsidRDefault="00884A3E" w:rsidP="00884A3E">
      <w:pPr>
        <w:pStyle w:val="ListParagraph1"/>
        <w:numPr>
          <w:ilvl w:val="0"/>
          <w:numId w:val="2"/>
        </w:numPr>
        <w:spacing w:after="0"/>
        <w:rPr>
          <w:b/>
          <w:bCs/>
        </w:rPr>
      </w:pPr>
      <w:r w:rsidRPr="001F3CA0">
        <w:rPr>
          <w:rFonts w:hint="cs"/>
          <w:b/>
          <w:bCs/>
          <w:rtl/>
        </w:rPr>
        <w:t>מאסר מותנה למשך 8 חודשים, אשר יופעל אם תוך תקופה של 3 שנים מהיום יעבור הנאשם עבירה בניגוד לפקודת הסמים, מסוג פשע.</w:t>
      </w:r>
    </w:p>
    <w:p w14:paraId="7AD44216" w14:textId="77777777" w:rsidR="00884A3E" w:rsidRPr="001F3CA0" w:rsidRDefault="00884A3E" w:rsidP="00884A3E">
      <w:pPr>
        <w:pStyle w:val="ListParagraph1"/>
        <w:numPr>
          <w:ilvl w:val="0"/>
          <w:numId w:val="2"/>
        </w:numPr>
        <w:spacing w:after="0"/>
        <w:rPr>
          <w:b/>
          <w:bCs/>
        </w:rPr>
      </w:pPr>
      <w:r w:rsidRPr="001F3CA0">
        <w:rPr>
          <w:rFonts w:hint="cs"/>
          <w:b/>
          <w:bCs/>
          <w:rtl/>
        </w:rPr>
        <w:t>מאסר מותנה למשך 4 חודשים, אשר יופעל אם תוך תקופה של 3 שנים מהיום יעבור הנאשם עבירה בניגוד לפקודת הסמים, מסוג עוון.</w:t>
      </w:r>
    </w:p>
    <w:p w14:paraId="3BF84A8A" w14:textId="77777777" w:rsidR="00884A3E" w:rsidRPr="001F3CA0" w:rsidRDefault="00884A3E" w:rsidP="00884A3E">
      <w:pPr>
        <w:pStyle w:val="ListParagraph1"/>
        <w:numPr>
          <w:ilvl w:val="0"/>
          <w:numId w:val="2"/>
        </w:numPr>
        <w:spacing w:after="0"/>
        <w:rPr>
          <w:b/>
          <w:bCs/>
        </w:rPr>
      </w:pPr>
      <w:r w:rsidRPr="001F3CA0">
        <w:rPr>
          <w:rFonts w:hint="cs"/>
          <w:b/>
          <w:bCs/>
          <w:rtl/>
        </w:rPr>
        <w:t>אני פוסלת את הנאשם מלקבל או מלהחזיק רישיון נהיגה למשך 6 חודשים, וזאת על תנאי שלא יעבור כל עבירה בניגוד ל</w:t>
      </w:r>
      <w:hyperlink r:id="rId37" w:history="1">
        <w:r w:rsidR="00DD4E32" w:rsidRPr="00DD4E32">
          <w:rPr>
            <w:rFonts w:hint="cs"/>
            <w:b/>
            <w:bCs/>
            <w:color w:val="0000FF"/>
            <w:u w:val="single"/>
            <w:rtl/>
          </w:rPr>
          <w:t>פקודת</w:t>
        </w:r>
        <w:r w:rsidR="00DD4E32" w:rsidRPr="00DD4E32">
          <w:rPr>
            <w:b/>
            <w:bCs/>
            <w:color w:val="0000FF"/>
            <w:u w:val="single"/>
            <w:rtl/>
          </w:rPr>
          <w:t xml:space="preserve"> </w:t>
        </w:r>
        <w:r w:rsidR="00DD4E32" w:rsidRPr="00DD4E32">
          <w:rPr>
            <w:rFonts w:hint="cs"/>
            <w:b/>
            <w:bCs/>
            <w:color w:val="0000FF"/>
            <w:u w:val="single"/>
            <w:rtl/>
          </w:rPr>
          <w:t>הסמים</w:t>
        </w:r>
        <w:r w:rsidR="00DD4E32" w:rsidRPr="00DD4E32">
          <w:rPr>
            <w:b/>
            <w:bCs/>
            <w:color w:val="0000FF"/>
            <w:u w:val="single"/>
            <w:rtl/>
          </w:rPr>
          <w:t xml:space="preserve"> </w:t>
        </w:r>
        <w:r w:rsidR="00DD4E32" w:rsidRPr="00DD4E32">
          <w:rPr>
            <w:rFonts w:hint="cs"/>
            <w:b/>
            <w:bCs/>
            <w:color w:val="0000FF"/>
            <w:u w:val="single"/>
            <w:rtl/>
          </w:rPr>
          <w:t>המסוכנים</w:t>
        </w:r>
      </w:hyperlink>
      <w:r w:rsidRPr="001F3CA0">
        <w:rPr>
          <w:rFonts w:hint="cs"/>
          <w:b/>
          <w:bCs/>
          <w:rtl/>
        </w:rPr>
        <w:t xml:space="preserve"> במשך שנתיים מהיום.</w:t>
      </w:r>
    </w:p>
    <w:p w14:paraId="3F507669" w14:textId="77777777" w:rsidR="00884A3E" w:rsidRPr="001F3CA0" w:rsidRDefault="00884A3E" w:rsidP="00884A3E">
      <w:pPr>
        <w:pStyle w:val="ListParagraph1"/>
        <w:numPr>
          <w:ilvl w:val="0"/>
          <w:numId w:val="2"/>
        </w:numPr>
        <w:spacing w:after="0"/>
        <w:rPr>
          <w:b/>
          <w:bCs/>
        </w:rPr>
      </w:pPr>
      <w:r w:rsidRPr="001F3CA0">
        <w:rPr>
          <w:rFonts w:hint="cs"/>
          <w:b/>
          <w:bCs/>
          <w:rtl/>
        </w:rPr>
        <w:t xml:space="preserve">קנס כספי בסך 5,000 ₪ או </w:t>
      </w:r>
      <w:r>
        <w:rPr>
          <w:rFonts w:hint="cs"/>
          <w:b/>
          <w:bCs/>
          <w:rtl/>
        </w:rPr>
        <w:t>50</w:t>
      </w:r>
      <w:r w:rsidRPr="001F3CA0">
        <w:rPr>
          <w:rFonts w:hint="cs"/>
          <w:b/>
          <w:bCs/>
          <w:rtl/>
        </w:rPr>
        <w:t xml:space="preserve"> ימי מאסר תמורתו.</w:t>
      </w:r>
    </w:p>
    <w:p w14:paraId="0CDB71AA" w14:textId="77777777" w:rsidR="00884A3E" w:rsidRDefault="00884A3E" w:rsidP="00884A3E">
      <w:pPr>
        <w:pStyle w:val="ListParagraph1"/>
        <w:spacing w:after="0"/>
        <w:ind w:firstLine="0"/>
        <w:rPr>
          <w:rtl/>
        </w:rPr>
      </w:pPr>
      <w:r w:rsidRPr="001F3CA0">
        <w:rPr>
          <w:rFonts w:hint="cs"/>
          <w:rtl/>
        </w:rPr>
        <w:t>הקנס</w:t>
      </w:r>
      <w:r>
        <w:rPr>
          <w:rFonts w:hint="cs"/>
          <w:rtl/>
        </w:rPr>
        <w:t xml:space="preserve"> יקוזז מסכום הפיקדון שהופקד בקופת ביהמ"ש במסגרת הליך המעצר מושא תיק זה וזאת ככל שלא קיים עיקול על כספים אלה. היתרה תושב לנאשם. </w:t>
      </w:r>
    </w:p>
    <w:p w14:paraId="59A4403A" w14:textId="77777777" w:rsidR="00884A3E" w:rsidRPr="001F3CA0" w:rsidRDefault="00884A3E" w:rsidP="00884A3E">
      <w:pPr>
        <w:pStyle w:val="ListParagraph1"/>
        <w:spacing w:after="0"/>
        <w:ind w:firstLine="0"/>
      </w:pPr>
      <w:r>
        <w:rPr>
          <w:rFonts w:hint="cs"/>
          <w:rtl/>
        </w:rPr>
        <w:t xml:space="preserve">ככל שלא ניתן לקזז את סכום הקנס מסכום הפיקדון, הקנס </w:t>
      </w:r>
      <w:r w:rsidRPr="001F3CA0">
        <w:rPr>
          <w:rFonts w:hint="cs"/>
          <w:rtl/>
        </w:rPr>
        <w:t>ישולם ב</w:t>
      </w:r>
      <w:r>
        <w:rPr>
          <w:rFonts w:hint="cs"/>
          <w:rtl/>
        </w:rPr>
        <w:t>- 5 שיעורים שווים, כשהראשון שבהם בתוך 30 יום.</w:t>
      </w:r>
    </w:p>
    <w:p w14:paraId="0D40D720" w14:textId="77777777" w:rsidR="00884A3E" w:rsidRDefault="00884A3E" w:rsidP="00884A3E">
      <w:pPr>
        <w:spacing w:line="360" w:lineRule="auto"/>
        <w:jc w:val="both"/>
        <w:rPr>
          <w:rtl/>
        </w:rPr>
      </w:pPr>
    </w:p>
    <w:p w14:paraId="0B89A93D" w14:textId="77777777" w:rsidR="00884A3E" w:rsidRPr="001F3CA0" w:rsidRDefault="00884A3E" w:rsidP="00884A3E">
      <w:pPr>
        <w:spacing w:line="360" w:lineRule="auto"/>
        <w:jc w:val="both"/>
        <w:rPr>
          <w:rtl/>
        </w:rPr>
      </w:pPr>
      <w:r w:rsidRPr="001F3CA0">
        <w:rPr>
          <w:rFonts w:hint="cs"/>
          <w:rtl/>
        </w:rPr>
        <w:t>הריני מורה על השמדת המוצגים בתיק – סמים, בכפוף לחלוף תקופת הערעור.</w:t>
      </w:r>
    </w:p>
    <w:p w14:paraId="3B2E4EFE" w14:textId="77777777" w:rsidR="00884A3E" w:rsidRDefault="00884A3E" w:rsidP="00884A3E">
      <w:pPr>
        <w:spacing w:line="360" w:lineRule="auto"/>
        <w:jc w:val="both"/>
        <w:rPr>
          <w:rtl/>
        </w:rPr>
      </w:pPr>
    </w:p>
    <w:p w14:paraId="7A994B33" w14:textId="77777777" w:rsidR="00884A3E" w:rsidRPr="007C4348" w:rsidRDefault="00884A3E" w:rsidP="00884A3E">
      <w:pPr>
        <w:spacing w:line="360" w:lineRule="auto"/>
        <w:jc w:val="both"/>
        <w:rPr>
          <w:b/>
          <w:bCs/>
          <w:rtl/>
        </w:rPr>
      </w:pPr>
      <w:r w:rsidRPr="007C4348">
        <w:rPr>
          <w:rFonts w:hint="cs"/>
          <w:b/>
          <w:bCs/>
          <w:rtl/>
        </w:rPr>
        <w:t>זכות ערעור כחוק.</w:t>
      </w:r>
    </w:p>
    <w:p w14:paraId="65E6D711" w14:textId="77777777" w:rsidR="00884A3E" w:rsidRPr="001F3CA0" w:rsidRDefault="00884A3E" w:rsidP="00884A3E">
      <w:pPr>
        <w:spacing w:line="360" w:lineRule="auto"/>
        <w:jc w:val="both"/>
        <w:rPr>
          <w:rFonts w:ascii="Arial" w:hAnsi="Arial"/>
          <w:b/>
          <w:bCs/>
          <w:noProof w:val="0"/>
          <w:rtl/>
        </w:rPr>
      </w:pPr>
      <w:r w:rsidRPr="001F3CA0">
        <w:rPr>
          <w:rFonts w:ascii="Arial" w:hAnsi="Arial"/>
          <w:b/>
          <w:bCs/>
          <w:noProof w:val="0"/>
          <w:rtl/>
        </w:rPr>
        <w:t>נית</w:t>
      </w:r>
      <w:r>
        <w:rPr>
          <w:rFonts w:ascii="Arial" w:hAnsi="Arial" w:hint="cs"/>
          <w:b/>
          <w:bCs/>
          <w:noProof w:val="0"/>
          <w:rtl/>
        </w:rPr>
        <w:t>ן</w:t>
      </w:r>
      <w:r w:rsidRPr="001F3CA0">
        <w:rPr>
          <w:rFonts w:ascii="Arial" w:hAnsi="Arial"/>
          <w:b/>
          <w:bCs/>
          <w:noProof w:val="0"/>
          <w:rtl/>
        </w:rPr>
        <w:t xml:space="preserve"> היום,  </w:t>
      </w:r>
      <w:r>
        <w:rPr>
          <w:rFonts w:ascii="Arial" w:hAnsi="Arial"/>
          <w:b/>
          <w:bCs/>
          <w:noProof w:val="0"/>
          <w:rtl/>
        </w:rPr>
        <w:t>ד' אב תשע"ח</w:t>
      </w:r>
      <w:r w:rsidRPr="001F3CA0">
        <w:rPr>
          <w:rFonts w:ascii="Arial" w:hAnsi="Arial"/>
          <w:b/>
          <w:bCs/>
          <w:noProof w:val="0"/>
          <w:rtl/>
        </w:rPr>
        <w:t xml:space="preserve">, </w:t>
      </w:r>
      <w:r>
        <w:rPr>
          <w:rFonts w:ascii="Arial" w:hAnsi="Arial"/>
          <w:b/>
          <w:bCs/>
          <w:noProof w:val="0"/>
          <w:rtl/>
        </w:rPr>
        <w:t>16 יולי 2018, ב</w:t>
      </w:r>
      <w:r>
        <w:rPr>
          <w:rFonts w:ascii="Arial" w:hAnsi="Arial" w:hint="cs"/>
          <w:b/>
          <w:bCs/>
          <w:noProof w:val="0"/>
          <w:rtl/>
        </w:rPr>
        <w:t>מעמד</w:t>
      </w:r>
      <w:r w:rsidRPr="001F3CA0">
        <w:rPr>
          <w:rFonts w:ascii="Arial" w:hAnsi="Arial"/>
          <w:b/>
          <w:bCs/>
          <w:noProof w:val="0"/>
          <w:rtl/>
        </w:rPr>
        <w:t xml:space="preserve"> הצדדים.</w:t>
      </w:r>
    </w:p>
    <w:p w14:paraId="63D5849C" w14:textId="77777777" w:rsidR="00884A3E" w:rsidRPr="001F3CA0" w:rsidRDefault="00884A3E" w:rsidP="00884A3E">
      <w:pPr>
        <w:spacing w:line="360" w:lineRule="auto"/>
        <w:jc w:val="both"/>
        <w:rPr>
          <w:rFonts w:ascii="Arial" w:hAnsi="Arial"/>
          <w:noProof w:val="0"/>
          <w:rtl/>
        </w:rPr>
      </w:pPr>
    </w:p>
    <w:p w14:paraId="114D41EC" w14:textId="77777777" w:rsidR="00884A3E" w:rsidRDefault="00884A3E" w:rsidP="00884A3E">
      <w:pPr>
        <w:suppressLineNumbers/>
        <w:spacing w:line="360" w:lineRule="auto"/>
        <w:rPr>
          <w:b/>
          <w:bCs/>
          <w:sz w:val="6"/>
          <w:szCs w:val="6"/>
          <w:rtl/>
        </w:rPr>
      </w:pPr>
      <w:r>
        <w:rPr>
          <w:rFonts w:hint="cs"/>
          <w:b/>
          <w:bCs/>
          <w:sz w:val="6"/>
          <w:szCs w:val="6"/>
          <w:rtl/>
        </w:rPr>
        <w:t>&lt;#7#&gt;</w:t>
      </w:r>
    </w:p>
    <w:p w14:paraId="5BE6A7C4" w14:textId="77777777" w:rsidR="00884A3E" w:rsidRDefault="00884A3E" w:rsidP="00884A3E">
      <w:pPr>
        <w:spacing w:line="360" w:lineRule="auto"/>
        <w:jc w:val="center"/>
        <w:rPr>
          <w:rFonts w:ascii="Arial" w:hAnsi="Arial"/>
          <w:b/>
          <w:bCs/>
          <w:sz w:val="28"/>
          <w:szCs w:val="28"/>
          <w:u w:val="single"/>
          <w:rtl/>
        </w:rPr>
      </w:pPr>
      <w:r>
        <w:rPr>
          <w:rFonts w:ascii="Arial" w:hAnsi="Arial" w:hint="cs"/>
          <w:b/>
          <w:bCs/>
          <w:sz w:val="28"/>
          <w:szCs w:val="28"/>
          <w:u w:val="single"/>
          <w:rtl/>
        </w:rPr>
        <w:t>החלטה</w:t>
      </w:r>
    </w:p>
    <w:p w14:paraId="3ABEEA69" w14:textId="77777777" w:rsidR="00884A3E" w:rsidRDefault="00884A3E" w:rsidP="00884A3E">
      <w:pPr>
        <w:suppressLineNumbers/>
        <w:spacing w:line="360" w:lineRule="auto"/>
        <w:rPr>
          <w:rFonts w:ascii="David" w:hAnsi="David"/>
          <w:szCs w:val="26"/>
          <w:rtl/>
        </w:rPr>
      </w:pPr>
    </w:p>
    <w:p w14:paraId="4933A0AD" w14:textId="77777777" w:rsidR="00884A3E" w:rsidRDefault="00884A3E" w:rsidP="00884A3E">
      <w:pPr>
        <w:suppressLineNumbers/>
        <w:spacing w:line="360" w:lineRule="auto"/>
      </w:pPr>
      <w:r>
        <w:rPr>
          <w:rFonts w:hint="cs"/>
          <w:rtl/>
        </w:rPr>
        <w:t>עיכוב ביצוע יכול ויינתן לאחר שגזר הדין יושלם וזאת בתוך 30 יום מהיום או אז תוכל המאשימה לעתור לעיכוב ביצוע.</w:t>
      </w:r>
    </w:p>
    <w:p w14:paraId="5CA7E137" w14:textId="77777777" w:rsidR="00884A3E" w:rsidRDefault="00DD4E32" w:rsidP="00884A3E">
      <w:pPr>
        <w:spacing w:line="360" w:lineRule="auto"/>
        <w:ind w:left="5040"/>
        <w:rPr>
          <w:noProof w:val="0"/>
          <w:szCs w:val="26"/>
        </w:rPr>
      </w:pPr>
      <w:r>
        <w:rPr>
          <w:b/>
          <w:bCs/>
          <w:rtl/>
        </w:rPr>
        <w:t xml:space="preserve">ניתנה והודעה היום ד' אב תשע"ח, 16/07/2018 במעמד הנוכחים. </w:t>
      </w:r>
    </w:p>
    <w:p w14:paraId="2F77E90D" w14:textId="77777777" w:rsidR="00884A3E" w:rsidRPr="00DD4E32" w:rsidRDefault="00DD4E32" w:rsidP="00884A3E">
      <w:pPr>
        <w:spacing w:line="360" w:lineRule="auto"/>
        <w:ind w:left="5040"/>
        <w:jc w:val="center"/>
        <w:rPr>
          <w:color w:val="FFFFFF"/>
          <w:sz w:val="2"/>
          <w:szCs w:val="2"/>
          <w:rtl/>
        </w:rPr>
      </w:pPr>
      <w:r w:rsidRPr="00DD4E32">
        <w:rPr>
          <w:color w:val="FFFFFF"/>
          <w:sz w:val="2"/>
          <w:szCs w:val="2"/>
          <w:rtl/>
        </w:rPr>
        <w:t>5129371</w:t>
      </w: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884A3E" w14:paraId="1D5B0A73" w14:textId="77777777" w:rsidTr="00884A3E">
        <w:trPr>
          <w:trHeight w:val="316"/>
        </w:trPr>
        <w:tc>
          <w:tcPr>
            <w:tcW w:w="3936" w:type="dxa"/>
            <w:tcBorders>
              <w:top w:val="nil"/>
              <w:left w:val="nil"/>
              <w:bottom w:val="single" w:sz="4" w:space="0" w:color="auto"/>
              <w:right w:val="nil"/>
            </w:tcBorders>
            <w:shd w:val="clear" w:color="auto" w:fill="auto"/>
          </w:tcPr>
          <w:p w14:paraId="26346B0B" w14:textId="77777777" w:rsidR="00884A3E" w:rsidRPr="00DD4E32" w:rsidRDefault="00DD4E32" w:rsidP="00884A3E">
            <w:pPr>
              <w:spacing w:line="360" w:lineRule="auto"/>
              <w:jc w:val="center"/>
              <w:rPr>
                <w:color w:val="FFFFFF"/>
                <w:sz w:val="2"/>
                <w:szCs w:val="2"/>
                <w:rtl/>
              </w:rPr>
            </w:pPr>
            <w:r w:rsidRPr="00DD4E32">
              <w:rPr>
                <w:rFonts w:cs="Times New Roman"/>
                <w:color w:val="FFFFFF"/>
                <w:sz w:val="2"/>
                <w:szCs w:val="2"/>
                <w:rtl/>
              </w:rPr>
              <w:t>54678313</w:t>
            </w:r>
            <w:r w:rsidR="00884A3E" w:rsidRPr="00DD4E32">
              <w:rPr>
                <w:rFonts w:cs="Times New Roman"/>
                <w:color w:val="FFFFFF"/>
                <w:sz w:val="2"/>
                <w:szCs w:val="2"/>
                <w:rtl/>
              </w:rPr>
              <w:t xml:space="preserve">     </w:t>
            </w:r>
          </w:p>
          <w:p w14:paraId="43FB5E3C" w14:textId="77777777" w:rsidR="00884A3E" w:rsidRDefault="00884A3E" w:rsidP="00884A3E">
            <w:pPr>
              <w:spacing w:line="360" w:lineRule="auto"/>
              <w:jc w:val="center"/>
            </w:pPr>
          </w:p>
        </w:tc>
      </w:tr>
      <w:tr w:rsidR="00884A3E" w14:paraId="646E1A74" w14:textId="77777777" w:rsidTr="00884A3E">
        <w:trPr>
          <w:trHeight w:val="361"/>
        </w:trPr>
        <w:tc>
          <w:tcPr>
            <w:tcW w:w="3936" w:type="dxa"/>
            <w:tcBorders>
              <w:top w:val="single" w:sz="4" w:space="0" w:color="auto"/>
              <w:left w:val="nil"/>
              <w:bottom w:val="nil"/>
              <w:right w:val="nil"/>
            </w:tcBorders>
            <w:shd w:val="clear" w:color="auto" w:fill="auto"/>
          </w:tcPr>
          <w:p w14:paraId="48ACB1C6" w14:textId="77777777" w:rsidR="00884A3E" w:rsidRPr="00884A3E" w:rsidRDefault="00884A3E" w:rsidP="00884A3E">
            <w:pPr>
              <w:spacing w:line="360" w:lineRule="auto"/>
              <w:jc w:val="center"/>
              <w:rPr>
                <w:b/>
                <w:bCs/>
                <w:rtl/>
              </w:rPr>
            </w:pPr>
            <w:r w:rsidRPr="00884A3E">
              <w:rPr>
                <w:rFonts w:hint="cs"/>
                <w:b/>
                <w:bCs/>
                <w:rtl/>
              </w:rPr>
              <w:t xml:space="preserve">נגה שמואלי </w:t>
            </w:r>
            <w:r w:rsidRPr="00884A3E">
              <w:rPr>
                <w:rFonts w:hint="cs"/>
                <w:b/>
                <w:bCs/>
                <w:vertAlign w:val="superscript"/>
                <w:rtl/>
              </w:rPr>
              <w:t>–</w:t>
            </w:r>
            <w:r w:rsidRPr="00884A3E">
              <w:rPr>
                <w:rFonts w:hint="cs"/>
                <w:b/>
                <w:bCs/>
                <w:rtl/>
              </w:rPr>
              <w:t xml:space="preserve"> מאייר, שופטת </w:t>
            </w:r>
          </w:p>
          <w:p w14:paraId="242CC429" w14:textId="77777777" w:rsidR="00884A3E" w:rsidRPr="00884A3E" w:rsidRDefault="00884A3E" w:rsidP="00884A3E">
            <w:pPr>
              <w:spacing w:line="360" w:lineRule="auto"/>
              <w:jc w:val="center"/>
              <w:rPr>
                <w:b/>
                <w:bCs/>
                <w:rtl/>
              </w:rPr>
            </w:pPr>
            <w:r w:rsidRPr="00884A3E">
              <w:rPr>
                <w:rFonts w:hint="cs"/>
                <w:b/>
                <w:bCs/>
                <w:rtl/>
              </w:rPr>
              <w:t>סגנית נשיאה</w:t>
            </w:r>
          </w:p>
        </w:tc>
      </w:tr>
    </w:tbl>
    <w:p w14:paraId="6EF9D1DE" w14:textId="77777777" w:rsidR="00884A3E" w:rsidRDefault="00884A3E" w:rsidP="00884A3E">
      <w:pPr>
        <w:spacing w:line="360" w:lineRule="auto"/>
        <w:rPr>
          <w:rFonts w:ascii="David" w:hAnsi="David"/>
          <w:szCs w:val="26"/>
          <w:rtl/>
        </w:rPr>
      </w:pPr>
    </w:p>
    <w:p w14:paraId="00F529EA" w14:textId="77777777" w:rsidR="00884A3E" w:rsidRPr="006F06BE" w:rsidRDefault="006F06BE" w:rsidP="00884A3E">
      <w:pPr>
        <w:suppressLineNumbers/>
        <w:spacing w:line="360" w:lineRule="auto"/>
        <w:rPr>
          <w:color w:val="FFFFFF"/>
          <w:sz w:val="2"/>
          <w:szCs w:val="2"/>
          <w:rtl/>
        </w:rPr>
      </w:pPr>
      <w:r w:rsidRPr="006F06BE">
        <w:rPr>
          <w:color w:val="FFFFFF"/>
          <w:sz w:val="2"/>
          <w:szCs w:val="2"/>
          <w:rtl/>
        </w:rPr>
        <w:t>51293715129371</w:t>
      </w:r>
    </w:p>
    <w:p w14:paraId="585597A6" w14:textId="77777777" w:rsidR="00764044" w:rsidRPr="006F06BE" w:rsidRDefault="006F06BE" w:rsidP="00DD4E32">
      <w:pPr>
        <w:keepNext/>
        <w:rPr>
          <w:rFonts w:ascii="David" w:hAnsi="David"/>
          <w:color w:val="FFFFFF"/>
          <w:sz w:val="2"/>
          <w:szCs w:val="2"/>
          <w:rtl/>
        </w:rPr>
      </w:pPr>
      <w:r w:rsidRPr="006F06BE">
        <w:rPr>
          <w:rFonts w:ascii="David" w:hAnsi="David"/>
          <w:color w:val="FFFFFF"/>
          <w:sz w:val="2"/>
          <w:szCs w:val="2"/>
          <w:rtl/>
        </w:rPr>
        <w:t>5467831354678313</w:t>
      </w:r>
    </w:p>
    <w:p w14:paraId="66A7AA7F" w14:textId="77777777" w:rsidR="00DD4E32" w:rsidRDefault="00DD4E32" w:rsidP="00DD4E32">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4944C4B8" w14:textId="77777777" w:rsidR="006F06BE" w:rsidRPr="006F06BE" w:rsidRDefault="006F06BE" w:rsidP="006F06BE">
      <w:pPr>
        <w:keepNext/>
        <w:rPr>
          <w:rFonts w:ascii="David" w:hAnsi="David"/>
          <w:color w:val="000000"/>
          <w:sz w:val="22"/>
          <w:szCs w:val="22"/>
          <w:rtl/>
        </w:rPr>
      </w:pPr>
    </w:p>
    <w:p w14:paraId="6E3BA6F9" w14:textId="77777777" w:rsidR="006F06BE" w:rsidRPr="006F06BE" w:rsidRDefault="006F06BE" w:rsidP="006F06BE">
      <w:pPr>
        <w:keepNext/>
        <w:rPr>
          <w:rFonts w:ascii="David" w:hAnsi="David"/>
          <w:color w:val="000000"/>
          <w:sz w:val="22"/>
          <w:szCs w:val="22"/>
          <w:rtl/>
        </w:rPr>
      </w:pPr>
      <w:r w:rsidRPr="006F06BE">
        <w:rPr>
          <w:rFonts w:ascii="David" w:hAnsi="David"/>
          <w:color w:val="000000"/>
          <w:sz w:val="22"/>
          <w:szCs w:val="22"/>
          <w:rtl/>
        </w:rPr>
        <w:t>נגה שמואלי מאייר 54678313-/</w:t>
      </w:r>
    </w:p>
    <w:p w14:paraId="0181A063" w14:textId="77777777" w:rsidR="00DD4E32" w:rsidRPr="00DD4E32" w:rsidRDefault="006F06BE" w:rsidP="006F06BE">
      <w:pPr>
        <w:rPr>
          <w:color w:val="0000FF"/>
          <w:u w:val="single"/>
        </w:rPr>
      </w:pPr>
      <w:r w:rsidRPr="006F06BE">
        <w:rPr>
          <w:color w:val="000000"/>
          <w:u w:val="single"/>
          <w:rtl/>
        </w:rPr>
        <w:t>נוסח מסמך זה כפוף לשינויי ניסוח ועריכה</w:t>
      </w:r>
    </w:p>
    <w:sectPr w:rsidR="00DD4E32" w:rsidRPr="00DD4E32" w:rsidSect="006F06BE">
      <w:headerReference w:type="even" r:id="rId39"/>
      <w:headerReference w:type="default" r:id="rId40"/>
      <w:footerReference w:type="even" r:id="rId41"/>
      <w:footerReference w:type="default" r:id="rId42"/>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A6F02" w14:textId="77777777" w:rsidR="00AE6408" w:rsidRDefault="00AE6408" w:rsidP="00BA0762">
      <w:r>
        <w:separator/>
      </w:r>
    </w:p>
  </w:endnote>
  <w:endnote w:type="continuationSeparator" w:id="0">
    <w:p w14:paraId="6D1170CB" w14:textId="77777777" w:rsidR="00AE6408" w:rsidRDefault="00AE6408" w:rsidP="00BA0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66C4B" w14:textId="77777777" w:rsidR="006F06BE" w:rsidRDefault="006F06BE" w:rsidP="006F06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59D54440" w14:textId="77777777" w:rsidR="00DD4E32" w:rsidRPr="006F06BE" w:rsidRDefault="006F06BE" w:rsidP="006F06BE">
    <w:pPr>
      <w:pStyle w:val="a5"/>
      <w:pBdr>
        <w:top w:val="single" w:sz="4" w:space="1" w:color="auto"/>
        <w:between w:val="single" w:sz="4" w:space="0" w:color="auto"/>
      </w:pBdr>
      <w:spacing w:after="60"/>
      <w:jc w:val="center"/>
      <w:rPr>
        <w:rFonts w:ascii="FrankRuehl" w:hAnsi="FrankRuehl" w:cs="FrankRuehl"/>
        <w:color w:val="000000"/>
      </w:rPr>
    </w:pPr>
    <w:r w:rsidRPr="006F06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E20CB" w14:textId="77777777" w:rsidR="006F06BE" w:rsidRDefault="006F06BE" w:rsidP="006F06BE">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rPr>
      <w:instrText>PAGE</w:instrText>
    </w:r>
    <w:r>
      <w:rPr>
        <w:rStyle w:val="a8"/>
        <w:rFonts w:ascii="FrankRuehl" w:hAnsi="FrankRuehl" w:cs="FrankRuehl"/>
        <w:rtl/>
      </w:rPr>
      <w:instrText xml:space="preserve">  \* </w:instrText>
    </w:r>
    <w:r>
      <w:rPr>
        <w:rStyle w:val="a8"/>
        <w:rFonts w:ascii="FrankRuehl" w:hAnsi="FrankRuehl" w:cs="FrankRuehl"/>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2315F">
      <w:rPr>
        <w:rStyle w:val="a8"/>
        <w:rFonts w:ascii="FrankRuehl" w:hAnsi="FrankRuehl" w:cs="FrankRuehl"/>
        <w:rtl/>
      </w:rPr>
      <w:t>1</w:t>
    </w:r>
    <w:r>
      <w:rPr>
        <w:rStyle w:val="a8"/>
        <w:rFonts w:ascii="FrankRuehl" w:hAnsi="FrankRuehl" w:cs="FrankRuehl"/>
        <w:rtl/>
      </w:rPr>
      <w:fldChar w:fldCharType="end"/>
    </w:r>
  </w:p>
  <w:p w14:paraId="365D02E2" w14:textId="77777777" w:rsidR="005837EE" w:rsidRPr="006F06BE" w:rsidRDefault="006F06BE" w:rsidP="006F06BE">
    <w:pPr>
      <w:pStyle w:val="a5"/>
      <w:pBdr>
        <w:top w:val="single" w:sz="4" w:space="1" w:color="auto"/>
        <w:between w:val="single" w:sz="4" w:space="0" w:color="auto"/>
      </w:pBdr>
      <w:spacing w:after="60"/>
      <w:jc w:val="center"/>
      <w:rPr>
        <w:rStyle w:val="a8"/>
        <w:rFonts w:ascii="FrankRuehl" w:hAnsi="FrankRuehl" w:cs="FrankRuehl"/>
        <w:color w:val="000000"/>
      </w:rPr>
    </w:pPr>
    <w:r w:rsidRPr="006F06BE">
      <w:rPr>
        <w:rStyle w:val="a8"/>
        <w:rFonts w:ascii="FrankRuehl" w:hAnsi="FrankRuehl" w:cs="FrankRuehl"/>
        <w:color w:val="000000"/>
      </w:rPr>
      <w:pict w14:anchorId="22183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D27CB" w14:textId="77777777" w:rsidR="00AE6408" w:rsidRDefault="00AE6408" w:rsidP="00BA0762">
      <w:r>
        <w:separator/>
      </w:r>
    </w:p>
  </w:footnote>
  <w:footnote w:type="continuationSeparator" w:id="0">
    <w:p w14:paraId="24609BC7" w14:textId="77777777" w:rsidR="00AE6408" w:rsidRDefault="00AE6408" w:rsidP="00BA0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EBD33" w14:textId="77777777" w:rsidR="00DD4E32" w:rsidRPr="006F06BE" w:rsidRDefault="006F06BE" w:rsidP="006F06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42456-02-18</w:t>
    </w:r>
    <w:r>
      <w:rPr>
        <w:rFonts w:ascii="David" w:hAnsi="David"/>
        <w:color w:val="000000"/>
        <w:sz w:val="22"/>
        <w:szCs w:val="22"/>
        <w:rtl/>
      </w:rPr>
      <w:tab/>
      <w:t xml:space="preserve"> מדינת ישראל נ' שי צ'לבון בנבנשטי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E7AB7" w14:textId="77777777" w:rsidR="00DD4E32" w:rsidRPr="006F06BE" w:rsidRDefault="006F06BE" w:rsidP="006F06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42456-02-18</w:t>
    </w:r>
    <w:r>
      <w:rPr>
        <w:rFonts w:ascii="David" w:hAnsi="David"/>
        <w:color w:val="000000"/>
        <w:sz w:val="22"/>
        <w:szCs w:val="22"/>
        <w:rtl/>
      </w:rPr>
      <w:tab/>
      <w:t xml:space="preserve"> מדינת ישראל נ' שי צ'לבון בנבנשטי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24E5A"/>
    <w:multiLevelType w:val="hybridMultilevel"/>
    <w:tmpl w:val="ABAC6172"/>
    <w:lvl w:ilvl="0" w:tplc="D70C7376">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277F34"/>
    <w:multiLevelType w:val="hybridMultilevel"/>
    <w:tmpl w:val="E5466A5A"/>
    <w:lvl w:ilvl="0" w:tplc="58C03F12">
      <w:start w:val="1"/>
      <w:numFmt w:val="decimal"/>
      <w:lvlText w:val="%1."/>
      <w:lvlJc w:val="left"/>
      <w:pPr>
        <w:ind w:left="662" w:hanging="360"/>
      </w:pPr>
      <w:rPr>
        <w:color w:val="auto"/>
      </w:rPr>
    </w:lvl>
    <w:lvl w:ilvl="1" w:tplc="04090019">
      <w:start w:val="1"/>
      <w:numFmt w:val="lowerLetter"/>
      <w:lvlText w:val="%2."/>
      <w:lvlJc w:val="left"/>
      <w:pPr>
        <w:ind w:left="1382" w:hanging="360"/>
      </w:p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num w:numId="1" w16cid:durableId="12124972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1126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4A3E"/>
    <w:rsid w:val="0002315F"/>
    <w:rsid w:val="00135716"/>
    <w:rsid w:val="00440745"/>
    <w:rsid w:val="00537B0D"/>
    <w:rsid w:val="005837EE"/>
    <w:rsid w:val="006F06BE"/>
    <w:rsid w:val="00764044"/>
    <w:rsid w:val="007C1032"/>
    <w:rsid w:val="00884A3E"/>
    <w:rsid w:val="00950440"/>
    <w:rsid w:val="00AD588B"/>
    <w:rsid w:val="00AE6408"/>
    <w:rsid w:val="00BA0762"/>
    <w:rsid w:val="00DD4E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D5C8808"/>
  <w15:chartTrackingRefBased/>
  <w15:docId w15:val="{0942971D-D52A-4E8A-ADFB-07DED862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4A3E"/>
    <w:pPr>
      <w:bidi/>
    </w:pPr>
    <w:rPr>
      <w:rFonts w:ascii="Times New Roman" w:eastAsia="Times New Roman" w:hAnsi="Times New Roman" w:cs="David"/>
      <w:noProof/>
      <w:sz w:val="24"/>
      <w:szCs w:val="24"/>
    </w:rPr>
  </w:style>
  <w:style w:type="paragraph" w:styleId="1">
    <w:name w:val="heading 1"/>
    <w:basedOn w:val="a"/>
    <w:next w:val="a"/>
    <w:link w:val="10"/>
    <w:qFormat/>
    <w:rsid w:val="00884A3E"/>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84A3E"/>
    <w:rPr>
      <w:rFonts w:ascii="Calibri Light" w:eastAsia="Times New Roman" w:hAnsi="Calibri Light" w:cs="Times New Roman"/>
      <w:noProof/>
      <w:color w:val="2E74B5"/>
      <w:sz w:val="32"/>
      <w:szCs w:val="32"/>
    </w:rPr>
  </w:style>
  <w:style w:type="paragraph" w:styleId="a3">
    <w:name w:val="header"/>
    <w:basedOn w:val="a"/>
    <w:link w:val="a4"/>
    <w:rsid w:val="00884A3E"/>
    <w:pPr>
      <w:tabs>
        <w:tab w:val="center" w:pos="4153"/>
        <w:tab w:val="right" w:pos="8306"/>
      </w:tabs>
    </w:pPr>
  </w:style>
  <w:style w:type="character" w:customStyle="1" w:styleId="a4">
    <w:name w:val="כותרת עליונה תו"/>
    <w:link w:val="a3"/>
    <w:rsid w:val="00884A3E"/>
    <w:rPr>
      <w:rFonts w:ascii="Times New Roman" w:eastAsia="Times New Roman" w:hAnsi="Times New Roman" w:cs="David"/>
      <w:noProof/>
      <w:sz w:val="24"/>
      <w:szCs w:val="24"/>
    </w:rPr>
  </w:style>
  <w:style w:type="paragraph" w:styleId="a5">
    <w:name w:val="footer"/>
    <w:basedOn w:val="a"/>
    <w:link w:val="a6"/>
    <w:rsid w:val="00884A3E"/>
    <w:pPr>
      <w:tabs>
        <w:tab w:val="center" w:pos="4153"/>
        <w:tab w:val="right" w:pos="8306"/>
      </w:tabs>
    </w:pPr>
  </w:style>
  <w:style w:type="character" w:customStyle="1" w:styleId="a6">
    <w:name w:val="כותרת תחתונה תו"/>
    <w:link w:val="a5"/>
    <w:rsid w:val="00884A3E"/>
    <w:rPr>
      <w:rFonts w:ascii="Times New Roman" w:eastAsia="Times New Roman" w:hAnsi="Times New Roman" w:cs="David"/>
      <w:noProof/>
      <w:sz w:val="24"/>
      <w:szCs w:val="24"/>
    </w:rPr>
  </w:style>
  <w:style w:type="table" w:styleId="a7">
    <w:name w:val="Table Grid"/>
    <w:basedOn w:val="a1"/>
    <w:rsid w:val="00884A3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84A3E"/>
  </w:style>
  <w:style w:type="character" w:styleId="Hyperlink">
    <w:name w:val="Hyperlink"/>
    <w:rsid w:val="00884A3E"/>
    <w:rPr>
      <w:color w:val="0563C1"/>
      <w:u w:val="single"/>
    </w:rPr>
  </w:style>
  <w:style w:type="character" w:customStyle="1" w:styleId="ListParagraphChar">
    <w:name w:val="List Paragraph Char"/>
    <w:link w:val="ListParagraph1"/>
    <w:locked/>
    <w:rsid w:val="00884A3E"/>
    <w:rPr>
      <w:rFonts w:cs="David"/>
      <w:sz w:val="24"/>
      <w:szCs w:val="24"/>
    </w:rPr>
  </w:style>
  <w:style w:type="paragraph" w:customStyle="1" w:styleId="ListParagraph1">
    <w:name w:val="List Paragraph1"/>
    <w:basedOn w:val="a"/>
    <w:link w:val="ListParagraphChar"/>
    <w:qFormat/>
    <w:rsid w:val="00884A3E"/>
    <w:pPr>
      <w:spacing w:after="160" w:line="360" w:lineRule="auto"/>
      <w:ind w:left="720" w:hanging="357"/>
      <w:contextualSpacing/>
      <w:jc w:val="both"/>
    </w:pPr>
    <w:rPr>
      <w:rFonts w:ascii="Calibri" w:eastAsia="Calibri" w:hAnsi="Calibri"/>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0577324"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law/70301/40c.a" TargetMode="External"/><Relationship Id="rId29" Type="http://schemas.openxmlformats.org/officeDocument/2006/relationships/hyperlink" Target="http://www.nevo.co.il/law/70301/40ja"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3606459"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a.3" TargetMode="External"/><Relationship Id="rId23" Type="http://schemas.openxmlformats.org/officeDocument/2006/relationships/hyperlink" Target="http://www.nevo.co.il/case/21017469"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573417" TargetMode="External"/><Relationship Id="rId31" Type="http://schemas.openxmlformats.org/officeDocument/2006/relationships/hyperlink" Target="http://www.nevo.co.il/law/70301/40ja.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40c.b" TargetMode="External"/><Relationship Id="rId30" Type="http://schemas.openxmlformats.org/officeDocument/2006/relationships/hyperlink" Target="http://www.nevo.co.il/case/11269559" TargetMode="External"/><Relationship Id="rId35" Type="http://schemas.openxmlformats.org/officeDocument/2006/relationships/hyperlink" Target="http://www.nevo.co.il/law/70301/40d.a"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730970" TargetMode="External"/><Relationship Id="rId33" Type="http://schemas.openxmlformats.org/officeDocument/2006/relationships/hyperlink" Target="http://www.nevo.co.il/law/70301/40d.a"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2833</Words>
  <Characters>14169</Characters>
  <Application>Microsoft Office Word</Application>
  <DocSecurity>0</DocSecurity>
  <Lines>118</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16969</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7995492</vt:i4>
      </vt:variant>
      <vt:variant>
        <vt:i4>75</vt:i4>
      </vt:variant>
      <vt:variant>
        <vt:i4>0</vt:i4>
      </vt:variant>
      <vt:variant>
        <vt:i4>5</vt:i4>
      </vt:variant>
      <vt:variant>
        <vt:lpwstr>http://www.nevo.co.il/law/70301</vt:lpwstr>
      </vt:variant>
      <vt:variant>
        <vt:lpwstr/>
      </vt:variant>
      <vt:variant>
        <vt:i4>3604517</vt:i4>
      </vt:variant>
      <vt:variant>
        <vt:i4>72</vt:i4>
      </vt:variant>
      <vt:variant>
        <vt:i4>0</vt:i4>
      </vt:variant>
      <vt:variant>
        <vt:i4>5</vt:i4>
      </vt:variant>
      <vt:variant>
        <vt:lpwstr>http://www.nevo.co.il/law/70301/40ja.3</vt:lpwstr>
      </vt:variant>
      <vt:variant>
        <vt:lpwstr/>
      </vt:variant>
      <vt:variant>
        <vt:i4>4128886</vt:i4>
      </vt:variant>
      <vt:variant>
        <vt:i4>69</vt:i4>
      </vt:variant>
      <vt:variant>
        <vt:i4>0</vt:i4>
      </vt:variant>
      <vt:variant>
        <vt:i4>5</vt:i4>
      </vt:variant>
      <vt:variant>
        <vt:lpwstr>http://www.nevo.co.il/case/11269559</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4915202</vt:i4>
      </vt:variant>
      <vt:variant>
        <vt:i4>60</vt:i4>
      </vt:variant>
      <vt:variant>
        <vt:i4>0</vt:i4>
      </vt:variant>
      <vt:variant>
        <vt:i4>5</vt:i4>
      </vt:variant>
      <vt:variant>
        <vt:lpwstr>http://www.nevo.co.il/law/70301/40c.b</vt:lpwstr>
      </vt:variant>
      <vt:variant>
        <vt:lpwstr/>
      </vt:variant>
      <vt:variant>
        <vt:i4>3276912</vt:i4>
      </vt:variant>
      <vt:variant>
        <vt:i4>57</vt:i4>
      </vt:variant>
      <vt:variant>
        <vt:i4>0</vt:i4>
      </vt:variant>
      <vt:variant>
        <vt:i4>5</vt:i4>
      </vt:variant>
      <vt:variant>
        <vt:lpwstr>http://www.nevo.co.il/case/20577324</vt:lpwstr>
      </vt:variant>
      <vt:variant>
        <vt:lpwstr/>
      </vt:variant>
      <vt:variant>
        <vt:i4>4128884</vt:i4>
      </vt:variant>
      <vt:variant>
        <vt:i4>54</vt:i4>
      </vt:variant>
      <vt:variant>
        <vt:i4>0</vt:i4>
      </vt:variant>
      <vt:variant>
        <vt:i4>5</vt:i4>
      </vt:variant>
      <vt:variant>
        <vt:lpwstr>http://www.nevo.co.il/case/5730970</vt:lpwstr>
      </vt:variant>
      <vt:variant>
        <vt:lpwstr/>
      </vt:variant>
      <vt:variant>
        <vt:i4>4063345</vt:i4>
      </vt:variant>
      <vt:variant>
        <vt:i4>51</vt:i4>
      </vt:variant>
      <vt:variant>
        <vt:i4>0</vt:i4>
      </vt:variant>
      <vt:variant>
        <vt:i4>5</vt:i4>
      </vt:variant>
      <vt:variant>
        <vt:lpwstr>http://www.nevo.co.il/case/3606459</vt:lpwstr>
      </vt:variant>
      <vt:variant>
        <vt:lpwstr/>
      </vt:variant>
      <vt:variant>
        <vt:i4>3342448</vt:i4>
      </vt:variant>
      <vt:variant>
        <vt:i4>48</vt:i4>
      </vt:variant>
      <vt:variant>
        <vt:i4>0</vt:i4>
      </vt:variant>
      <vt:variant>
        <vt:i4>5</vt:i4>
      </vt:variant>
      <vt:variant>
        <vt:lpwstr>http://www.nevo.co.il/case/21017469</vt:lpwstr>
      </vt:variant>
      <vt:variant>
        <vt:lpwstr/>
      </vt:variant>
      <vt:variant>
        <vt:i4>8257637</vt:i4>
      </vt:variant>
      <vt:variant>
        <vt:i4>45</vt:i4>
      </vt:variant>
      <vt:variant>
        <vt:i4>0</vt:i4>
      </vt:variant>
      <vt:variant>
        <vt:i4>5</vt:i4>
      </vt:variant>
      <vt:variant>
        <vt:lpwstr>http://www.nevo.co.il/law/4216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3211379</vt:i4>
      </vt:variant>
      <vt:variant>
        <vt:i4>36</vt:i4>
      </vt:variant>
      <vt:variant>
        <vt:i4>0</vt:i4>
      </vt:variant>
      <vt:variant>
        <vt:i4>5</vt:i4>
      </vt:variant>
      <vt:variant>
        <vt:lpwstr>http://www.nevo.co.il/case/5573417</vt:lpwstr>
      </vt:variant>
      <vt:variant>
        <vt:lpwstr/>
      </vt:variant>
      <vt:variant>
        <vt:i4>7995492</vt:i4>
      </vt:variant>
      <vt:variant>
        <vt:i4>33</vt:i4>
      </vt:variant>
      <vt:variant>
        <vt:i4>0</vt:i4>
      </vt:variant>
      <vt:variant>
        <vt:i4>5</vt:i4>
      </vt:variant>
      <vt:variant>
        <vt:lpwstr>http://www.nevo.co.il/law/70301</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3604517</vt:i4>
      </vt:variant>
      <vt:variant>
        <vt:i4>24</vt:i4>
      </vt:variant>
      <vt:variant>
        <vt:i4>0</vt:i4>
      </vt:variant>
      <vt:variant>
        <vt:i4>5</vt:i4>
      </vt:variant>
      <vt:variant>
        <vt:lpwstr>http://www.nevo.co.il/law/70301/40ja.3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2025-04-22T23:41:00Z</dcterms:created>
  <dcterms:modified xsi:type="dcterms:W3CDTF">2025-04-22T23:41:00Z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42456</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שי צ'לבון בנבנשטי</vt:lpwstr>
  </property>
  <property fmtid="{D5CDD505-2E9C-101B-9397-08002B2CF9AE}" pid="10" name="LAWYER">
    <vt:lpwstr>ליאורה זמיר;שרון וקנין</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20180716</vt:lpwstr>
  </property>
  <property fmtid="{D5CDD505-2E9C-101B-9397-08002B2CF9AE}" pid="14" name="TYPE_N_DATE">
    <vt:lpwstr>38020180716</vt:lpwstr>
  </property>
  <property fmtid="{D5CDD505-2E9C-101B-9397-08002B2CF9AE}" pid="15" name="WORDNUMPAGES">
    <vt:lpwstr>7</vt:lpwstr>
  </property>
  <property fmtid="{D5CDD505-2E9C-101B-9397-08002B2CF9AE}" pid="16" name="TYPE_ABS_DATE">
    <vt:lpwstr>380020180716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5573417;21017469;3606459;5730970;20577324;11269559</vt:lpwstr>
  </property>
  <property fmtid="{D5CDD505-2E9C-101B-9397-08002B2CF9AE}" pid="36" name="LAWLISTTMP1">
    <vt:lpwstr>4216/007.a;007.c</vt:lpwstr>
  </property>
  <property fmtid="{D5CDD505-2E9C-101B-9397-08002B2CF9AE}" pid="37" name="LAWLISTTMP2">
    <vt:lpwstr>70301/040c.a;040c.b;40ja;40ja.3;040d.a:2</vt:lpwstr>
  </property>
</Properties>
</file>