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2"/>
        <w:gridCol w:w="3659"/>
      </w:tblGrid>
      <w:tr w:rsidR="00592A2D" w:rsidRPr="00F3027E" w14:paraId="6641AF29" w14:textId="77777777" w:rsidTr="005B2672">
        <w:trPr>
          <w:trHeight w:hRule="exact" w:val="418"/>
          <w:jc w:val="center"/>
        </w:trPr>
        <w:tc>
          <w:tcPr>
            <w:tcW w:w="8721" w:type="dxa"/>
            <w:gridSpan w:val="2"/>
          </w:tcPr>
          <w:p w14:paraId="6D941DA2" w14:textId="77777777" w:rsidR="00592A2D" w:rsidRPr="00F3027E" w:rsidRDefault="00592A2D" w:rsidP="001478B0">
            <w:pPr>
              <w:pStyle w:val="a3"/>
              <w:jc w:val="center"/>
              <w:rPr>
                <w:rFonts w:ascii="Tahoma" w:hAnsi="Tahoma" w:cs="FrankRuehl"/>
                <w:b/>
                <w:bCs/>
                <w:color w:val="000080"/>
                <w:sz w:val="28"/>
                <w:szCs w:val="28"/>
                <w:rtl/>
              </w:rPr>
            </w:pPr>
            <w:bookmarkStart w:id="0" w:name="LastJudge"/>
            <w:r w:rsidRPr="00F3027E">
              <w:rPr>
                <w:rFonts w:ascii="Tahoma" w:hAnsi="Tahoma" w:cs="FrankRuehl"/>
                <w:b/>
                <w:bCs/>
                <w:color w:val="000080"/>
                <w:sz w:val="28"/>
                <w:szCs w:val="28"/>
                <w:rtl/>
              </w:rPr>
              <w:t>בית משפט השלום בירושלים</w:t>
            </w:r>
          </w:p>
        </w:tc>
      </w:tr>
      <w:tr w:rsidR="00592A2D" w:rsidRPr="00F3027E" w14:paraId="11B384A5" w14:textId="77777777" w:rsidTr="005B2672">
        <w:trPr>
          <w:trHeight w:val="337"/>
          <w:jc w:val="center"/>
        </w:trPr>
        <w:tc>
          <w:tcPr>
            <w:tcW w:w="5062" w:type="dxa"/>
          </w:tcPr>
          <w:p w14:paraId="00E99389" w14:textId="77777777" w:rsidR="00592A2D" w:rsidRPr="00F3027E" w:rsidRDefault="00592A2D" w:rsidP="001478B0">
            <w:pPr>
              <w:rPr>
                <w:rFonts w:cs="FrankRuehl"/>
                <w:b/>
                <w:bCs/>
                <w:sz w:val="28"/>
                <w:szCs w:val="28"/>
                <w:rtl/>
              </w:rPr>
            </w:pPr>
            <w:r w:rsidRPr="00F3027E">
              <w:rPr>
                <w:rFonts w:cs="FrankRuehl"/>
                <w:b/>
                <w:bCs/>
                <w:sz w:val="28"/>
                <w:szCs w:val="28"/>
                <w:rtl/>
              </w:rPr>
              <w:t>ת"פ</w:t>
            </w:r>
            <w:r w:rsidRPr="00F3027E">
              <w:rPr>
                <w:rFonts w:cs="FrankRuehl" w:hint="cs"/>
                <w:b/>
                <w:bCs/>
                <w:sz w:val="28"/>
                <w:szCs w:val="28"/>
                <w:rtl/>
              </w:rPr>
              <w:t xml:space="preserve"> </w:t>
            </w:r>
            <w:r w:rsidRPr="00F3027E">
              <w:rPr>
                <w:rFonts w:cs="FrankRuehl"/>
                <w:b/>
                <w:bCs/>
                <w:sz w:val="28"/>
                <w:szCs w:val="28"/>
                <w:rtl/>
              </w:rPr>
              <w:t>50693-02-18</w:t>
            </w:r>
            <w:r w:rsidRPr="00F3027E">
              <w:rPr>
                <w:rFonts w:cs="FrankRuehl" w:hint="cs"/>
                <w:b/>
                <w:bCs/>
                <w:sz w:val="28"/>
                <w:szCs w:val="28"/>
                <w:rtl/>
              </w:rPr>
              <w:t xml:space="preserve"> </w:t>
            </w:r>
            <w:r w:rsidRPr="00F3027E">
              <w:rPr>
                <w:rFonts w:cs="FrankRuehl"/>
                <w:b/>
                <w:bCs/>
                <w:sz w:val="28"/>
                <w:szCs w:val="28"/>
                <w:rtl/>
              </w:rPr>
              <w:t>מדינת ישראל נ' מדינה(אחר/נוסף)</w:t>
            </w:r>
          </w:p>
          <w:p w14:paraId="1BCDA7DE" w14:textId="77777777" w:rsidR="00592A2D" w:rsidRPr="00F3027E" w:rsidRDefault="00592A2D" w:rsidP="001478B0">
            <w:pPr>
              <w:pStyle w:val="a3"/>
              <w:rPr>
                <w:rFonts w:cs="FrankRuehl"/>
                <w:b/>
                <w:bCs/>
                <w:sz w:val="28"/>
                <w:szCs w:val="28"/>
                <w:rtl/>
              </w:rPr>
            </w:pPr>
          </w:p>
        </w:tc>
        <w:tc>
          <w:tcPr>
            <w:tcW w:w="3659" w:type="dxa"/>
          </w:tcPr>
          <w:p w14:paraId="3BADB2DC" w14:textId="77777777" w:rsidR="00592A2D" w:rsidRPr="00F3027E" w:rsidRDefault="00592A2D" w:rsidP="001478B0">
            <w:pPr>
              <w:pStyle w:val="a3"/>
              <w:jc w:val="right"/>
              <w:rPr>
                <w:rFonts w:cs="FrankRuehl"/>
                <w:b/>
                <w:bCs/>
                <w:sz w:val="28"/>
                <w:szCs w:val="28"/>
                <w:rtl/>
              </w:rPr>
            </w:pPr>
          </w:p>
        </w:tc>
      </w:tr>
    </w:tbl>
    <w:p w14:paraId="2EF45A27" w14:textId="77777777" w:rsidR="00592A2D" w:rsidRPr="00F3027E" w:rsidRDefault="00592A2D" w:rsidP="00592A2D">
      <w:pPr>
        <w:pStyle w:val="a3"/>
        <w:rPr>
          <w:rtl/>
        </w:rPr>
      </w:pPr>
      <w:r w:rsidRPr="00F3027E">
        <w:rPr>
          <w:rFonts w:hint="cs"/>
          <w:rtl/>
        </w:rPr>
        <w:t xml:space="preserve"> </w:t>
      </w:r>
    </w:p>
    <w:p w14:paraId="6F334416" w14:textId="77777777" w:rsidR="00592A2D" w:rsidRPr="00F3027E" w:rsidRDefault="00592A2D" w:rsidP="00592A2D">
      <w:pPr>
        <w:rPr>
          <w:rtl/>
        </w:rPr>
      </w:pPr>
    </w:p>
    <w:p w14:paraId="1CC7E97E" w14:textId="77777777" w:rsidR="00592A2D" w:rsidRPr="00F3027E" w:rsidRDefault="00592A2D" w:rsidP="00592A2D">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592A2D" w:rsidRPr="00F3027E" w14:paraId="0E91ACB7" w14:textId="77777777" w:rsidTr="00592A2D">
        <w:trPr>
          <w:trHeight w:val="295"/>
          <w:jc w:val="center"/>
        </w:trPr>
        <w:tc>
          <w:tcPr>
            <w:tcW w:w="923" w:type="dxa"/>
            <w:tcBorders>
              <w:top w:val="nil"/>
              <w:left w:val="nil"/>
              <w:bottom w:val="nil"/>
              <w:right w:val="nil"/>
            </w:tcBorders>
            <w:shd w:val="clear" w:color="auto" w:fill="auto"/>
          </w:tcPr>
          <w:p w14:paraId="3C555706" w14:textId="77777777" w:rsidR="00592A2D" w:rsidRPr="00F3027E" w:rsidRDefault="00592A2D" w:rsidP="00592A2D">
            <w:pPr>
              <w:spacing w:line="360" w:lineRule="auto"/>
              <w:jc w:val="both"/>
              <w:rPr>
                <w:rFonts w:ascii="Arial" w:hAnsi="Arial" w:cs="FrankRuehl"/>
                <w:b/>
                <w:bCs/>
                <w:sz w:val="28"/>
                <w:szCs w:val="28"/>
              </w:rPr>
            </w:pPr>
            <w:r w:rsidRPr="00F3027E">
              <w:rPr>
                <w:rFonts w:ascii="Arial" w:hAnsi="Arial" w:cs="FrankRuehl" w:hint="cs"/>
                <w:b/>
                <w:bCs/>
                <w:sz w:val="28"/>
                <w:szCs w:val="28"/>
                <w:rtl/>
              </w:rPr>
              <w:t>ב</w:t>
            </w:r>
            <w:r w:rsidRPr="00F3027E">
              <w:rPr>
                <w:rFonts w:ascii="Arial" w:hAnsi="Arial" w:cs="FrankRuehl"/>
                <w:b/>
                <w:bCs/>
                <w:sz w:val="28"/>
                <w:szCs w:val="28"/>
                <w:rtl/>
              </w:rPr>
              <w:t xml:space="preserve">פני </w:t>
            </w:r>
          </w:p>
        </w:tc>
        <w:tc>
          <w:tcPr>
            <w:tcW w:w="7897" w:type="dxa"/>
            <w:gridSpan w:val="2"/>
            <w:tcBorders>
              <w:top w:val="nil"/>
              <w:left w:val="nil"/>
              <w:bottom w:val="nil"/>
              <w:right w:val="nil"/>
            </w:tcBorders>
            <w:shd w:val="clear" w:color="auto" w:fill="auto"/>
          </w:tcPr>
          <w:p w14:paraId="30F84943" w14:textId="77777777" w:rsidR="00592A2D" w:rsidRPr="00F3027E" w:rsidRDefault="00592A2D" w:rsidP="00592A2D">
            <w:pPr>
              <w:spacing w:line="360" w:lineRule="auto"/>
              <w:rPr>
                <w:rFonts w:ascii="Arial" w:hAnsi="Arial" w:cs="FrankRuehl"/>
                <w:b/>
                <w:bCs/>
                <w:sz w:val="28"/>
                <w:szCs w:val="28"/>
                <w:rtl/>
              </w:rPr>
            </w:pPr>
            <w:r w:rsidRPr="00F3027E">
              <w:rPr>
                <w:rFonts w:ascii="Arial" w:hAnsi="Arial" w:cs="FrankRuehl" w:hint="cs"/>
                <w:b/>
                <w:bCs/>
                <w:sz w:val="28"/>
                <w:szCs w:val="28"/>
                <w:rtl/>
              </w:rPr>
              <w:t>כבוד ה</w:t>
            </w:r>
            <w:r w:rsidRPr="00F3027E">
              <w:rPr>
                <w:rFonts w:ascii="Arial" w:hAnsi="Arial" w:cs="FrankRuehl"/>
                <w:b/>
                <w:bCs/>
                <w:sz w:val="28"/>
                <w:szCs w:val="28"/>
                <w:rtl/>
              </w:rPr>
              <w:t>שופט</w:t>
            </w:r>
            <w:r w:rsidRPr="00F3027E">
              <w:rPr>
                <w:rFonts w:ascii="Arial" w:hAnsi="Arial" w:cs="FrankRuehl" w:hint="cs"/>
                <w:b/>
                <w:bCs/>
                <w:sz w:val="28"/>
                <w:szCs w:val="28"/>
                <w:rtl/>
              </w:rPr>
              <w:t xml:space="preserve">  </w:t>
            </w:r>
            <w:r w:rsidRPr="00F3027E">
              <w:rPr>
                <w:rFonts w:ascii="Arial" w:hAnsi="Arial" w:cs="FrankRuehl"/>
                <w:b/>
                <w:bCs/>
                <w:sz w:val="28"/>
                <w:szCs w:val="28"/>
                <w:rtl/>
              </w:rPr>
              <w:t>דוד שאול גבאי ריכטר</w:t>
            </w:r>
          </w:p>
          <w:p w14:paraId="401F5F24" w14:textId="77777777" w:rsidR="00592A2D" w:rsidRPr="00F3027E" w:rsidRDefault="00592A2D" w:rsidP="00592A2D">
            <w:pPr>
              <w:spacing w:line="360" w:lineRule="auto"/>
              <w:jc w:val="both"/>
              <w:rPr>
                <w:rFonts w:ascii="Arial" w:hAnsi="Arial" w:cs="FrankRuehl"/>
                <w:b/>
                <w:bCs/>
                <w:sz w:val="28"/>
                <w:szCs w:val="28"/>
              </w:rPr>
            </w:pPr>
          </w:p>
        </w:tc>
      </w:tr>
      <w:tr w:rsidR="00592A2D" w:rsidRPr="00F3027E" w14:paraId="116B1721" w14:textId="77777777" w:rsidTr="00592A2D">
        <w:trPr>
          <w:trHeight w:val="355"/>
          <w:jc w:val="center"/>
        </w:trPr>
        <w:tc>
          <w:tcPr>
            <w:tcW w:w="923" w:type="dxa"/>
            <w:tcBorders>
              <w:top w:val="nil"/>
              <w:left w:val="nil"/>
              <w:bottom w:val="nil"/>
              <w:right w:val="nil"/>
            </w:tcBorders>
            <w:shd w:val="clear" w:color="auto" w:fill="auto"/>
          </w:tcPr>
          <w:p w14:paraId="059BAAA5" w14:textId="77777777" w:rsidR="00592A2D" w:rsidRPr="00F3027E" w:rsidRDefault="00592A2D" w:rsidP="00592A2D">
            <w:pPr>
              <w:spacing w:line="360" w:lineRule="auto"/>
              <w:jc w:val="both"/>
              <w:rPr>
                <w:rFonts w:ascii="Arial" w:hAnsi="Arial" w:cs="FrankRuehl"/>
                <w:b/>
                <w:bCs/>
                <w:sz w:val="28"/>
                <w:szCs w:val="28"/>
              </w:rPr>
            </w:pPr>
            <w:bookmarkStart w:id="1" w:name="FirstAppellant"/>
            <w:r w:rsidRPr="00F3027E">
              <w:rPr>
                <w:rFonts w:ascii="Arial" w:hAnsi="Arial" w:cs="FrankRuehl" w:hint="cs"/>
                <w:b/>
                <w:bCs/>
                <w:sz w:val="28"/>
                <w:szCs w:val="28"/>
                <w:rtl/>
              </w:rPr>
              <w:t>בעניין:</w:t>
            </w:r>
          </w:p>
        </w:tc>
        <w:tc>
          <w:tcPr>
            <w:tcW w:w="4126" w:type="dxa"/>
            <w:tcBorders>
              <w:top w:val="nil"/>
              <w:left w:val="nil"/>
              <w:bottom w:val="nil"/>
              <w:right w:val="nil"/>
            </w:tcBorders>
            <w:shd w:val="clear" w:color="auto" w:fill="auto"/>
          </w:tcPr>
          <w:p w14:paraId="3FEE3E54" w14:textId="77777777" w:rsidR="00592A2D" w:rsidRPr="00F3027E" w:rsidRDefault="00592A2D" w:rsidP="00592A2D">
            <w:pPr>
              <w:spacing w:line="360" w:lineRule="auto"/>
              <w:rPr>
                <w:rFonts w:cs="FrankRuehl"/>
                <w:b/>
                <w:bCs/>
                <w:sz w:val="28"/>
                <w:szCs w:val="28"/>
              </w:rPr>
            </w:pPr>
            <w:r w:rsidRPr="00F3027E">
              <w:rPr>
                <w:rFonts w:ascii="Arial" w:hAnsi="Arial" w:cs="FrankRuehl"/>
                <w:b/>
                <w:bCs/>
                <w:sz w:val="28"/>
                <w:szCs w:val="28"/>
                <w:rtl/>
              </w:rPr>
              <w:t>מדינת ישראל</w:t>
            </w:r>
          </w:p>
        </w:tc>
        <w:tc>
          <w:tcPr>
            <w:tcW w:w="3771" w:type="dxa"/>
            <w:tcBorders>
              <w:top w:val="nil"/>
              <w:left w:val="nil"/>
              <w:bottom w:val="nil"/>
              <w:right w:val="nil"/>
            </w:tcBorders>
            <w:shd w:val="clear" w:color="auto" w:fill="auto"/>
          </w:tcPr>
          <w:p w14:paraId="31D9F3CF" w14:textId="77777777" w:rsidR="00592A2D" w:rsidRPr="00F3027E" w:rsidRDefault="00592A2D" w:rsidP="00592A2D">
            <w:pPr>
              <w:spacing w:line="360" w:lineRule="auto"/>
              <w:jc w:val="both"/>
              <w:rPr>
                <w:rFonts w:ascii="Arial" w:hAnsi="Arial" w:cs="FrankRuehl"/>
                <w:b/>
                <w:bCs/>
                <w:sz w:val="28"/>
                <w:szCs w:val="28"/>
              </w:rPr>
            </w:pPr>
          </w:p>
        </w:tc>
      </w:tr>
      <w:bookmarkEnd w:id="1"/>
      <w:tr w:rsidR="00592A2D" w:rsidRPr="00F3027E" w14:paraId="0454F883" w14:textId="77777777" w:rsidTr="00592A2D">
        <w:trPr>
          <w:trHeight w:val="355"/>
          <w:jc w:val="center"/>
        </w:trPr>
        <w:tc>
          <w:tcPr>
            <w:tcW w:w="923" w:type="dxa"/>
            <w:tcBorders>
              <w:top w:val="nil"/>
              <w:left w:val="nil"/>
              <w:bottom w:val="nil"/>
              <w:right w:val="nil"/>
            </w:tcBorders>
            <w:shd w:val="clear" w:color="auto" w:fill="auto"/>
          </w:tcPr>
          <w:p w14:paraId="5463190A" w14:textId="77777777" w:rsidR="00592A2D" w:rsidRPr="00F3027E" w:rsidRDefault="00592A2D" w:rsidP="00592A2D">
            <w:pPr>
              <w:spacing w:line="360" w:lineRule="auto"/>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78C47C7B" w14:textId="77777777" w:rsidR="00592A2D" w:rsidRPr="00F3027E" w:rsidRDefault="00592A2D" w:rsidP="00592A2D">
            <w:pPr>
              <w:spacing w:line="360" w:lineRule="auto"/>
              <w:jc w:val="both"/>
              <w:rPr>
                <w:rFonts w:cs="FrankRuehl"/>
                <w:b/>
                <w:bCs/>
                <w:sz w:val="28"/>
                <w:szCs w:val="28"/>
                <w:rtl/>
              </w:rPr>
            </w:pPr>
            <w:r w:rsidRPr="00F3027E">
              <w:rPr>
                <w:rFonts w:cs="FrankRuehl" w:hint="cs"/>
                <w:b/>
                <w:bCs/>
                <w:sz w:val="28"/>
                <w:szCs w:val="28"/>
                <w:rtl/>
              </w:rPr>
              <w:t>ע"י תביעות ירושלים</w:t>
            </w:r>
          </w:p>
        </w:tc>
        <w:tc>
          <w:tcPr>
            <w:tcW w:w="3771" w:type="dxa"/>
            <w:tcBorders>
              <w:top w:val="nil"/>
              <w:left w:val="nil"/>
              <w:bottom w:val="nil"/>
              <w:right w:val="nil"/>
            </w:tcBorders>
            <w:shd w:val="clear" w:color="auto" w:fill="auto"/>
          </w:tcPr>
          <w:p w14:paraId="24E87172" w14:textId="77777777" w:rsidR="00592A2D" w:rsidRPr="00F3027E" w:rsidRDefault="00592A2D" w:rsidP="00592A2D">
            <w:pPr>
              <w:spacing w:line="360" w:lineRule="auto"/>
              <w:jc w:val="right"/>
              <w:rPr>
                <w:rFonts w:ascii="Arial" w:hAnsi="Arial" w:cs="FrankRuehl"/>
                <w:b/>
                <w:bCs/>
                <w:sz w:val="28"/>
                <w:szCs w:val="28"/>
                <w:rtl/>
              </w:rPr>
            </w:pPr>
            <w:r w:rsidRPr="00F3027E">
              <w:rPr>
                <w:rFonts w:ascii="Arial" w:hAnsi="Arial" w:cs="FrankRuehl" w:hint="cs"/>
                <w:b/>
                <w:bCs/>
                <w:sz w:val="28"/>
                <w:szCs w:val="28"/>
                <w:rtl/>
              </w:rPr>
              <w:t>ה</w:t>
            </w:r>
            <w:r w:rsidRPr="00F3027E">
              <w:rPr>
                <w:rFonts w:ascii="Arial" w:hAnsi="Arial" w:cs="FrankRuehl"/>
                <w:b/>
                <w:bCs/>
                <w:sz w:val="28"/>
                <w:szCs w:val="28"/>
                <w:rtl/>
              </w:rPr>
              <w:t>מאשימה</w:t>
            </w:r>
          </w:p>
        </w:tc>
      </w:tr>
      <w:tr w:rsidR="00592A2D" w:rsidRPr="00F3027E" w14:paraId="1A7E27DC" w14:textId="77777777" w:rsidTr="00592A2D">
        <w:trPr>
          <w:trHeight w:val="355"/>
          <w:jc w:val="center"/>
        </w:trPr>
        <w:tc>
          <w:tcPr>
            <w:tcW w:w="923" w:type="dxa"/>
            <w:tcBorders>
              <w:top w:val="nil"/>
              <w:left w:val="nil"/>
              <w:bottom w:val="nil"/>
              <w:right w:val="nil"/>
            </w:tcBorders>
            <w:shd w:val="clear" w:color="auto" w:fill="auto"/>
          </w:tcPr>
          <w:p w14:paraId="4ACE61C0" w14:textId="77777777" w:rsidR="00592A2D" w:rsidRPr="00F3027E" w:rsidRDefault="00592A2D" w:rsidP="00592A2D">
            <w:pPr>
              <w:spacing w:line="360" w:lineRule="auto"/>
              <w:jc w:val="both"/>
              <w:rPr>
                <w:rFonts w:ascii="Arial" w:hAnsi="Arial" w:cs="FrankRuehl"/>
                <w:b/>
                <w:bCs/>
                <w:sz w:val="28"/>
                <w:szCs w:val="28"/>
                <w:rtl/>
              </w:rPr>
            </w:pPr>
          </w:p>
        </w:tc>
        <w:tc>
          <w:tcPr>
            <w:tcW w:w="7897" w:type="dxa"/>
            <w:gridSpan w:val="2"/>
            <w:tcBorders>
              <w:top w:val="nil"/>
              <w:left w:val="nil"/>
              <w:bottom w:val="nil"/>
              <w:right w:val="nil"/>
            </w:tcBorders>
            <w:shd w:val="clear" w:color="auto" w:fill="auto"/>
          </w:tcPr>
          <w:p w14:paraId="6A88EA60" w14:textId="77777777" w:rsidR="00592A2D" w:rsidRPr="00F3027E" w:rsidRDefault="00592A2D" w:rsidP="00592A2D">
            <w:pPr>
              <w:spacing w:line="360" w:lineRule="auto"/>
              <w:jc w:val="center"/>
              <w:rPr>
                <w:rFonts w:ascii="Arial" w:hAnsi="Arial" w:cs="FrankRuehl"/>
                <w:b/>
                <w:bCs/>
                <w:sz w:val="28"/>
                <w:szCs w:val="28"/>
                <w:rtl/>
              </w:rPr>
            </w:pPr>
          </w:p>
          <w:p w14:paraId="219446BC" w14:textId="77777777" w:rsidR="00592A2D" w:rsidRPr="00F3027E" w:rsidRDefault="00592A2D" w:rsidP="00592A2D">
            <w:pPr>
              <w:spacing w:line="360" w:lineRule="auto"/>
              <w:jc w:val="center"/>
              <w:rPr>
                <w:rFonts w:ascii="Arial" w:hAnsi="Arial" w:cs="FrankRuehl"/>
                <w:b/>
                <w:bCs/>
                <w:sz w:val="28"/>
                <w:szCs w:val="28"/>
                <w:rtl/>
              </w:rPr>
            </w:pPr>
            <w:r w:rsidRPr="00F3027E">
              <w:rPr>
                <w:rFonts w:ascii="Arial" w:hAnsi="Arial" w:cs="FrankRuehl"/>
                <w:b/>
                <w:bCs/>
                <w:sz w:val="28"/>
                <w:szCs w:val="28"/>
                <w:rtl/>
              </w:rPr>
              <w:t>נגד</w:t>
            </w:r>
          </w:p>
          <w:p w14:paraId="506A5650" w14:textId="77777777" w:rsidR="00592A2D" w:rsidRPr="00F3027E" w:rsidRDefault="00592A2D" w:rsidP="00592A2D">
            <w:pPr>
              <w:spacing w:line="360" w:lineRule="auto"/>
              <w:jc w:val="both"/>
              <w:rPr>
                <w:rFonts w:ascii="Arial" w:hAnsi="Arial" w:cs="FrankRuehl"/>
                <w:b/>
                <w:bCs/>
                <w:sz w:val="28"/>
                <w:szCs w:val="28"/>
              </w:rPr>
            </w:pPr>
          </w:p>
        </w:tc>
      </w:tr>
      <w:tr w:rsidR="00592A2D" w:rsidRPr="00F3027E" w14:paraId="4106E863" w14:textId="77777777" w:rsidTr="00592A2D">
        <w:trPr>
          <w:trHeight w:val="355"/>
          <w:jc w:val="center"/>
        </w:trPr>
        <w:tc>
          <w:tcPr>
            <w:tcW w:w="923" w:type="dxa"/>
            <w:tcBorders>
              <w:top w:val="nil"/>
              <w:left w:val="nil"/>
              <w:bottom w:val="nil"/>
              <w:right w:val="nil"/>
            </w:tcBorders>
            <w:shd w:val="clear" w:color="auto" w:fill="auto"/>
          </w:tcPr>
          <w:p w14:paraId="74CBF2DE" w14:textId="77777777" w:rsidR="00592A2D" w:rsidRPr="00F3027E" w:rsidRDefault="00592A2D" w:rsidP="00592A2D">
            <w:pPr>
              <w:spacing w:line="360" w:lineRule="auto"/>
              <w:rPr>
                <w:rFonts w:ascii="Arial" w:hAnsi="Arial" w:cs="FrankRuehl"/>
                <w:b/>
                <w:bCs/>
                <w:sz w:val="28"/>
                <w:szCs w:val="28"/>
                <w:rtl/>
              </w:rPr>
            </w:pPr>
            <w:bookmarkStart w:id="2" w:name="FirstLawyer"/>
          </w:p>
        </w:tc>
        <w:tc>
          <w:tcPr>
            <w:tcW w:w="4126" w:type="dxa"/>
            <w:tcBorders>
              <w:top w:val="nil"/>
              <w:left w:val="nil"/>
              <w:bottom w:val="nil"/>
              <w:right w:val="nil"/>
            </w:tcBorders>
            <w:shd w:val="clear" w:color="auto" w:fill="auto"/>
          </w:tcPr>
          <w:p w14:paraId="4F312795" w14:textId="77777777" w:rsidR="00592A2D" w:rsidRPr="00F3027E" w:rsidRDefault="00592A2D" w:rsidP="00592A2D">
            <w:pPr>
              <w:spacing w:line="360" w:lineRule="auto"/>
              <w:rPr>
                <w:rFonts w:cs="FrankRuehl"/>
                <w:b/>
                <w:bCs/>
                <w:sz w:val="28"/>
                <w:szCs w:val="28"/>
                <w:rtl/>
              </w:rPr>
            </w:pPr>
            <w:r w:rsidRPr="00F3027E">
              <w:rPr>
                <w:rFonts w:ascii="Arial" w:hAnsi="Arial" w:cs="FrankRuehl"/>
                <w:b/>
                <w:bCs/>
                <w:sz w:val="28"/>
                <w:szCs w:val="28"/>
                <w:rtl/>
              </w:rPr>
              <w:t xml:space="preserve">דוד יהונתן מדינה </w:t>
            </w:r>
            <w:r w:rsidRPr="00F3027E">
              <w:rPr>
                <w:rFonts w:ascii="Arial" w:hAnsi="Arial" w:cs="FrankRuehl" w:hint="cs"/>
                <w:b/>
                <w:bCs/>
                <w:sz w:val="28"/>
                <w:szCs w:val="28"/>
                <w:rtl/>
              </w:rPr>
              <w:t xml:space="preserve">  </w:t>
            </w:r>
            <w:r w:rsidRPr="00F3027E">
              <w:rPr>
                <w:rFonts w:ascii="Arial" w:hAnsi="Arial" w:cs="FrankRuehl"/>
                <w:b/>
                <w:bCs/>
                <w:sz w:val="28"/>
                <w:szCs w:val="28"/>
                <w:rtl/>
              </w:rPr>
              <w:br/>
            </w:r>
            <w:r w:rsidRPr="00F3027E">
              <w:rPr>
                <w:rFonts w:cs="FrankRuehl" w:hint="cs"/>
                <w:b/>
                <w:bCs/>
                <w:sz w:val="28"/>
                <w:szCs w:val="28"/>
                <w:rtl/>
              </w:rPr>
              <w:t>ע"י ב"כ עו"ד ארז בר-צבי</w:t>
            </w:r>
          </w:p>
        </w:tc>
        <w:tc>
          <w:tcPr>
            <w:tcW w:w="3771" w:type="dxa"/>
            <w:tcBorders>
              <w:top w:val="nil"/>
              <w:left w:val="nil"/>
              <w:bottom w:val="nil"/>
              <w:right w:val="nil"/>
            </w:tcBorders>
            <w:shd w:val="clear" w:color="auto" w:fill="auto"/>
          </w:tcPr>
          <w:p w14:paraId="2BC85F90" w14:textId="77777777" w:rsidR="00592A2D" w:rsidRPr="00F3027E" w:rsidRDefault="00592A2D" w:rsidP="00592A2D">
            <w:pPr>
              <w:spacing w:line="360" w:lineRule="auto"/>
              <w:jc w:val="right"/>
              <w:rPr>
                <w:rFonts w:ascii="Arial" w:hAnsi="Arial" w:cs="FrankRuehl"/>
                <w:b/>
                <w:bCs/>
                <w:sz w:val="28"/>
                <w:szCs w:val="28"/>
              </w:rPr>
            </w:pPr>
          </w:p>
        </w:tc>
      </w:tr>
      <w:bookmarkEnd w:id="2"/>
      <w:tr w:rsidR="00592A2D" w:rsidRPr="00F3027E" w14:paraId="5AE3725D" w14:textId="77777777" w:rsidTr="00592A2D">
        <w:trPr>
          <w:trHeight w:val="355"/>
          <w:jc w:val="center"/>
        </w:trPr>
        <w:tc>
          <w:tcPr>
            <w:tcW w:w="923" w:type="dxa"/>
            <w:tcBorders>
              <w:top w:val="nil"/>
              <w:left w:val="nil"/>
              <w:bottom w:val="nil"/>
              <w:right w:val="nil"/>
            </w:tcBorders>
            <w:shd w:val="clear" w:color="auto" w:fill="auto"/>
          </w:tcPr>
          <w:p w14:paraId="410DE5F9" w14:textId="77777777" w:rsidR="00592A2D" w:rsidRPr="00F3027E" w:rsidRDefault="00592A2D" w:rsidP="00592A2D">
            <w:pPr>
              <w:spacing w:line="360" w:lineRule="auto"/>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4D3C4A49" w14:textId="77777777" w:rsidR="00592A2D" w:rsidRPr="00F3027E" w:rsidRDefault="00592A2D" w:rsidP="00592A2D">
            <w:pPr>
              <w:spacing w:line="360" w:lineRule="auto"/>
              <w:jc w:val="both"/>
              <w:rPr>
                <w:rFonts w:cs="FrankRuehl"/>
                <w:b/>
                <w:bCs/>
                <w:sz w:val="28"/>
                <w:szCs w:val="28"/>
                <w:rtl/>
              </w:rPr>
            </w:pPr>
          </w:p>
        </w:tc>
        <w:tc>
          <w:tcPr>
            <w:tcW w:w="3771" w:type="dxa"/>
            <w:tcBorders>
              <w:top w:val="nil"/>
              <w:left w:val="nil"/>
              <w:bottom w:val="nil"/>
              <w:right w:val="nil"/>
            </w:tcBorders>
            <w:shd w:val="clear" w:color="auto" w:fill="auto"/>
          </w:tcPr>
          <w:p w14:paraId="1CFAC1A4" w14:textId="77777777" w:rsidR="00592A2D" w:rsidRPr="00F3027E" w:rsidRDefault="00592A2D" w:rsidP="00592A2D">
            <w:pPr>
              <w:spacing w:line="360" w:lineRule="auto"/>
              <w:jc w:val="right"/>
              <w:rPr>
                <w:rFonts w:ascii="Arial" w:hAnsi="Arial" w:cs="FrankRuehl"/>
                <w:b/>
                <w:bCs/>
                <w:sz w:val="28"/>
                <w:szCs w:val="28"/>
              </w:rPr>
            </w:pPr>
            <w:r w:rsidRPr="00F3027E">
              <w:rPr>
                <w:rFonts w:ascii="Arial" w:hAnsi="Arial" w:cs="FrankRuehl" w:hint="cs"/>
                <w:b/>
                <w:bCs/>
                <w:sz w:val="28"/>
                <w:szCs w:val="28"/>
                <w:rtl/>
              </w:rPr>
              <w:t>ה</w:t>
            </w:r>
            <w:r w:rsidRPr="00F3027E">
              <w:rPr>
                <w:rFonts w:ascii="Arial" w:hAnsi="Arial" w:cs="FrankRuehl"/>
                <w:b/>
                <w:bCs/>
                <w:sz w:val="28"/>
                <w:szCs w:val="28"/>
                <w:rtl/>
              </w:rPr>
              <w:t>נאשם</w:t>
            </w:r>
          </w:p>
        </w:tc>
      </w:tr>
    </w:tbl>
    <w:p w14:paraId="62A7460E" w14:textId="77777777" w:rsidR="005B2672" w:rsidRPr="005B2672" w:rsidRDefault="005B2672" w:rsidP="005B2672">
      <w:pPr>
        <w:spacing w:after="120" w:line="240" w:lineRule="exact"/>
        <w:ind w:left="283" w:hanging="283"/>
        <w:jc w:val="both"/>
        <w:rPr>
          <w:rFonts w:ascii="FrankRuehl" w:hAnsi="FrankRuehl" w:cs="FrankRuehl"/>
          <w:rtl/>
        </w:rPr>
      </w:pPr>
      <w:bookmarkStart w:id="3" w:name="LawTable"/>
      <w:bookmarkEnd w:id="3"/>
    </w:p>
    <w:p w14:paraId="463772FC" w14:textId="77777777" w:rsidR="005B2672" w:rsidRPr="005B2672" w:rsidRDefault="005B2672" w:rsidP="005B2672">
      <w:pPr>
        <w:spacing w:after="120" w:line="240" w:lineRule="exact"/>
        <w:ind w:left="283" w:hanging="283"/>
        <w:jc w:val="both"/>
        <w:rPr>
          <w:rFonts w:ascii="FrankRuehl" w:hAnsi="FrankRuehl" w:cs="FrankRuehl"/>
          <w:rtl/>
        </w:rPr>
      </w:pPr>
      <w:r w:rsidRPr="005B2672">
        <w:rPr>
          <w:rFonts w:ascii="FrankRuehl" w:hAnsi="FrankRuehl" w:cs="FrankRuehl"/>
          <w:rtl/>
        </w:rPr>
        <w:t xml:space="preserve">חקיקה שאוזכרה: </w:t>
      </w:r>
    </w:p>
    <w:p w14:paraId="5842F69A" w14:textId="77777777" w:rsidR="005B2672" w:rsidRPr="005B2672" w:rsidRDefault="005B2672" w:rsidP="005B2672">
      <w:pPr>
        <w:spacing w:after="120" w:line="240" w:lineRule="exact"/>
        <w:ind w:left="283" w:hanging="283"/>
        <w:jc w:val="both"/>
        <w:rPr>
          <w:rFonts w:ascii="FrankRuehl" w:hAnsi="FrankRuehl" w:cs="FrankRuehl"/>
          <w:rtl/>
        </w:rPr>
      </w:pPr>
      <w:hyperlink r:id="rId7" w:history="1">
        <w:r w:rsidRPr="005B2672">
          <w:rPr>
            <w:rFonts w:ascii="FrankRuehl" w:hAnsi="FrankRuehl" w:cs="FrankRuehl"/>
            <w:color w:val="0000FF"/>
            <w:u w:val="single"/>
            <w:rtl/>
          </w:rPr>
          <w:t>פקודת הסמים המסוכנים [נוסח חדש], תשל"ג-1973</w:t>
        </w:r>
      </w:hyperlink>
      <w:r w:rsidRPr="005B2672">
        <w:rPr>
          <w:rFonts w:ascii="FrankRuehl" w:hAnsi="FrankRuehl" w:cs="FrankRuehl"/>
          <w:rtl/>
        </w:rPr>
        <w:t xml:space="preserve">: סע'  </w:t>
      </w:r>
      <w:hyperlink r:id="rId8" w:history="1">
        <w:r w:rsidRPr="005B2672">
          <w:rPr>
            <w:rFonts w:ascii="FrankRuehl" w:hAnsi="FrankRuehl" w:cs="FrankRuehl"/>
            <w:color w:val="0000FF"/>
            <w:u w:val="single"/>
            <w:rtl/>
          </w:rPr>
          <w:t>7א'</w:t>
        </w:r>
      </w:hyperlink>
      <w:r w:rsidRPr="005B2672">
        <w:rPr>
          <w:rFonts w:ascii="FrankRuehl" w:hAnsi="FrankRuehl" w:cs="FrankRuehl"/>
          <w:rtl/>
        </w:rPr>
        <w:t xml:space="preserve">, </w:t>
      </w:r>
      <w:hyperlink r:id="rId9" w:history="1">
        <w:r w:rsidRPr="005B2672">
          <w:rPr>
            <w:rFonts w:ascii="FrankRuehl" w:hAnsi="FrankRuehl" w:cs="FrankRuehl"/>
            <w:color w:val="0000FF"/>
            <w:u w:val="single"/>
            <w:rtl/>
          </w:rPr>
          <w:t>7ג</w:t>
        </w:r>
      </w:hyperlink>
      <w:r w:rsidRPr="005B2672">
        <w:rPr>
          <w:rFonts w:ascii="FrankRuehl" w:hAnsi="FrankRuehl" w:cs="FrankRuehl"/>
          <w:rtl/>
        </w:rPr>
        <w:t xml:space="preserve">, </w:t>
      </w:r>
      <w:hyperlink r:id="rId10" w:history="1">
        <w:r w:rsidRPr="005B2672">
          <w:rPr>
            <w:rFonts w:ascii="FrankRuehl" w:hAnsi="FrankRuehl" w:cs="FrankRuehl"/>
            <w:color w:val="0000FF"/>
            <w:u w:val="single"/>
            <w:rtl/>
          </w:rPr>
          <w:t>13</w:t>
        </w:r>
      </w:hyperlink>
      <w:r w:rsidRPr="005B2672">
        <w:rPr>
          <w:rFonts w:ascii="FrankRuehl" w:hAnsi="FrankRuehl" w:cs="FrankRuehl"/>
          <w:rtl/>
        </w:rPr>
        <w:t xml:space="preserve">, </w:t>
      </w:r>
      <w:hyperlink r:id="rId11" w:history="1">
        <w:r w:rsidRPr="005B2672">
          <w:rPr>
            <w:rFonts w:ascii="FrankRuehl" w:hAnsi="FrankRuehl" w:cs="FrankRuehl"/>
            <w:color w:val="0000FF"/>
            <w:u w:val="single"/>
            <w:rtl/>
          </w:rPr>
          <w:t>19א</w:t>
        </w:r>
      </w:hyperlink>
    </w:p>
    <w:p w14:paraId="1BFB4F9C" w14:textId="77777777" w:rsidR="005B2672" w:rsidRPr="005B2672" w:rsidRDefault="005B2672" w:rsidP="005B2672">
      <w:pPr>
        <w:spacing w:after="120" w:line="240" w:lineRule="exact"/>
        <w:ind w:left="283" w:hanging="283"/>
        <w:jc w:val="both"/>
        <w:rPr>
          <w:rFonts w:ascii="FrankRuehl" w:hAnsi="FrankRuehl" w:cs="FrankRuehl"/>
          <w:rtl/>
        </w:rPr>
      </w:pPr>
      <w:hyperlink r:id="rId12" w:history="1">
        <w:r w:rsidRPr="005B2672">
          <w:rPr>
            <w:rFonts w:ascii="FrankRuehl" w:hAnsi="FrankRuehl" w:cs="FrankRuehl"/>
            <w:color w:val="0000FF"/>
            <w:u w:val="single"/>
            <w:rtl/>
          </w:rPr>
          <w:t>חוק העונשין, תשל"ז-1977</w:t>
        </w:r>
      </w:hyperlink>
      <w:r w:rsidRPr="005B2672">
        <w:rPr>
          <w:rFonts w:ascii="FrankRuehl" w:hAnsi="FrankRuehl" w:cs="FrankRuehl"/>
          <w:rtl/>
        </w:rPr>
        <w:t xml:space="preserve">: סע'  </w:t>
      </w:r>
      <w:hyperlink r:id="rId13" w:history="1">
        <w:r w:rsidRPr="005B2672">
          <w:rPr>
            <w:rFonts w:ascii="FrankRuehl" w:hAnsi="FrankRuehl" w:cs="FrankRuehl"/>
            <w:color w:val="0000FF"/>
            <w:u w:val="single"/>
            <w:rtl/>
          </w:rPr>
          <w:t>40ט'</w:t>
        </w:r>
      </w:hyperlink>
      <w:r w:rsidRPr="005B2672">
        <w:rPr>
          <w:rFonts w:ascii="FrankRuehl" w:hAnsi="FrankRuehl" w:cs="FrankRuehl"/>
          <w:rtl/>
        </w:rPr>
        <w:t xml:space="preserve">, </w:t>
      </w:r>
      <w:hyperlink r:id="rId14" w:history="1">
        <w:r w:rsidRPr="005B2672">
          <w:rPr>
            <w:rFonts w:ascii="FrankRuehl" w:hAnsi="FrankRuehl" w:cs="FrankRuehl"/>
            <w:color w:val="0000FF"/>
            <w:u w:val="single"/>
            <w:rtl/>
          </w:rPr>
          <w:t>40יא</w:t>
        </w:r>
      </w:hyperlink>
      <w:r w:rsidRPr="005B2672">
        <w:rPr>
          <w:rFonts w:ascii="FrankRuehl" w:hAnsi="FrankRuehl" w:cs="FrankRuehl"/>
          <w:rtl/>
        </w:rPr>
        <w:t xml:space="preserve">, </w:t>
      </w:r>
      <w:hyperlink r:id="rId15" w:history="1">
        <w:r w:rsidRPr="005B2672">
          <w:rPr>
            <w:rFonts w:ascii="FrankRuehl" w:hAnsi="FrankRuehl" w:cs="FrankRuehl"/>
            <w:color w:val="0000FF"/>
            <w:u w:val="single"/>
            <w:rtl/>
          </w:rPr>
          <w:t>449</w:t>
        </w:r>
      </w:hyperlink>
    </w:p>
    <w:p w14:paraId="1329C919" w14:textId="77777777" w:rsidR="005B2672" w:rsidRPr="005B2672" w:rsidRDefault="005B2672" w:rsidP="005B2672">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92A2D" w14:paraId="1BA5F49E" w14:textId="77777777" w:rsidTr="00592A2D">
        <w:trPr>
          <w:trHeight w:val="355"/>
          <w:jc w:val="center"/>
        </w:trPr>
        <w:tc>
          <w:tcPr>
            <w:tcW w:w="8820" w:type="dxa"/>
            <w:tcBorders>
              <w:top w:val="nil"/>
              <w:left w:val="nil"/>
              <w:bottom w:val="nil"/>
              <w:right w:val="nil"/>
            </w:tcBorders>
            <w:shd w:val="clear" w:color="auto" w:fill="auto"/>
          </w:tcPr>
          <w:p w14:paraId="45148B1D" w14:textId="77777777" w:rsidR="00F3027E" w:rsidRPr="00F3027E" w:rsidRDefault="00F3027E" w:rsidP="00F3027E">
            <w:pPr>
              <w:jc w:val="center"/>
              <w:rPr>
                <w:rFonts w:ascii="Arial" w:hAnsi="Arial" w:cs="FrankRuehl"/>
                <w:b/>
                <w:bCs/>
                <w:sz w:val="32"/>
                <w:szCs w:val="32"/>
                <w:u w:val="single"/>
                <w:rtl/>
              </w:rPr>
            </w:pPr>
            <w:bookmarkStart w:id="4" w:name="LawTable_End"/>
            <w:bookmarkStart w:id="5" w:name="PsakDin" w:colFirst="0" w:colLast="0"/>
            <w:bookmarkEnd w:id="0"/>
            <w:bookmarkEnd w:id="4"/>
            <w:r w:rsidRPr="00F3027E">
              <w:rPr>
                <w:rFonts w:ascii="Arial" w:hAnsi="Arial" w:cs="FrankRuehl"/>
                <w:b/>
                <w:bCs/>
                <w:sz w:val="32"/>
                <w:szCs w:val="32"/>
                <w:u w:val="single"/>
                <w:rtl/>
              </w:rPr>
              <w:t>גזר דין</w:t>
            </w:r>
          </w:p>
          <w:p w14:paraId="4029B8DE" w14:textId="77777777" w:rsidR="00592A2D" w:rsidRPr="00F3027E" w:rsidRDefault="00592A2D" w:rsidP="00F3027E">
            <w:pPr>
              <w:jc w:val="center"/>
              <w:rPr>
                <w:rFonts w:ascii="Arial" w:hAnsi="Arial" w:cs="FrankRuehl"/>
                <w:bCs/>
                <w:sz w:val="32"/>
                <w:szCs w:val="32"/>
                <w:u w:val="single"/>
                <w:rtl/>
              </w:rPr>
            </w:pPr>
          </w:p>
        </w:tc>
      </w:tr>
      <w:bookmarkEnd w:id="5"/>
    </w:tbl>
    <w:p w14:paraId="48A60E51" w14:textId="77777777" w:rsidR="00592A2D" w:rsidRPr="00B05847" w:rsidRDefault="00592A2D" w:rsidP="00592A2D">
      <w:pPr>
        <w:rPr>
          <w:rFonts w:ascii="Arial" w:hAnsi="Arial"/>
          <w:rtl/>
        </w:rPr>
      </w:pPr>
    </w:p>
    <w:p w14:paraId="258006C1" w14:textId="77777777" w:rsidR="00592A2D" w:rsidRPr="00B05847" w:rsidRDefault="00592A2D" w:rsidP="00592A2D">
      <w:pPr>
        <w:rPr>
          <w:rtl/>
        </w:rPr>
      </w:pPr>
    </w:p>
    <w:p w14:paraId="3B8FDEF9" w14:textId="77777777" w:rsidR="00592A2D" w:rsidRDefault="00592A2D" w:rsidP="00592A2D">
      <w:pPr>
        <w:rPr>
          <w:rFonts w:cs="FrankRuehl"/>
          <w:b/>
          <w:bCs/>
          <w:sz w:val="26"/>
          <w:szCs w:val="26"/>
          <w:u w:val="single"/>
        </w:rPr>
      </w:pPr>
      <w:r>
        <w:rPr>
          <w:rFonts w:cs="FrankRuehl" w:hint="cs"/>
          <w:b/>
          <w:bCs/>
          <w:sz w:val="26"/>
          <w:szCs w:val="26"/>
          <w:u w:val="single"/>
          <w:rtl/>
        </w:rPr>
        <w:t>כתב האישום</w:t>
      </w:r>
    </w:p>
    <w:p w14:paraId="1969CD87" w14:textId="77777777" w:rsidR="00592A2D" w:rsidRDefault="00592A2D" w:rsidP="00592A2D">
      <w:pPr>
        <w:spacing w:line="360" w:lineRule="auto"/>
        <w:jc w:val="both"/>
        <w:rPr>
          <w:rFonts w:cs="FrankRuehl"/>
          <w:sz w:val="26"/>
          <w:szCs w:val="26"/>
        </w:rPr>
      </w:pPr>
    </w:p>
    <w:p w14:paraId="0AFE6A12" w14:textId="77777777" w:rsidR="00592A2D" w:rsidRDefault="00592A2D" w:rsidP="00592A2D">
      <w:pPr>
        <w:spacing w:line="360" w:lineRule="auto"/>
        <w:jc w:val="both"/>
        <w:rPr>
          <w:rFonts w:cs="FrankRuehl"/>
          <w:sz w:val="26"/>
          <w:szCs w:val="26"/>
          <w:rtl/>
        </w:rPr>
      </w:pPr>
      <w:bookmarkStart w:id="6" w:name="ABSTRACT_START"/>
      <w:bookmarkEnd w:id="6"/>
      <w:r>
        <w:rPr>
          <w:rFonts w:cs="FrankRuehl" w:hint="cs"/>
          <w:sz w:val="26"/>
          <w:szCs w:val="26"/>
          <w:rtl/>
        </w:rPr>
        <w:t>נגד הנאשם הוגש כתב אישום בהקשר לביצוע עבירות סמים.</w:t>
      </w:r>
    </w:p>
    <w:p w14:paraId="5D37E697" w14:textId="77777777" w:rsidR="00592A2D" w:rsidRDefault="00592A2D" w:rsidP="00592A2D">
      <w:pPr>
        <w:spacing w:line="360" w:lineRule="auto"/>
        <w:jc w:val="both"/>
        <w:rPr>
          <w:rFonts w:cs="FrankRuehl"/>
          <w:b/>
          <w:bCs/>
          <w:sz w:val="26"/>
          <w:szCs w:val="26"/>
          <w:rtl/>
        </w:rPr>
      </w:pPr>
      <w:bookmarkStart w:id="7" w:name="ABSTRACT_END"/>
      <w:bookmarkEnd w:id="7"/>
    </w:p>
    <w:p w14:paraId="44961595" w14:textId="77777777" w:rsidR="00592A2D" w:rsidRDefault="00592A2D" w:rsidP="00592A2D">
      <w:pPr>
        <w:spacing w:line="360" w:lineRule="auto"/>
        <w:jc w:val="both"/>
        <w:rPr>
          <w:rFonts w:cs="FrankRuehl"/>
          <w:sz w:val="26"/>
          <w:szCs w:val="26"/>
          <w:rtl/>
        </w:rPr>
      </w:pPr>
      <w:r w:rsidRPr="003336CD">
        <w:rPr>
          <w:rFonts w:cs="FrankRuehl" w:hint="cs"/>
          <w:b/>
          <w:bCs/>
          <w:sz w:val="26"/>
          <w:szCs w:val="26"/>
          <w:rtl/>
        </w:rPr>
        <w:t>מעובדות החלק הכללי</w:t>
      </w:r>
      <w:r>
        <w:rPr>
          <w:rFonts w:cs="FrankRuehl" w:hint="cs"/>
          <w:sz w:val="26"/>
          <w:szCs w:val="26"/>
          <w:rtl/>
        </w:rPr>
        <w:t xml:space="preserve"> בכתב האישום המתוקן בהסדר (ללא הסכמה עונשית), עולה כי הנאשם שימש מנהל רשת סמים שהפצתם בוצעה בסיוע אפליקציית "טלגראם" תחת ניהולו של חננאל סלימן (להלן </w:t>
      </w:r>
      <w:r>
        <w:rPr>
          <w:rFonts w:cs="FrankRuehl"/>
          <w:sz w:val="26"/>
          <w:szCs w:val="26"/>
          <w:rtl/>
        </w:rPr>
        <w:t>–</w:t>
      </w:r>
      <w:r>
        <w:rPr>
          <w:rFonts w:cs="FrankRuehl" w:hint="cs"/>
          <w:sz w:val="26"/>
          <w:szCs w:val="26"/>
          <w:rtl/>
        </w:rPr>
        <w:t xml:space="preserve"> </w:t>
      </w:r>
      <w:r w:rsidRPr="00790EEE">
        <w:rPr>
          <w:rFonts w:cs="FrankRuehl" w:hint="cs"/>
          <w:b/>
          <w:bCs/>
          <w:sz w:val="26"/>
          <w:szCs w:val="26"/>
          <w:rtl/>
        </w:rPr>
        <w:t>חננאל</w:t>
      </w:r>
      <w:r>
        <w:rPr>
          <w:rFonts w:cs="FrankRuehl" w:hint="cs"/>
          <w:sz w:val="26"/>
          <w:szCs w:val="26"/>
          <w:rtl/>
        </w:rPr>
        <w:t xml:space="preserve">), וזאת תחת השם "קרליטו סופראנו". במסגרת הרשת, העסיק חננאל את הנאשם וחברי רשת נוספים </w:t>
      </w:r>
      <w:r>
        <w:rPr>
          <w:rFonts w:cs="FrankRuehl"/>
          <w:sz w:val="26"/>
          <w:szCs w:val="26"/>
          <w:rtl/>
        </w:rPr>
        <w:t>–</w:t>
      </w:r>
      <w:r>
        <w:rPr>
          <w:rFonts w:cs="FrankRuehl" w:hint="cs"/>
          <w:sz w:val="26"/>
          <w:szCs w:val="26"/>
          <w:rtl/>
        </w:rPr>
        <w:t xml:space="preserve"> סלבי כהן גדול ותהילה זריהן. חברי הרשת עשו שימוש בכינויים שונים בקשר לשם "קרליטו סופראנו", ולשם ביצוע עסקאות הסמים, נהגו לוודא ולאמת את זהות משתמשי הקצה (הרוכשים), </w:t>
      </w:r>
      <w:r>
        <w:rPr>
          <w:rFonts w:cs="FrankRuehl" w:hint="cs"/>
          <w:sz w:val="26"/>
          <w:szCs w:val="26"/>
          <w:rtl/>
        </w:rPr>
        <w:lastRenderedPageBreak/>
        <w:t>שנדרשו להזדהות, לרבות באמצעות שליחת תמונות "סלפי", מסמכים מזהים וכדומה. העסקאות בוצעו במישרין אל מול הרוכשים או באמצעות השלשת הסמים מחד ותמורתם בכסף מאידך. עבור כל ביצוע עסקה עבור חננאל, החזיר לו הנאשם סכום שבין 50 ל-60 ₪ בגין כל גרם בעסקת סם, כשההפרש בסך כ-30 ₪ נכנס לכיסו.</w:t>
      </w:r>
    </w:p>
    <w:p w14:paraId="4CC6D017" w14:textId="77777777" w:rsidR="00592A2D" w:rsidRDefault="00592A2D" w:rsidP="00592A2D">
      <w:pPr>
        <w:spacing w:line="360" w:lineRule="auto"/>
        <w:jc w:val="both"/>
        <w:rPr>
          <w:rFonts w:cs="FrankRuehl"/>
          <w:b/>
          <w:bCs/>
          <w:sz w:val="26"/>
          <w:szCs w:val="26"/>
          <w:rtl/>
        </w:rPr>
      </w:pPr>
    </w:p>
    <w:p w14:paraId="0229EFD4" w14:textId="77777777" w:rsidR="00592A2D" w:rsidRDefault="00592A2D" w:rsidP="00592A2D">
      <w:pPr>
        <w:spacing w:line="360" w:lineRule="auto"/>
        <w:jc w:val="both"/>
        <w:rPr>
          <w:rFonts w:cs="FrankRuehl"/>
          <w:sz w:val="26"/>
          <w:szCs w:val="26"/>
          <w:rtl/>
        </w:rPr>
      </w:pPr>
      <w:r w:rsidRPr="003336CD">
        <w:rPr>
          <w:rFonts w:cs="FrankRuehl" w:hint="cs"/>
          <w:b/>
          <w:bCs/>
          <w:sz w:val="26"/>
          <w:szCs w:val="26"/>
          <w:rtl/>
        </w:rPr>
        <w:t>באישום הראשון</w:t>
      </w:r>
      <w:r>
        <w:rPr>
          <w:rFonts w:cs="FrankRuehl" w:hint="cs"/>
          <w:sz w:val="26"/>
          <w:szCs w:val="26"/>
          <w:rtl/>
        </w:rPr>
        <w:t xml:space="preserve"> מצוין, כי הנאשם מכר ישירות לרוכשת, קנביס במשקל גרם תמורת 100 ₪ לאחר תיאום העסקה באמצעות הרשת, וזאת ביום 27.12.2017. בגין אישום זה יוחסה לנאשם עבירת סחר בסם, לפי </w:t>
      </w:r>
      <w:hyperlink r:id="rId16" w:history="1">
        <w:r w:rsidR="005B2672" w:rsidRPr="005B2672">
          <w:rPr>
            <w:rFonts w:cs="FrankRuehl"/>
            <w:color w:val="0000FF"/>
            <w:sz w:val="26"/>
            <w:szCs w:val="26"/>
            <w:u w:val="single"/>
            <w:rtl/>
          </w:rPr>
          <w:t>סעיפים 13</w:t>
        </w:r>
      </w:hyperlink>
      <w:r>
        <w:rPr>
          <w:rFonts w:cs="FrankRuehl" w:hint="cs"/>
          <w:sz w:val="26"/>
          <w:szCs w:val="26"/>
          <w:rtl/>
        </w:rPr>
        <w:t xml:space="preserve"> +</w:t>
      </w:r>
      <w:hyperlink r:id="rId17" w:history="1">
        <w:r w:rsidR="005B2672" w:rsidRPr="005B2672">
          <w:rPr>
            <w:rFonts w:cs="FrankRuehl"/>
            <w:color w:val="0000FF"/>
            <w:sz w:val="26"/>
            <w:szCs w:val="26"/>
            <w:u w:val="single"/>
            <w:rtl/>
          </w:rPr>
          <w:t>19א</w:t>
        </w:r>
      </w:hyperlink>
      <w:r>
        <w:rPr>
          <w:rFonts w:cs="FrankRuehl" w:hint="cs"/>
          <w:sz w:val="26"/>
          <w:szCs w:val="26"/>
          <w:rtl/>
        </w:rPr>
        <w:t xml:space="preserve"> ל</w:t>
      </w:r>
      <w:hyperlink r:id="rId18" w:history="1">
        <w:r w:rsidR="00F3027E" w:rsidRPr="00F3027E">
          <w:rPr>
            <w:rFonts w:cs="FrankRuehl"/>
            <w:color w:val="0000FF"/>
            <w:sz w:val="26"/>
            <w:szCs w:val="26"/>
            <w:u w:val="single"/>
            <w:rtl/>
          </w:rPr>
          <w:t>פקודת הסמים המסוכנים</w:t>
        </w:r>
      </w:hyperlink>
      <w:r>
        <w:rPr>
          <w:rFonts w:cs="FrankRuehl" w:hint="cs"/>
          <w:sz w:val="26"/>
          <w:szCs w:val="26"/>
          <w:rtl/>
        </w:rPr>
        <w:t xml:space="preserve"> [נוסח חדש], התשל"ג-1973 (להלן </w:t>
      </w:r>
      <w:r>
        <w:rPr>
          <w:rFonts w:cs="FrankRuehl"/>
          <w:sz w:val="26"/>
          <w:szCs w:val="26"/>
          <w:rtl/>
        </w:rPr>
        <w:t>–</w:t>
      </w:r>
      <w:r>
        <w:rPr>
          <w:rFonts w:cs="FrankRuehl" w:hint="cs"/>
          <w:sz w:val="26"/>
          <w:szCs w:val="26"/>
          <w:rtl/>
        </w:rPr>
        <w:t xml:space="preserve"> </w:t>
      </w:r>
      <w:r w:rsidRPr="003336CD">
        <w:rPr>
          <w:rFonts w:cs="FrankRuehl" w:hint="cs"/>
          <w:b/>
          <w:bCs/>
          <w:sz w:val="26"/>
          <w:szCs w:val="26"/>
          <w:rtl/>
        </w:rPr>
        <w:t>הפקודה</w:t>
      </w:r>
      <w:r>
        <w:rPr>
          <w:rFonts w:cs="FrankRuehl" w:hint="cs"/>
          <w:sz w:val="26"/>
          <w:szCs w:val="26"/>
          <w:rtl/>
        </w:rPr>
        <w:t>).</w:t>
      </w:r>
    </w:p>
    <w:p w14:paraId="1DE259F4" w14:textId="77777777" w:rsidR="00592A2D" w:rsidRDefault="00592A2D" w:rsidP="00592A2D">
      <w:pPr>
        <w:spacing w:line="360" w:lineRule="auto"/>
        <w:jc w:val="both"/>
        <w:rPr>
          <w:rFonts w:cs="FrankRuehl"/>
          <w:b/>
          <w:bCs/>
          <w:sz w:val="26"/>
          <w:szCs w:val="26"/>
          <w:rtl/>
        </w:rPr>
      </w:pPr>
    </w:p>
    <w:p w14:paraId="0FA1B97E" w14:textId="77777777" w:rsidR="00592A2D" w:rsidRDefault="00592A2D" w:rsidP="00592A2D">
      <w:pPr>
        <w:spacing w:line="360" w:lineRule="auto"/>
        <w:jc w:val="both"/>
        <w:rPr>
          <w:rFonts w:cs="FrankRuehl"/>
          <w:sz w:val="26"/>
          <w:szCs w:val="26"/>
          <w:rtl/>
        </w:rPr>
      </w:pPr>
      <w:r w:rsidRPr="003336CD">
        <w:rPr>
          <w:rFonts w:cs="FrankRuehl" w:hint="cs"/>
          <w:b/>
          <w:bCs/>
          <w:sz w:val="26"/>
          <w:szCs w:val="26"/>
          <w:rtl/>
        </w:rPr>
        <w:t>באישום השני</w:t>
      </w:r>
      <w:r>
        <w:rPr>
          <w:rFonts w:cs="FrankRuehl" w:hint="cs"/>
          <w:sz w:val="26"/>
          <w:szCs w:val="26"/>
          <w:rtl/>
        </w:rPr>
        <w:t xml:space="preserve"> מצוין, כי הנאשם מכר ישירות לשוטר סמוי קנביס במשקל 3.10 גרם תמורת 300 ₪ לאחר תיאום העסקה באמצעות הרשת. בגין אישום זה יוחסה לנאשם עבירת סחר בסם, לפי </w:t>
      </w:r>
      <w:hyperlink r:id="rId19" w:history="1">
        <w:r w:rsidR="005B2672" w:rsidRPr="005B2672">
          <w:rPr>
            <w:rFonts w:cs="FrankRuehl"/>
            <w:color w:val="0000FF"/>
            <w:sz w:val="26"/>
            <w:szCs w:val="26"/>
            <w:u w:val="single"/>
            <w:rtl/>
          </w:rPr>
          <w:t>סעיפים 13</w:t>
        </w:r>
      </w:hyperlink>
      <w:r>
        <w:rPr>
          <w:rFonts w:cs="FrankRuehl" w:hint="cs"/>
          <w:sz w:val="26"/>
          <w:szCs w:val="26"/>
          <w:rtl/>
        </w:rPr>
        <w:t xml:space="preserve"> +</w:t>
      </w:r>
      <w:hyperlink r:id="rId20" w:history="1">
        <w:r w:rsidR="005B2672" w:rsidRPr="005B2672">
          <w:rPr>
            <w:rFonts w:cs="FrankRuehl"/>
            <w:color w:val="0000FF"/>
            <w:sz w:val="26"/>
            <w:szCs w:val="26"/>
            <w:u w:val="single"/>
            <w:rtl/>
          </w:rPr>
          <w:t>19א</w:t>
        </w:r>
      </w:hyperlink>
      <w:r>
        <w:rPr>
          <w:rFonts w:cs="FrankRuehl" w:hint="cs"/>
          <w:sz w:val="26"/>
          <w:szCs w:val="26"/>
          <w:rtl/>
        </w:rPr>
        <w:t xml:space="preserve"> לפקודה.</w:t>
      </w:r>
    </w:p>
    <w:p w14:paraId="4A55C4B4" w14:textId="77777777" w:rsidR="00592A2D" w:rsidRDefault="00592A2D" w:rsidP="00592A2D">
      <w:pPr>
        <w:spacing w:line="360" w:lineRule="auto"/>
        <w:jc w:val="both"/>
        <w:rPr>
          <w:rFonts w:cs="FrankRuehl"/>
          <w:sz w:val="26"/>
          <w:szCs w:val="26"/>
          <w:rtl/>
        </w:rPr>
      </w:pPr>
    </w:p>
    <w:p w14:paraId="5768147E" w14:textId="77777777" w:rsidR="00592A2D" w:rsidRDefault="00592A2D" w:rsidP="00592A2D">
      <w:pPr>
        <w:spacing w:line="360" w:lineRule="auto"/>
        <w:jc w:val="both"/>
        <w:rPr>
          <w:rFonts w:cs="FrankRuehl"/>
          <w:sz w:val="26"/>
          <w:szCs w:val="26"/>
          <w:rtl/>
        </w:rPr>
      </w:pPr>
      <w:r w:rsidRPr="00170E14">
        <w:rPr>
          <w:rFonts w:cs="FrankRuehl" w:hint="cs"/>
          <w:b/>
          <w:bCs/>
          <w:sz w:val="26"/>
          <w:szCs w:val="26"/>
          <w:rtl/>
        </w:rPr>
        <w:t>באישום הרביעי</w:t>
      </w:r>
      <w:r>
        <w:rPr>
          <w:rFonts w:cs="FrankRuehl" w:hint="cs"/>
          <w:sz w:val="26"/>
          <w:szCs w:val="26"/>
          <w:rtl/>
        </w:rPr>
        <w:t xml:space="preserve"> מצוין, כי ביום 6.2.2018 במסגרת חיפוש ברכבו של הנאשם, נתפסו במשענת היד ובשקית במושב האחורי סמים מסוג חשיש במשקל 49.23 גרם נטו וקנביס במשל 2.24 גרם נטו. בגין אישום זה יוחסה לנאשם עבירה של החזקה סם שלא לצריכה עצמית, לפי </w:t>
      </w:r>
      <w:hyperlink r:id="rId21" w:history="1">
        <w:r w:rsidR="005B2672" w:rsidRPr="005B2672">
          <w:rPr>
            <w:rFonts w:cs="FrankRuehl"/>
            <w:color w:val="0000FF"/>
            <w:sz w:val="26"/>
            <w:szCs w:val="26"/>
            <w:u w:val="single"/>
            <w:rtl/>
          </w:rPr>
          <w:t>סעיפים 7א'</w:t>
        </w:r>
      </w:hyperlink>
      <w:r>
        <w:rPr>
          <w:rFonts w:cs="FrankRuehl" w:hint="cs"/>
          <w:sz w:val="26"/>
          <w:szCs w:val="26"/>
          <w:rtl/>
        </w:rPr>
        <w:t xml:space="preserve"> + </w:t>
      </w:r>
      <w:hyperlink r:id="rId22" w:history="1">
        <w:r w:rsidR="005B2672" w:rsidRPr="005B2672">
          <w:rPr>
            <w:rFonts w:cs="FrankRuehl"/>
            <w:color w:val="0000FF"/>
            <w:sz w:val="26"/>
            <w:szCs w:val="26"/>
            <w:u w:val="single"/>
            <w:rtl/>
          </w:rPr>
          <w:t>7ג</w:t>
        </w:r>
      </w:hyperlink>
      <w:r>
        <w:rPr>
          <w:rFonts w:cs="FrankRuehl" w:hint="cs"/>
          <w:sz w:val="26"/>
          <w:szCs w:val="26"/>
          <w:rtl/>
        </w:rPr>
        <w:t>'רישא לפקודה.</w:t>
      </w:r>
    </w:p>
    <w:p w14:paraId="4EE6FD37" w14:textId="77777777" w:rsidR="00592A2D" w:rsidRDefault="00592A2D" w:rsidP="00592A2D">
      <w:pPr>
        <w:spacing w:line="360" w:lineRule="auto"/>
        <w:jc w:val="both"/>
        <w:rPr>
          <w:rFonts w:cs="FrankRuehl"/>
          <w:sz w:val="26"/>
          <w:szCs w:val="26"/>
          <w:rtl/>
        </w:rPr>
      </w:pPr>
    </w:p>
    <w:p w14:paraId="0E8CFFD9" w14:textId="77777777" w:rsidR="00592A2D" w:rsidRDefault="00592A2D" w:rsidP="00592A2D">
      <w:pPr>
        <w:spacing w:line="360" w:lineRule="auto"/>
        <w:jc w:val="both"/>
        <w:rPr>
          <w:rFonts w:cs="FrankRuehl"/>
          <w:sz w:val="26"/>
          <w:szCs w:val="26"/>
        </w:rPr>
      </w:pPr>
      <w:r w:rsidRPr="00170E14">
        <w:rPr>
          <w:rFonts w:cs="FrankRuehl" w:hint="cs"/>
          <w:b/>
          <w:bCs/>
          <w:sz w:val="26"/>
          <w:szCs w:val="26"/>
          <w:rtl/>
        </w:rPr>
        <w:t>באישום החמישי</w:t>
      </w:r>
      <w:r>
        <w:rPr>
          <w:rFonts w:cs="FrankRuehl" w:hint="cs"/>
          <w:sz w:val="26"/>
          <w:szCs w:val="26"/>
          <w:rtl/>
        </w:rPr>
        <w:t xml:space="preserve"> מצוין, כי במסגרת הפעילות ברשת, הנאשם היה פעיל בין נובמבר 2017 לפברואר 2018, כשהיה מקבל מחננאל עשרות גרם קנביס מדי יום, ומוכר את הסם לאנשים שונים באמצעות הרשת ברחבי ירושלים, תוך שהוא משתמש ברכב הטויוטה שבבעלותו, כשהרווח השבועי שלו עמד על 10,000 ₪ בקירוב. בתמורה לכל עסקה הנאשם קיבל כ-90 ₪ לכל גרם שמכר, ומסכום זה היה מעביר לחננאל 60 ₪, וההפרש שולשל לכיסו. בין יתר לקוחותיו באותה תקופה היו ב"ש, לה מכר הנאשם פעמיים כ-3.5 גרם קנביס תמורת 300 ₪, וא"מ, למה מכר הנאשם 9 גרם קנביס בתמורה לסכום לא ידוע. בגין אישום זה, יוחסו לנאשם ביצוע ריבוי עבירות של סחר בסם, לפי </w:t>
      </w:r>
      <w:hyperlink r:id="rId23" w:history="1">
        <w:r w:rsidR="005B2672" w:rsidRPr="005B2672">
          <w:rPr>
            <w:rFonts w:cs="FrankRuehl"/>
            <w:color w:val="0000FF"/>
            <w:sz w:val="26"/>
            <w:szCs w:val="26"/>
            <w:u w:val="single"/>
            <w:rtl/>
          </w:rPr>
          <w:t>סעיפים 13</w:t>
        </w:r>
      </w:hyperlink>
      <w:r>
        <w:rPr>
          <w:rFonts w:cs="FrankRuehl" w:hint="cs"/>
          <w:sz w:val="26"/>
          <w:szCs w:val="26"/>
          <w:rtl/>
        </w:rPr>
        <w:t xml:space="preserve"> + </w:t>
      </w:r>
      <w:hyperlink r:id="rId24" w:history="1">
        <w:r w:rsidR="005B2672" w:rsidRPr="005B2672">
          <w:rPr>
            <w:rFonts w:cs="FrankRuehl"/>
            <w:color w:val="0000FF"/>
            <w:sz w:val="26"/>
            <w:szCs w:val="26"/>
            <w:u w:val="single"/>
            <w:rtl/>
          </w:rPr>
          <w:t>19א</w:t>
        </w:r>
      </w:hyperlink>
      <w:r>
        <w:rPr>
          <w:rFonts w:cs="FrankRuehl" w:hint="cs"/>
          <w:sz w:val="26"/>
          <w:szCs w:val="26"/>
          <w:rtl/>
        </w:rPr>
        <w:t xml:space="preserve"> לפקודה, וקשירת קשר לביצוע פשע, לפי </w:t>
      </w:r>
      <w:hyperlink r:id="rId25" w:history="1">
        <w:r w:rsidR="005B2672" w:rsidRPr="005B2672">
          <w:rPr>
            <w:rFonts w:cs="FrankRuehl"/>
            <w:color w:val="0000FF"/>
            <w:sz w:val="26"/>
            <w:szCs w:val="26"/>
            <w:u w:val="single"/>
            <w:rtl/>
          </w:rPr>
          <w:t>סעיף 449</w:t>
        </w:r>
      </w:hyperlink>
      <w:r>
        <w:rPr>
          <w:rFonts w:cs="FrankRuehl" w:hint="cs"/>
          <w:sz w:val="26"/>
          <w:szCs w:val="26"/>
          <w:rtl/>
        </w:rPr>
        <w:t xml:space="preserve"> ל</w:t>
      </w:r>
      <w:hyperlink r:id="rId26" w:history="1">
        <w:r w:rsidR="00F3027E" w:rsidRPr="00F3027E">
          <w:rPr>
            <w:rFonts w:cs="FrankRuehl"/>
            <w:color w:val="0000FF"/>
            <w:sz w:val="26"/>
            <w:szCs w:val="26"/>
            <w:u w:val="single"/>
            <w:rtl/>
          </w:rPr>
          <w:t>חוק העונשין</w:t>
        </w:r>
      </w:hyperlink>
      <w:r>
        <w:rPr>
          <w:rFonts w:cs="FrankRuehl" w:hint="cs"/>
          <w:sz w:val="26"/>
          <w:szCs w:val="26"/>
          <w:rtl/>
        </w:rPr>
        <w:t xml:space="preserve">, התשל"ז-=1977 (להלן </w:t>
      </w:r>
      <w:r>
        <w:rPr>
          <w:rFonts w:cs="FrankRuehl"/>
          <w:sz w:val="26"/>
          <w:szCs w:val="26"/>
          <w:rtl/>
        </w:rPr>
        <w:t>–</w:t>
      </w:r>
      <w:r>
        <w:rPr>
          <w:rFonts w:cs="FrankRuehl" w:hint="cs"/>
          <w:sz w:val="26"/>
          <w:szCs w:val="26"/>
          <w:rtl/>
        </w:rPr>
        <w:t xml:space="preserve"> </w:t>
      </w:r>
      <w:r w:rsidRPr="00170E14">
        <w:rPr>
          <w:rFonts w:cs="FrankRuehl" w:hint="cs"/>
          <w:b/>
          <w:bCs/>
          <w:sz w:val="26"/>
          <w:szCs w:val="26"/>
          <w:rtl/>
        </w:rPr>
        <w:t>חוק העונשין</w:t>
      </w:r>
      <w:r>
        <w:rPr>
          <w:rFonts w:cs="FrankRuehl" w:hint="cs"/>
          <w:sz w:val="26"/>
          <w:szCs w:val="26"/>
          <w:rtl/>
        </w:rPr>
        <w:t>).</w:t>
      </w:r>
    </w:p>
    <w:p w14:paraId="523FEBA4" w14:textId="77777777" w:rsidR="00592A2D" w:rsidRDefault="00592A2D" w:rsidP="00592A2D">
      <w:pPr>
        <w:spacing w:line="360" w:lineRule="auto"/>
        <w:jc w:val="both"/>
        <w:rPr>
          <w:rFonts w:cs="FrankRuehl"/>
          <w:b/>
          <w:bCs/>
          <w:sz w:val="26"/>
          <w:szCs w:val="26"/>
          <w:u w:val="single"/>
        </w:rPr>
      </w:pPr>
    </w:p>
    <w:p w14:paraId="793FDB2D" w14:textId="77777777" w:rsidR="00592A2D" w:rsidRDefault="00592A2D" w:rsidP="00592A2D">
      <w:pPr>
        <w:spacing w:line="360" w:lineRule="auto"/>
        <w:jc w:val="both"/>
        <w:rPr>
          <w:rFonts w:cs="FrankRuehl"/>
          <w:b/>
          <w:bCs/>
          <w:sz w:val="26"/>
          <w:szCs w:val="26"/>
          <w:u w:val="single"/>
        </w:rPr>
      </w:pPr>
      <w:r>
        <w:rPr>
          <w:rFonts w:cs="FrankRuehl" w:hint="cs"/>
          <w:b/>
          <w:bCs/>
          <w:sz w:val="26"/>
          <w:szCs w:val="26"/>
          <w:u w:val="single"/>
          <w:rtl/>
        </w:rPr>
        <w:t>מהלך הדיון</w:t>
      </w:r>
    </w:p>
    <w:p w14:paraId="21C83D11" w14:textId="77777777" w:rsidR="00592A2D" w:rsidRDefault="00592A2D" w:rsidP="00592A2D">
      <w:pPr>
        <w:spacing w:line="360" w:lineRule="auto"/>
        <w:jc w:val="both"/>
        <w:rPr>
          <w:rFonts w:cs="FrankRuehl"/>
          <w:sz w:val="26"/>
          <w:szCs w:val="26"/>
          <w:rtl/>
        </w:rPr>
      </w:pPr>
      <w:r>
        <w:rPr>
          <w:rFonts w:cs="FrankRuehl" w:hint="cs"/>
          <w:sz w:val="26"/>
          <w:szCs w:val="26"/>
          <w:rtl/>
        </w:rPr>
        <w:t>תיק זה הגיע אלי אגב בירור הבקשה למעצרו של הנאשם עד לתום ההליכים נגדו.</w:t>
      </w:r>
    </w:p>
    <w:p w14:paraId="19DB886C" w14:textId="77777777" w:rsidR="00592A2D" w:rsidRDefault="00592A2D" w:rsidP="00592A2D">
      <w:pPr>
        <w:spacing w:line="360" w:lineRule="auto"/>
        <w:jc w:val="both"/>
        <w:rPr>
          <w:rFonts w:cs="FrankRuehl"/>
          <w:sz w:val="26"/>
          <w:szCs w:val="26"/>
          <w:rtl/>
        </w:rPr>
      </w:pPr>
    </w:p>
    <w:p w14:paraId="160D6982" w14:textId="77777777" w:rsidR="00592A2D" w:rsidRDefault="00592A2D" w:rsidP="00592A2D">
      <w:pPr>
        <w:spacing w:line="360" w:lineRule="auto"/>
        <w:jc w:val="both"/>
        <w:rPr>
          <w:rFonts w:cs="FrankRuehl"/>
          <w:sz w:val="26"/>
          <w:szCs w:val="26"/>
          <w:rtl/>
        </w:rPr>
      </w:pPr>
      <w:r>
        <w:rPr>
          <w:rFonts w:cs="FrankRuehl" w:hint="cs"/>
          <w:sz w:val="26"/>
          <w:szCs w:val="26"/>
          <w:rtl/>
        </w:rPr>
        <w:t>הנאשם היה עצור במסגרת תיק זה בין 6.2.2018 ל-1.3.2018, עת שוחרר על-ידי למעצר בית מלא.</w:t>
      </w:r>
    </w:p>
    <w:p w14:paraId="1B9564A3" w14:textId="77777777" w:rsidR="00592A2D" w:rsidRDefault="00592A2D" w:rsidP="00592A2D">
      <w:pPr>
        <w:spacing w:line="360" w:lineRule="auto"/>
        <w:jc w:val="both"/>
        <w:rPr>
          <w:rFonts w:cs="FrankRuehl"/>
          <w:sz w:val="26"/>
          <w:szCs w:val="26"/>
          <w:rtl/>
        </w:rPr>
      </w:pPr>
    </w:p>
    <w:p w14:paraId="4D4294D6" w14:textId="77777777" w:rsidR="00592A2D" w:rsidRDefault="00592A2D" w:rsidP="00592A2D">
      <w:pPr>
        <w:spacing w:line="360" w:lineRule="auto"/>
        <w:jc w:val="both"/>
        <w:rPr>
          <w:rFonts w:cs="FrankRuehl"/>
          <w:sz w:val="26"/>
          <w:szCs w:val="26"/>
          <w:rtl/>
        </w:rPr>
      </w:pPr>
      <w:r>
        <w:rPr>
          <w:rFonts w:cs="FrankRuehl" w:hint="cs"/>
          <w:sz w:val="26"/>
          <w:szCs w:val="26"/>
          <w:rtl/>
        </w:rPr>
        <w:lastRenderedPageBreak/>
        <w:t>ביום 8.4.2018 נתקבל תסקיר מעצר בעניינו של הנאשם, ממנו עלה כי מדובר באדם בשנות השלושים לחייו, נשוי ואב ל-3 ילדים קטנים, נמנה על קהילת חב"ד, ואף שירת בתפקידים בחו"ל במסגרת זו. לנוכח המלצת התסקיר הותרתי את תנאי מעצר הבית המלא על כנם, הטלתי על הנאשם צו פיקוח מעצרים, ואפשרתי הקלות מסוימות הקשורות ביציאה לתפילות.</w:t>
      </w:r>
    </w:p>
    <w:p w14:paraId="0E54A47F" w14:textId="77777777" w:rsidR="00592A2D" w:rsidRDefault="00592A2D" w:rsidP="00592A2D">
      <w:pPr>
        <w:spacing w:line="360" w:lineRule="auto"/>
        <w:jc w:val="both"/>
        <w:rPr>
          <w:rFonts w:cs="FrankRuehl"/>
          <w:sz w:val="26"/>
          <w:szCs w:val="26"/>
          <w:rtl/>
        </w:rPr>
      </w:pPr>
    </w:p>
    <w:p w14:paraId="60374BF0" w14:textId="77777777" w:rsidR="00592A2D" w:rsidRDefault="00592A2D" w:rsidP="00592A2D">
      <w:pPr>
        <w:spacing w:line="360" w:lineRule="auto"/>
        <w:jc w:val="both"/>
        <w:rPr>
          <w:rFonts w:cs="FrankRuehl"/>
          <w:sz w:val="26"/>
          <w:szCs w:val="26"/>
          <w:rtl/>
        </w:rPr>
      </w:pPr>
      <w:r>
        <w:rPr>
          <w:rFonts w:cs="FrankRuehl" w:hint="cs"/>
          <w:sz w:val="26"/>
          <w:szCs w:val="26"/>
          <w:rtl/>
        </w:rPr>
        <w:t>ביום 10.6.2019 הקלתי, שוב, בתנאי השחרור, לנוכח התסקיר שהתקבל, שלימד על השתלבות הנאשם בטיפול ומסירת בדיקות שתן תקינות. ההקלה הייתה מעבר למקום מעצר בית אחר, והמרת מעצר הבית ב"מעצר אדם" בצמידות למפקח שאושר על-ידי.</w:t>
      </w:r>
    </w:p>
    <w:p w14:paraId="4469320B" w14:textId="77777777" w:rsidR="00592A2D" w:rsidRDefault="00592A2D" w:rsidP="00592A2D">
      <w:pPr>
        <w:spacing w:line="360" w:lineRule="auto"/>
        <w:jc w:val="both"/>
        <w:rPr>
          <w:rFonts w:cs="FrankRuehl"/>
          <w:sz w:val="26"/>
          <w:szCs w:val="26"/>
          <w:rtl/>
        </w:rPr>
      </w:pPr>
    </w:p>
    <w:p w14:paraId="12B1B381" w14:textId="77777777" w:rsidR="00592A2D" w:rsidRDefault="00592A2D" w:rsidP="00592A2D">
      <w:pPr>
        <w:spacing w:line="360" w:lineRule="auto"/>
        <w:jc w:val="both"/>
        <w:rPr>
          <w:rFonts w:cs="FrankRuehl"/>
          <w:sz w:val="26"/>
          <w:szCs w:val="26"/>
          <w:rtl/>
        </w:rPr>
      </w:pPr>
      <w:r>
        <w:rPr>
          <w:rFonts w:cs="FrankRuehl" w:hint="cs"/>
          <w:sz w:val="26"/>
          <w:szCs w:val="26"/>
          <w:rtl/>
        </w:rPr>
        <w:t xml:space="preserve">באותו יום, 10.6.2019, במסגרת התיק העיקרי (הנוכחי), הגיעו הצדדים להסדר טיעון, לפיו תוקן כתב האישום, הנאשם הודה והורשע באמור בו, מבלי שהצדדים הגיעו להסכמה עונשית. המאשימה ציינה כי עמדתה למאסר בפועל ממושך. </w:t>
      </w:r>
    </w:p>
    <w:p w14:paraId="464017BB" w14:textId="77777777" w:rsidR="00592A2D" w:rsidRDefault="00592A2D" w:rsidP="00592A2D">
      <w:pPr>
        <w:spacing w:line="360" w:lineRule="auto"/>
        <w:jc w:val="both"/>
        <w:rPr>
          <w:rFonts w:cs="FrankRuehl"/>
          <w:sz w:val="26"/>
          <w:szCs w:val="26"/>
          <w:rtl/>
        </w:rPr>
      </w:pPr>
    </w:p>
    <w:p w14:paraId="23DB3FCB" w14:textId="77777777" w:rsidR="00592A2D" w:rsidRDefault="00592A2D" w:rsidP="00592A2D">
      <w:pPr>
        <w:spacing w:line="360" w:lineRule="auto"/>
        <w:jc w:val="both"/>
        <w:rPr>
          <w:rFonts w:cs="FrankRuehl"/>
          <w:sz w:val="26"/>
          <w:szCs w:val="26"/>
          <w:rtl/>
        </w:rPr>
      </w:pPr>
      <w:r>
        <w:rPr>
          <w:rFonts w:cs="FrankRuehl" w:hint="cs"/>
          <w:sz w:val="26"/>
          <w:szCs w:val="26"/>
          <w:rtl/>
        </w:rPr>
        <w:t>ביום 25.9.2018 התקיים דיון נוסף, ולנוכח המשך שיתוף הפעולה של הנאשם עם שירות המבחן, הוריתי על הקלה בתנאים, במתכונת של מעצר בית לילי בלבד והמשך פיקוח שירות המבחן.</w:t>
      </w:r>
    </w:p>
    <w:p w14:paraId="2D2B26F0" w14:textId="77777777" w:rsidR="00592A2D" w:rsidRDefault="00592A2D" w:rsidP="00592A2D">
      <w:pPr>
        <w:spacing w:line="360" w:lineRule="auto"/>
        <w:jc w:val="both"/>
        <w:rPr>
          <w:rFonts w:cs="FrankRuehl"/>
          <w:sz w:val="26"/>
          <w:szCs w:val="26"/>
          <w:rtl/>
        </w:rPr>
      </w:pPr>
    </w:p>
    <w:p w14:paraId="6B819702" w14:textId="77777777" w:rsidR="00592A2D" w:rsidRDefault="00592A2D" w:rsidP="00592A2D">
      <w:pPr>
        <w:spacing w:line="360" w:lineRule="auto"/>
        <w:jc w:val="both"/>
        <w:rPr>
          <w:rFonts w:cs="FrankRuehl"/>
          <w:sz w:val="26"/>
          <w:szCs w:val="26"/>
          <w:rtl/>
        </w:rPr>
      </w:pPr>
      <w:r>
        <w:rPr>
          <w:rFonts w:cs="FrankRuehl" w:hint="cs"/>
          <w:sz w:val="26"/>
          <w:szCs w:val="26"/>
          <w:rtl/>
        </w:rPr>
        <w:t>ביום 13.2.2019 נשמעו בתיק הנוכחי טיעונים לעונש, ובסופם דחיתי את המשך בירור עניינו של הנאשם ליום זה (30.6.2019), על-מנת שהתמונה הטיפולית/שיקומית תהא שלמה.</w:t>
      </w:r>
    </w:p>
    <w:p w14:paraId="658B0F0D" w14:textId="77777777" w:rsidR="00592A2D" w:rsidRDefault="00592A2D" w:rsidP="00592A2D">
      <w:pPr>
        <w:spacing w:line="360" w:lineRule="auto"/>
        <w:jc w:val="both"/>
        <w:rPr>
          <w:rFonts w:cs="FrankRuehl"/>
          <w:b/>
          <w:bCs/>
          <w:sz w:val="26"/>
          <w:szCs w:val="26"/>
          <w:u w:val="single"/>
          <w:rtl/>
        </w:rPr>
      </w:pPr>
    </w:p>
    <w:p w14:paraId="22CD5225" w14:textId="77777777" w:rsidR="00592A2D" w:rsidRDefault="00592A2D" w:rsidP="00592A2D">
      <w:pPr>
        <w:spacing w:line="360" w:lineRule="auto"/>
        <w:jc w:val="both"/>
        <w:rPr>
          <w:rFonts w:cs="FrankRuehl"/>
          <w:b/>
          <w:bCs/>
          <w:sz w:val="26"/>
          <w:szCs w:val="26"/>
          <w:u w:val="single"/>
          <w:rtl/>
        </w:rPr>
      </w:pPr>
      <w:r>
        <w:rPr>
          <w:rFonts w:cs="FrankRuehl" w:hint="cs"/>
          <w:b/>
          <w:bCs/>
          <w:sz w:val="26"/>
          <w:szCs w:val="26"/>
          <w:u w:val="single"/>
          <w:rtl/>
        </w:rPr>
        <w:t>תסקירי שירות המבחן</w:t>
      </w:r>
    </w:p>
    <w:p w14:paraId="39D528EA" w14:textId="77777777" w:rsidR="00592A2D" w:rsidRDefault="00592A2D" w:rsidP="00592A2D">
      <w:pPr>
        <w:spacing w:line="360" w:lineRule="auto"/>
        <w:jc w:val="both"/>
        <w:rPr>
          <w:rFonts w:cs="FrankRuehl"/>
          <w:sz w:val="26"/>
          <w:szCs w:val="26"/>
          <w:rtl/>
        </w:rPr>
      </w:pPr>
      <w:r w:rsidRPr="00586A7D">
        <w:rPr>
          <w:rFonts w:cs="FrankRuehl" w:hint="cs"/>
          <w:sz w:val="26"/>
          <w:szCs w:val="26"/>
          <w:rtl/>
        </w:rPr>
        <w:t xml:space="preserve">מהתסקיר שהוגש בחודש נובמבר </w:t>
      </w:r>
      <w:r>
        <w:rPr>
          <w:rFonts w:cs="FrankRuehl" w:hint="cs"/>
          <w:sz w:val="26"/>
          <w:szCs w:val="26"/>
          <w:rtl/>
        </w:rPr>
        <w:t xml:space="preserve">2018 </w:t>
      </w:r>
      <w:r w:rsidRPr="00586A7D">
        <w:rPr>
          <w:rFonts w:cs="FrankRuehl" w:hint="cs"/>
          <w:sz w:val="26"/>
          <w:szCs w:val="26"/>
          <w:rtl/>
        </w:rPr>
        <w:t xml:space="preserve">עולה, כי הנאשם </w:t>
      </w:r>
      <w:r>
        <w:rPr>
          <w:rFonts w:cs="FrankRuehl" w:hint="cs"/>
          <w:sz w:val="26"/>
          <w:szCs w:val="26"/>
          <w:rtl/>
        </w:rPr>
        <w:t xml:space="preserve">כבן 33 (כיום), נשוי ואב לשלושה ילדים קטנים, ומאז חודש מאי 2018 מנהל עסק עצמאי של מכירת קורסים דיגיטליים. הוא גדל במשפחה חרדית וסיים מסגרת תיכונית ללא תעודת בגרות. הוא לא התגייס לצבא על רקע אורחות חייו ולאורך שנים עבד בתחום המכירות. בהמשך היה שליח חב"ד בהודו ובבוליביה. בהווה, הוא מתנדב בכל יום במרכז הרפואי "וולפסון" במסגרת חב"ד בביקורי חולים, עידודם ועידוד בני משפחותיהם. הוצגו על כך אישור והערכה, כי מדובר בפעילות משמעותית ומוערכת. עוד עולה מהתסקיר, כי במשך כ-4 שנים, בתחילת שנות העשרים לחייו, הנאשם "חזר בשאלה" ואף ניתק קשר עם משפחתו. באותה תקופה גם החל להשתמש בסמים. אלא שלאחר תקופה זו, "חזר בתשובה" והצטרף לחב"ד כמתואר לעיל. יצוין, כי מעצרו של הנאשם בתיק הנוכחי גרם לנתק בינו לבין אשתו וילדיו, והקשרים חודשו, כשכיום בני הזוג גרים יחד ועושים מאמצים לשפר את חייהם המשותפים. לנאשם אין עבר פלילי. שירות המבחן עמד על כך שהנאשם נטל אחריות למעשים, אך התקשה להכיר בדפוסי התנהגות בלתי יציבים ואימפולסיביים אצלו, שעמדו בבסיס ביצוע העבירות. יחד עם זאת, הוא הביע נכונות לטיפול ואכן השתלב בטיפול, תוך מתן בדיקות שתן תקינות לאורך תקופה ארוכה. </w:t>
      </w:r>
    </w:p>
    <w:p w14:paraId="418F59D2" w14:textId="77777777" w:rsidR="00592A2D" w:rsidRDefault="00592A2D" w:rsidP="00592A2D">
      <w:pPr>
        <w:spacing w:line="360" w:lineRule="auto"/>
        <w:jc w:val="both"/>
        <w:rPr>
          <w:rFonts w:cs="FrankRuehl"/>
          <w:sz w:val="26"/>
          <w:szCs w:val="26"/>
          <w:rtl/>
        </w:rPr>
      </w:pPr>
    </w:p>
    <w:p w14:paraId="3375ABB3" w14:textId="77777777" w:rsidR="00592A2D" w:rsidRDefault="00592A2D" w:rsidP="00592A2D">
      <w:pPr>
        <w:spacing w:line="360" w:lineRule="auto"/>
        <w:jc w:val="both"/>
        <w:rPr>
          <w:rFonts w:cs="FrankRuehl"/>
          <w:sz w:val="26"/>
          <w:szCs w:val="26"/>
          <w:rtl/>
        </w:rPr>
      </w:pPr>
      <w:r>
        <w:rPr>
          <w:rFonts w:cs="FrankRuehl" w:hint="cs"/>
          <w:sz w:val="26"/>
          <w:szCs w:val="26"/>
          <w:rtl/>
        </w:rPr>
        <w:t>בתסקיר שהוגש בחודש פברואר 2019 עמד שירות המבחן על כך שמאז נדחה הדיון, לא נפתחו לנאשם תיקים חדשים. הנאשם ממשיך במגוריו עם אשתו וילדיו וממשיך לעבוד כעצמאי. בתקופת הדחיה הנאשם העמיק את הקשר עם שירות המבחן במסגרת טיפול קבוצתי שנועד, בין היתר לעמוד על כשליו ההתנהגותיים ולהקנות לו כלים חדשים. ככלל, שירות המבחן התרשם מרמת שיתוף פעולה טובה, אך להערכתו, הנאשם מתקשה לעמוד בגבולות ונוטה להציג את הדברים באופן חיובי מאשר הם באמת. לנוכח כל האמור, סבר שירות המבחן כי יש להטיל על הנאשם מאסר לריצוי בעבודות שירות יחד עם צו מבחן, להמשך מעקב אחר הטיפול בו. יצוין, כי סברתי באותו מועד, כי לא ניתן לסיים את התיק, ללא מיצוי התהליך הטיפולי, ועל-כן דחיתי את הדיון והזמנתי תסקיר נוסף.</w:t>
      </w:r>
    </w:p>
    <w:p w14:paraId="4448C6C5" w14:textId="77777777" w:rsidR="00592A2D" w:rsidRDefault="00592A2D" w:rsidP="00592A2D">
      <w:pPr>
        <w:spacing w:line="360" w:lineRule="auto"/>
        <w:jc w:val="both"/>
        <w:rPr>
          <w:rFonts w:cs="FrankRuehl"/>
          <w:sz w:val="26"/>
          <w:szCs w:val="26"/>
          <w:rtl/>
        </w:rPr>
      </w:pPr>
    </w:p>
    <w:p w14:paraId="36FE5E1E" w14:textId="77777777" w:rsidR="00592A2D" w:rsidRDefault="00592A2D" w:rsidP="00592A2D">
      <w:pPr>
        <w:spacing w:line="360" w:lineRule="auto"/>
        <w:jc w:val="both"/>
        <w:rPr>
          <w:rFonts w:cs="FrankRuehl"/>
          <w:sz w:val="26"/>
          <w:szCs w:val="26"/>
          <w:rtl/>
        </w:rPr>
      </w:pPr>
      <w:r>
        <w:rPr>
          <w:rFonts w:cs="FrankRuehl" w:hint="cs"/>
          <w:sz w:val="26"/>
          <w:szCs w:val="26"/>
          <w:rtl/>
        </w:rPr>
        <w:t xml:space="preserve">בתסקירו האחרון מחודש יוני 2019 ציין שירות המבחן, כי במהלך תקופת הדחייה, הנאשם המשיך לעמוד עמו בקשר רציף, לרבות הגעה למפגשים שבועיים. שירות המבחן עמד על מידת היחשפות ושיתוף גדולה יותר מצד הנאשם לחברי הקבוצה הטיפולית, דבר המלמד על הטמעה  טובה יותר של התכנים מבחינתו.  לנוכח ההתקדמות הטיפולית, השינוי החיובי שביצע הנאשם בחייו, ולנוכח רצונו בהמשך טיפול, שירות המבחן שינה מהמלצתו האחרונה, ועתר להטיל על הנאשם של"ץ בהיקף 300 שעות לריצוי במסגרת מערך הספריות העירוניות בראשון לציון, לצד מבחן. </w:t>
      </w:r>
    </w:p>
    <w:p w14:paraId="576D639D" w14:textId="77777777" w:rsidR="00592A2D" w:rsidRDefault="00592A2D" w:rsidP="00592A2D">
      <w:pPr>
        <w:spacing w:line="360" w:lineRule="auto"/>
        <w:jc w:val="both"/>
        <w:rPr>
          <w:rFonts w:cs="FrankRuehl"/>
          <w:sz w:val="26"/>
          <w:szCs w:val="26"/>
          <w:rtl/>
        </w:rPr>
      </w:pPr>
    </w:p>
    <w:p w14:paraId="1A935927" w14:textId="77777777" w:rsidR="00592A2D" w:rsidRDefault="00592A2D" w:rsidP="00592A2D">
      <w:pPr>
        <w:spacing w:line="360" w:lineRule="auto"/>
        <w:jc w:val="both"/>
        <w:rPr>
          <w:rFonts w:cs="FrankRuehl"/>
          <w:b/>
          <w:bCs/>
          <w:sz w:val="26"/>
          <w:szCs w:val="26"/>
          <w:u w:val="single"/>
          <w:rtl/>
        </w:rPr>
      </w:pPr>
      <w:r>
        <w:rPr>
          <w:rFonts w:cs="FrankRuehl" w:hint="cs"/>
          <w:b/>
          <w:bCs/>
          <w:sz w:val="26"/>
          <w:szCs w:val="26"/>
          <w:u w:val="single"/>
          <w:rtl/>
        </w:rPr>
        <w:t>חוות דעת של הממונה על עבודות השירות</w:t>
      </w:r>
    </w:p>
    <w:p w14:paraId="21CFDBDA" w14:textId="77777777" w:rsidR="00592A2D" w:rsidRDefault="00592A2D" w:rsidP="00592A2D">
      <w:pPr>
        <w:spacing w:line="360" w:lineRule="auto"/>
        <w:jc w:val="both"/>
        <w:rPr>
          <w:rFonts w:cs="FrankRuehl"/>
          <w:sz w:val="26"/>
          <w:szCs w:val="26"/>
          <w:rtl/>
        </w:rPr>
      </w:pPr>
      <w:r>
        <w:rPr>
          <w:rFonts w:cs="FrankRuehl" w:hint="cs"/>
          <w:sz w:val="26"/>
          <w:szCs w:val="26"/>
          <w:rtl/>
        </w:rPr>
        <w:t>הממונה הגיש חוות דעת על אודות כשירות הנאשם לבצע מאסר בעבודות שירות. מחוות הדעת עולה, כי הנאשם כשיר לבצע עבודות שירות ב"בית אבות בולגרי", הרח' האם 8 ראשון לציון, החל מיום 31.7.2019.</w:t>
      </w:r>
    </w:p>
    <w:p w14:paraId="3E31F3E4" w14:textId="77777777" w:rsidR="00592A2D" w:rsidRDefault="00592A2D" w:rsidP="00592A2D">
      <w:pPr>
        <w:spacing w:line="360" w:lineRule="auto"/>
        <w:jc w:val="both"/>
        <w:rPr>
          <w:rFonts w:cs="FrankRuehl"/>
          <w:sz w:val="26"/>
          <w:szCs w:val="26"/>
          <w:rtl/>
        </w:rPr>
      </w:pPr>
    </w:p>
    <w:p w14:paraId="1D66466D" w14:textId="77777777" w:rsidR="00592A2D" w:rsidRDefault="00592A2D" w:rsidP="00592A2D">
      <w:pPr>
        <w:spacing w:line="360" w:lineRule="auto"/>
        <w:jc w:val="both"/>
        <w:rPr>
          <w:rFonts w:cs="FrankRuehl"/>
          <w:b/>
          <w:bCs/>
          <w:sz w:val="26"/>
          <w:szCs w:val="26"/>
          <w:u w:val="single"/>
          <w:rtl/>
        </w:rPr>
      </w:pPr>
    </w:p>
    <w:p w14:paraId="77A879D8" w14:textId="77777777" w:rsidR="00592A2D" w:rsidRDefault="00592A2D" w:rsidP="00592A2D">
      <w:pPr>
        <w:spacing w:line="360" w:lineRule="auto"/>
        <w:jc w:val="both"/>
        <w:rPr>
          <w:rFonts w:cs="FrankRuehl"/>
          <w:b/>
          <w:bCs/>
          <w:sz w:val="26"/>
          <w:szCs w:val="26"/>
          <w:u w:val="single"/>
          <w:rtl/>
        </w:rPr>
      </w:pPr>
      <w:r>
        <w:rPr>
          <w:rFonts w:cs="FrankRuehl" w:hint="cs"/>
          <w:b/>
          <w:bCs/>
          <w:sz w:val="26"/>
          <w:szCs w:val="26"/>
          <w:u w:val="single"/>
          <w:rtl/>
        </w:rPr>
        <w:t>טיעונים לעונש</w:t>
      </w:r>
    </w:p>
    <w:p w14:paraId="155740CB" w14:textId="77777777" w:rsidR="00592A2D" w:rsidRDefault="00592A2D" w:rsidP="00592A2D">
      <w:pPr>
        <w:spacing w:line="360" w:lineRule="auto"/>
        <w:jc w:val="both"/>
        <w:rPr>
          <w:rFonts w:cs="FrankRuehl"/>
          <w:sz w:val="26"/>
          <w:szCs w:val="26"/>
          <w:rtl/>
        </w:rPr>
      </w:pPr>
      <w:r>
        <w:rPr>
          <w:rFonts w:cs="FrankRuehl" w:hint="cs"/>
          <w:sz w:val="26"/>
          <w:szCs w:val="26"/>
          <w:rtl/>
        </w:rPr>
        <w:t xml:space="preserve">הצדדים לא הגיעו להסכמה עונשית. </w:t>
      </w:r>
    </w:p>
    <w:p w14:paraId="4F5D5FD2" w14:textId="77777777" w:rsidR="00592A2D" w:rsidRDefault="00592A2D" w:rsidP="00592A2D">
      <w:pPr>
        <w:spacing w:line="360" w:lineRule="auto"/>
        <w:jc w:val="both"/>
        <w:rPr>
          <w:rFonts w:cs="FrankRuehl"/>
          <w:sz w:val="26"/>
          <w:szCs w:val="26"/>
          <w:rtl/>
        </w:rPr>
      </w:pPr>
    </w:p>
    <w:p w14:paraId="4C31DE58" w14:textId="77777777" w:rsidR="00592A2D" w:rsidRDefault="00592A2D" w:rsidP="00592A2D">
      <w:pPr>
        <w:spacing w:line="360" w:lineRule="auto"/>
        <w:jc w:val="both"/>
        <w:rPr>
          <w:rFonts w:cs="FrankRuehl"/>
          <w:sz w:val="26"/>
          <w:szCs w:val="26"/>
          <w:rtl/>
        </w:rPr>
      </w:pPr>
      <w:r>
        <w:rPr>
          <w:rFonts w:cs="FrankRuehl" w:hint="cs"/>
          <w:sz w:val="26"/>
          <w:szCs w:val="26"/>
          <w:rtl/>
        </w:rPr>
        <w:t xml:space="preserve">מחד, ב"כ המאשימה טענה כי יש להטיל על הנאשם מאסר שלא יפחת מ-3 שנים, קנס, התחייבות, פסילה ופסילה על-תנאי, וכן חילוט הרכוש ששימש לביצוע העבירה. לדבריה, מתחמי ענישה הרלבנטיים הם מתחם שבין 8 ל-18 חודשים בגין כל אישום סחר סמים, ומתחם שבין 12 ל-24 חודשים ביחס לאישום החמישי (ריבוי עבירות סחר והמתואר שם). ב"כ המאשימה הדגישה את חומרת המעשים, את התפרסותם על פני תקופה ארוכה, החזרתיות והשיטתיות שבהם </w:t>
      </w:r>
      <w:r>
        <w:rPr>
          <w:rFonts w:cs="FrankRuehl"/>
          <w:sz w:val="26"/>
          <w:szCs w:val="26"/>
          <w:rtl/>
        </w:rPr>
        <w:t>–</w:t>
      </w:r>
      <w:r>
        <w:rPr>
          <w:rFonts w:cs="FrankRuehl" w:hint="cs"/>
          <w:sz w:val="26"/>
          <w:szCs w:val="26"/>
          <w:rtl/>
        </w:rPr>
        <w:t xml:space="preserve"> והכל למען בצע כסף. </w:t>
      </w:r>
    </w:p>
    <w:p w14:paraId="302BB4C1" w14:textId="77777777" w:rsidR="00592A2D" w:rsidRDefault="00592A2D" w:rsidP="00592A2D">
      <w:pPr>
        <w:spacing w:line="360" w:lineRule="auto"/>
        <w:jc w:val="both"/>
        <w:rPr>
          <w:rFonts w:cs="FrankRuehl"/>
          <w:sz w:val="26"/>
          <w:szCs w:val="26"/>
          <w:rtl/>
        </w:rPr>
      </w:pPr>
    </w:p>
    <w:p w14:paraId="17C22157" w14:textId="77777777" w:rsidR="00592A2D" w:rsidRDefault="00592A2D" w:rsidP="00592A2D">
      <w:pPr>
        <w:spacing w:line="360" w:lineRule="auto"/>
        <w:jc w:val="both"/>
        <w:rPr>
          <w:rFonts w:cs="FrankRuehl"/>
          <w:sz w:val="26"/>
          <w:szCs w:val="26"/>
          <w:rtl/>
        </w:rPr>
      </w:pPr>
      <w:r>
        <w:rPr>
          <w:rFonts w:cs="FrankRuehl" w:hint="cs"/>
          <w:sz w:val="26"/>
          <w:szCs w:val="26"/>
          <w:rtl/>
        </w:rPr>
        <w:t>מאידך, הסניגור טוען, כי ניתן להסתפק בעונש של"ץ נרחב וצו מבחן, וזאת לנוכח נסיבות חייו של הנאשם, שכל חייו תפקד באופן נורמטיבי; היותו אדם התורם לחברה, נשוי ואב ל-3 אותם הוא מפרנס; היותו האדם שחשף בהודעותיו במשטרה את הרשת וסייע לרשויות החוק בהקשר זה; הירתמותו לתהליך טיפולי ושיקומי וההרשעה שגרם לו ההליך הפלילי.</w:t>
      </w:r>
    </w:p>
    <w:p w14:paraId="0D85B630" w14:textId="77777777" w:rsidR="00592A2D" w:rsidRDefault="00592A2D" w:rsidP="00592A2D">
      <w:pPr>
        <w:spacing w:line="360" w:lineRule="auto"/>
        <w:jc w:val="both"/>
        <w:rPr>
          <w:rFonts w:cs="FrankRuehl"/>
          <w:sz w:val="26"/>
          <w:szCs w:val="26"/>
          <w:rtl/>
        </w:rPr>
      </w:pPr>
    </w:p>
    <w:p w14:paraId="5DAB1006" w14:textId="77777777" w:rsidR="00592A2D" w:rsidRDefault="00592A2D" w:rsidP="00592A2D">
      <w:pPr>
        <w:spacing w:line="360" w:lineRule="auto"/>
        <w:jc w:val="both"/>
        <w:rPr>
          <w:rFonts w:cs="FrankRuehl"/>
          <w:sz w:val="26"/>
          <w:szCs w:val="26"/>
          <w:rtl/>
        </w:rPr>
      </w:pPr>
      <w:r>
        <w:rPr>
          <w:rFonts w:cs="FrankRuehl" w:hint="cs"/>
          <w:sz w:val="26"/>
          <w:szCs w:val="26"/>
          <w:rtl/>
        </w:rPr>
        <w:t>הנאשם בדבריו לפניי, היכה על חטא והדגיש כי סייע למשטרה לחשוף את יתר המשתמשים ברשת שלו, לאחר שהעסק "התפוצץ" כדבריו (עמ' 13, ש' 20-21). הנאשם אישר שהמעשים בוצעו ממניע כלכלי, ולאחר שנסחף לכך בעקבות חבר נעורים. הנאשם סיפר כי אשתו בהיריון וביקש להימנע מלהכניסו לכלא.</w:t>
      </w:r>
    </w:p>
    <w:p w14:paraId="0692A60D" w14:textId="77777777" w:rsidR="00592A2D" w:rsidRDefault="00592A2D" w:rsidP="00592A2D">
      <w:pPr>
        <w:spacing w:line="360" w:lineRule="auto"/>
        <w:jc w:val="both"/>
        <w:rPr>
          <w:rFonts w:cs="FrankRuehl"/>
          <w:b/>
          <w:bCs/>
          <w:sz w:val="26"/>
          <w:szCs w:val="26"/>
          <w:u w:val="single"/>
          <w:rtl/>
        </w:rPr>
      </w:pPr>
    </w:p>
    <w:p w14:paraId="42F8FB77" w14:textId="77777777" w:rsidR="00592A2D" w:rsidRPr="006453B3" w:rsidRDefault="00592A2D" w:rsidP="00592A2D">
      <w:pPr>
        <w:spacing w:line="360" w:lineRule="auto"/>
        <w:jc w:val="both"/>
        <w:rPr>
          <w:rFonts w:cs="FrankRuehl"/>
          <w:sz w:val="26"/>
          <w:szCs w:val="26"/>
          <w:rtl/>
        </w:rPr>
      </w:pPr>
      <w:r w:rsidRPr="006453B3">
        <w:rPr>
          <w:rFonts w:cs="FrankRuehl" w:hint="cs"/>
          <w:sz w:val="26"/>
          <w:szCs w:val="26"/>
          <w:rtl/>
        </w:rPr>
        <w:t>בדיון שהתקיים הקיום חזרו הצדדים על טענותיהם ועל עמדותיהם העונשיות. הנאשם סיפר על המהפך שחל בחייו ועל פעילותו למען הציבור, ועל שיקום יחסיו עם אשתו.</w:t>
      </w:r>
    </w:p>
    <w:p w14:paraId="64D3EDA7" w14:textId="77777777" w:rsidR="00592A2D" w:rsidRDefault="00592A2D" w:rsidP="00592A2D">
      <w:pPr>
        <w:spacing w:line="360" w:lineRule="auto"/>
        <w:jc w:val="both"/>
        <w:rPr>
          <w:rFonts w:cs="FrankRuehl"/>
          <w:sz w:val="26"/>
          <w:szCs w:val="26"/>
          <w:rtl/>
        </w:rPr>
      </w:pPr>
    </w:p>
    <w:p w14:paraId="31510F50" w14:textId="77777777" w:rsidR="00592A2D" w:rsidRDefault="00592A2D" w:rsidP="00592A2D">
      <w:pPr>
        <w:spacing w:line="360" w:lineRule="auto"/>
        <w:jc w:val="both"/>
        <w:rPr>
          <w:rFonts w:cs="FrankRuehl"/>
          <w:b/>
          <w:bCs/>
          <w:sz w:val="26"/>
          <w:szCs w:val="26"/>
          <w:u w:val="single"/>
          <w:rtl/>
        </w:rPr>
      </w:pPr>
      <w:r>
        <w:rPr>
          <w:rFonts w:cs="FrankRuehl" w:hint="cs"/>
          <w:b/>
          <w:bCs/>
          <w:sz w:val="26"/>
          <w:szCs w:val="26"/>
          <w:u w:val="single"/>
          <w:rtl/>
        </w:rPr>
        <w:t xml:space="preserve">קביעת מתחם הענישה </w:t>
      </w:r>
      <w:r>
        <w:rPr>
          <w:rFonts w:cs="FrankRuehl" w:hint="cs"/>
          <w:sz w:val="26"/>
          <w:szCs w:val="26"/>
          <w:rtl/>
        </w:rPr>
        <w:t xml:space="preserve">– מתחם הענישה צריך להתייחס לעקרון ההלימה, הנוגע ליחס לערך החברתי המוגן, מידת הפגיעה בו, מדיניות הענישה הנוהגת ונסיבות ביצוע העבירה. </w:t>
      </w:r>
    </w:p>
    <w:p w14:paraId="0DC53C45" w14:textId="77777777" w:rsidR="00592A2D" w:rsidRDefault="00592A2D" w:rsidP="00592A2D">
      <w:pPr>
        <w:spacing w:line="360" w:lineRule="auto"/>
        <w:jc w:val="both"/>
        <w:rPr>
          <w:rFonts w:cs="FrankRuehl"/>
          <w:b/>
          <w:bCs/>
          <w:sz w:val="26"/>
          <w:szCs w:val="26"/>
          <w:u w:val="single"/>
          <w:rtl/>
        </w:rPr>
      </w:pPr>
    </w:p>
    <w:p w14:paraId="62A5CC20" w14:textId="77777777" w:rsidR="00592A2D" w:rsidRDefault="00592A2D" w:rsidP="00592A2D">
      <w:pPr>
        <w:spacing w:line="360" w:lineRule="auto"/>
        <w:jc w:val="both"/>
        <w:rPr>
          <w:rFonts w:cs="FrankRuehl"/>
          <w:sz w:val="26"/>
          <w:szCs w:val="26"/>
          <w:rtl/>
        </w:rPr>
      </w:pPr>
      <w:r>
        <w:rPr>
          <w:rFonts w:cs="FrankRuehl" w:hint="cs"/>
          <w:b/>
          <w:bCs/>
          <w:sz w:val="26"/>
          <w:szCs w:val="26"/>
          <w:u w:val="single"/>
          <w:rtl/>
        </w:rPr>
        <w:t xml:space="preserve">אשר לערך המוגן </w:t>
      </w:r>
      <w:r>
        <w:rPr>
          <w:rFonts w:cs="FrankRuehl" w:hint="cs"/>
          <w:sz w:val="26"/>
          <w:szCs w:val="26"/>
          <w:rtl/>
        </w:rPr>
        <w:t>– סחר בסמים הוא רעה חולה, שתפוצתה נרחבת ביותר. הנזקים הנגרמים מסמים "קלים" ו"קשים", הם קשים, מרובדים וארוכי טווח. הם פוגעים בכלל האוכלוסייה, ללא קשר למוצא, דת, מין או מצב סוציו-אקונומי. סחר שיטתי בסם, על כן, פוגע קשות בשלום הציבור, בבריאות הציבור ובביטחונו. שעה שהדבר מבוצע מבצע כסף, הציניות שבמעשים אף מחמירה את הפגיעה בערכים המוגנים. אפנה לדברי כב' השופט עמית בפרשה שעניינה סחר ב"טלגראס":</w:t>
      </w:r>
    </w:p>
    <w:p w14:paraId="0D94D626" w14:textId="77777777" w:rsidR="00592A2D" w:rsidRDefault="00592A2D" w:rsidP="00592A2D">
      <w:pPr>
        <w:ind w:left="680" w:right="680"/>
        <w:jc w:val="both"/>
        <w:rPr>
          <w:rFonts w:cs="FrankRuehl"/>
          <w:sz w:val="26"/>
          <w:szCs w:val="26"/>
          <w:rtl/>
        </w:rPr>
      </w:pPr>
      <w:r>
        <w:rPr>
          <w:rFonts w:cs="FrankRuehl" w:hint="cs"/>
          <w:sz w:val="26"/>
          <w:szCs w:val="26"/>
          <w:rtl/>
        </w:rPr>
        <w:t>"לפני סיום, ארשום הערת אזהרה לפני הצרכנים והמשתמשים.</w:t>
      </w:r>
    </w:p>
    <w:p w14:paraId="21E82036" w14:textId="77777777" w:rsidR="00592A2D" w:rsidRDefault="00592A2D" w:rsidP="00592A2D">
      <w:pPr>
        <w:ind w:left="680" w:right="680"/>
        <w:jc w:val="both"/>
        <w:rPr>
          <w:rFonts w:cs="FrankRuehl"/>
          <w:sz w:val="26"/>
          <w:szCs w:val="26"/>
          <w:rtl/>
        </w:rPr>
      </w:pPr>
      <w:r>
        <w:rPr>
          <w:rFonts w:cs="FrankRuehl" w:hint="cs"/>
          <w:sz w:val="26"/>
          <w:szCs w:val="26"/>
          <w:rtl/>
        </w:rPr>
        <w:t xml:space="preserve">ריבוי המקרים המובאים לפנינו בעת האחרונה – של גידול, ייצור והפקת קנבוס לשם הפצה ומכירה, כמו גם הפצה ומכירה של קנבוס תוך שימוש באפליקציית ה'טלגראס', מעוררים את התחושה, שהגם שאינה מגובה בסטטיסטיקה או במחקר אמפירי, כי המדיניות שבאה לידי ביטוי בחוק הסמים המסוכנים (עבירת קנס מיוחדת – הוראת שעה), התשע"ח-2018 (שתחולתו ביום 1.4.2019) – זלגה שלא בטובתה למחוזות אחרים. </w:t>
      </w:r>
      <w:r w:rsidRPr="00C95FE5">
        <w:rPr>
          <w:rFonts w:cs="FrankRuehl" w:hint="cs"/>
          <w:b/>
          <w:bCs/>
          <w:sz w:val="26"/>
          <w:szCs w:val="26"/>
          <w:rtl/>
        </w:rPr>
        <w:t>צרכנים ומשתמשים ואנשים נורמטיביים, שבעבר לא היו נכונים ליטול על עצמם סיכון להסתבך בעולם הפלילי, נכונים כיום לילך צעד נוסף ולהפוך למגדלים ולסוחרים בסם. זאת, מתוך תפיסה שגויה כי מדובר ב'סמים קלים', ובהינתן הטכנולוגיה המאפשרת מכירה והפצה קלה ו'סטרילית' של סמים. ברם, סחר בסמים הוא סחר בסמים. ידע כל מי שמהרהר בדרכים לעשיית כסף קל, כי מדיניות הענישה לא השתנתה, ובית המשפט רואה בחומרה רבה עבירות של סחר והפצה של סמים מסוכנים, גם סמים "קלים", תוך הטלת ענישה משמעותית ומרתיעה. צרכנים ומשתמשים – ראו הוזהרתם</w:t>
      </w:r>
      <w:r>
        <w:rPr>
          <w:rFonts w:cs="FrankRuehl" w:hint="cs"/>
          <w:sz w:val="26"/>
          <w:szCs w:val="26"/>
          <w:rtl/>
        </w:rPr>
        <w:t>" [</w:t>
      </w:r>
      <w:hyperlink r:id="rId27" w:history="1">
        <w:r w:rsidR="00F3027E" w:rsidRPr="00F3027E">
          <w:rPr>
            <w:rFonts w:cs="FrankRuehl"/>
            <w:color w:val="0000FF"/>
            <w:sz w:val="26"/>
            <w:szCs w:val="26"/>
            <w:u w:val="single"/>
            <w:rtl/>
          </w:rPr>
          <w:t>ע"פ 2596/18</w:t>
        </w:r>
      </w:hyperlink>
      <w:r>
        <w:rPr>
          <w:rFonts w:cs="FrankRuehl" w:hint="cs"/>
          <w:sz w:val="26"/>
          <w:szCs w:val="26"/>
          <w:rtl/>
        </w:rPr>
        <w:t xml:space="preserve"> </w:t>
      </w:r>
      <w:r>
        <w:rPr>
          <w:rFonts w:cs="FrankRuehl" w:hint="cs"/>
          <w:b/>
          <w:bCs/>
          <w:sz w:val="26"/>
          <w:szCs w:val="26"/>
          <w:u w:val="single"/>
          <w:rtl/>
        </w:rPr>
        <w:t>זנזורי</w:t>
      </w:r>
      <w:r>
        <w:rPr>
          <w:rFonts w:cs="FrankRuehl" w:hint="cs"/>
          <w:sz w:val="26"/>
          <w:szCs w:val="26"/>
          <w:rtl/>
        </w:rPr>
        <w:t xml:space="preserve"> נ' </w:t>
      </w:r>
      <w:r>
        <w:rPr>
          <w:rFonts w:cs="FrankRuehl" w:hint="cs"/>
          <w:b/>
          <w:bCs/>
          <w:sz w:val="26"/>
          <w:szCs w:val="26"/>
          <w:u w:val="single"/>
          <w:rtl/>
        </w:rPr>
        <w:t>מ"י</w:t>
      </w:r>
      <w:r>
        <w:rPr>
          <w:rFonts w:cs="FrankRuehl" w:hint="cs"/>
          <w:sz w:val="26"/>
          <w:szCs w:val="26"/>
          <w:rtl/>
        </w:rPr>
        <w:t xml:space="preserve"> (מיום 12.8.2018) בפסקה 8 </w:t>
      </w:r>
      <w:r>
        <w:rPr>
          <w:rFonts w:cs="FrankRuehl"/>
          <w:sz w:val="26"/>
          <w:szCs w:val="26"/>
          <w:rtl/>
        </w:rPr>
        <w:t>–</w:t>
      </w:r>
      <w:r>
        <w:rPr>
          <w:rFonts w:cs="FrankRuehl" w:hint="cs"/>
          <w:sz w:val="26"/>
          <w:szCs w:val="26"/>
          <w:rtl/>
        </w:rPr>
        <w:t xml:space="preserve"> ההדגשות הוספו].</w:t>
      </w:r>
    </w:p>
    <w:p w14:paraId="61287821" w14:textId="77777777" w:rsidR="00592A2D" w:rsidRDefault="00592A2D" w:rsidP="00592A2D">
      <w:pPr>
        <w:spacing w:line="360" w:lineRule="auto"/>
        <w:jc w:val="both"/>
        <w:rPr>
          <w:rFonts w:cs="FrankRuehl"/>
          <w:sz w:val="26"/>
          <w:szCs w:val="26"/>
          <w:rtl/>
        </w:rPr>
      </w:pPr>
    </w:p>
    <w:p w14:paraId="689572E3" w14:textId="77777777" w:rsidR="00592A2D" w:rsidRDefault="00592A2D" w:rsidP="00592A2D">
      <w:pPr>
        <w:spacing w:line="360" w:lineRule="auto"/>
        <w:jc w:val="both"/>
        <w:rPr>
          <w:rFonts w:cs="FrankRuehl"/>
          <w:sz w:val="26"/>
          <w:szCs w:val="26"/>
        </w:rPr>
      </w:pPr>
    </w:p>
    <w:p w14:paraId="486553B1" w14:textId="77777777" w:rsidR="00592A2D" w:rsidRDefault="00592A2D" w:rsidP="00592A2D">
      <w:pPr>
        <w:spacing w:line="360" w:lineRule="auto"/>
        <w:jc w:val="both"/>
        <w:rPr>
          <w:rFonts w:cs="FrankRuehl"/>
          <w:sz w:val="26"/>
          <w:szCs w:val="26"/>
        </w:rPr>
      </w:pPr>
      <w:r>
        <w:rPr>
          <w:rFonts w:cs="FrankRuehl" w:hint="cs"/>
          <w:b/>
          <w:bCs/>
          <w:sz w:val="26"/>
          <w:szCs w:val="26"/>
          <w:u w:val="single"/>
          <w:rtl/>
        </w:rPr>
        <w:t xml:space="preserve">נסיבות הקשורות בביצוע העבירה, לפי </w:t>
      </w:r>
      <w:hyperlink r:id="rId28" w:history="1">
        <w:r w:rsidR="005B2672" w:rsidRPr="005B2672">
          <w:rPr>
            <w:rFonts w:cs="FrankRuehl"/>
            <w:b/>
            <w:bCs/>
            <w:color w:val="0000FF"/>
            <w:sz w:val="26"/>
            <w:szCs w:val="26"/>
            <w:u w:val="single"/>
            <w:rtl/>
          </w:rPr>
          <w:t>סעיף 40ט'</w:t>
        </w:r>
      </w:hyperlink>
      <w:r>
        <w:rPr>
          <w:rFonts w:cs="FrankRuehl" w:hint="cs"/>
          <w:b/>
          <w:bCs/>
          <w:sz w:val="26"/>
          <w:szCs w:val="26"/>
          <w:u w:val="single"/>
          <w:rtl/>
        </w:rPr>
        <w:t xml:space="preserve"> ל</w:t>
      </w:r>
      <w:hyperlink r:id="rId29" w:history="1">
        <w:r w:rsidR="00F3027E" w:rsidRPr="00F3027E">
          <w:rPr>
            <w:rFonts w:cs="FrankRuehl"/>
            <w:b/>
            <w:bCs/>
            <w:color w:val="0000FF"/>
            <w:sz w:val="26"/>
            <w:szCs w:val="26"/>
            <w:u w:val="single"/>
            <w:rtl/>
          </w:rPr>
          <w:t>חוק העונשין</w:t>
        </w:r>
      </w:hyperlink>
      <w:r>
        <w:rPr>
          <w:rFonts w:cs="FrankRuehl" w:hint="cs"/>
          <w:b/>
          <w:bCs/>
          <w:sz w:val="26"/>
          <w:szCs w:val="26"/>
          <w:rtl/>
        </w:rPr>
        <w:t xml:space="preserve"> – </w:t>
      </w:r>
      <w:r>
        <w:rPr>
          <w:rFonts w:cs="FrankRuehl" w:hint="cs"/>
          <w:sz w:val="26"/>
          <w:szCs w:val="26"/>
          <w:rtl/>
        </w:rPr>
        <w:t xml:space="preserve">בין הנסיבות הקשורות בביצוע העבירה יש לשקול את אלה, לעניין קביעת המתחם: אין ספק שמדובר ברצף מתוכנן, שיטתי, מאורגן ו"מקצועי" של מעשים, שנועדו </w:t>
      </w:r>
      <w:r>
        <w:rPr>
          <w:rFonts w:cs="FrankRuehl"/>
          <w:sz w:val="26"/>
          <w:szCs w:val="26"/>
          <w:rtl/>
        </w:rPr>
        <w:t>–</w:t>
      </w:r>
      <w:r>
        <w:rPr>
          <w:rFonts w:cs="FrankRuehl" w:hint="cs"/>
          <w:sz w:val="26"/>
          <w:szCs w:val="26"/>
          <w:rtl/>
        </w:rPr>
        <w:t xml:space="preserve"> כל כולם </w:t>
      </w:r>
      <w:r>
        <w:rPr>
          <w:rFonts w:cs="FrankRuehl"/>
          <w:sz w:val="26"/>
          <w:szCs w:val="26"/>
          <w:rtl/>
        </w:rPr>
        <w:t>–</w:t>
      </w:r>
      <w:r>
        <w:rPr>
          <w:rFonts w:cs="FrankRuehl" w:hint="cs"/>
          <w:sz w:val="26"/>
          <w:szCs w:val="26"/>
          <w:rtl/>
        </w:rPr>
        <w:t xml:space="preserve"> להפצתם של סמים לקהל רחב ככל הניתן, מתוך רצון להשיא רווחים עד כמה שניתן </w:t>
      </w:r>
      <w:r>
        <w:rPr>
          <w:rFonts w:cs="FrankRuehl"/>
          <w:sz w:val="26"/>
          <w:szCs w:val="26"/>
          <w:rtl/>
        </w:rPr>
        <w:t>–</w:t>
      </w:r>
      <w:r>
        <w:rPr>
          <w:rFonts w:cs="FrankRuehl" w:hint="cs"/>
          <w:sz w:val="26"/>
          <w:szCs w:val="26"/>
          <w:rtl/>
        </w:rPr>
        <w:t xml:space="preserve"> אלו הן נסיבות לחומרה, שבאות לידי ביטוי גם במשך המעשים והחזרתיות שבהם; הנאשם היווה "מנהל" לכל דבר ב"ארגון עבודה" מסודר, כשהיו לו תפקידים מוגדרים; הוא היה כפוף ל"מנהל" ממנו קיבל את "חומר הגלם", ולו הזרים את הרווחים תוך שהוא משלשל יתרה קבועה לכיסו; מדובר באדם בוגר, נשוי ואב לילדים, שהתפתה לדבר מחמת בצע כסף, תוך שהוא רותם את כישוריו כאיש מכירות (כפי שעולה מקורות חייו) לצורך כך, ועושה כן ב"הצלחה" מרובה, אם לשפוט מכתב האישום;  על הנזק מעבירות סמים עמדתי, ואלמלא חשיפת הפרשה (טרם המעצר), המעשים היו נמשכים ובהיקף נרחב.</w:t>
      </w:r>
    </w:p>
    <w:p w14:paraId="72489659" w14:textId="77777777" w:rsidR="00592A2D" w:rsidRDefault="00592A2D" w:rsidP="00592A2D">
      <w:pPr>
        <w:spacing w:line="360" w:lineRule="auto"/>
        <w:jc w:val="both"/>
        <w:rPr>
          <w:rFonts w:cs="FrankRuehl"/>
          <w:b/>
          <w:bCs/>
          <w:sz w:val="26"/>
          <w:szCs w:val="26"/>
          <w:u w:val="single"/>
          <w:rtl/>
        </w:rPr>
      </w:pPr>
    </w:p>
    <w:p w14:paraId="65BCC77F" w14:textId="77777777" w:rsidR="00592A2D" w:rsidRPr="00592A2D" w:rsidRDefault="00592A2D" w:rsidP="00592A2D">
      <w:pPr>
        <w:spacing w:line="360" w:lineRule="auto"/>
        <w:jc w:val="both"/>
        <w:rPr>
          <w:rFonts w:ascii="Calibri" w:hAnsi="Calibri" w:cs="FrankRuehl"/>
          <w:sz w:val="26"/>
          <w:szCs w:val="26"/>
          <w:rtl/>
        </w:rPr>
      </w:pPr>
      <w:r>
        <w:rPr>
          <w:rFonts w:cs="FrankRuehl" w:hint="cs"/>
          <w:b/>
          <w:bCs/>
          <w:sz w:val="26"/>
          <w:szCs w:val="26"/>
          <w:u w:val="single"/>
          <w:rtl/>
        </w:rPr>
        <w:t>מדיניות הענישה הנוהגת</w:t>
      </w:r>
      <w:r>
        <w:rPr>
          <w:rFonts w:cs="FrankRuehl" w:hint="cs"/>
          <w:b/>
          <w:bCs/>
          <w:sz w:val="26"/>
          <w:szCs w:val="26"/>
          <w:rtl/>
        </w:rPr>
        <w:t xml:space="preserve"> – </w:t>
      </w:r>
      <w:r w:rsidRPr="008417A1">
        <w:rPr>
          <w:rFonts w:cs="FrankRuehl" w:hint="cs"/>
          <w:sz w:val="26"/>
          <w:szCs w:val="26"/>
          <w:rtl/>
        </w:rPr>
        <w:t xml:space="preserve">הכלל בעבירות סחר בסמים הוא מאסר בפועל, כשלרוב, יש לתת בכורה לשיקולי הרתעה וגמול, על-פני האינטרסים האישיים של נאשם, לרבות שיקומו. ר' בהקשר זה: </w:t>
      </w:r>
      <w:r w:rsidRPr="00592A2D">
        <w:rPr>
          <w:rFonts w:ascii="Calibri" w:hAnsi="Calibri" w:cs="FrankRuehl" w:hint="eastAsia"/>
          <w:sz w:val="26"/>
          <w:szCs w:val="26"/>
          <w:rtl/>
        </w:rPr>
        <w:t>רע</w:t>
      </w:r>
      <w:r w:rsidRPr="00592A2D">
        <w:rPr>
          <w:rFonts w:ascii="Calibri" w:hAnsi="Calibri" w:cs="FrankRuehl"/>
          <w:sz w:val="26"/>
          <w:szCs w:val="26"/>
          <w:rtl/>
        </w:rPr>
        <w:t>"</w:t>
      </w:r>
      <w:r w:rsidRPr="00592A2D">
        <w:rPr>
          <w:rFonts w:ascii="Calibri" w:hAnsi="Calibri" w:cs="FrankRuehl" w:hint="eastAsia"/>
          <w:sz w:val="26"/>
          <w:szCs w:val="26"/>
          <w:rtl/>
        </w:rPr>
        <w:t>פ</w:t>
      </w:r>
      <w:r w:rsidRPr="00592A2D">
        <w:rPr>
          <w:rFonts w:ascii="Calibri" w:hAnsi="Calibri" w:cs="FrankRuehl"/>
          <w:sz w:val="26"/>
          <w:szCs w:val="26"/>
          <w:rtl/>
        </w:rPr>
        <w:t xml:space="preserve"> 3343/07 </w:t>
      </w:r>
      <w:r w:rsidRPr="00592A2D">
        <w:rPr>
          <w:rFonts w:ascii="Calibri" w:hAnsi="Calibri" w:cs="FrankRuehl" w:hint="eastAsia"/>
          <w:b/>
          <w:bCs/>
          <w:sz w:val="26"/>
          <w:szCs w:val="26"/>
          <w:u w:val="single"/>
          <w:rtl/>
        </w:rPr>
        <w:t>מכאוי</w:t>
      </w:r>
      <w:r w:rsidRPr="00592A2D">
        <w:rPr>
          <w:rFonts w:ascii="Calibri" w:hAnsi="Calibri" w:cs="FrankRuehl"/>
          <w:sz w:val="26"/>
          <w:szCs w:val="26"/>
          <w:rtl/>
        </w:rPr>
        <w:t xml:space="preserve"> </w:t>
      </w:r>
      <w:r w:rsidRPr="00592A2D">
        <w:rPr>
          <w:rFonts w:ascii="Calibri" w:hAnsi="Calibri" w:cs="FrankRuehl" w:hint="eastAsia"/>
          <w:sz w:val="26"/>
          <w:szCs w:val="26"/>
          <w:rtl/>
        </w:rPr>
        <w:t>נ</w:t>
      </w:r>
      <w:r w:rsidRPr="00592A2D">
        <w:rPr>
          <w:rFonts w:ascii="Calibri" w:hAnsi="Calibri" w:cs="FrankRuehl"/>
          <w:sz w:val="26"/>
          <w:szCs w:val="26"/>
          <w:rtl/>
        </w:rPr>
        <w:t xml:space="preserve">' </w:t>
      </w:r>
      <w:r w:rsidRPr="00592A2D">
        <w:rPr>
          <w:rFonts w:ascii="Calibri" w:hAnsi="Calibri" w:cs="FrankRuehl" w:hint="eastAsia"/>
          <w:b/>
          <w:bCs/>
          <w:sz w:val="26"/>
          <w:szCs w:val="26"/>
          <w:u w:val="single"/>
          <w:rtl/>
        </w:rPr>
        <w:t>מ</w:t>
      </w:r>
      <w:r w:rsidRPr="00592A2D">
        <w:rPr>
          <w:rFonts w:ascii="Calibri" w:hAnsi="Calibri" w:cs="FrankRuehl"/>
          <w:b/>
          <w:bCs/>
          <w:sz w:val="26"/>
          <w:szCs w:val="26"/>
          <w:u w:val="single"/>
          <w:rtl/>
        </w:rPr>
        <w:t>"</w:t>
      </w:r>
      <w:r w:rsidRPr="00592A2D">
        <w:rPr>
          <w:rFonts w:ascii="Calibri" w:hAnsi="Calibri" w:cs="FrankRuehl" w:hint="eastAsia"/>
          <w:sz w:val="26"/>
          <w:szCs w:val="26"/>
          <w:rtl/>
        </w:rPr>
        <w:t>י</w:t>
      </w:r>
      <w:r w:rsidRPr="00592A2D">
        <w:rPr>
          <w:rFonts w:ascii="Calibri" w:hAnsi="Calibri" w:cs="FrankRuehl"/>
          <w:sz w:val="26"/>
          <w:szCs w:val="26"/>
          <w:rtl/>
        </w:rPr>
        <w:t xml:space="preserve"> (</w:t>
      </w:r>
      <w:r w:rsidRPr="00592A2D">
        <w:rPr>
          <w:rFonts w:ascii="Calibri" w:hAnsi="Calibri" w:cs="FrankRuehl" w:hint="eastAsia"/>
          <w:sz w:val="26"/>
          <w:szCs w:val="26"/>
          <w:rtl/>
        </w:rPr>
        <w:t>מיום</w:t>
      </w:r>
      <w:r w:rsidRPr="00592A2D">
        <w:rPr>
          <w:rFonts w:ascii="Calibri" w:hAnsi="Calibri" w:cs="FrankRuehl"/>
          <w:sz w:val="26"/>
          <w:szCs w:val="26"/>
          <w:rtl/>
        </w:rPr>
        <w:t xml:space="preserve"> 26.7.2017)</w:t>
      </w:r>
      <w:r w:rsidRPr="00592A2D">
        <w:rPr>
          <w:rFonts w:ascii="Calibri" w:hAnsi="Calibri" w:cs="FrankRuehl" w:hint="cs"/>
          <w:sz w:val="26"/>
          <w:szCs w:val="26"/>
          <w:rtl/>
        </w:rPr>
        <w:t>. ב</w:t>
      </w:r>
      <w:hyperlink r:id="rId30" w:history="1">
        <w:r w:rsidR="00F3027E" w:rsidRPr="00F3027E">
          <w:rPr>
            <w:rFonts w:ascii="Calibri" w:hAnsi="Calibri" w:cs="FrankRuehl" w:hint="eastAsia"/>
            <w:color w:val="0000FF"/>
            <w:sz w:val="26"/>
            <w:szCs w:val="26"/>
            <w:u w:val="single"/>
            <w:rtl/>
          </w:rPr>
          <w:t>רע</w:t>
        </w:r>
        <w:r w:rsidR="00F3027E" w:rsidRPr="00F3027E">
          <w:rPr>
            <w:rFonts w:ascii="Calibri" w:hAnsi="Calibri" w:cs="FrankRuehl"/>
            <w:color w:val="0000FF"/>
            <w:sz w:val="26"/>
            <w:szCs w:val="26"/>
            <w:u w:val="single"/>
            <w:rtl/>
          </w:rPr>
          <w:t>"</w:t>
        </w:r>
        <w:r w:rsidR="00F3027E" w:rsidRPr="00F3027E">
          <w:rPr>
            <w:rFonts w:ascii="Calibri" w:hAnsi="Calibri" w:cs="FrankRuehl" w:hint="eastAsia"/>
            <w:color w:val="0000FF"/>
            <w:sz w:val="26"/>
            <w:szCs w:val="26"/>
            <w:u w:val="single"/>
            <w:rtl/>
          </w:rPr>
          <w:t>פ</w:t>
        </w:r>
        <w:r w:rsidR="00F3027E" w:rsidRPr="00F3027E">
          <w:rPr>
            <w:rFonts w:ascii="Calibri" w:hAnsi="Calibri" w:cs="FrankRuehl"/>
            <w:color w:val="0000FF"/>
            <w:sz w:val="26"/>
            <w:szCs w:val="26"/>
            <w:u w:val="single"/>
            <w:rtl/>
          </w:rPr>
          <w:t xml:space="preserve"> 7996/12</w:t>
        </w:r>
      </w:hyperlink>
      <w:r w:rsidRPr="00592A2D">
        <w:rPr>
          <w:rFonts w:ascii="Calibri" w:hAnsi="Calibri" w:cs="FrankRuehl" w:hint="cs"/>
          <w:sz w:val="26"/>
          <w:szCs w:val="26"/>
          <w:rtl/>
        </w:rPr>
        <w:t xml:space="preserve"> </w:t>
      </w:r>
      <w:r w:rsidRPr="00592A2D">
        <w:rPr>
          <w:rFonts w:ascii="Calibri" w:hAnsi="Calibri" w:cs="FrankRuehl" w:hint="cs"/>
          <w:b/>
          <w:bCs/>
          <w:sz w:val="26"/>
          <w:szCs w:val="26"/>
          <w:u w:val="single"/>
          <w:rtl/>
        </w:rPr>
        <w:t>יוסף</w:t>
      </w:r>
      <w:r w:rsidRPr="00592A2D">
        <w:rPr>
          <w:rFonts w:ascii="Calibri" w:hAnsi="Calibri" w:cs="FrankRuehl" w:hint="cs"/>
          <w:sz w:val="26"/>
          <w:szCs w:val="26"/>
          <w:rtl/>
        </w:rPr>
        <w:t xml:space="preserve"> נ' </w:t>
      </w:r>
      <w:r w:rsidRPr="00592A2D">
        <w:rPr>
          <w:rFonts w:ascii="Calibri" w:hAnsi="Calibri" w:cs="FrankRuehl" w:hint="cs"/>
          <w:b/>
          <w:bCs/>
          <w:sz w:val="26"/>
          <w:szCs w:val="26"/>
          <w:u w:val="single"/>
          <w:rtl/>
        </w:rPr>
        <w:t>מ"</w:t>
      </w:r>
      <w:r w:rsidRPr="00592A2D">
        <w:rPr>
          <w:rFonts w:ascii="Calibri" w:hAnsi="Calibri" w:cs="FrankRuehl" w:hint="cs"/>
          <w:sz w:val="26"/>
          <w:szCs w:val="26"/>
          <w:rtl/>
        </w:rPr>
        <w:t>י (מיום 23.1.2013) נקבע מתחם ענישה בין 7 ל-18 חודשים בנסיבות של 4 מקרי סחר בחשיש וסחר בקוקאין (גרמים בודדים), ונאשם נדון ל-21 חודשי מאסר בגין מעשים נוספים; ב</w:t>
      </w:r>
      <w:hyperlink r:id="rId31" w:history="1">
        <w:r w:rsidR="00F3027E" w:rsidRPr="00F3027E">
          <w:rPr>
            <w:rFonts w:ascii="Calibri" w:hAnsi="Calibri" w:cs="FrankRuehl" w:hint="eastAsia"/>
            <w:color w:val="0000FF"/>
            <w:sz w:val="26"/>
            <w:szCs w:val="26"/>
            <w:u w:val="single"/>
            <w:rtl/>
          </w:rPr>
          <w:t>רע</w:t>
        </w:r>
        <w:r w:rsidR="00F3027E" w:rsidRPr="00F3027E">
          <w:rPr>
            <w:rFonts w:ascii="Calibri" w:hAnsi="Calibri" w:cs="FrankRuehl"/>
            <w:color w:val="0000FF"/>
            <w:sz w:val="26"/>
            <w:szCs w:val="26"/>
            <w:u w:val="single"/>
            <w:rtl/>
          </w:rPr>
          <w:t>"</w:t>
        </w:r>
        <w:r w:rsidR="00F3027E" w:rsidRPr="00F3027E">
          <w:rPr>
            <w:rFonts w:ascii="Calibri" w:hAnsi="Calibri" w:cs="FrankRuehl" w:hint="eastAsia"/>
            <w:color w:val="0000FF"/>
            <w:sz w:val="26"/>
            <w:szCs w:val="26"/>
            <w:u w:val="single"/>
            <w:rtl/>
          </w:rPr>
          <w:t>פ</w:t>
        </w:r>
        <w:r w:rsidR="00F3027E" w:rsidRPr="00F3027E">
          <w:rPr>
            <w:rFonts w:ascii="Calibri" w:hAnsi="Calibri" w:cs="FrankRuehl"/>
            <w:color w:val="0000FF"/>
            <w:sz w:val="26"/>
            <w:szCs w:val="26"/>
            <w:u w:val="single"/>
            <w:rtl/>
          </w:rPr>
          <w:t xml:space="preserve"> 1370/17</w:t>
        </w:r>
      </w:hyperlink>
      <w:r w:rsidRPr="00592A2D">
        <w:rPr>
          <w:rFonts w:ascii="Calibri" w:hAnsi="Calibri" w:cs="FrankRuehl" w:hint="cs"/>
          <w:sz w:val="26"/>
          <w:szCs w:val="26"/>
          <w:rtl/>
        </w:rPr>
        <w:t xml:space="preserve"> </w:t>
      </w:r>
      <w:r w:rsidRPr="00592A2D">
        <w:rPr>
          <w:rFonts w:ascii="Calibri" w:hAnsi="Calibri" w:cs="FrankRuehl" w:hint="cs"/>
          <w:b/>
          <w:bCs/>
          <w:sz w:val="26"/>
          <w:szCs w:val="26"/>
          <w:u w:val="single"/>
          <w:rtl/>
        </w:rPr>
        <w:t>בן נעים</w:t>
      </w:r>
      <w:r w:rsidRPr="00592A2D">
        <w:rPr>
          <w:rFonts w:ascii="Calibri" w:hAnsi="Calibri" w:cs="FrankRuehl" w:hint="cs"/>
          <w:sz w:val="26"/>
          <w:szCs w:val="26"/>
          <w:rtl/>
        </w:rPr>
        <w:t xml:space="preserve"> נ' </w:t>
      </w:r>
      <w:r w:rsidRPr="00592A2D">
        <w:rPr>
          <w:rFonts w:ascii="Calibri" w:hAnsi="Calibri" w:cs="FrankRuehl" w:hint="cs"/>
          <w:b/>
          <w:bCs/>
          <w:sz w:val="26"/>
          <w:szCs w:val="26"/>
          <w:u w:val="single"/>
          <w:rtl/>
        </w:rPr>
        <w:t>מ"י</w:t>
      </w:r>
      <w:r w:rsidRPr="00592A2D">
        <w:rPr>
          <w:rFonts w:ascii="Calibri" w:hAnsi="Calibri" w:cs="FrankRuehl" w:hint="cs"/>
          <w:sz w:val="26"/>
          <w:szCs w:val="26"/>
          <w:rtl/>
        </w:rPr>
        <w:t xml:space="preserve"> (מיום 20.4.2017) נדון אדם ל-16 חודשי מאסר וחילוט, על בסיס מתחם שבין 12 ל-24 חודשי מאסר לגבי ריבוי מקרים של סחר בחשיש, אך בכמויות גדולות יותר ממקרנו, לרבות בפלטת חשיש. יצוין, כי להבדיל ממקרנו, באותו מקרה דובר גם באישום של סחר בלמעלה מקילוגרם חשיש; ב</w:t>
      </w:r>
      <w:hyperlink r:id="rId32" w:history="1">
        <w:r w:rsidR="00F3027E" w:rsidRPr="00F3027E">
          <w:rPr>
            <w:rFonts w:ascii="Calibri" w:hAnsi="Calibri" w:cs="FrankRuehl" w:hint="eastAsia"/>
            <w:color w:val="0000FF"/>
            <w:sz w:val="26"/>
            <w:szCs w:val="26"/>
            <w:u w:val="single"/>
            <w:rtl/>
          </w:rPr>
          <w:t>רע</w:t>
        </w:r>
        <w:r w:rsidR="00F3027E" w:rsidRPr="00F3027E">
          <w:rPr>
            <w:rFonts w:ascii="Calibri" w:hAnsi="Calibri" w:cs="FrankRuehl"/>
            <w:color w:val="0000FF"/>
            <w:sz w:val="26"/>
            <w:szCs w:val="26"/>
            <w:u w:val="single"/>
            <w:rtl/>
          </w:rPr>
          <w:t>"</w:t>
        </w:r>
        <w:r w:rsidR="00F3027E" w:rsidRPr="00F3027E">
          <w:rPr>
            <w:rFonts w:ascii="Calibri" w:hAnsi="Calibri" w:cs="FrankRuehl" w:hint="eastAsia"/>
            <w:color w:val="0000FF"/>
            <w:sz w:val="26"/>
            <w:szCs w:val="26"/>
            <w:u w:val="single"/>
            <w:rtl/>
          </w:rPr>
          <w:t>פ</w:t>
        </w:r>
        <w:r w:rsidR="00F3027E" w:rsidRPr="00F3027E">
          <w:rPr>
            <w:rFonts w:ascii="Calibri" w:hAnsi="Calibri" w:cs="FrankRuehl"/>
            <w:color w:val="0000FF"/>
            <w:sz w:val="26"/>
            <w:szCs w:val="26"/>
            <w:u w:val="single"/>
            <w:rtl/>
          </w:rPr>
          <w:t xml:space="preserve"> 2139/16</w:t>
        </w:r>
      </w:hyperlink>
      <w:r w:rsidRPr="00592A2D">
        <w:rPr>
          <w:rFonts w:ascii="Calibri" w:hAnsi="Calibri" w:cs="FrankRuehl" w:hint="cs"/>
          <w:sz w:val="26"/>
          <w:szCs w:val="26"/>
          <w:rtl/>
        </w:rPr>
        <w:t xml:space="preserve"> </w:t>
      </w:r>
      <w:r w:rsidRPr="00592A2D">
        <w:rPr>
          <w:rFonts w:ascii="Calibri" w:hAnsi="Calibri" w:cs="FrankRuehl" w:hint="cs"/>
          <w:b/>
          <w:bCs/>
          <w:sz w:val="26"/>
          <w:szCs w:val="26"/>
          <w:u w:val="single"/>
          <w:rtl/>
        </w:rPr>
        <w:t>אברמס</w:t>
      </w:r>
      <w:r w:rsidRPr="00592A2D">
        <w:rPr>
          <w:rFonts w:ascii="Calibri" w:hAnsi="Calibri" w:cs="FrankRuehl" w:hint="cs"/>
          <w:sz w:val="26"/>
          <w:szCs w:val="26"/>
          <w:rtl/>
        </w:rPr>
        <w:t xml:space="preserve"> נ' </w:t>
      </w:r>
      <w:r w:rsidRPr="00592A2D">
        <w:rPr>
          <w:rFonts w:ascii="Calibri" w:hAnsi="Calibri" w:cs="FrankRuehl" w:hint="cs"/>
          <w:b/>
          <w:bCs/>
          <w:sz w:val="26"/>
          <w:szCs w:val="26"/>
          <w:u w:val="single"/>
          <w:rtl/>
        </w:rPr>
        <w:t>מ"י</w:t>
      </w:r>
      <w:r w:rsidRPr="00592A2D">
        <w:rPr>
          <w:rFonts w:ascii="Calibri" w:hAnsi="Calibri" w:cs="FrankRuehl" w:hint="cs"/>
          <w:sz w:val="26"/>
          <w:szCs w:val="26"/>
          <w:rtl/>
        </w:rPr>
        <w:t xml:space="preserve"> (מיום 18.5.2016) אושר מתחם שבין 8 ל-27 חודשי מאסר ביחס לריבוי מקרים של סחר בחשיש, אם כי בכמויות גדולות לכל עסקה, מאשר במקרנו. שם הנאשם נדון ל-8 חודשי מאסר בפועל; ב</w:t>
      </w:r>
      <w:hyperlink r:id="rId33" w:history="1">
        <w:r w:rsidR="00F3027E" w:rsidRPr="00F3027E">
          <w:rPr>
            <w:rFonts w:ascii="Calibri" w:hAnsi="Calibri" w:cs="FrankRuehl" w:hint="eastAsia"/>
            <w:color w:val="0000FF"/>
            <w:sz w:val="26"/>
            <w:szCs w:val="26"/>
            <w:u w:val="single"/>
            <w:rtl/>
          </w:rPr>
          <w:t>עפ</w:t>
        </w:r>
        <w:r w:rsidR="00F3027E" w:rsidRPr="00F3027E">
          <w:rPr>
            <w:rFonts w:ascii="Calibri" w:hAnsi="Calibri" w:cs="FrankRuehl"/>
            <w:color w:val="0000FF"/>
            <w:sz w:val="26"/>
            <w:szCs w:val="26"/>
            <w:u w:val="single"/>
            <w:rtl/>
          </w:rPr>
          <w:t>"</w:t>
        </w:r>
        <w:r w:rsidR="00F3027E" w:rsidRPr="00F3027E">
          <w:rPr>
            <w:rFonts w:ascii="Calibri" w:hAnsi="Calibri" w:cs="FrankRuehl" w:hint="eastAsia"/>
            <w:color w:val="0000FF"/>
            <w:sz w:val="26"/>
            <w:szCs w:val="26"/>
            <w:u w:val="single"/>
            <w:rtl/>
          </w:rPr>
          <w:t>ג</w:t>
        </w:r>
        <w:r w:rsidR="00F3027E" w:rsidRPr="00F3027E">
          <w:rPr>
            <w:rFonts w:ascii="Calibri" w:hAnsi="Calibri" w:cs="FrankRuehl"/>
            <w:color w:val="0000FF"/>
            <w:sz w:val="26"/>
            <w:szCs w:val="26"/>
            <w:u w:val="single"/>
            <w:rtl/>
          </w:rPr>
          <w:t xml:space="preserve"> (</w:t>
        </w:r>
        <w:r w:rsidR="00F3027E" w:rsidRPr="00F3027E">
          <w:rPr>
            <w:rFonts w:ascii="Calibri" w:hAnsi="Calibri" w:cs="FrankRuehl" w:hint="eastAsia"/>
            <w:color w:val="0000FF"/>
            <w:sz w:val="26"/>
            <w:szCs w:val="26"/>
            <w:u w:val="single"/>
            <w:rtl/>
          </w:rPr>
          <w:t>חיפה</w:t>
        </w:r>
        <w:r w:rsidR="00F3027E" w:rsidRPr="00F3027E">
          <w:rPr>
            <w:rFonts w:ascii="Calibri" w:hAnsi="Calibri" w:cs="FrankRuehl"/>
            <w:color w:val="0000FF"/>
            <w:sz w:val="26"/>
            <w:szCs w:val="26"/>
            <w:u w:val="single"/>
            <w:rtl/>
          </w:rPr>
          <w:t>) 23794-09-17</w:t>
        </w:r>
      </w:hyperlink>
      <w:r w:rsidRPr="00592A2D">
        <w:rPr>
          <w:rFonts w:ascii="Calibri" w:hAnsi="Calibri" w:cs="FrankRuehl" w:hint="cs"/>
          <w:sz w:val="26"/>
          <w:szCs w:val="26"/>
          <w:rtl/>
        </w:rPr>
        <w:t xml:space="preserve"> </w:t>
      </w:r>
      <w:r w:rsidRPr="00592A2D">
        <w:rPr>
          <w:rFonts w:ascii="Calibri" w:hAnsi="Calibri" w:cs="FrankRuehl" w:hint="cs"/>
          <w:b/>
          <w:bCs/>
          <w:sz w:val="26"/>
          <w:szCs w:val="26"/>
          <w:u w:val="single"/>
          <w:rtl/>
        </w:rPr>
        <w:t>ג'בארין</w:t>
      </w:r>
      <w:r w:rsidRPr="00592A2D">
        <w:rPr>
          <w:rFonts w:ascii="Calibri" w:hAnsi="Calibri" w:cs="FrankRuehl" w:hint="cs"/>
          <w:sz w:val="26"/>
          <w:szCs w:val="26"/>
          <w:rtl/>
        </w:rPr>
        <w:t xml:space="preserve"> נ' </w:t>
      </w:r>
      <w:r w:rsidRPr="00592A2D">
        <w:rPr>
          <w:rFonts w:ascii="Calibri" w:hAnsi="Calibri" w:cs="FrankRuehl" w:hint="cs"/>
          <w:b/>
          <w:bCs/>
          <w:sz w:val="26"/>
          <w:szCs w:val="26"/>
          <w:u w:val="single"/>
          <w:rtl/>
        </w:rPr>
        <w:t>מ"י</w:t>
      </w:r>
      <w:r w:rsidRPr="00592A2D">
        <w:rPr>
          <w:rFonts w:ascii="Calibri" w:hAnsi="Calibri" w:cs="FrankRuehl" w:hint="cs"/>
          <w:sz w:val="26"/>
          <w:szCs w:val="26"/>
          <w:rtl/>
        </w:rPr>
        <w:t xml:space="preserve"> (מיום 26.10.2017) אושר מתחם שבין חודשים ספורים ועד 18 חודשי מאסר למספר אישומים הנוגעים לסחר בחשיש אל מול סוכן בכמויות משתנות שבין 8 ל-90 גרם. שם הוטלו בין 10 ל-17 חודשי מאסר על נאשמים שונים בהתאם לנסיבותיהם המשתנות; ב</w:t>
      </w:r>
      <w:hyperlink r:id="rId34" w:history="1">
        <w:r w:rsidR="00F3027E" w:rsidRPr="00F3027E">
          <w:rPr>
            <w:rFonts w:ascii="Calibri" w:hAnsi="Calibri" w:cs="FrankRuehl" w:hint="eastAsia"/>
            <w:color w:val="0000FF"/>
            <w:sz w:val="26"/>
            <w:szCs w:val="26"/>
            <w:u w:val="single"/>
            <w:rtl/>
          </w:rPr>
          <w:t>עפ</w:t>
        </w:r>
        <w:r w:rsidR="00F3027E" w:rsidRPr="00F3027E">
          <w:rPr>
            <w:rFonts w:ascii="Calibri" w:hAnsi="Calibri" w:cs="FrankRuehl"/>
            <w:color w:val="0000FF"/>
            <w:sz w:val="26"/>
            <w:szCs w:val="26"/>
            <w:u w:val="single"/>
            <w:rtl/>
          </w:rPr>
          <w:t>"</w:t>
        </w:r>
        <w:r w:rsidR="00F3027E" w:rsidRPr="00F3027E">
          <w:rPr>
            <w:rFonts w:ascii="Calibri" w:hAnsi="Calibri" w:cs="FrankRuehl" w:hint="eastAsia"/>
            <w:color w:val="0000FF"/>
            <w:sz w:val="26"/>
            <w:szCs w:val="26"/>
            <w:u w:val="single"/>
            <w:rtl/>
          </w:rPr>
          <w:t>ג</w:t>
        </w:r>
        <w:r w:rsidR="00F3027E" w:rsidRPr="00F3027E">
          <w:rPr>
            <w:rFonts w:ascii="Calibri" w:hAnsi="Calibri" w:cs="FrankRuehl"/>
            <w:color w:val="0000FF"/>
            <w:sz w:val="26"/>
            <w:szCs w:val="26"/>
            <w:u w:val="single"/>
            <w:rtl/>
          </w:rPr>
          <w:t xml:space="preserve"> (</w:t>
        </w:r>
        <w:r w:rsidR="00F3027E" w:rsidRPr="00F3027E">
          <w:rPr>
            <w:rFonts w:ascii="Calibri" w:hAnsi="Calibri" w:cs="FrankRuehl" w:hint="eastAsia"/>
            <w:color w:val="0000FF"/>
            <w:sz w:val="26"/>
            <w:szCs w:val="26"/>
            <w:u w:val="single"/>
            <w:rtl/>
          </w:rPr>
          <w:t>י</w:t>
        </w:r>
        <w:r w:rsidR="00F3027E" w:rsidRPr="00F3027E">
          <w:rPr>
            <w:rFonts w:ascii="Calibri" w:hAnsi="Calibri" w:cs="FrankRuehl"/>
            <w:color w:val="0000FF"/>
            <w:sz w:val="26"/>
            <w:szCs w:val="26"/>
            <w:u w:val="single"/>
            <w:rtl/>
          </w:rPr>
          <w:t>-</w:t>
        </w:r>
        <w:r w:rsidR="00F3027E" w:rsidRPr="00F3027E">
          <w:rPr>
            <w:rFonts w:ascii="Calibri" w:hAnsi="Calibri" w:cs="FrankRuehl" w:hint="eastAsia"/>
            <w:color w:val="0000FF"/>
            <w:sz w:val="26"/>
            <w:szCs w:val="26"/>
            <w:u w:val="single"/>
            <w:rtl/>
          </w:rPr>
          <w:t>ם</w:t>
        </w:r>
        <w:r w:rsidR="00F3027E" w:rsidRPr="00F3027E">
          <w:rPr>
            <w:rFonts w:ascii="Calibri" w:hAnsi="Calibri" w:cs="FrankRuehl"/>
            <w:color w:val="0000FF"/>
            <w:sz w:val="26"/>
            <w:szCs w:val="26"/>
            <w:u w:val="single"/>
            <w:rtl/>
          </w:rPr>
          <w:t>) 10175-02-16</w:t>
        </w:r>
      </w:hyperlink>
      <w:r w:rsidRPr="00592A2D">
        <w:rPr>
          <w:rFonts w:ascii="Calibri" w:hAnsi="Calibri" w:cs="FrankRuehl" w:hint="cs"/>
          <w:sz w:val="26"/>
          <w:szCs w:val="26"/>
          <w:rtl/>
        </w:rPr>
        <w:t xml:space="preserve"> </w:t>
      </w:r>
      <w:r w:rsidRPr="00592A2D">
        <w:rPr>
          <w:rFonts w:ascii="Calibri" w:hAnsi="Calibri" w:cs="FrankRuehl" w:hint="cs"/>
          <w:b/>
          <w:bCs/>
          <w:sz w:val="26"/>
          <w:szCs w:val="26"/>
          <w:u w:val="single"/>
          <w:rtl/>
        </w:rPr>
        <w:t>מ"י</w:t>
      </w:r>
      <w:r w:rsidRPr="00592A2D">
        <w:rPr>
          <w:rFonts w:ascii="Calibri" w:hAnsi="Calibri" w:cs="FrankRuehl" w:hint="cs"/>
          <w:sz w:val="26"/>
          <w:szCs w:val="26"/>
          <w:rtl/>
        </w:rPr>
        <w:t xml:space="preserve"> נ' </w:t>
      </w:r>
      <w:r w:rsidRPr="00592A2D">
        <w:rPr>
          <w:rFonts w:ascii="Calibri" w:hAnsi="Calibri" w:cs="FrankRuehl" w:hint="cs"/>
          <w:b/>
          <w:bCs/>
          <w:sz w:val="26"/>
          <w:szCs w:val="26"/>
          <w:u w:val="single"/>
          <w:rtl/>
        </w:rPr>
        <w:t>דייני</w:t>
      </w:r>
      <w:r w:rsidRPr="00592A2D">
        <w:rPr>
          <w:rFonts w:ascii="Calibri" w:hAnsi="Calibri" w:cs="FrankRuehl" w:hint="cs"/>
          <w:sz w:val="26"/>
          <w:szCs w:val="26"/>
          <w:rtl/>
        </w:rPr>
        <w:t xml:space="preserve"> (מיום 14.6.2016) הסתים הליך בעונש בעבודות שירות בשל שיקולי שיקום, כשנקבע מתחם שבין 5 ל-15 חודשי מאסר לנסיבות של ריבוי מכירות קנביס בכמות של 4 גרם בכל פעם, כשברקע הדחת קטינים; ב</w:t>
      </w:r>
      <w:hyperlink r:id="rId35" w:history="1">
        <w:r w:rsidR="00F3027E" w:rsidRPr="00F3027E">
          <w:rPr>
            <w:rFonts w:ascii="Calibri" w:hAnsi="Calibri" w:cs="FrankRuehl" w:hint="eastAsia"/>
            <w:color w:val="0000FF"/>
            <w:sz w:val="26"/>
            <w:szCs w:val="26"/>
            <w:u w:val="single"/>
            <w:rtl/>
          </w:rPr>
          <w:t>עפ</w:t>
        </w:r>
        <w:r w:rsidR="00F3027E" w:rsidRPr="00F3027E">
          <w:rPr>
            <w:rFonts w:ascii="Calibri" w:hAnsi="Calibri" w:cs="FrankRuehl"/>
            <w:color w:val="0000FF"/>
            <w:sz w:val="26"/>
            <w:szCs w:val="26"/>
            <w:u w:val="single"/>
            <w:rtl/>
          </w:rPr>
          <w:t>"</w:t>
        </w:r>
        <w:r w:rsidR="00F3027E" w:rsidRPr="00F3027E">
          <w:rPr>
            <w:rFonts w:ascii="Calibri" w:hAnsi="Calibri" w:cs="FrankRuehl" w:hint="eastAsia"/>
            <w:color w:val="0000FF"/>
            <w:sz w:val="26"/>
            <w:szCs w:val="26"/>
            <w:u w:val="single"/>
            <w:rtl/>
          </w:rPr>
          <w:t>ג</w:t>
        </w:r>
        <w:r w:rsidR="00F3027E" w:rsidRPr="00F3027E">
          <w:rPr>
            <w:rFonts w:ascii="Calibri" w:hAnsi="Calibri" w:cs="FrankRuehl"/>
            <w:color w:val="0000FF"/>
            <w:sz w:val="26"/>
            <w:szCs w:val="26"/>
            <w:u w:val="single"/>
            <w:rtl/>
          </w:rPr>
          <w:t xml:space="preserve"> (</w:t>
        </w:r>
        <w:r w:rsidR="00F3027E" w:rsidRPr="00F3027E">
          <w:rPr>
            <w:rFonts w:ascii="Calibri" w:hAnsi="Calibri" w:cs="FrankRuehl" w:hint="eastAsia"/>
            <w:color w:val="0000FF"/>
            <w:sz w:val="26"/>
            <w:szCs w:val="26"/>
            <w:u w:val="single"/>
            <w:rtl/>
          </w:rPr>
          <w:t>י</w:t>
        </w:r>
        <w:r w:rsidR="00F3027E" w:rsidRPr="00F3027E">
          <w:rPr>
            <w:rFonts w:ascii="Calibri" w:hAnsi="Calibri" w:cs="FrankRuehl"/>
            <w:color w:val="0000FF"/>
            <w:sz w:val="26"/>
            <w:szCs w:val="26"/>
            <w:u w:val="single"/>
            <w:rtl/>
          </w:rPr>
          <w:t>-</w:t>
        </w:r>
        <w:r w:rsidR="00F3027E" w:rsidRPr="00F3027E">
          <w:rPr>
            <w:rFonts w:ascii="Calibri" w:hAnsi="Calibri" w:cs="FrankRuehl" w:hint="eastAsia"/>
            <w:color w:val="0000FF"/>
            <w:sz w:val="26"/>
            <w:szCs w:val="26"/>
            <w:u w:val="single"/>
            <w:rtl/>
          </w:rPr>
          <w:t>ם</w:t>
        </w:r>
        <w:r w:rsidR="00F3027E" w:rsidRPr="00F3027E">
          <w:rPr>
            <w:rFonts w:ascii="Calibri" w:hAnsi="Calibri" w:cs="FrankRuehl"/>
            <w:color w:val="0000FF"/>
            <w:sz w:val="26"/>
            <w:szCs w:val="26"/>
            <w:u w:val="single"/>
            <w:rtl/>
          </w:rPr>
          <w:t>)  21958-07-16</w:t>
        </w:r>
      </w:hyperlink>
      <w:r w:rsidRPr="00592A2D">
        <w:rPr>
          <w:rFonts w:ascii="Calibri" w:hAnsi="Calibri" w:cs="FrankRuehl" w:hint="cs"/>
          <w:sz w:val="26"/>
          <w:szCs w:val="26"/>
          <w:rtl/>
        </w:rPr>
        <w:t xml:space="preserve"> </w:t>
      </w:r>
      <w:r w:rsidRPr="00592A2D">
        <w:rPr>
          <w:rFonts w:ascii="Calibri" w:hAnsi="Calibri" w:cs="FrankRuehl" w:hint="cs"/>
          <w:b/>
          <w:bCs/>
          <w:sz w:val="26"/>
          <w:szCs w:val="26"/>
          <w:u w:val="single"/>
          <w:rtl/>
        </w:rPr>
        <w:t>שם טוב</w:t>
      </w:r>
      <w:r w:rsidRPr="00592A2D">
        <w:rPr>
          <w:rFonts w:ascii="Calibri" w:hAnsi="Calibri" w:cs="FrankRuehl" w:hint="cs"/>
          <w:sz w:val="26"/>
          <w:szCs w:val="26"/>
          <w:rtl/>
        </w:rPr>
        <w:t xml:space="preserve"> נ' </w:t>
      </w:r>
      <w:r w:rsidRPr="00592A2D">
        <w:rPr>
          <w:rFonts w:ascii="Calibri" w:hAnsi="Calibri" w:cs="FrankRuehl" w:hint="cs"/>
          <w:b/>
          <w:bCs/>
          <w:sz w:val="26"/>
          <w:szCs w:val="26"/>
          <w:u w:val="single"/>
          <w:rtl/>
        </w:rPr>
        <w:t>מ"י</w:t>
      </w:r>
      <w:r w:rsidRPr="00592A2D">
        <w:rPr>
          <w:rFonts w:ascii="Calibri" w:hAnsi="Calibri" w:cs="FrankRuehl" w:hint="cs"/>
          <w:sz w:val="26"/>
          <w:szCs w:val="26"/>
          <w:rtl/>
        </w:rPr>
        <w:t xml:space="preserve"> (מיום 9.4.2018) הסתיים הליך בעבודות שירות חלף 10 חודשי מאסר שנגזרו בערכאה הדיונית, וזאת מטעמי שיקום. שם דובר במתחם שבין 10 חודשי מאסר ועד 30 חודשים ביחס למקרה של הדחת קטין לשימוש בסם על רקע חברתי ומכירה מספר פעמים לקטינים.</w:t>
      </w:r>
    </w:p>
    <w:p w14:paraId="163E3406" w14:textId="77777777" w:rsidR="00592A2D" w:rsidRPr="00592A2D" w:rsidRDefault="00592A2D" w:rsidP="00592A2D">
      <w:pPr>
        <w:spacing w:line="360" w:lineRule="auto"/>
        <w:jc w:val="both"/>
        <w:rPr>
          <w:rFonts w:ascii="Calibri" w:hAnsi="Calibri" w:cs="FrankRuehl"/>
          <w:sz w:val="26"/>
          <w:szCs w:val="26"/>
          <w:rtl/>
        </w:rPr>
      </w:pPr>
    </w:p>
    <w:p w14:paraId="6B5E7855" w14:textId="77777777" w:rsidR="00592A2D" w:rsidRPr="00592A2D" w:rsidRDefault="00592A2D" w:rsidP="00592A2D">
      <w:pPr>
        <w:spacing w:line="360" w:lineRule="auto"/>
        <w:jc w:val="both"/>
        <w:rPr>
          <w:rFonts w:ascii="Calibri" w:hAnsi="Calibri" w:cs="FrankRuehl"/>
          <w:sz w:val="26"/>
          <w:szCs w:val="26"/>
          <w:rtl/>
        </w:rPr>
      </w:pPr>
    </w:p>
    <w:p w14:paraId="223B50E3" w14:textId="77777777" w:rsidR="00592A2D" w:rsidRDefault="00592A2D" w:rsidP="00592A2D">
      <w:pPr>
        <w:spacing w:line="360" w:lineRule="auto"/>
        <w:jc w:val="both"/>
        <w:rPr>
          <w:rFonts w:cs="FrankRuehl"/>
          <w:sz w:val="26"/>
          <w:szCs w:val="26"/>
          <w:rtl/>
        </w:rPr>
      </w:pPr>
      <w:r>
        <w:rPr>
          <w:rFonts w:cs="FrankRuehl" w:hint="cs"/>
          <w:b/>
          <w:bCs/>
          <w:sz w:val="26"/>
          <w:szCs w:val="26"/>
          <w:u w:val="single"/>
          <w:rtl/>
        </w:rPr>
        <w:t>מתחם הענישה</w:t>
      </w:r>
      <w:r>
        <w:rPr>
          <w:rFonts w:cs="FrankRuehl" w:hint="cs"/>
          <w:sz w:val="26"/>
          <w:szCs w:val="26"/>
          <w:rtl/>
        </w:rPr>
        <w:t xml:space="preserve"> – לפיכך, מתחם הענישה ביחס לאישומים הראשון והשני (סחר), צריך לעמוד על צריך לעמוד על בין 5 ל-15 חודשים לכל אישום בנפרד.</w:t>
      </w:r>
    </w:p>
    <w:p w14:paraId="589ADF9E" w14:textId="77777777" w:rsidR="00592A2D" w:rsidRDefault="00592A2D" w:rsidP="00592A2D">
      <w:pPr>
        <w:spacing w:line="360" w:lineRule="auto"/>
        <w:jc w:val="both"/>
        <w:rPr>
          <w:rFonts w:cs="FrankRuehl"/>
          <w:sz w:val="26"/>
          <w:szCs w:val="26"/>
          <w:rtl/>
        </w:rPr>
      </w:pPr>
      <w:r>
        <w:rPr>
          <w:rFonts w:cs="FrankRuehl" w:hint="cs"/>
          <w:sz w:val="26"/>
          <w:szCs w:val="26"/>
          <w:rtl/>
        </w:rPr>
        <w:t>אשר לאישום הרביעי (החזקה שלא לשימוש עצמי), יש להעמיד את המתחם בין 3 ל-12 חודשים.</w:t>
      </w:r>
    </w:p>
    <w:p w14:paraId="4881915B" w14:textId="77777777" w:rsidR="00592A2D" w:rsidRDefault="00592A2D" w:rsidP="00592A2D">
      <w:pPr>
        <w:spacing w:line="360" w:lineRule="auto"/>
        <w:jc w:val="both"/>
        <w:rPr>
          <w:rFonts w:cs="FrankRuehl"/>
          <w:sz w:val="26"/>
          <w:szCs w:val="26"/>
          <w:rtl/>
        </w:rPr>
      </w:pPr>
      <w:r>
        <w:rPr>
          <w:rFonts w:cs="FrankRuehl" w:hint="cs"/>
          <w:sz w:val="26"/>
          <w:szCs w:val="26"/>
          <w:rtl/>
        </w:rPr>
        <w:t xml:space="preserve">אשר לאישום החמישי (ריבוי מקרים), יש להעמיד את המתחם בין 6 ל-18 חודשים. </w:t>
      </w:r>
    </w:p>
    <w:p w14:paraId="2DB22B8C" w14:textId="77777777" w:rsidR="00592A2D" w:rsidRDefault="00592A2D" w:rsidP="00592A2D">
      <w:pPr>
        <w:spacing w:line="360" w:lineRule="auto"/>
        <w:jc w:val="both"/>
        <w:rPr>
          <w:rFonts w:cs="FrankRuehl"/>
          <w:sz w:val="26"/>
          <w:szCs w:val="26"/>
          <w:rtl/>
        </w:rPr>
      </w:pPr>
      <w:r>
        <w:rPr>
          <w:rFonts w:cs="FrankRuehl" w:hint="cs"/>
          <w:sz w:val="26"/>
          <w:szCs w:val="26"/>
          <w:rtl/>
        </w:rPr>
        <w:t xml:space="preserve">אין להתייחס אל האישומים השונים כאל אירוע אחד, משום שלא מתקיים ביניהם מבחן הקשר ההדוק. יחד עם זאת, יש לפסוק בהתאם למתחם המשוקלל. </w:t>
      </w:r>
    </w:p>
    <w:p w14:paraId="273D6B62" w14:textId="77777777" w:rsidR="00592A2D" w:rsidRDefault="00592A2D" w:rsidP="00592A2D">
      <w:pPr>
        <w:spacing w:line="360" w:lineRule="auto"/>
        <w:jc w:val="both"/>
        <w:rPr>
          <w:rFonts w:cs="FrankRuehl"/>
          <w:b/>
          <w:bCs/>
          <w:sz w:val="26"/>
          <w:szCs w:val="26"/>
          <w:rtl/>
        </w:rPr>
      </w:pPr>
    </w:p>
    <w:p w14:paraId="7A4D5A0D" w14:textId="77777777" w:rsidR="00592A2D" w:rsidRDefault="00592A2D" w:rsidP="00592A2D">
      <w:pPr>
        <w:spacing w:line="360" w:lineRule="auto"/>
        <w:jc w:val="both"/>
        <w:rPr>
          <w:rFonts w:cs="FrankRuehl"/>
          <w:sz w:val="26"/>
          <w:szCs w:val="26"/>
          <w:rtl/>
        </w:rPr>
      </w:pPr>
      <w:r>
        <w:rPr>
          <w:rFonts w:cs="FrankRuehl" w:hint="cs"/>
          <w:b/>
          <w:bCs/>
          <w:sz w:val="26"/>
          <w:szCs w:val="26"/>
          <w:u w:val="single"/>
          <w:rtl/>
        </w:rPr>
        <w:t xml:space="preserve">נסיבות שאינן קשורות בביצוע העבירה לפי </w:t>
      </w:r>
      <w:hyperlink r:id="rId36" w:history="1">
        <w:r w:rsidR="005B2672" w:rsidRPr="005B2672">
          <w:rPr>
            <w:rFonts w:cs="FrankRuehl"/>
            <w:b/>
            <w:bCs/>
            <w:color w:val="0000FF"/>
            <w:sz w:val="26"/>
            <w:szCs w:val="26"/>
            <w:u w:val="single"/>
            <w:rtl/>
          </w:rPr>
          <w:t>סעיף 40י"א</w:t>
        </w:r>
      </w:hyperlink>
      <w:r>
        <w:rPr>
          <w:rFonts w:cs="FrankRuehl" w:hint="cs"/>
          <w:b/>
          <w:bCs/>
          <w:sz w:val="26"/>
          <w:szCs w:val="26"/>
          <w:u w:val="single"/>
          <w:rtl/>
        </w:rPr>
        <w:t xml:space="preserve"> ל</w:t>
      </w:r>
      <w:hyperlink r:id="rId37" w:history="1">
        <w:r w:rsidR="00F3027E" w:rsidRPr="00F3027E">
          <w:rPr>
            <w:rFonts w:cs="FrankRuehl"/>
            <w:b/>
            <w:bCs/>
            <w:color w:val="0000FF"/>
            <w:sz w:val="26"/>
            <w:szCs w:val="26"/>
            <w:u w:val="single"/>
            <w:rtl/>
          </w:rPr>
          <w:t>חוק העונשין</w:t>
        </w:r>
      </w:hyperlink>
      <w:r>
        <w:rPr>
          <w:rFonts w:cs="FrankRuehl" w:hint="cs"/>
          <w:b/>
          <w:bCs/>
          <w:sz w:val="26"/>
          <w:szCs w:val="26"/>
          <w:rtl/>
        </w:rPr>
        <w:t xml:space="preserve"> – </w:t>
      </w:r>
      <w:r>
        <w:rPr>
          <w:rFonts w:cs="FrankRuehl" w:hint="cs"/>
          <w:sz w:val="26"/>
          <w:szCs w:val="26"/>
          <w:rtl/>
        </w:rPr>
        <w:t xml:space="preserve">ניתן  לתת משקל לנסיבות הבאות שאינן קשורות בביצוע העבירה, במסגרת גזירת העונש בתוך המתחם: שליחת הנאשם לכלא, כשאין לו עבר פלילי קודם, כשהוא אב ל-3 ילדים, ממתין ללידת ילדו הרביעי, ועול פרנסת המשפחה עליו </w:t>
      </w:r>
      <w:r>
        <w:rPr>
          <w:rFonts w:cs="FrankRuehl"/>
          <w:sz w:val="26"/>
          <w:szCs w:val="26"/>
          <w:rtl/>
        </w:rPr>
        <w:t>–</w:t>
      </w:r>
      <w:r>
        <w:rPr>
          <w:rFonts w:cs="FrankRuehl" w:hint="cs"/>
          <w:sz w:val="26"/>
          <w:szCs w:val="26"/>
          <w:rtl/>
        </w:rPr>
        <w:t xml:space="preserve"> יהווה פגיעה בלתי מדתית, לטעמי בו ובמשפחתו. "ועדת דורנר" עמדה על האפקטים המדרדרים של שליחת אדם לכלא, כשאין לו עבר פלילי, והדברים מקבלים משנה חשיבות, שעה שנפתחו חלופות עונשיות נוספות, דוגמת הרחבת היקף עבודות השירות, מתוך הבנה שכליאה, איננה "מענה קסם" עונשי שאין בלתו; הנאשם היה עצור בתיק זה מעצר ממש מעט מעל חודש ימים; בעקבות מעצרו, חייו הזוגיים עלו על שרטון, והוא ואשתו שבו לחיות יחד לאחר תקופה לא קצרה של פרידה; הנאשם נטל אחריות למעשים, וברבות הזמן, בהתאם לתסקירים השונים, ניתן להתרשם מנטילת אחריות מלאה ומעירנות גבוהה יותר מצד הנאשם, לדפוסיו הבעייתיים; הנאשם שיתף פעולה עם המשטרה והוא שחשף בפניה את כלל המעשים, כפי שעולה, במיוחד מהאישום החמישי; הנאשם הודה ללא הסדר ומבלי שהובטחה לו כל הקלה; לכל אורך חייו, ובוודאי בתקופה האחרונה, הנאשם מתנדב ותורם מזמנו לחברה כפי שעולה מתסקירי שירות המבחן; לנאשם אין כל עבר פלילי. </w:t>
      </w:r>
    </w:p>
    <w:p w14:paraId="0484A18F" w14:textId="77777777" w:rsidR="00592A2D" w:rsidRDefault="00592A2D" w:rsidP="00592A2D">
      <w:pPr>
        <w:spacing w:line="360" w:lineRule="auto"/>
        <w:jc w:val="both"/>
        <w:rPr>
          <w:rFonts w:cs="FrankRuehl"/>
          <w:sz w:val="26"/>
          <w:szCs w:val="26"/>
          <w:rtl/>
        </w:rPr>
      </w:pPr>
    </w:p>
    <w:p w14:paraId="6F368FBD" w14:textId="77777777" w:rsidR="00592A2D" w:rsidRDefault="00592A2D" w:rsidP="00592A2D">
      <w:pPr>
        <w:spacing w:line="360" w:lineRule="auto"/>
        <w:jc w:val="both"/>
        <w:rPr>
          <w:rFonts w:cs="FrankRuehl"/>
          <w:sz w:val="26"/>
          <w:szCs w:val="26"/>
          <w:rtl/>
        </w:rPr>
      </w:pPr>
      <w:r>
        <w:rPr>
          <w:rFonts w:cs="FrankRuehl" w:hint="cs"/>
          <w:b/>
          <w:bCs/>
          <w:sz w:val="26"/>
          <w:szCs w:val="26"/>
          <w:u w:val="single"/>
          <w:rtl/>
        </w:rPr>
        <w:t>המיקום במתחם</w:t>
      </w:r>
      <w:r>
        <w:rPr>
          <w:rFonts w:cs="FrankRuehl" w:hint="cs"/>
          <w:sz w:val="26"/>
          <w:szCs w:val="26"/>
          <w:rtl/>
        </w:rPr>
        <w:t xml:space="preserve"> </w:t>
      </w:r>
      <w:r>
        <w:rPr>
          <w:rFonts w:cs="FrankRuehl"/>
          <w:sz w:val="26"/>
          <w:szCs w:val="26"/>
          <w:rtl/>
        </w:rPr>
        <w:t>–</w:t>
      </w:r>
      <w:r>
        <w:rPr>
          <w:rFonts w:cs="FrankRuehl" w:hint="cs"/>
          <w:sz w:val="26"/>
          <w:szCs w:val="26"/>
          <w:rtl/>
        </w:rPr>
        <w:t xml:space="preserve"> במכלול השיקולים שציינתי, יש למקם את הנאשם בחלק התחתון של המתחם, באופן שניתן יהיה להטיל עליו מאסר בדרך של ריצוי בעבודות שירות, מעבר ל-6 חודשים, לאחר שאין בנמצא שיקולים המאפשרים חריגה מהמתחם. אציין, כי המלצת שירות המבחן להטלת של"ץ, אינה באה בחשבון, לנוכח עקרון ההלימה, המחייב, לכל הפחות, הטלת מאסר בדרך של עבודות שירות. אין מדובר בתיק "טריוויאלי", אלא בהתארגנות מסודרת וממושכת להפצת סמים כדי להשיג רווח כספי. לעומת זאת, היעדר עברו הפלילי של הנאשם, העובדה שהודה בחקירה וחשף את שחשף, התהליך הטיפולי, השמירה על תנאים  והיעדר תיקים חדשים, מובילים לתוצאה העונשית האמורה, המתיישבת, לטעמי, עם עקרון ההלימה.</w:t>
      </w:r>
    </w:p>
    <w:p w14:paraId="1B35269F" w14:textId="77777777" w:rsidR="00592A2D" w:rsidRDefault="00592A2D" w:rsidP="00592A2D">
      <w:pPr>
        <w:spacing w:line="360" w:lineRule="auto"/>
        <w:jc w:val="both"/>
        <w:rPr>
          <w:rFonts w:cs="FrankRuehl"/>
          <w:sz w:val="26"/>
          <w:szCs w:val="26"/>
          <w:rtl/>
        </w:rPr>
      </w:pPr>
    </w:p>
    <w:p w14:paraId="61175709" w14:textId="77777777" w:rsidR="00592A2D" w:rsidRDefault="00592A2D" w:rsidP="00592A2D">
      <w:pPr>
        <w:spacing w:line="360" w:lineRule="auto"/>
        <w:jc w:val="both"/>
        <w:rPr>
          <w:rFonts w:cs="FrankRuehl"/>
          <w:sz w:val="26"/>
          <w:szCs w:val="26"/>
          <w:rtl/>
        </w:rPr>
      </w:pPr>
    </w:p>
    <w:p w14:paraId="5772D3BA" w14:textId="77777777" w:rsidR="00592A2D" w:rsidRDefault="00592A2D" w:rsidP="00592A2D">
      <w:pPr>
        <w:spacing w:line="360" w:lineRule="auto"/>
        <w:jc w:val="both"/>
        <w:rPr>
          <w:rFonts w:cs="FrankRuehl"/>
          <w:sz w:val="26"/>
          <w:szCs w:val="26"/>
          <w:rtl/>
        </w:rPr>
      </w:pPr>
    </w:p>
    <w:p w14:paraId="6B317024" w14:textId="77777777" w:rsidR="00592A2D" w:rsidRDefault="00592A2D" w:rsidP="00592A2D">
      <w:pPr>
        <w:spacing w:line="360" w:lineRule="auto"/>
        <w:jc w:val="both"/>
        <w:rPr>
          <w:rFonts w:cs="FrankRuehl"/>
          <w:sz w:val="26"/>
          <w:szCs w:val="26"/>
          <w:rtl/>
        </w:rPr>
      </w:pPr>
    </w:p>
    <w:p w14:paraId="62A812A8" w14:textId="77777777" w:rsidR="00592A2D" w:rsidRPr="00411D5C" w:rsidRDefault="00592A2D" w:rsidP="00592A2D">
      <w:pPr>
        <w:spacing w:line="360" w:lineRule="auto"/>
        <w:jc w:val="both"/>
        <w:rPr>
          <w:rFonts w:cs="FrankRuehl"/>
          <w:b/>
          <w:bCs/>
          <w:sz w:val="26"/>
          <w:szCs w:val="26"/>
          <w:u w:val="single"/>
          <w:rtl/>
        </w:rPr>
      </w:pPr>
      <w:r w:rsidRPr="00411D5C">
        <w:rPr>
          <w:rFonts w:cs="FrankRuehl" w:hint="cs"/>
          <w:b/>
          <w:bCs/>
          <w:sz w:val="26"/>
          <w:szCs w:val="26"/>
          <w:u w:val="single"/>
          <w:rtl/>
        </w:rPr>
        <w:t>גזירת הדין</w:t>
      </w:r>
    </w:p>
    <w:p w14:paraId="64E0A15A" w14:textId="77777777" w:rsidR="00592A2D" w:rsidRDefault="00592A2D" w:rsidP="00592A2D">
      <w:pPr>
        <w:spacing w:line="360" w:lineRule="auto"/>
        <w:jc w:val="both"/>
        <w:rPr>
          <w:rFonts w:cs="FrankRuehl"/>
          <w:sz w:val="26"/>
          <w:szCs w:val="26"/>
          <w:rtl/>
        </w:rPr>
      </w:pPr>
      <w:r>
        <w:rPr>
          <w:rFonts w:cs="FrankRuehl" w:hint="cs"/>
          <w:sz w:val="26"/>
          <w:szCs w:val="26"/>
          <w:rtl/>
        </w:rPr>
        <w:t>לפיכך, אני מחליט לגזור על הנאשם את העונשים הבאים:</w:t>
      </w:r>
    </w:p>
    <w:p w14:paraId="189AF03C" w14:textId="77777777" w:rsidR="00592A2D" w:rsidRDefault="00592A2D" w:rsidP="00592A2D">
      <w:pPr>
        <w:numPr>
          <w:ilvl w:val="0"/>
          <w:numId w:val="1"/>
        </w:numPr>
        <w:spacing w:after="160" w:line="360" w:lineRule="auto"/>
        <w:contextualSpacing/>
        <w:jc w:val="both"/>
        <w:rPr>
          <w:rFonts w:cs="FrankRuehl"/>
          <w:sz w:val="26"/>
          <w:szCs w:val="26"/>
          <w:rtl/>
        </w:rPr>
      </w:pPr>
      <w:r>
        <w:rPr>
          <w:rFonts w:cs="FrankRuehl" w:hint="cs"/>
          <w:sz w:val="26"/>
          <w:szCs w:val="26"/>
          <w:rtl/>
        </w:rPr>
        <w:t xml:space="preserve">8 חודשי מאסר, אשר ירוצו בעבודות שירות, החל מיום  8.9.2019  , אשר ירוצו ב"בית אבות בולגרי" בראשון לציון, וזאת על פי חוות דעת הממונה על עבודות השירות. על הנאשם להתייצב ביום  זה  עד לשעה 08:00 במשרד הממונה על עבודות שירות ברמלה לתחילת ריצוי עונשו. מובהר בזה כי הפרת הוראות הממונה ואי עמידה בכללים הנוגעים לריצוי עבודות השירות עלולים להביא להפקעת העבודות ולהמרת העונש בעונש מאסר של ממש. </w:t>
      </w:r>
      <w:r w:rsidRPr="00B60330">
        <w:rPr>
          <w:rFonts w:cs="FrankRuehl" w:hint="cs"/>
          <w:b/>
          <w:bCs/>
          <w:sz w:val="26"/>
          <w:szCs w:val="26"/>
          <w:rtl/>
        </w:rPr>
        <w:t>מהתקופה שקבעתי יש לנכות את מלוא ימי מעצרו בתיק זה על-פי רישום שב"ס שיכריע</w:t>
      </w:r>
      <w:r>
        <w:rPr>
          <w:rFonts w:cs="FrankRuehl" w:hint="cs"/>
          <w:sz w:val="26"/>
          <w:szCs w:val="26"/>
          <w:rtl/>
        </w:rPr>
        <w:t>;</w:t>
      </w:r>
    </w:p>
    <w:p w14:paraId="0AFEEEEA" w14:textId="77777777" w:rsidR="00592A2D" w:rsidRDefault="00592A2D" w:rsidP="00592A2D">
      <w:pPr>
        <w:numPr>
          <w:ilvl w:val="0"/>
          <w:numId w:val="1"/>
        </w:numPr>
        <w:spacing w:after="160" w:line="360" w:lineRule="auto"/>
        <w:contextualSpacing/>
        <w:jc w:val="both"/>
        <w:rPr>
          <w:rFonts w:cs="FrankRuehl"/>
          <w:sz w:val="26"/>
          <w:szCs w:val="26"/>
        </w:rPr>
      </w:pPr>
      <w:r>
        <w:rPr>
          <w:rFonts w:cs="FrankRuehl" w:hint="cs"/>
          <w:sz w:val="26"/>
          <w:szCs w:val="26"/>
          <w:rtl/>
        </w:rPr>
        <w:t>9 חודשי מאסר, שלא ירוצו אלא אם יעבור הנאשם כל עבירה לפי פקודת הסמים, למעט שימוש עצמי בסמים והחזקת כלים לשימוש עצמי בסמים , וזאת בתוך שלוש מהיום;</w:t>
      </w:r>
    </w:p>
    <w:p w14:paraId="71203490" w14:textId="77777777" w:rsidR="00592A2D" w:rsidRDefault="00592A2D" w:rsidP="00592A2D">
      <w:pPr>
        <w:numPr>
          <w:ilvl w:val="0"/>
          <w:numId w:val="1"/>
        </w:numPr>
        <w:spacing w:after="160" w:line="360" w:lineRule="auto"/>
        <w:contextualSpacing/>
        <w:jc w:val="both"/>
        <w:rPr>
          <w:rFonts w:cs="FrankRuehl"/>
          <w:sz w:val="26"/>
          <w:szCs w:val="26"/>
        </w:rPr>
      </w:pPr>
      <w:r>
        <w:rPr>
          <w:rFonts w:cs="FrankRuehl" w:hint="cs"/>
          <w:sz w:val="26"/>
          <w:szCs w:val="26"/>
          <w:rtl/>
        </w:rPr>
        <w:t>4 חודשי מאסר, שלא ירוצו אלא אם יעבור הנאשם כל עבירה של שימוש עצמי בסמים או החזקת כלים לשימוש עצמי בסמים, וזאת בתוך שלוש מהיום;</w:t>
      </w:r>
    </w:p>
    <w:p w14:paraId="7B8D62EF" w14:textId="77777777" w:rsidR="00592A2D" w:rsidRDefault="00592A2D" w:rsidP="00592A2D">
      <w:pPr>
        <w:numPr>
          <w:ilvl w:val="0"/>
          <w:numId w:val="1"/>
        </w:numPr>
        <w:spacing w:after="160" w:line="360" w:lineRule="auto"/>
        <w:contextualSpacing/>
        <w:jc w:val="both"/>
        <w:rPr>
          <w:rFonts w:cs="FrankRuehl"/>
          <w:sz w:val="26"/>
          <w:szCs w:val="26"/>
        </w:rPr>
      </w:pPr>
      <w:r>
        <w:rPr>
          <w:rFonts w:cs="FrankRuehl" w:hint="cs"/>
          <w:sz w:val="26"/>
          <w:szCs w:val="26"/>
          <w:rtl/>
        </w:rPr>
        <w:t xml:space="preserve">קנס בסך 10,000  ₪, אשר ישולם החל מיום 1.5.2020, או חודש מאסר תמורתו אם לא ישולם. הקנס ישולם ב-20 תשלומים שווים ורצופים בכל  1 בחודש. לא ישולם תשלום במועד או לא ישולם כלל, יעמוד הקנס לפירעון מיידי. לאחר קבלת אישור על תחילת ריצוי עבודות השירות </w:t>
      </w:r>
      <w:r>
        <w:rPr>
          <w:rFonts w:cs="FrankRuehl"/>
          <w:sz w:val="26"/>
          <w:szCs w:val="26"/>
          <w:rtl/>
        </w:rPr>
        <w:t>–</w:t>
      </w:r>
      <w:r>
        <w:rPr>
          <w:rFonts w:cs="FrankRuehl" w:hint="cs"/>
          <w:sz w:val="26"/>
          <w:szCs w:val="26"/>
          <w:rtl/>
        </w:rPr>
        <w:t xml:space="preserve"> יש לקזז את ההפקדה בתיק המעצר בסך 6,000 ₪ מסכום הקנס, והיתרה בתשלומים כפי שקבעתי;</w:t>
      </w:r>
    </w:p>
    <w:p w14:paraId="7A1956F1" w14:textId="77777777" w:rsidR="00592A2D" w:rsidRDefault="00592A2D" w:rsidP="00592A2D">
      <w:pPr>
        <w:numPr>
          <w:ilvl w:val="0"/>
          <w:numId w:val="1"/>
        </w:numPr>
        <w:spacing w:after="160" w:line="360" w:lineRule="auto"/>
        <w:contextualSpacing/>
        <w:jc w:val="both"/>
        <w:rPr>
          <w:rFonts w:cs="FrankRuehl"/>
          <w:sz w:val="26"/>
          <w:szCs w:val="26"/>
          <w:rtl/>
        </w:rPr>
      </w:pPr>
      <w:r>
        <w:rPr>
          <w:rFonts w:cs="FrankRuehl" w:hint="cs"/>
          <w:sz w:val="26"/>
          <w:szCs w:val="26"/>
          <w:rtl/>
        </w:rPr>
        <w:t>צו מבחן לתקופה של 18 חודשים. במהלך תקופה זו הנאשם מחויב בשיתוף פעולה עם שירות המבחן, כאשר מובהר כי הפרת  הצו תוכל להביא לפתיחה מחודשת של המשפט וגזירת עונשו של הנאשם, לרבות עונש מאסר.</w:t>
      </w:r>
    </w:p>
    <w:p w14:paraId="39295FF3" w14:textId="77777777" w:rsidR="00592A2D" w:rsidRDefault="00592A2D" w:rsidP="00592A2D">
      <w:pPr>
        <w:numPr>
          <w:ilvl w:val="0"/>
          <w:numId w:val="1"/>
        </w:numPr>
        <w:spacing w:after="160" w:line="360" w:lineRule="auto"/>
        <w:contextualSpacing/>
        <w:jc w:val="both"/>
        <w:rPr>
          <w:rFonts w:cs="FrankRuehl"/>
          <w:sz w:val="26"/>
          <w:szCs w:val="26"/>
        </w:rPr>
      </w:pPr>
      <w:r>
        <w:rPr>
          <w:rFonts w:cs="FrankRuehl" w:hint="cs"/>
          <w:sz w:val="26"/>
          <w:szCs w:val="26"/>
          <w:rtl/>
        </w:rPr>
        <w:t xml:space="preserve">התחייבות בסך 5,000 ₪ שלא לעבור </w:t>
      </w:r>
      <w:r w:rsidRPr="00493DA4">
        <w:rPr>
          <w:rFonts w:cs="FrankRuehl" w:hint="cs"/>
          <w:b/>
          <w:bCs/>
          <w:sz w:val="26"/>
          <w:szCs w:val="26"/>
          <w:u w:val="single"/>
          <w:rtl/>
        </w:rPr>
        <w:t>כל</w:t>
      </w:r>
      <w:r>
        <w:rPr>
          <w:rFonts w:cs="FrankRuehl" w:hint="cs"/>
          <w:sz w:val="26"/>
          <w:szCs w:val="26"/>
          <w:rtl/>
        </w:rPr>
        <w:t xml:space="preserve"> עבירה לפי פקודת הסמים   במשך שנתיים מהיום או 10 ימי מאסר תמורתה אם לא תיחתם. הובהר לנאשם שמשמעות ההתחייבות היא, כי אם יעבור את העבירה בתוך התקופה שצוינה, בית המשפט שיגזור את הדין יהא חייב לחלט את ההתחייבות כקנס.</w:t>
      </w:r>
    </w:p>
    <w:p w14:paraId="0352C59F" w14:textId="77777777" w:rsidR="00592A2D" w:rsidRDefault="00592A2D" w:rsidP="00592A2D">
      <w:pPr>
        <w:numPr>
          <w:ilvl w:val="0"/>
          <w:numId w:val="1"/>
        </w:numPr>
        <w:spacing w:after="160" w:line="360" w:lineRule="auto"/>
        <w:contextualSpacing/>
        <w:jc w:val="both"/>
        <w:rPr>
          <w:rFonts w:cs="FrankRuehl"/>
          <w:sz w:val="26"/>
          <w:szCs w:val="26"/>
          <w:rtl/>
        </w:rPr>
      </w:pPr>
      <w:r>
        <w:rPr>
          <w:rFonts w:cs="FrankRuehl" w:hint="cs"/>
          <w:sz w:val="26"/>
          <w:szCs w:val="26"/>
          <w:rtl/>
        </w:rPr>
        <w:t>פוסל את הנאשם מלהחזיק או מלקבל רישיון נהיגה לתקופה של 6 חודשים, וזאת על תנאי למשך שלוש שנים מהיום, שלא יעבור כל עבירה לפי פקודת הסמים במהלך שלוש שנים.</w:t>
      </w:r>
    </w:p>
    <w:p w14:paraId="19741E29" w14:textId="77777777" w:rsidR="00592A2D" w:rsidRDefault="00592A2D" w:rsidP="00592A2D">
      <w:pPr>
        <w:spacing w:line="360" w:lineRule="auto"/>
        <w:rPr>
          <w:rFonts w:ascii="FrankRuehl" w:hAnsi="FrankRuehl" w:cs="FrankRuehl"/>
          <w:sz w:val="26"/>
          <w:szCs w:val="26"/>
          <w:rtl/>
        </w:rPr>
      </w:pPr>
    </w:p>
    <w:p w14:paraId="16B5C39F" w14:textId="77777777" w:rsidR="00592A2D" w:rsidRDefault="00592A2D" w:rsidP="00592A2D">
      <w:pPr>
        <w:spacing w:line="360" w:lineRule="auto"/>
        <w:rPr>
          <w:rFonts w:ascii="FrankRuehl" w:hAnsi="FrankRuehl" w:cs="FrankRuehl"/>
          <w:sz w:val="26"/>
          <w:szCs w:val="26"/>
          <w:rtl/>
        </w:rPr>
      </w:pPr>
      <w:r>
        <w:rPr>
          <w:rFonts w:ascii="FrankRuehl" w:hAnsi="FrankRuehl" w:cs="FrankRuehl" w:hint="cs"/>
          <w:sz w:val="26"/>
          <w:szCs w:val="26"/>
          <w:rtl/>
        </w:rPr>
        <w:t>אני מורה על השמדת הסמים וחילוט הטלפונים שבתיק אשר שימשו לביצוע עבירה.</w:t>
      </w:r>
    </w:p>
    <w:p w14:paraId="561E6222" w14:textId="77777777" w:rsidR="00592A2D" w:rsidRDefault="00592A2D" w:rsidP="00592A2D">
      <w:pPr>
        <w:spacing w:line="360" w:lineRule="auto"/>
        <w:rPr>
          <w:rFonts w:ascii="FrankRuehl" w:hAnsi="FrankRuehl" w:cs="FrankRuehl"/>
          <w:sz w:val="26"/>
          <w:szCs w:val="26"/>
          <w:rtl/>
        </w:rPr>
      </w:pPr>
      <w:r>
        <w:rPr>
          <w:rFonts w:ascii="FrankRuehl" w:hAnsi="FrankRuehl" w:cs="FrankRuehl" w:hint="cs"/>
          <w:sz w:val="26"/>
          <w:szCs w:val="26"/>
          <w:rtl/>
        </w:rPr>
        <w:t>הכספים יוחלטו.</w:t>
      </w:r>
    </w:p>
    <w:p w14:paraId="66A7951B" w14:textId="77777777" w:rsidR="00592A2D" w:rsidRDefault="00592A2D" w:rsidP="00592A2D">
      <w:pPr>
        <w:spacing w:line="360" w:lineRule="auto"/>
        <w:rPr>
          <w:rFonts w:ascii="FrankRuehl" w:hAnsi="FrankRuehl" w:cs="FrankRuehl"/>
          <w:sz w:val="26"/>
          <w:szCs w:val="26"/>
          <w:rtl/>
        </w:rPr>
      </w:pPr>
    </w:p>
    <w:p w14:paraId="46101615" w14:textId="77777777" w:rsidR="00592A2D" w:rsidRDefault="00592A2D" w:rsidP="00592A2D">
      <w:pPr>
        <w:spacing w:line="360" w:lineRule="auto"/>
        <w:rPr>
          <w:rFonts w:ascii="FrankRuehl" w:hAnsi="FrankRuehl" w:cs="FrankRuehl"/>
          <w:sz w:val="26"/>
          <w:szCs w:val="26"/>
        </w:rPr>
      </w:pPr>
      <w:r>
        <w:rPr>
          <w:rFonts w:ascii="FrankRuehl" w:hAnsi="FrankRuehl" w:cs="FrankRuehl" w:hint="cs"/>
          <w:sz w:val="26"/>
          <w:szCs w:val="26"/>
          <w:rtl/>
        </w:rPr>
        <w:t>לבקשת הסניגור, מעכב את ביצוע ריצוי העונש של עבודות שירות בלבד (כל יתר הרכיבים אינם מושהים) עד ליום 8.9.2019.</w:t>
      </w:r>
    </w:p>
    <w:p w14:paraId="722C0555" w14:textId="77777777" w:rsidR="00592A2D" w:rsidRDefault="00592A2D" w:rsidP="00592A2D">
      <w:pPr>
        <w:spacing w:line="360" w:lineRule="auto"/>
        <w:rPr>
          <w:rFonts w:ascii="FrankRuehl" w:hAnsi="FrankRuehl" w:cs="FrankRuehl"/>
          <w:sz w:val="26"/>
          <w:szCs w:val="26"/>
          <w:rtl/>
        </w:rPr>
      </w:pPr>
      <w:r>
        <w:rPr>
          <w:rFonts w:ascii="FrankRuehl" w:hAnsi="FrankRuehl" w:cs="FrankRuehl" w:hint="cs"/>
          <w:sz w:val="26"/>
          <w:szCs w:val="26"/>
          <w:rtl/>
        </w:rPr>
        <w:t>ערעור יוגש עד ליום 6.9.2019   לבית המשפט המחוזי בירושלים.</w:t>
      </w:r>
    </w:p>
    <w:p w14:paraId="1DD588B0" w14:textId="77777777" w:rsidR="00592A2D" w:rsidRDefault="00592A2D" w:rsidP="00592A2D">
      <w:pPr>
        <w:spacing w:line="360" w:lineRule="auto"/>
        <w:rPr>
          <w:rFonts w:ascii="FrankRuehl" w:hAnsi="FrankRuehl" w:cs="FrankRuehl"/>
          <w:sz w:val="26"/>
          <w:szCs w:val="26"/>
          <w:rtl/>
        </w:rPr>
      </w:pPr>
      <w:r>
        <w:rPr>
          <w:rFonts w:ascii="FrankRuehl" w:hAnsi="FrankRuehl" w:cs="FrankRuehl" w:hint="cs"/>
          <w:sz w:val="26"/>
          <w:szCs w:val="26"/>
          <w:rtl/>
        </w:rPr>
        <w:t>לא יוגש ערעור במועד, יבוטל עיכוב הביצוע. היה ויוגש ערעור כאמור, עיכוב הביצוע יעמוד בתוקף עד להכרעה בערעור.</w:t>
      </w:r>
    </w:p>
    <w:p w14:paraId="23E996B0" w14:textId="77777777" w:rsidR="00592A2D" w:rsidRDefault="00592A2D" w:rsidP="00592A2D">
      <w:pPr>
        <w:spacing w:line="360" w:lineRule="auto"/>
        <w:rPr>
          <w:rFonts w:ascii="FrankRuehl" w:hAnsi="FrankRuehl" w:cs="FrankRuehl"/>
          <w:sz w:val="26"/>
          <w:szCs w:val="26"/>
          <w:rtl/>
        </w:rPr>
      </w:pPr>
      <w:r>
        <w:rPr>
          <w:rFonts w:ascii="FrankRuehl" w:hAnsi="FrankRuehl" w:cs="FrankRuehl" w:hint="cs"/>
          <w:sz w:val="26"/>
          <w:szCs w:val="26"/>
          <w:rtl/>
        </w:rPr>
        <w:t>כמו-כן מעכב ביצוע חילוט הכספים וחילוט הטלפונים עד להכרעה בערעור, באותם תנאים.</w:t>
      </w:r>
    </w:p>
    <w:p w14:paraId="5346B41B" w14:textId="77777777" w:rsidR="00592A2D" w:rsidRDefault="00592A2D" w:rsidP="00592A2D">
      <w:pPr>
        <w:spacing w:line="360" w:lineRule="auto"/>
        <w:rPr>
          <w:rFonts w:ascii="FrankRuehl" w:hAnsi="FrankRuehl" w:cs="FrankRuehl"/>
          <w:sz w:val="26"/>
          <w:szCs w:val="26"/>
        </w:rPr>
      </w:pPr>
    </w:p>
    <w:p w14:paraId="5A78454D" w14:textId="77777777" w:rsidR="00592A2D" w:rsidRDefault="00592A2D" w:rsidP="00592A2D">
      <w:pPr>
        <w:spacing w:line="360" w:lineRule="auto"/>
        <w:rPr>
          <w:rFonts w:ascii="FrankRuehl" w:hAnsi="FrankRuehl" w:cs="FrankRuehl"/>
          <w:sz w:val="26"/>
          <w:szCs w:val="26"/>
          <w:rtl/>
        </w:rPr>
      </w:pPr>
      <w:r>
        <w:rPr>
          <w:rFonts w:ascii="FrankRuehl" w:hAnsi="FrankRuehl" w:cs="FrankRuehl" w:hint="cs"/>
          <w:sz w:val="26"/>
          <w:szCs w:val="26"/>
          <w:rtl/>
        </w:rPr>
        <w:t>יש לשלוח לשירות המבחן ולממונה על עבודות שירות.</w:t>
      </w:r>
    </w:p>
    <w:p w14:paraId="53077E7A" w14:textId="77777777" w:rsidR="00592A2D" w:rsidRDefault="00592A2D" w:rsidP="00592A2D">
      <w:pPr>
        <w:rPr>
          <w:rFonts w:ascii="FrankRuehl" w:hAnsi="FrankRuehl" w:cs="FrankRuehl"/>
          <w:sz w:val="26"/>
          <w:szCs w:val="26"/>
          <w:rtl/>
        </w:rPr>
      </w:pPr>
    </w:p>
    <w:p w14:paraId="618BF08D" w14:textId="77777777" w:rsidR="00592A2D" w:rsidRDefault="00592A2D" w:rsidP="00592A2D">
      <w:pPr>
        <w:rPr>
          <w:rFonts w:ascii="FrankRuehl" w:hAnsi="FrankRuehl" w:cs="FrankRuehl"/>
          <w:sz w:val="26"/>
          <w:szCs w:val="26"/>
        </w:rPr>
      </w:pPr>
      <w:r>
        <w:rPr>
          <w:rFonts w:ascii="FrankRuehl" w:hAnsi="FrankRuehl" w:cs="FrankRuehl" w:hint="cs"/>
          <w:sz w:val="26"/>
          <w:szCs w:val="26"/>
          <w:rtl/>
        </w:rPr>
        <w:t>זכות ערעור כחוק לבית המשפט המחוזי בירושלים בתוך 45 יום מהיום.</w:t>
      </w:r>
    </w:p>
    <w:p w14:paraId="50983015" w14:textId="77777777" w:rsidR="00592A2D" w:rsidRPr="00D64244" w:rsidRDefault="00592A2D" w:rsidP="00592A2D">
      <w:pPr>
        <w:rPr>
          <w:rtl/>
        </w:rPr>
      </w:pPr>
    </w:p>
    <w:p w14:paraId="79796DD1" w14:textId="77777777" w:rsidR="00592A2D" w:rsidRDefault="00F3027E" w:rsidP="00592A2D">
      <w:pPr>
        <w:rPr>
          <w:rFonts w:cs="FrankRuehl"/>
          <w:sz w:val="28"/>
          <w:szCs w:val="28"/>
          <w:rtl/>
        </w:rPr>
      </w:pPr>
      <w:bookmarkStart w:id="8" w:name="Nitan"/>
      <w:r w:rsidRPr="00F3027E">
        <w:rPr>
          <w:rFonts w:ascii="Arial" w:hAnsi="Arial"/>
          <w:color w:val="FFFFFF"/>
          <w:sz w:val="2"/>
          <w:szCs w:val="2"/>
          <w:rtl/>
        </w:rPr>
        <w:t>5129371</w:t>
      </w:r>
      <w:r>
        <w:rPr>
          <w:rFonts w:ascii="Arial" w:hAnsi="Arial"/>
          <w:rtl/>
        </w:rPr>
        <w:t xml:space="preserve">ניתן היום,  כ"ז כ"ז סיוון תשע"ט, 30 יוני 2019, במעמד הצדדים. </w:t>
      </w:r>
      <w:bookmarkEnd w:id="8"/>
    </w:p>
    <w:p w14:paraId="4276E31C" w14:textId="77777777" w:rsidR="00592A2D" w:rsidRPr="00F3027E" w:rsidRDefault="00F3027E" w:rsidP="00F3027E">
      <w:pPr>
        <w:jc w:val="center"/>
        <w:rPr>
          <w:color w:val="FFFFFF"/>
          <w:sz w:val="2"/>
          <w:szCs w:val="2"/>
        </w:rPr>
      </w:pPr>
      <w:r w:rsidRPr="00F3027E">
        <w:rPr>
          <w:color w:val="FFFFFF"/>
          <w:sz w:val="2"/>
          <w:szCs w:val="2"/>
          <w:rtl/>
        </w:rPr>
        <w:t>54678313</w:t>
      </w:r>
      <w:r w:rsidR="00592A2D" w:rsidRPr="00F3027E">
        <w:rPr>
          <w:rFonts w:hint="cs"/>
          <w:color w:val="FFFFFF"/>
          <w:sz w:val="2"/>
          <w:szCs w:val="2"/>
          <w:rtl/>
        </w:rPr>
        <w:t xml:space="preserve">   </w:t>
      </w:r>
      <w:r w:rsidR="00592A2D" w:rsidRPr="00F3027E">
        <w:rPr>
          <w:rFonts w:hint="cs"/>
          <w:color w:val="FFFFFF"/>
          <w:sz w:val="2"/>
          <w:szCs w:val="2"/>
          <w:rtl/>
        </w:rPr>
        <w:tab/>
      </w:r>
      <w:r w:rsidR="00592A2D" w:rsidRPr="00F3027E">
        <w:rPr>
          <w:rFonts w:hint="cs"/>
          <w:color w:val="FFFFFF"/>
          <w:sz w:val="2"/>
          <w:szCs w:val="2"/>
          <w:rtl/>
        </w:rPr>
        <w:tab/>
      </w:r>
      <w:r w:rsidR="00592A2D" w:rsidRPr="00F3027E">
        <w:rPr>
          <w:rFonts w:hint="cs"/>
          <w:color w:val="FFFFFF"/>
          <w:sz w:val="2"/>
          <w:szCs w:val="2"/>
          <w:rtl/>
        </w:rPr>
        <w:tab/>
      </w:r>
      <w:r w:rsidR="00592A2D" w:rsidRPr="00F3027E">
        <w:rPr>
          <w:rFonts w:hint="cs"/>
          <w:color w:val="FFFFFF"/>
          <w:sz w:val="2"/>
          <w:szCs w:val="2"/>
          <w:rtl/>
        </w:rPr>
        <w:tab/>
      </w:r>
      <w:r w:rsidR="00592A2D" w:rsidRPr="00F3027E">
        <w:rPr>
          <w:rFonts w:hint="cs"/>
          <w:color w:val="FFFFFF"/>
          <w:sz w:val="2"/>
          <w:szCs w:val="2"/>
          <w:rtl/>
        </w:rPr>
        <w:tab/>
      </w:r>
    </w:p>
    <w:p w14:paraId="65F3907F" w14:textId="77777777" w:rsidR="00592A2D" w:rsidRDefault="00592A2D" w:rsidP="00592A2D">
      <w:pPr>
        <w:jc w:val="center"/>
        <w:rPr>
          <w:rFonts w:ascii="Arial" w:hAnsi="Arial" w:cs="FrankRuehl"/>
          <w:sz w:val="28"/>
          <w:szCs w:val="28"/>
          <w:rtl/>
        </w:rPr>
      </w:pPr>
    </w:p>
    <w:p w14:paraId="4BFB447C" w14:textId="77777777" w:rsidR="00592A2D" w:rsidRDefault="00592A2D" w:rsidP="00592A2D">
      <w:pPr>
        <w:pStyle w:val="a3"/>
        <w:rPr>
          <w:rFonts w:cs="FrankRuehl"/>
          <w:sz w:val="28"/>
          <w:szCs w:val="28"/>
          <w:rtl/>
        </w:rPr>
      </w:pPr>
    </w:p>
    <w:p w14:paraId="017F158E" w14:textId="77777777" w:rsidR="00F3027E" w:rsidRDefault="00F3027E" w:rsidP="00F3027E">
      <w:pPr>
        <w:rPr>
          <w:rtl/>
        </w:rPr>
      </w:pPr>
    </w:p>
    <w:p w14:paraId="036A8729" w14:textId="77777777" w:rsidR="00F3027E" w:rsidRDefault="00F3027E" w:rsidP="00F3027E">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p>
    <w:p w14:paraId="28CFE792" w14:textId="77777777" w:rsidR="005B2672" w:rsidRPr="005B2672" w:rsidRDefault="005B2672" w:rsidP="005B2672">
      <w:pPr>
        <w:keepNext/>
        <w:rPr>
          <w:rFonts w:ascii="David" w:hAnsi="David"/>
          <w:color w:val="000000"/>
          <w:sz w:val="22"/>
          <w:szCs w:val="22"/>
          <w:rtl/>
        </w:rPr>
      </w:pPr>
    </w:p>
    <w:p w14:paraId="4AF38970" w14:textId="77777777" w:rsidR="005B2672" w:rsidRPr="005B2672" w:rsidRDefault="005B2672" w:rsidP="005B2672">
      <w:pPr>
        <w:keepNext/>
        <w:rPr>
          <w:rFonts w:ascii="David" w:hAnsi="David"/>
          <w:color w:val="000000"/>
          <w:sz w:val="22"/>
          <w:szCs w:val="22"/>
          <w:rtl/>
        </w:rPr>
      </w:pPr>
      <w:r w:rsidRPr="005B2672">
        <w:rPr>
          <w:rFonts w:ascii="David" w:hAnsi="David"/>
          <w:color w:val="000000"/>
          <w:sz w:val="22"/>
          <w:szCs w:val="22"/>
          <w:rtl/>
        </w:rPr>
        <w:t>דוד שאול גבאי ריכטר 54678313-/</w:t>
      </w:r>
    </w:p>
    <w:p w14:paraId="7BEC6D7B" w14:textId="77777777" w:rsidR="00F3027E" w:rsidRPr="00F3027E" w:rsidRDefault="005B2672" w:rsidP="005B2672">
      <w:pPr>
        <w:rPr>
          <w:color w:val="0000FF"/>
          <w:u w:val="single"/>
        </w:rPr>
      </w:pPr>
      <w:r w:rsidRPr="005B2672">
        <w:rPr>
          <w:color w:val="000000"/>
          <w:u w:val="single"/>
          <w:rtl/>
        </w:rPr>
        <w:t>נוסח מסמך זה כפוף לשינויי ניסוח ועריכה</w:t>
      </w:r>
    </w:p>
    <w:sectPr w:rsidR="00F3027E" w:rsidRPr="00F3027E" w:rsidSect="005B2672">
      <w:headerReference w:type="even" r:id="rId39"/>
      <w:headerReference w:type="default" r:id="rId40"/>
      <w:footerReference w:type="even" r:id="rId41"/>
      <w:footerReference w:type="default" r:id="rId4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4EA22A" w14:textId="77777777" w:rsidR="00DA25EE" w:rsidRDefault="00DA25EE" w:rsidP="00060DB2">
      <w:r>
        <w:separator/>
      </w:r>
    </w:p>
  </w:endnote>
  <w:endnote w:type="continuationSeparator" w:id="0">
    <w:p w14:paraId="2261FBB8" w14:textId="77777777" w:rsidR="00DA25EE" w:rsidRDefault="00DA25EE" w:rsidP="00060D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D1837" w14:textId="77777777" w:rsidR="005B2672" w:rsidRDefault="005B2672" w:rsidP="005B267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186EBB2" w14:textId="77777777" w:rsidR="001478B0" w:rsidRPr="005B2672" w:rsidRDefault="005B2672" w:rsidP="005B2672">
    <w:pPr>
      <w:pStyle w:val="a5"/>
      <w:pBdr>
        <w:top w:val="single" w:sz="4" w:space="1" w:color="auto"/>
        <w:between w:val="single" w:sz="4" w:space="0" w:color="auto"/>
      </w:pBdr>
      <w:spacing w:after="60"/>
      <w:jc w:val="center"/>
      <w:rPr>
        <w:rFonts w:ascii="FrankRuehl" w:hAnsi="FrankRuehl" w:cs="FrankRuehl"/>
        <w:color w:val="000000"/>
      </w:rPr>
    </w:pPr>
    <w:r w:rsidRPr="005B267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1BA216" w14:textId="77777777" w:rsidR="005B2672" w:rsidRDefault="005B2672" w:rsidP="005B267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8526E">
      <w:rPr>
        <w:rFonts w:ascii="FrankRuehl" w:hAnsi="FrankRuehl" w:cs="FrankRuehl"/>
        <w:noProof/>
        <w:rtl/>
      </w:rPr>
      <w:t>1</w:t>
    </w:r>
    <w:r>
      <w:rPr>
        <w:rFonts w:ascii="FrankRuehl" w:hAnsi="FrankRuehl" w:cs="FrankRuehl"/>
        <w:rtl/>
      </w:rPr>
      <w:fldChar w:fldCharType="end"/>
    </w:r>
  </w:p>
  <w:p w14:paraId="0D25E622" w14:textId="77777777" w:rsidR="001478B0" w:rsidRPr="005B2672" w:rsidRDefault="005B2672" w:rsidP="005B2672">
    <w:pPr>
      <w:pStyle w:val="a5"/>
      <w:pBdr>
        <w:top w:val="single" w:sz="4" w:space="1" w:color="auto"/>
        <w:between w:val="single" w:sz="4" w:space="0" w:color="auto"/>
      </w:pBdr>
      <w:spacing w:after="60"/>
      <w:jc w:val="center"/>
      <w:rPr>
        <w:rFonts w:ascii="FrankRuehl" w:hAnsi="FrankRuehl" w:cs="FrankRuehl"/>
        <w:color w:val="000000"/>
      </w:rPr>
    </w:pPr>
    <w:r w:rsidRPr="005B2672">
      <w:rPr>
        <w:rFonts w:ascii="FrankRuehl" w:hAnsi="FrankRuehl" w:cs="FrankRuehl"/>
        <w:color w:val="000000"/>
      </w:rPr>
      <w:pict w14:anchorId="35192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78D31D" w14:textId="77777777" w:rsidR="00DA25EE" w:rsidRDefault="00DA25EE" w:rsidP="00060DB2">
      <w:r>
        <w:separator/>
      </w:r>
    </w:p>
  </w:footnote>
  <w:footnote w:type="continuationSeparator" w:id="0">
    <w:p w14:paraId="16F52EDA" w14:textId="77777777" w:rsidR="00DA25EE" w:rsidRDefault="00DA25EE" w:rsidP="00060D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66F070" w14:textId="77777777" w:rsidR="00F3027E" w:rsidRPr="005B2672" w:rsidRDefault="005B2672" w:rsidP="005B267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50693-02-18</w:t>
    </w:r>
    <w:r>
      <w:rPr>
        <w:rFonts w:ascii="David" w:hAnsi="David"/>
        <w:color w:val="000000"/>
        <w:sz w:val="22"/>
        <w:szCs w:val="22"/>
        <w:rtl/>
      </w:rPr>
      <w:tab/>
      <w:t xml:space="preserve"> מדינת ישראל נ' דוד יהונתן מדינה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0B90F" w14:textId="77777777" w:rsidR="00F3027E" w:rsidRPr="005B2672" w:rsidRDefault="005B2672" w:rsidP="005B267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50693-02-18</w:t>
    </w:r>
    <w:r>
      <w:rPr>
        <w:rFonts w:ascii="David" w:hAnsi="David"/>
        <w:color w:val="000000"/>
        <w:sz w:val="22"/>
        <w:szCs w:val="22"/>
        <w:rtl/>
      </w:rPr>
      <w:tab/>
      <w:t xml:space="preserve"> מדינת ישראל נ' דוד יהונתן מדינה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5B689C"/>
    <w:multiLevelType w:val="hybridMultilevel"/>
    <w:tmpl w:val="208E3610"/>
    <w:lvl w:ilvl="0" w:tplc="F3802B80">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27441126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92A2D"/>
    <w:rsid w:val="00060DB2"/>
    <w:rsid w:val="001478B0"/>
    <w:rsid w:val="00381020"/>
    <w:rsid w:val="00400D5C"/>
    <w:rsid w:val="00407351"/>
    <w:rsid w:val="00530133"/>
    <w:rsid w:val="00592A2D"/>
    <w:rsid w:val="005B2672"/>
    <w:rsid w:val="00DA25EE"/>
    <w:rsid w:val="00E8526E"/>
    <w:rsid w:val="00F3027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B9F0C95"/>
  <w15:chartTrackingRefBased/>
  <w15:docId w15:val="{D9D534B0-5B75-4CBE-82EF-3E26AC5B1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92A2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92A2D"/>
    <w:pPr>
      <w:tabs>
        <w:tab w:val="center" w:pos="4153"/>
        <w:tab w:val="right" w:pos="8306"/>
      </w:tabs>
    </w:pPr>
  </w:style>
  <w:style w:type="character" w:customStyle="1" w:styleId="a4">
    <w:name w:val="כותרת עליונה תו"/>
    <w:link w:val="a3"/>
    <w:rsid w:val="00592A2D"/>
    <w:rPr>
      <w:rFonts w:ascii="Times New Roman" w:eastAsia="Times New Roman" w:hAnsi="Times New Roman" w:cs="David"/>
      <w:sz w:val="24"/>
      <w:szCs w:val="24"/>
    </w:rPr>
  </w:style>
  <w:style w:type="paragraph" w:styleId="a5">
    <w:name w:val="footer"/>
    <w:basedOn w:val="a"/>
    <w:link w:val="a6"/>
    <w:rsid w:val="00592A2D"/>
    <w:pPr>
      <w:tabs>
        <w:tab w:val="center" w:pos="4153"/>
        <w:tab w:val="right" w:pos="8306"/>
      </w:tabs>
    </w:pPr>
  </w:style>
  <w:style w:type="character" w:customStyle="1" w:styleId="a6">
    <w:name w:val="כותרת תחתונה תו"/>
    <w:link w:val="a5"/>
    <w:rsid w:val="00592A2D"/>
    <w:rPr>
      <w:rFonts w:ascii="Times New Roman" w:eastAsia="Times New Roman" w:hAnsi="Times New Roman" w:cs="David"/>
      <w:sz w:val="24"/>
      <w:szCs w:val="24"/>
    </w:rPr>
  </w:style>
  <w:style w:type="table" w:styleId="a7">
    <w:name w:val="Table Grid"/>
    <w:basedOn w:val="a1"/>
    <w:rsid w:val="00592A2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92A2D"/>
  </w:style>
  <w:style w:type="character" w:styleId="Hyperlink">
    <w:name w:val="Hyperlink"/>
    <w:rsid w:val="00F3027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i" TargetMode="External"/><Relationship Id="rId18" Type="http://schemas.openxmlformats.org/officeDocument/2006/relationships/hyperlink" Target="http://www.nevo.co.il/law/4216" TargetMode="External"/><Relationship Id="rId26" Type="http://schemas.openxmlformats.org/officeDocument/2006/relationships/hyperlink" Target="http://www.nevo.co.il/law/70301" TargetMode="External"/><Relationship Id="rId39" Type="http://schemas.openxmlformats.org/officeDocument/2006/relationships/header" Target="header1.xml"/><Relationship Id="rId21" Type="http://schemas.openxmlformats.org/officeDocument/2006/relationships/hyperlink" Target="http://www.nevo.co.il/law/4216/7a" TargetMode="External"/><Relationship Id="rId34" Type="http://schemas.openxmlformats.org/officeDocument/2006/relationships/hyperlink" Target="http://www.nevo.co.il/case/20936185" TargetMode="External"/><Relationship Id="rId42"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13" TargetMode="External"/><Relationship Id="rId20" Type="http://schemas.openxmlformats.org/officeDocument/2006/relationships/hyperlink" Target="http://www.nevo.co.il/law/4216/19a" TargetMode="External"/><Relationship Id="rId29" Type="http://schemas.openxmlformats.org/officeDocument/2006/relationships/hyperlink" Target="http://www.nevo.co.il/law/70301"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law/4216/19a" TargetMode="External"/><Relationship Id="rId32" Type="http://schemas.openxmlformats.org/officeDocument/2006/relationships/hyperlink" Target="http://www.nevo.co.il/case/21035570" TargetMode="External"/><Relationship Id="rId37" Type="http://schemas.openxmlformats.org/officeDocument/2006/relationships/hyperlink" Target="http://www.nevo.co.il/law/70301"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449" TargetMode="External"/><Relationship Id="rId23" Type="http://schemas.openxmlformats.org/officeDocument/2006/relationships/hyperlink" Target="http://www.nevo.co.il/law/4216/13" TargetMode="External"/><Relationship Id="rId28" Type="http://schemas.openxmlformats.org/officeDocument/2006/relationships/hyperlink" Target="http://www.nevo.co.il/law/70301/40i" TargetMode="External"/><Relationship Id="rId36" Type="http://schemas.openxmlformats.org/officeDocument/2006/relationships/hyperlink" Target="http://www.nevo.co.il/law/70301/40ja" TargetMode="External"/><Relationship Id="rId10" Type="http://schemas.openxmlformats.org/officeDocument/2006/relationships/hyperlink" Target="http://www.nevo.co.il/law/4216/13" TargetMode="External"/><Relationship Id="rId19" Type="http://schemas.openxmlformats.org/officeDocument/2006/relationships/hyperlink" Target="http://www.nevo.co.il/law/4216/13" TargetMode="External"/><Relationship Id="rId31" Type="http://schemas.openxmlformats.org/officeDocument/2006/relationships/hyperlink" Target="http://www.nevo.co.il/case/22240058"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law/4216/7c" TargetMode="External"/><Relationship Id="rId27" Type="http://schemas.openxmlformats.org/officeDocument/2006/relationships/hyperlink" Target="http://www.nevo.co.il/case/23827604" TargetMode="External"/><Relationship Id="rId30" Type="http://schemas.openxmlformats.org/officeDocument/2006/relationships/hyperlink" Target="http://www.nevo.co.il/case/5605484" TargetMode="External"/><Relationship Id="rId35" Type="http://schemas.openxmlformats.org/officeDocument/2006/relationships/hyperlink" Target="http://www.nevo.co.il/case/21980458" TargetMode="External"/><Relationship Id="rId43" Type="http://schemas.openxmlformats.org/officeDocument/2006/relationships/fontTable" Target="fontTable.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19a" TargetMode="External"/><Relationship Id="rId25" Type="http://schemas.openxmlformats.org/officeDocument/2006/relationships/hyperlink" Target="http://www.nevo.co.il/law/70301/449" TargetMode="External"/><Relationship Id="rId33" Type="http://schemas.openxmlformats.org/officeDocument/2006/relationships/hyperlink" Target="http://www.nevo.co.il/case/22973717"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2928</Words>
  <Characters>14640</Characters>
  <Application>Microsoft Office Word</Application>
  <DocSecurity>0</DocSecurity>
  <Lines>122</Lines>
  <Paragraphs>35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17533</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7995492</vt:i4>
      </vt:variant>
      <vt:variant>
        <vt:i4>90</vt:i4>
      </vt:variant>
      <vt:variant>
        <vt:i4>0</vt:i4>
      </vt:variant>
      <vt:variant>
        <vt:i4>5</vt:i4>
      </vt:variant>
      <vt:variant>
        <vt:lpwstr>http://www.nevo.co.il/law/70301</vt:lpwstr>
      </vt:variant>
      <vt:variant>
        <vt:lpwstr/>
      </vt:variant>
      <vt:variant>
        <vt:i4>262155</vt:i4>
      </vt:variant>
      <vt:variant>
        <vt:i4>87</vt:i4>
      </vt:variant>
      <vt:variant>
        <vt:i4>0</vt:i4>
      </vt:variant>
      <vt:variant>
        <vt:i4>5</vt:i4>
      </vt:variant>
      <vt:variant>
        <vt:lpwstr>http://www.nevo.co.il/law/70301/40ja</vt:lpwstr>
      </vt:variant>
      <vt:variant>
        <vt:lpwstr/>
      </vt:variant>
      <vt:variant>
        <vt:i4>4063353</vt:i4>
      </vt:variant>
      <vt:variant>
        <vt:i4>84</vt:i4>
      </vt:variant>
      <vt:variant>
        <vt:i4>0</vt:i4>
      </vt:variant>
      <vt:variant>
        <vt:i4>5</vt:i4>
      </vt:variant>
      <vt:variant>
        <vt:lpwstr>http://www.nevo.co.il/case/21980458</vt:lpwstr>
      </vt:variant>
      <vt:variant>
        <vt:lpwstr/>
      </vt:variant>
      <vt:variant>
        <vt:i4>3473526</vt:i4>
      </vt:variant>
      <vt:variant>
        <vt:i4>81</vt:i4>
      </vt:variant>
      <vt:variant>
        <vt:i4>0</vt:i4>
      </vt:variant>
      <vt:variant>
        <vt:i4>5</vt:i4>
      </vt:variant>
      <vt:variant>
        <vt:lpwstr>http://www.nevo.co.il/case/20936185</vt:lpwstr>
      </vt:variant>
      <vt:variant>
        <vt:lpwstr/>
      </vt:variant>
      <vt:variant>
        <vt:i4>3735670</vt:i4>
      </vt:variant>
      <vt:variant>
        <vt:i4>78</vt:i4>
      </vt:variant>
      <vt:variant>
        <vt:i4>0</vt:i4>
      </vt:variant>
      <vt:variant>
        <vt:i4>5</vt:i4>
      </vt:variant>
      <vt:variant>
        <vt:lpwstr>http://www.nevo.co.il/case/22973717</vt:lpwstr>
      </vt:variant>
      <vt:variant>
        <vt:lpwstr/>
      </vt:variant>
      <vt:variant>
        <vt:i4>3145843</vt:i4>
      </vt:variant>
      <vt:variant>
        <vt:i4>75</vt:i4>
      </vt:variant>
      <vt:variant>
        <vt:i4>0</vt:i4>
      </vt:variant>
      <vt:variant>
        <vt:i4>5</vt:i4>
      </vt:variant>
      <vt:variant>
        <vt:lpwstr>http://www.nevo.co.il/case/21035570</vt:lpwstr>
      </vt:variant>
      <vt:variant>
        <vt:lpwstr/>
      </vt:variant>
      <vt:variant>
        <vt:i4>3473522</vt:i4>
      </vt:variant>
      <vt:variant>
        <vt:i4>72</vt:i4>
      </vt:variant>
      <vt:variant>
        <vt:i4>0</vt:i4>
      </vt:variant>
      <vt:variant>
        <vt:i4>5</vt:i4>
      </vt:variant>
      <vt:variant>
        <vt:lpwstr>http://www.nevo.co.il/case/22240058</vt:lpwstr>
      </vt:variant>
      <vt:variant>
        <vt:lpwstr/>
      </vt:variant>
      <vt:variant>
        <vt:i4>3473535</vt:i4>
      </vt:variant>
      <vt:variant>
        <vt:i4>69</vt:i4>
      </vt:variant>
      <vt:variant>
        <vt:i4>0</vt:i4>
      </vt:variant>
      <vt:variant>
        <vt:i4>5</vt:i4>
      </vt:variant>
      <vt:variant>
        <vt:lpwstr>http://www.nevo.co.il/case/5605484</vt:lpwstr>
      </vt:variant>
      <vt:variant>
        <vt:lpwstr/>
      </vt:variant>
      <vt:variant>
        <vt:i4>7995492</vt:i4>
      </vt:variant>
      <vt:variant>
        <vt:i4>66</vt:i4>
      </vt:variant>
      <vt:variant>
        <vt:i4>0</vt:i4>
      </vt:variant>
      <vt:variant>
        <vt:i4>5</vt:i4>
      </vt:variant>
      <vt:variant>
        <vt:lpwstr>http://www.nevo.co.il/law/70301</vt:lpwstr>
      </vt:variant>
      <vt:variant>
        <vt:lpwstr/>
      </vt:variant>
      <vt:variant>
        <vt:i4>6619233</vt:i4>
      </vt:variant>
      <vt:variant>
        <vt:i4>63</vt:i4>
      </vt:variant>
      <vt:variant>
        <vt:i4>0</vt:i4>
      </vt:variant>
      <vt:variant>
        <vt:i4>5</vt:i4>
      </vt:variant>
      <vt:variant>
        <vt:lpwstr>http://www.nevo.co.il/law/70301/40i</vt:lpwstr>
      </vt:variant>
      <vt:variant>
        <vt:lpwstr/>
      </vt:variant>
      <vt:variant>
        <vt:i4>3997811</vt:i4>
      </vt:variant>
      <vt:variant>
        <vt:i4>60</vt:i4>
      </vt:variant>
      <vt:variant>
        <vt:i4>0</vt:i4>
      </vt:variant>
      <vt:variant>
        <vt:i4>5</vt:i4>
      </vt:variant>
      <vt:variant>
        <vt:lpwstr>http://www.nevo.co.il/case/23827604</vt:lpwstr>
      </vt:variant>
      <vt:variant>
        <vt:lpwstr/>
      </vt:variant>
      <vt:variant>
        <vt:i4>7995492</vt:i4>
      </vt:variant>
      <vt:variant>
        <vt:i4>57</vt:i4>
      </vt:variant>
      <vt:variant>
        <vt:i4>0</vt:i4>
      </vt:variant>
      <vt:variant>
        <vt:i4>5</vt:i4>
      </vt:variant>
      <vt:variant>
        <vt:lpwstr>http://www.nevo.co.il/law/70301</vt:lpwstr>
      </vt:variant>
      <vt:variant>
        <vt:lpwstr/>
      </vt:variant>
      <vt:variant>
        <vt:i4>6357089</vt:i4>
      </vt:variant>
      <vt:variant>
        <vt:i4>54</vt:i4>
      </vt:variant>
      <vt:variant>
        <vt:i4>0</vt:i4>
      </vt:variant>
      <vt:variant>
        <vt:i4>5</vt:i4>
      </vt:variant>
      <vt:variant>
        <vt:lpwstr>http://www.nevo.co.il/law/70301/449</vt:lpwstr>
      </vt:variant>
      <vt:variant>
        <vt:lpwstr/>
      </vt:variant>
      <vt:variant>
        <vt:i4>3014771</vt:i4>
      </vt:variant>
      <vt:variant>
        <vt:i4>51</vt:i4>
      </vt:variant>
      <vt:variant>
        <vt:i4>0</vt:i4>
      </vt:variant>
      <vt:variant>
        <vt:i4>5</vt:i4>
      </vt:variant>
      <vt:variant>
        <vt:lpwstr>http://www.nevo.co.il/law/4216/19a</vt:lpwstr>
      </vt:variant>
      <vt:variant>
        <vt:lpwstr/>
      </vt:variant>
      <vt:variant>
        <vt:i4>5177418</vt:i4>
      </vt:variant>
      <vt:variant>
        <vt:i4>48</vt:i4>
      </vt:variant>
      <vt:variant>
        <vt:i4>0</vt:i4>
      </vt:variant>
      <vt:variant>
        <vt:i4>5</vt:i4>
      </vt:variant>
      <vt:variant>
        <vt:lpwstr>http://www.nevo.co.il/law/4216/13</vt:lpwstr>
      </vt:variant>
      <vt:variant>
        <vt:lpwstr/>
      </vt:variant>
      <vt:variant>
        <vt:i4>4784202</vt:i4>
      </vt:variant>
      <vt:variant>
        <vt:i4>45</vt:i4>
      </vt:variant>
      <vt:variant>
        <vt:i4>0</vt:i4>
      </vt:variant>
      <vt:variant>
        <vt:i4>5</vt:i4>
      </vt:variant>
      <vt:variant>
        <vt:lpwstr>http://www.nevo.co.il/law/4216/7c</vt:lpwstr>
      </vt:variant>
      <vt:variant>
        <vt:lpwstr/>
      </vt:variant>
      <vt:variant>
        <vt:i4>4784202</vt:i4>
      </vt:variant>
      <vt:variant>
        <vt:i4>42</vt:i4>
      </vt:variant>
      <vt:variant>
        <vt:i4>0</vt:i4>
      </vt:variant>
      <vt:variant>
        <vt:i4>5</vt:i4>
      </vt:variant>
      <vt:variant>
        <vt:lpwstr>http://www.nevo.co.il/law/4216/7a</vt:lpwstr>
      </vt:variant>
      <vt:variant>
        <vt:lpwstr/>
      </vt:variant>
      <vt:variant>
        <vt:i4>3014771</vt:i4>
      </vt:variant>
      <vt:variant>
        <vt:i4>39</vt:i4>
      </vt:variant>
      <vt:variant>
        <vt:i4>0</vt:i4>
      </vt:variant>
      <vt:variant>
        <vt:i4>5</vt:i4>
      </vt:variant>
      <vt:variant>
        <vt:lpwstr>http://www.nevo.co.il/law/4216/19a</vt:lpwstr>
      </vt:variant>
      <vt:variant>
        <vt:lpwstr/>
      </vt:variant>
      <vt:variant>
        <vt:i4>5177418</vt:i4>
      </vt:variant>
      <vt:variant>
        <vt:i4>36</vt:i4>
      </vt:variant>
      <vt:variant>
        <vt:i4>0</vt:i4>
      </vt:variant>
      <vt:variant>
        <vt:i4>5</vt:i4>
      </vt:variant>
      <vt:variant>
        <vt:lpwstr>http://www.nevo.co.il/law/4216/13</vt:lpwstr>
      </vt:variant>
      <vt:variant>
        <vt:lpwstr/>
      </vt:variant>
      <vt:variant>
        <vt:i4>8257637</vt:i4>
      </vt:variant>
      <vt:variant>
        <vt:i4>33</vt:i4>
      </vt:variant>
      <vt:variant>
        <vt:i4>0</vt:i4>
      </vt:variant>
      <vt:variant>
        <vt:i4>5</vt:i4>
      </vt:variant>
      <vt:variant>
        <vt:lpwstr>http://www.nevo.co.il/law/4216</vt:lpwstr>
      </vt:variant>
      <vt:variant>
        <vt:lpwstr/>
      </vt:variant>
      <vt:variant>
        <vt:i4>3014771</vt:i4>
      </vt:variant>
      <vt:variant>
        <vt:i4>30</vt:i4>
      </vt:variant>
      <vt:variant>
        <vt:i4>0</vt:i4>
      </vt:variant>
      <vt:variant>
        <vt:i4>5</vt:i4>
      </vt:variant>
      <vt:variant>
        <vt:lpwstr>http://www.nevo.co.il/law/4216/19a</vt:lpwstr>
      </vt:variant>
      <vt:variant>
        <vt:lpwstr/>
      </vt:variant>
      <vt:variant>
        <vt:i4>5177418</vt:i4>
      </vt:variant>
      <vt:variant>
        <vt:i4>27</vt:i4>
      </vt:variant>
      <vt:variant>
        <vt:i4>0</vt:i4>
      </vt:variant>
      <vt:variant>
        <vt:i4>5</vt:i4>
      </vt:variant>
      <vt:variant>
        <vt:lpwstr>http://www.nevo.co.il/law/4216/13</vt:lpwstr>
      </vt:variant>
      <vt:variant>
        <vt:lpwstr/>
      </vt:variant>
      <vt:variant>
        <vt:i4>6357089</vt:i4>
      </vt:variant>
      <vt:variant>
        <vt:i4>24</vt:i4>
      </vt:variant>
      <vt:variant>
        <vt:i4>0</vt:i4>
      </vt:variant>
      <vt:variant>
        <vt:i4>5</vt:i4>
      </vt:variant>
      <vt:variant>
        <vt:lpwstr>http://www.nevo.co.il/law/70301/449</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6619233</vt:i4>
      </vt:variant>
      <vt:variant>
        <vt:i4>18</vt:i4>
      </vt:variant>
      <vt:variant>
        <vt:i4>0</vt:i4>
      </vt:variant>
      <vt:variant>
        <vt:i4>5</vt:i4>
      </vt:variant>
      <vt:variant>
        <vt:lpwstr>http://www.nevo.co.il/law/70301/40i</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4784202</vt:i4>
      </vt:variant>
      <vt:variant>
        <vt:i4>6</vt:i4>
      </vt:variant>
      <vt:variant>
        <vt:i4>0</vt:i4>
      </vt:variant>
      <vt:variant>
        <vt:i4>5</vt:i4>
      </vt:variant>
      <vt:variant>
        <vt:lpwstr>http://www.nevo.co.il/law/4216/7c</vt:lpwstr>
      </vt:variant>
      <vt:variant>
        <vt:lpwstr/>
      </vt:variant>
      <vt:variant>
        <vt:i4>4784202</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2025-04-22T23:41:00Z</dcterms:created>
  <dcterms:modified xsi:type="dcterms:W3CDTF">2025-04-22T23:41:00Z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50693</vt:lpwstr>
  </property>
  <property fmtid="{D5CDD505-2E9C-101B-9397-08002B2CF9AE}" pid="6" name="NEWPARTB">
    <vt:lpwstr>02</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דוד יהונתן מדינה</vt:lpwstr>
  </property>
  <property fmtid="{D5CDD505-2E9C-101B-9397-08002B2CF9AE}" pid="10" name="LAWYER">
    <vt:lpwstr>ארז בר צבי</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20190630</vt:lpwstr>
  </property>
  <property fmtid="{D5CDD505-2E9C-101B-9397-08002B2CF9AE}" pid="14" name="TYPE_N_DATE">
    <vt:lpwstr>38020190630</vt:lpwstr>
  </property>
  <property fmtid="{D5CDD505-2E9C-101B-9397-08002B2CF9AE}" pid="15" name="CASESLISTTMP1">
    <vt:lpwstr>23827604;5605484;22240058;21035570;22973717;20936185;21980458</vt:lpwstr>
  </property>
  <property fmtid="{D5CDD505-2E9C-101B-9397-08002B2CF9AE}" pid="16" name="CASENOTES1">
    <vt:lpwstr>ProcID=174;133;209&amp;PartA=3343&amp;PartC=07</vt:lpwstr>
  </property>
  <property fmtid="{D5CDD505-2E9C-101B-9397-08002B2CF9AE}" pid="17" name="WORDNUMPAGES">
    <vt:lpwstr>9</vt:lpwstr>
  </property>
  <property fmtid="{D5CDD505-2E9C-101B-9397-08002B2CF9AE}" pid="18" name="TYPE_ABS_DATE">
    <vt:lpwstr>380020190630</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4216/013:3;019a:3;007a;007c</vt:lpwstr>
  </property>
  <property fmtid="{D5CDD505-2E9C-101B-9397-08002B2CF9AE}" pid="38" name="LAWLISTTMP2">
    <vt:lpwstr>70301/449;040i;40ja</vt:lpwstr>
  </property>
</Properties>
</file>