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564E42" w:rsidRPr="00BF417E" w14:paraId="34186931" w14:textId="77777777" w:rsidTr="007D5911">
        <w:trPr>
          <w:trHeight w:hRule="exact" w:val="418"/>
          <w:jc w:val="center"/>
        </w:trPr>
        <w:tc>
          <w:tcPr>
            <w:tcW w:w="8721" w:type="dxa"/>
            <w:gridSpan w:val="2"/>
          </w:tcPr>
          <w:p w14:paraId="10A20EA4" w14:textId="77777777" w:rsidR="00564E42" w:rsidRPr="00BF417E" w:rsidRDefault="00564E42" w:rsidP="005051CF">
            <w:pPr>
              <w:pStyle w:val="a3"/>
              <w:jc w:val="center"/>
              <w:rPr>
                <w:rFonts w:ascii="Tahoma" w:hAnsi="Tahoma" w:cs="Tahoma"/>
                <w:color w:val="000080"/>
                <w:rtl/>
              </w:rPr>
            </w:pPr>
            <w:bookmarkStart w:id="0" w:name="FirstLawyer"/>
            <w:bookmarkStart w:id="1" w:name="LastJudge"/>
            <w:r w:rsidRPr="00BF417E">
              <w:rPr>
                <w:rFonts w:ascii="FrankRuehl" w:hAnsi="FrankRuehl" w:cs="FrankRuehl"/>
                <w:b/>
                <w:bCs/>
                <w:color w:val="000080"/>
                <w:sz w:val="28"/>
                <w:szCs w:val="28"/>
                <w:rtl/>
              </w:rPr>
              <w:t>בית משפט השלום בירושלים</w:t>
            </w:r>
          </w:p>
        </w:tc>
      </w:tr>
      <w:tr w:rsidR="00564E42" w:rsidRPr="00BF417E" w14:paraId="1A7AB9D0" w14:textId="77777777" w:rsidTr="007D5911">
        <w:trPr>
          <w:trHeight w:val="337"/>
          <w:jc w:val="center"/>
        </w:trPr>
        <w:tc>
          <w:tcPr>
            <w:tcW w:w="5054" w:type="dxa"/>
          </w:tcPr>
          <w:p w14:paraId="27885ECF" w14:textId="77777777" w:rsidR="00564E42" w:rsidRPr="00BF417E" w:rsidRDefault="00564E42" w:rsidP="005051CF">
            <w:pPr>
              <w:rPr>
                <w:rFonts w:cs="FrankRuehl"/>
                <w:sz w:val="28"/>
                <w:szCs w:val="28"/>
                <w:rtl/>
              </w:rPr>
            </w:pPr>
            <w:r w:rsidRPr="00BF417E">
              <w:rPr>
                <w:rFonts w:cs="FrankRuehl"/>
                <w:sz w:val="28"/>
                <w:szCs w:val="28"/>
                <w:rtl/>
              </w:rPr>
              <w:t>ת"פ</w:t>
            </w:r>
            <w:r w:rsidRPr="00BF417E">
              <w:rPr>
                <w:rFonts w:cs="FrankRuehl" w:hint="cs"/>
                <w:sz w:val="28"/>
                <w:szCs w:val="28"/>
                <w:rtl/>
              </w:rPr>
              <w:t xml:space="preserve"> </w:t>
            </w:r>
            <w:hyperlink r:id="rId6" w:history="1">
              <w:r w:rsidR="00C37AEC" w:rsidRPr="00C37AEC">
                <w:rPr>
                  <w:rFonts w:cs="FrankRuehl"/>
                  <w:color w:val="0000FF"/>
                  <w:sz w:val="28"/>
                  <w:szCs w:val="28"/>
                  <w:u w:val="single"/>
                  <w:rtl/>
                </w:rPr>
                <w:t>59205-02-18</w:t>
              </w:r>
            </w:hyperlink>
            <w:r w:rsidRPr="00BF417E">
              <w:rPr>
                <w:rFonts w:cs="FrankRuehl" w:hint="cs"/>
                <w:sz w:val="28"/>
                <w:szCs w:val="28"/>
                <w:rtl/>
              </w:rPr>
              <w:t xml:space="preserve"> </w:t>
            </w:r>
            <w:r w:rsidRPr="00BF417E">
              <w:rPr>
                <w:rFonts w:cs="FrankRuehl"/>
                <w:sz w:val="28"/>
                <w:szCs w:val="28"/>
                <w:rtl/>
              </w:rPr>
              <w:t>מדינת ישראל נ' סקורי</w:t>
            </w:r>
          </w:p>
          <w:p w14:paraId="35A9F528" w14:textId="77777777" w:rsidR="00564E42" w:rsidRPr="00BF417E" w:rsidRDefault="00564E42" w:rsidP="005051CF">
            <w:pPr>
              <w:rPr>
                <w:rFonts w:cs="FrankRuehl"/>
                <w:sz w:val="28"/>
                <w:szCs w:val="28"/>
                <w:rtl/>
              </w:rPr>
            </w:pPr>
            <w:r w:rsidRPr="00BF417E">
              <w:rPr>
                <w:rFonts w:cs="FrankRuehl"/>
                <w:sz w:val="28"/>
                <w:szCs w:val="28"/>
                <w:rtl/>
              </w:rPr>
              <w:t>ת"פ</w:t>
            </w:r>
            <w:r w:rsidRPr="00BF417E">
              <w:rPr>
                <w:rFonts w:cs="FrankRuehl" w:hint="cs"/>
                <w:sz w:val="28"/>
                <w:szCs w:val="28"/>
                <w:rtl/>
              </w:rPr>
              <w:t xml:space="preserve"> </w:t>
            </w:r>
            <w:hyperlink r:id="rId7" w:history="1">
              <w:r w:rsidR="00C37AEC" w:rsidRPr="00C37AEC">
                <w:rPr>
                  <w:rFonts w:cs="FrankRuehl"/>
                  <w:color w:val="0000FF"/>
                  <w:sz w:val="28"/>
                  <w:szCs w:val="28"/>
                  <w:u w:val="single"/>
                  <w:rtl/>
                </w:rPr>
                <w:t>54825-01-19</w:t>
              </w:r>
            </w:hyperlink>
            <w:r w:rsidRPr="00BF417E">
              <w:rPr>
                <w:rFonts w:cs="FrankRuehl" w:hint="cs"/>
                <w:sz w:val="28"/>
                <w:szCs w:val="28"/>
                <w:rtl/>
              </w:rPr>
              <w:t xml:space="preserve"> </w:t>
            </w:r>
            <w:r w:rsidRPr="00BF417E">
              <w:rPr>
                <w:rFonts w:cs="FrankRuehl"/>
                <w:sz w:val="28"/>
                <w:szCs w:val="28"/>
                <w:rtl/>
              </w:rPr>
              <w:t>מדינת ישראל נ' סקורי</w:t>
            </w:r>
          </w:p>
          <w:p w14:paraId="542EBDB9" w14:textId="77777777" w:rsidR="00564E42" w:rsidRPr="00BF417E" w:rsidRDefault="00564E42" w:rsidP="005051CF">
            <w:pPr>
              <w:pStyle w:val="a3"/>
              <w:rPr>
                <w:rFonts w:cs="FrankRuehl"/>
                <w:sz w:val="28"/>
                <w:szCs w:val="28"/>
                <w:rtl/>
              </w:rPr>
            </w:pPr>
          </w:p>
        </w:tc>
        <w:tc>
          <w:tcPr>
            <w:tcW w:w="3667" w:type="dxa"/>
          </w:tcPr>
          <w:p w14:paraId="203132E8" w14:textId="77777777" w:rsidR="00564E42" w:rsidRPr="00BF417E" w:rsidRDefault="00564E42" w:rsidP="005051CF">
            <w:pPr>
              <w:pStyle w:val="a3"/>
              <w:jc w:val="right"/>
              <w:rPr>
                <w:rFonts w:cs="FrankRuehl"/>
                <w:sz w:val="28"/>
                <w:szCs w:val="28"/>
                <w:rtl/>
              </w:rPr>
            </w:pPr>
          </w:p>
        </w:tc>
      </w:tr>
    </w:tbl>
    <w:p w14:paraId="713717A2" w14:textId="77777777" w:rsidR="00564E42" w:rsidRPr="00BF417E" w:rsidRDefault="00564E42" w:rsidP="00564E42">
      <w:pPr>
        <w:pStyle w:val="a3"/>
        <w:rPr>
          <w:rtl/>
        </w:rPr>
      </w:pPr>
      <w:r w:rsidRPr="00BF417E">
        <w:rPr>
          <w:rFonts w:hint="cs"/>
          <w:rtl/>
        </w:rPr>
        <w:t xml:space="preserve"> </w:t>
      </w:r>
    </w:p>
    <w:p w14:paraId="69928F18" w14:textId="77777777" w:rsidR="00564E42" w:rsidRPr="00BF417E" w:rsidRDefault="00564E42" w:rsidP="00564E42">
      <w:pPr>
        <w:rPr>
          <w:sz w:val="28"/>
          <w:szCs w:val="28"/>
          <w:rtl/>
        </w:rPr>
      </w:pPr>
    </w:p>
    <w:p w14:paraId="368885A1" w14:textId="77777777" w:rsidR="00564E42" w:rsidRPr="00BF417E" w:rsidRDefault="00564E42" w:rsidP="00564E42">
      <w:pPr>
        <w:rPr>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626"/>
        <w:gridCol w:w="2271"/>
      </w:tblGrid>
      <w:tr w:rsidR="00564E42" w:rsidRPr="00BF417E" w14:paraId="6560DA59" w14:textId="77777777" w:rsidTr="00564E42">
        <w:trPr>
          <w:trHeight w:val="295"/>
          <w:jc w:val="center"/>
        </w:trPr>
        <w:tc>
          <w:tcPr>
            <w:tcW w:w="923" w:type="dxa"/>
            <w:tcBorders>
              <w:top w:val="nil"/>
              <w:left w:val="nil"/>
              <w:bottom w:val="nil"/>
              <w:right w:val="nil"/>
            </w:tcBorders>
            <w:shd w:val="clear" w:color="auto" w:fill="auto"/>
          </w:tcPr>
          <w:p w14:paraId="2E7B3945" w14:textId="77777777" w:rsidR="00564E42" w:rsidRPr="00BF417E" w:rsidRDefault="00564E42" w:rsidP="00564E42">
            <w:pPr>
              <w:jc w:val="both"/>
              <w:rPr>
                <w:rFonts w:ascii="FrankRuehl" w:hAnsi="FrankRuehl" w:cs="FrankRuehl"/>
                <w:b/>
                <w:bCs/>
                <w:sz w:val="28"/>
                <w:szCs w:val="28"/>
              </w:rPr>
            </w:pPr>
            <w:r w:rsidRPr="00BF417E">
              <w:rPr>
                <w:rFonts w:ascii="FrankRuehl" w:hAnsi="FrankRuehl" w:cs="FrankRuehl"/>
                <w:b/>
                <w:bCs/>
                <w:sz w:val="28"/>
                <w:szCs w:val="28"/>
                <w:rtl/>
              </w:rPr>
              <w:t xml:space="preserve">בפני </w:t>
            </w:r>
          </w:p>
        </w:tc>
        <w:tc>
          <w:tcPr>
            <w:tcW w:w="7897" w:type="dxa"/>
            <w:gridSpan w:val="2"/>
            <w:tcBorders>
              <w:top w:val="nil"/>
              <w:left w:val="nil"/>
              <w:bottom w:val="nil"/>
              <w:right w:val="nil"/>
            </w:tcBorders>
            <w:shd w:val="clear" w:color="auto" w:fill="auto"/>
          </w:tcPr>
          <w:p w14:paraId="4850E65B" w14:textId="77777777" w:rsidR="00564E42" w:rsidRPr="00BF417E" w:rsidRDefault="00564E42" w:rsidP="005051CF">
            <w:pPr>
              <w:rPr>
                <w:rFonts w:ascii="FrankRuehl" w:hAnsi="FrankRuehl" w:cs="FrankRuehl"/>
                <w:b/>
                <w:bCs/>
                <w:sz w:val="28"/>
                <w:szCs w:val="28"/>
                <w:rtl/>
              </w:rPr>
            </w:pPr>
            <w:r w:rsidRPr="00BF417E">
              <w:rPr>
                <w:rFonts w:ascii="FrankRuehl" w:hAnsi="FrankRuehl" w:cs="FrankRuehl"/>
                <w:b/>
                <w:bCs/>
                <w:sz w:val="28"/>
                <w:szCs w:val="28"/>
                <w:rtl/>
              </w:rPr>
              <w:t>כבוד השופט  דוד שאול גבאי ריכטר</w:t>
            </w:r>
          </w:p>
          <w:p w14:paraId="62A2062D" w14:textId="77777777" w:rsidR="00564E42" w:rsidRPr="00BF417E" w:rsidRDefault="00564E42" w:rsidP="005051CF">
            <w:pPr>
              <w:rPr>
                <w:rFonts w:ascii="FrankRuehl" w:hAnsi="FrankRuehl" w:cs="FrankRuehl"/>
                <w:b/>
                <w:bCs/>
                <w:sz w:val="28"/>
                <w:szCs w:val="28"/>
                <w:rtl/>
              </w:rPr>
            </w:pPr>
          </w:p>
          <w:p w14:paraId="7CD3D35F" w14:textId="77777777" w:rsidR="00564E42" w:rsidRPr="00BF417E" w:rsidRDefault="00564E42" w:rsidP="00564E42">
            <w:pPr>
              <w:jc w:val="both"/>
              <w:rPr>
                <w:rFonts w:ascii="FrankRuehl" w:hAnsi="FrankRuehl" w:cs="FrankRuehl"/>
                <w:b/>
                <w:bCs/>
                <w:sz w:val="28"/>
                <w:szCs w:val="28"/>
              </w:rPr>
            </w:pPr>
          </w:p>
        </w:tc>
      </w:tr>
      <w:tr w:rsidR="00564E42" w:rsidRPr="00BF417E" w14:paraId="247C4F62" w14:textId="77777777" w:rsidTr="00564E42">
        <w:trPr>
          <w:trHeight w:val="355"/>
          <w:jc w:val="center"/>
        </w:trPr>
        <w:tc>
          <w:tcPr>
            <w:tcW w:w="923" w:type="dxa"/>
            <w:tcBorders>
              <w:top w:val="nil"/>
              <w:left w:val="nil"/>
              <w:bottom w:val="nil"/>
              <w:right w:val="nil"/>
            </w:tcBorders>
            <w:shd w:val="clear" w:color="auto" w:fill="auto"/>
          </w:tcPr>
          <w:p w14:paraId="4FA56578" w14:textId="77777777" w:rsidR="00564E42" w:rsidRPr="00BF417E" w:rsidRDefault="00564E42" w:rsidP="00564E42">
            <w:pPr>
              <w:jc w:val="both"/>
              <w:rPr>
                <w:rFonts w:ascii="FrankRuehl" w:hAnsi="FrankRuehl" w:cs="FrankRuehl"/>
                <w:b/>
                <w:bCs/>
                <w:sz w:val="28"/>
                <w:szCs w:val="28"/>
              </w:rPr>
            </w:pPr>
            <w:bookmarkStart w:id="2" w:name="FirstAppellant"/>
            <w:r w:rsidRPr="00BF417E">
              <w:rPr>
                <w:rFonts w:ascii="FrankRuehl" w:hAnsi="FrankRuehl" w:cs="FrankRuehl"/>
                <w:b/>
                <w:bCs/>
                <w:sz w:val="28"/>
                <w:szCs w:val="28"/>
                <w:rtl/>
              </w:rPr>
              <w:t>בעניין:</w:t>
            </w:r>
          </w:p>
        </w:tc>
        <w:tc>
          <w:tcPr>
            <w:tcW w:w="5626" w:type="dxa"/>
            <w:tcBorders>
              <w:top w:val="nil"/>
              <w:left w:val="nil"/>
              <w:bottom w:val="nil"/>
              <w:right w:val="nil"/>
            </w:tcBorders>
            <w:shd w:val="clear" w:color="auto" w:fill="auto"/>
          </w:tcPr>
          <w:p w14:paraId="17327DF8" w14:textId="77777777" w:rsidR="00564E42" w:rsidRPr="00BF417E" w:rsidRDefault="00564E42" w:rsidP="005051CF">
            <w:pPr>
              <w:rPr>
                <w:rFonts w:ascii="FrankRuehl" w:hAnsi="FrankRuehl" w:cs="FrankRuehl"/>
                <w:b/>
                <w:bCs/>
                <w:sz w:val="28"/>
                <w:szCs w:val="28"/>
              </w:rPr>
            </w:pPr>
            <w:r w:rsidRPr="00BF417E">
              <w:rPr>
                <w:rFonts w:ascii="FrankRuehl" w:hAnsi="FrankRuehl" w:cs="FrankRuehl"/>
                <w:b/>
                <w:bCs/>
                <w:sz w:val="28"/>
                <w:szCs w:val="28"/>
                <w:rtl/>
              </w:rPr>
              <w:t>מדינת ישראל</w:t>
            </w:r>
            <w:r w:rsidRPr="00BF417E">
              <w:rPr>
                <w:rFonts w:ascii="FrankRuehl" w:hAnsi="FrankRuehl" w:cs="FrankRuehl"/>
                <w:b/>
                <w:bCs/>
                <w:sz w:val="28"/>
                <w:szCs w:val="28"/>
                <w:rtl/>
              </w:rPr>
              <w:br/>
              <w:t xml:space="preserve">ע"י תביעות </w:t>
            </w:r>
            <w:r w:rsidRPr="00BF417E">
              <w:rPr>
                <w:rFonts w:ascii="FrankRuehl" w:hAnsi="FrankRuehl" w:cs="FrankRuehl" w:hint="cs"/>
                <w:b/>
                <w:bCs/>
                <w:sz w:val="28"/>
                <w:szCs w:val="28"/>
                <w:rtl/>
              </w:rPr>
              <w:t>ש"י</w:t>
            </w:r>
          </w:p>
        </w:tc>
        <w:tc>
          <w:tcPr>
            <w:tcW w:w="2271" w:type="dxa"/>
            <w:tcBorders>
              <w:top w:val="nil"/>
              <w:left w:val="nil"/>
              <w:bottom w:val="nil"/>
              <w:right w:val="nil"/>
            </w:tcBorders>
            <w:shd w:val="clear" w:color="auto" w:fill="auto"/>
          </w:tcPr>
          <w:p w14:paraId="0717509D" w14:textId="77777777" w:rsidR="00564E42" w:rsidRPr="00BF417E" w:rsidRDefault="00564E42" w:rsidP="00564E42">
            <w:pPr>
              <w:jc w:val="both"/>
              <w:rPr>
                <w:rFonts w:ascii="FrankRuehl" w:hAnsi="FrankRuehl" w:cs="FrankRuehl"/>
                <w:b/>
                <w:bCs/>
                <w:sz w:val="28"/>
                <w:szCs w:val="28"/>
              </w:rPr>
            </w:pPr>
          </w:p>
        </w:tc>
      </w:tr>
      <w:bookmarkEnd w:id="2"/>
      <w:tr w:rsidR="00564E42" w:rsidRPr="00BF417E" w14:paraId="747E87A1" w14:textId="77777777" w:rsidTr="00564E42">
        <w:trPr>
          <w:trHeight w:val="355"/>
          <w:jc w:val="center"/>
        </w:trPr>
        <w:tc>
          <w:tcPr>
            <w:tcW w:w="923" w:type="dxa"/>
            <w:tcBorders>
              <w:top w:val="nil"/>
              <w:left w:val="nil"/>
              <w:bottom w:val="nil"/>
              <w:right w:val="nil"/>
            </w:tcBorders>
            <w:shd w:val="clear" w:color="auto" w:fill="auto"/>
          </w:tcPr>
          <w:p w14:paraId="4FFE2CDB" w14:textId="77777777" w:rsidR="00564E42" w:rsidRPr="00BF417E" w:rsidRDefault="00564E42" w:rsidP="00564E42">
            <w:pPr>
              <w:jc w:val="both"/>
              <w:rPr>
                <w:rFonts w:ascii="FrankRuehl" w:hAnsi="FrankRuehl" w:cs="FrankRuehl"/>
                <w:b/>
                <w:bCs/>
                <w:sz w:val="28"/>
                <w:szCs w:val="28"/>
                <w:rtl/>
              </w:rPr>
            </w:pPr>
          </w:p>
        </w:tc>
        <w:tc>
          <w:tcPr>
            <w:tcW w:w="5626" w:type="dxa"/>
            <w:tcBorders>
              <w:top w:val="nil"/>
              <w:left w:val="nil"/>
              <w:bottom w:val="nil"/>
              <w:right w:val="nil"/>
            </w:tcBorders>
            <w:shd w:val="clear" w:color="auto" w:fill="auto"/>
          </w:tcPr>
          <w:p w14:paraId="650BA79F" w14:textId="77777777" w:rsidR="00564E42" w:rsidRPr="00BF417E" w:rsidRDefault="00564E42" w:rsidP="00564E42">
            <w:pPr>
              <w:jc w:val="both"/>
              <w:rPr>
                <w:rFonts w:ascii="FrankRuehl" w:hAnsi="FrankRuehl" w:cs="FrankRuehl"/>
                <w:b/>
                <w:bCs/>
                <w:sz w:val="28"/>
                <w:szCs w:val="28"/>
                <w:rtl/>
              </w:rPr>
            </w:pPr>
          </w:p>
        </w:tc>
        <w:tc>
          <w:tcPr>
            <w:tcW w:w="2271" w:type="dxa"/>
            <w:tcBorders>
              <w:top w:val="nil"/>
              <w:left w:val="nil"/>
              <w:bottom w:val="nil"/>
              <w:right w:val="nil"/>
            </w:tcBorders>
            <w:shd w:val="clear" w:color="auto" w:fill="auto"/>
          </w:tcPr>
          <w:p w14:paraId="0B2A6558" w14:textId="77777777" w:rsidR="00564E42" w:rsidRPr="00BF417E" w:rsidRDefault="00564E42" w:rsidP="00564E42">
            <w:pPr>
              <w:jc w:val="right"/>
              <w:rPr>
                <w:rFonts w:ascii="FrankRuehl" w:hAnsi="FrankRuehl" w:cs="FrankRuehl"/>
                <w:b/>
                <w:bCs/>
                <w:sz w:val="28"/>
                <w:szCs w:val="28"/>
                <w:rtl/>
              </w:rPr>
            </w:pPr>
            <w:r w:rsidRPr="00BF417E">
              <w:rPr>
                <w:rFonts w:ascii="FrankRuehl" w:hAnsi="FrankRuehl" w:cs="FrankRuehl"/>
                <w:b/>
                <w:bCs/>
                <w:sz w:val="28"/>
                <w:szCs w:val="28"/>
                <w:rtl/>
              </w:rPr>
              <w:t>המאשימה</w:t>
            </w:r>
          </w:p>
        </w:tc>
      </w:tr>
      <w:tr w:rsidR="00564E42" w:rsidRPr="00BF417E" w14:paraId="2A08B9D2" w14:textId="77777777" w:rsidTr="00564E42">
        <w:trPr>
          <w:trHeight w:val="355"/>
          <w:jc w:val="center"/>
        </w:trPr>
        <w:tc>
          <w:tcPr>
            <w:tcW w:w="923" w:type="dxa"/>
            <w:tcBorders>
              <w:top w:val="nil"/>
              <w:left w:val="nil"/>
              <w:bottom w:val="nil"/>
              <w:right w:val="nil"/>
            </w:tcBorders>
            <w:shd w:val="clear" w:color="auto" w:fill="auto"/>
          </w:tcPr>
          <w:p w14:paraId="35262134" w14:textId="77777777" w:rsidR="00564E42" w:rsidRPr="00BF417E" w:rsidRDefault="00564E42" w:rsidP="00564E42">
            <w:pPr>
              <w:jc w:val="both"/>
              <w:rPr>
                <w:rFonts w:ascii="FrankRuehl" w:hAnsi="FrankRuehl" w:cs="FrankRuehl"/>
                <w:b/>
                <w:bCs/>
                <w:sz w:val="28"/>
                <w:szCs w:val="28"/>
                <w:rtl/>
              </w:rPr>
            </w:pPr>
          </w:p>
        </w:tc>
        <w:tc>
          <w:tcPr>
            <w:tcW w:w="7897" w:type="dxa"/>
            <w:gridSpan w:val="2"/>
            <w:tcBorders>
              <w:top w:val="nil"/>
              <w:left w:val="nil"/>
              <w:bottom w:val="nil"/>
              <w:right w:val="nil"/>
            </w:tcBorders>
            <w:shd w:val="clear" w:color="auto" w:fill="auto"/>
          </w:tcPr>
          <w:p w14:paraId="12D48928" w14:textId="77777777" w:rsidR="00564E42" w:rsidRPr="00BF417E" w:rsidRDefault="00564E42" w:rsidP="00564E42">
            <w:pPr>
              <w:jc w:val="center"/>
              <w:rPr>
                <w:rFonts w:ascii="FrankRuehl" w:hAnsi="FrankRuehl" w:cs="FrankRuehl"/>
                <w:b/>
                <w:bCs/>
                <w:sz w:val="28"/>
                <w:szCs w:val="28"/>
                <w:rtl/>
              </w:rPr>
            </w:pPr>
          </w:p>
          <w:p w14:paraId="7E9E7F05" w14:textId="77777777" w:rsidR="00564E42" w:rsidRPr="00BF417E" w:rsidRDefault="00564E42" w:rsidP="00564E42">
            <w:pPr>
              <w:jc w:val="center"/>
              <w:rPr>
                <w:rFonts w:ascii="FrankRuehl" w:hAnsi="FrankRuehl" w:cs="FrankRuehl"/>
                <w:b/>
                <w:bCs/>
                <w:sz w:val="28"/>
                <w:szCs w:val="28"/>
                <w:rtl/>
              </w:rPr>
            </w:pPr>
            <w:r w:rsidRPr="00BF417E">
              <w:rPr>
                <w:rFonts w:ascii="FrankRuehl" w:hAnsi="FrankRuehl" w:cs="FrankRuehl"/>
                <w:b/>
                <w:bCs/>
                <w:sz w:val="28"/>
                <w:szCs w:val="28"/>
                <w:rtl/>
              </w:rPr>
              <w:t>נגד</w:t>
            </w:r>
          </w:p>
          <w:p w14:paraId="217BEB90" w14:textId="77777777" w:rsidR="00564E42" w:rsidRPr="00BF417E" w:rsidRDefault="00564E42" w:rsidP="00564E42">
            <w:pPr>
              <w:jc w:val="both"/>
              <w:rPr>
                <w:rFonts w:ascii="FrankRuehl" w:hAnsi="FrankRuehl" w:cs="FrankRuehl"/>
                <w:b/>
                <w:bCs/>
                <w:sz w:val="28"/>
                <w:szCs w:val="28"/>
              </w:rPr>
            </w:pPr>
          </w:p>
        </w:tc>
      </w:tr>
      <w:tr w:rsidR="00564E42" w:rsidRPr="00BF417E" w14:paraId="2E556F57" w14:textId="77777777" w:rsidTr="00564E42">
        <w:trPr>
          <w:trHeight w:val="355"/>
          <w:jc w:val="center"/>
        </w:trPr>
        <w:tc>
          <w:tcPr>
            <w:tcW w:w="923" w:type="dxa"/>
            <w:tcBorders>
              <w:top w:val="nil"/>
              <w:left w:val="nil"/>
              <w:bottom w:val="nil"/>
              <w:right w:val="nil"/>
            </w:tcBorders>
            <w:shd w:val="clear" w:color="auto" w:fill="auto"/>
          </w:tcPr>
          <w:p w14:paraId="2BCD8435" w14:textId="77777777" w:rsidR="00564E42" w:rsidRPr="00BF417E" w:rsidRDefault="00564E42" w:rsidP="005051CF">
            <w:pPr>
              <w:rPr>
                <w:rFonts w:ascii="FrankRuehl" w:hAnsi="FrankRuehl" w:cs="FrankRuehl"/>
                <w:b/>
                <w:bCs/>
                <w:sz w:val="28"/>
                <w:szCs w:val="28"/>
                <w:rtl/>
              </w:rPr>
            </w:pPr>
          </w:p>
        </w:tc>
        <w:tc>
          <w:tcPr>
            <w:tcW w:w="5626" w:type="dxa"/>
            <w:tcBorders>
              <w:top w:val="nil"/>
              <w:left w:val="nil"/>
              <w:bottom w:val="nil"/>
              <w:right w:val="nil"/>
            </w:tcBorders>
            <w:shd w:val="clear" w:color="auto" w:fill="auto"/>
          </w:tcPr>
          <w:p w14:paraId="0655B3B5" w14:textId="77777777" w:rsidR="00564E42" w:rsidRPr="00BF417E" w:rsidRDefault="00564E42" w:rsidP="005051CF">
            <w:pPr>
              <w:rPr>
                <w:rFonts w:ascii="FrankRuehl" w:hAnsi="FrankRuehl" w:cs="FrankRuehl"/>
                <w:b/>
                <w:bCs/>
                <w:sz w:val="28"/>
                <w:szCs w:val="28"/>
                <w:rtl/>
              </w:rPr>
            </w:pPr>
            <w:r w:rsidRPr="00BF417E">
              <w:rPr>
                <w:rFonts w:ascii="FrankRuehl" w:hAnsi="FrankRuehl" w:cs="FrankRuehl"/>
                <w:b/>
                <w:bCs/>
                <w:sz w:val="28"/>
                <w:szCs w:val="28"/>
                <w:rtl/>
              </w:rPr>
              <w:t xml:space="preserve">לירון סקורי </w:t>
            </w:r>
            <w:r w:rsidRPr="00BF417E">
              <w:rPr>
                <w:rFonts w:ascii="FrankRuehl" w:hAnsi="FrankRuehl" w:cs="FrankRuehl"/>
                <w:b/>
                <w:bCs/>
                <w:sz w:val="28"/>
                <w:szCs w:val="28"/>
                <w:rtl/>
              </w:rPr>
              <w:br/>
              <w:t>ע"י ב"כ עו"ד חנן רובינשטיין</w:t>
            </w:r>
            <w:r w:rsidRPr="00BF417E">
              <w:rPr>
                <w:rFonts w:ascii="FrankRuehl" w:hAnsi="FrankRuehl" w:cs="FrankRuehl" w:hint="cs"/>
                <w:b/>
                <w:bCs/>
                <w:sz w:val="28"/>
                <w:szCs w:val="28"/>
                <w:rtl/>
              </w:rPr>
              <w:t xml:space="preserve"> ועו"ד יאיר הרשקוביץ</w:t>
            </w:r>
          </w:p>
        </w:tc>
        <w:tc>
          <w:tcPr>
            <w:tcW w:w="2271" w:type="dxa"/>
            <w:tcBorders>
              <w:top w:val="nil"/>
              <w:left w:val="nil"/>
              <w:bottom w:val="nil"/>
              <w:right w:val="nil"/>
            </w:tcBorders>
            <w:shd w:val="clear" w:color="auto" w:fill="auto"/>
          </w:tcPr>
          <w:p w14:paraId="20DBE10D" w14:textId="77777777" w:rsidR="00564E42" w:rsidRPr="00BF417E" w:rsidRDefault="00564E42" w:rsidP="00564E42">
            <w:pPr>
              <w:jc w:val="right"/>
              <w:rPr>
                <w:rFonts w:ascii="FrankRuehl" w:hAnsi="FrankRuehl" w:cs="FrankRuehl"/>
                <w:b/>
                <w:bCs/>
                <w:sz w:val="28"/>
                <w:szCs w:val="28"/>
              </w:rPr>
            </w:pPr>
          </w:p>
        </w:tc>
      </w:tr>
      <w:tr w:rsidR="00564E42" w:rsidRPr="00BF417E" w14:paraId="489C1A1D" w14:textId="77777777" w:rsidTr="00564E42">
        <w:trPr>
          <w:trHeight w:val="355"/>
          <w:jc w:val="center"/>
        </w:trPr>
        <w:tc>
          <w:tcPr>
            <w:tcW w:w="923" w:type="dxa"/>
            <w:tcBorders>
              <w:top w:val="nil"/>
              <w:left w:val="nil"/>
              <w:bottom w:val="nil"/>
              <w:right w:val="nil"/>
            </w:tcBorders>
            <w:shd w:val="clear" w:color="auto" w:fill="auto"/>
          </w:tcPr>
          <w:p w14:paraId="1E9D1840" w14:textId="77777777" w:rsidR="00564E42" w:rsidRPr="00BF417E" w:rsidRDefault="00564E42" w:rsidP="00564E42">
            <w:pPr>
              <w:jc w:val="both"/>
              <w:rPr>
                <w:rFonts w:ascii="FrankRuehl" w:hAnsi="FrankRuehl" w:cs="FrankRuehl"/>
                <w:b/>
                <w:bCs/>
                <w:sz w:val="28"/>
                <w:szCs w:val="28"/>
                <w:rtl/>
              </w:rPr>
            </w:pPr>
          </w:p>
        </w:tc>
        <w:tc>
          <w:tcPr>
            <w:tcW w:w="5626" w:type="dxa"/>
            <w:tcBorders>
              <w:top w:val="nil"/>
              <w:left w:val="nil"/>
              <w:bottom w:val="nil"/>
              <w:right w:val="nil"/>
            </w:tcBorders>
            <w:shd w:val="clear" w:color="auto" w:fill="auto"/>
          </w:tcPr>
          <w:p w14:paraId="0BB81935" w14:textId="77777777" w:rsidR="00564E42" w:rsidRPr="00BF417E" w:rsidRDefault="00564E42" w:rsidP="00564E42">
            <w:pPr>
              <w:jc w:val="both"/>
              <w:rPr>
                <w:rFonts w:ascii="FrankRuehl" w:hAnsi="FrankRuehl" w:cs="FrankRuehl"/>
                <w:b/>
                <w:bCs/>
                <w:sz w:val="28"/>
                <w:szCs w:val="28"/>
                <w:rtl/>
              </w:rPr>
            </w:pPr>
          </w:p>
        </w:tc>
        <w:tc>
          <w:tcPr>
            <w:tcW w:w="2271" w:type="dxa"/>
            <w:tcBorders>
              <w:top w:val="nil"/>
              <w:left w:val="nil"/>
              <w:bottom w:val="nil"/>
              <w:right w:val="nil"/>
            </w:tcBorders>
            <w:shd w:val="clear" w:color="auto" w:fill="auto"/>
          </w:tcPr>
          <w:p w14:paraId="30ABC472" w14:textId="77777777" w:rsidR="00564E42" w:rsidRPr="00BF417E" w:rsidRDefault="00564E42" w:rsidP="00564E42">
            <w:pPr>
              <w:jc w:val="right"/>
              <w:rPr>
                <w:rFonts w:ascii="FrankRuehl" w:hAnsi="FrankRuehl" w:cs="FrankRuehl"/>
                <w:b/>
                <w:bCs/>
                <w:sz w:val="28"/>
                <w:szCs w:val="28"/>
              </w:rPr>
            </w:pPr>
            <w:r w:rsidRPr="00BF417E">
              <w:rPr>
                <w:rFonts w:ascii="FrankRuehl" w:hAnsi="FrankRuehl" w:cs="FrankRuehl"/>
                <w:b/>
                <w:bCs/>
                <w:sz w:val="28"/>
                <w:szCs w:val="28"/>
                <w:rtl/>
              </w:rPr>
              <w:t>הנאשם</w:t>
            </w:r>
          </w:p>
        </w:tc>
      </w:tr>
    </w:tbl>
    <w:p w14:paraId="27A29611" w14:textId="77777777" w:rsidR="00C37AEC" w:rsidRPr="00C37AEC" w:rsidRDefault="00C37AEC" w:rsidP="00C37AEC">
      <w:pPr>
        <w:spacing w:before="120" w:after="120" w:line="240" w:lineRule="exact"/>
        <w:ind w:left="283" w:hanging="283"/>
        <w:jc w:val="both"/>
        <w:rPr>
          <w:rFonts w:ascii="FrankRuehl" w:hAnsi="FrankRuehl" w:cs="FrankRuehl"/>
          <w:rtl/>
        </w:rPr>
      </w:pPr>
    </w:p>
    <w:p w14:paraId="2363C140" w14:textId="77777777" w:rsidR="00163AE5" w:rsidRDefault="00163AE5" w:rsidP="00163AE5">
      <w:pPr>
        <w:jc w:val="center"/>
        <w:rPr>
          <w:rFonts w:ascii="FrankRuehl" w:hAnsi="FrankRuehl" w:cs="FrankRuehl"/>
          <w:sz w:val="28"/>
          <w:szCs w:val="28"/>
          <w:rtl/>
        </w:rPr>
      </w:pPr>
      <w:bookmarkStart w:id="3" w:name="LawTable"/>
      <w:bookmarkEnd w:id="3"/>
    </w:p>
    <w:p w14:paraId="44F97B22" w14:textId="77777777" w:rsidR="00163AE5" w:rsidRPr="00163AE5" w:rsidRDefault="00163AE5" w:rsidP="00163AE5">
      <w:pPr>
        <w:spacing w:before="120" w:after="120" w:line="240" w:lineRule="exact"/>
        <w:ind w:left="283" w:hanging="283"/>
        <w:jc w:val="both"/>
        <w:rPr>
          <w:rFonts w:ascii="FrankRuehl" w:hAnsi="FrankRuehl" w:cs="FrankRuehl"/>
          <w:rtl/>
        </w:rPr>
      </w:pPr>
    </w:p>
    <w:p w14:paraId="31F59ABF" w14:textId="77777777" w:rsidR="00163AE5" w:rsidRPr="00163AE5" w:rsidRDefault="00163AE5" w:rsidP="00163AE5">
      <w:pPr>
        <w:spacing w:before="120" w:after="120" w:line="240" w:lineRule="exact"/>
        <w:ind w:left="283" w:hanging="283"/>
        <w:jc w:val="both"/>
        <w:rPr>
          <w:rFonts w:ascii="FrankRuehl" w:hAnsi="FrankRuehl" w:cs="FrankRuehl"/>
          <w:rtl/>
        </w:rPr>
      </w:pPr>
    </w:p>
    <w:p w14:paraId="363E7198" w14:textId="77777777" w:rsidR="00163AE5" w:rsidRPr="00163AE5" w:rsidRDefault="00163AE5" w:rsidP="00163AE5">
      <w:pPr>
        <w:spacing w:before="120" w:after="120" w:line="240" w:lineRule="exact"/>
        <w:ind w:left="283" w:hanging="283"/>
        <w:jc w:val="both"/>
        <w:rPr>
          <w:rFonts w:ascii="FrankRuehl" w:hAnsi="FrankRuehl" w:cs="FrankRuehl"/>
          <w:rtl/>
        </w:rPr>
      </w:pPr>
      <w:r w:rsidRPr="00163AE5">
        <w:rPr>
          <w:rFonts w:ascii="FrankRuehl" w:hAnsi="FrankRuehl" w:cs="FrankRuehl"/>
          <w:rtl/>
        </w:rPr>
        <w:t xml:space="preserve">חקיקה שאוזכרה: </w:t>
      </w:r>
    </w:p>
    <w:p w14:paraId="1498B6C1" w14:textId="77777777" w:rsidR="00163AE5" w:rsidRPr="00163AE5" w:rsidRDefault="00163AE5" w:rsidP="00163AE5">
      <w:pPr>
        <w:spacing w:before="120" w:after="120" w:line="240" w:lineRule="exact"/>
        <w:ind w:left="283" w:hanging="283"/>
        <w:jc w:val="both"/>
        <w:rPr>
          <w:rFonts w:ascii="FrankRuehl" w:hAnsi="FrankRuehl" w:cs="FrankRuehl"/>
          <w:rtl/>
        </w:rPr>
      </w:pPr>
      <w:hyperlink r:id="rId8" w:history="1">
        <w:r w:rsidRPr="00163AE5">
          <w:rPr>
            <w:rFonts w:ascii="FrankRuehl" w:hAnsi="FrankRuehl" w:cs="FrankRuehl"/>
            <w:color w:val="0000FF"/>
            <w:rtl/>
          </w:rPr>
          <w:t>פקודת הסמים המסוכנים [נוסח חדש], תשל"ג-1973</w:t>
        </w:r>
      </w:hyperlink>
      <w:r w:rsidRPr="00163AE5">
        <w:rPr>
          <w:rFonts w:ascii="FrankRuehl" w:hAnsi="FrankRuehl" w:cs="FrankRuehl"/>
          <w:rtl/>
        </w:rPr>
        <w:t xml:space="preserve">: סע'  </w:t>
      </w:r>
      <w:hyperlink r:id="rId9" w:history="1">
        <w:r w:rsidRPr="00163AE5">
          <w:rPr>
            <w:rFonts w:ascii="FrankRuehl" w:hAnsi="FrankRuehl" w:cs="FrankRuehl"/>
            <w:color w:val="0000FF"/>
            <w:rtl/>
          </w:rPr>
          <w:t>7(א)</w:t>
        </w:r>
      </w:hyperlink>
      <w:r w:rsidRPr="00163AE5">
        <w:rPr>
          <w:rFonts w:ascii="FrankRuehl" w:hAnsi="FrankRuehl" w:cs="FrankRuehl"/>
          <w:rtl/>
        </w:rPr>
        <w:t xml:space="preserve">, </w:t>
      </w:r>
      <w:hyperlink r:id="rId10" w:history="1">
        <w:r w:rsidRPr="00163AE5">
          <w:rPr>
            <w:rFonts w:ascii="FrankRuehl" w:hAnsi="FrankRuehl" w:cs="FrankRuehl"/>
            <w:color w:val="0000FF"/>
            <w:rtl/>
          </w:rPr>
          <w:t>7(ג)</w:t>
        </w:r>
      </w:hyperlink>
      <w:r w:rsidRPr="00163AE5">
        <w:rPr>
          <w:rFonts w:ascii="FrankRuehl" w:hAnsi="FrankRuehl" w:cs="FrankRuehl"/>
          <w:rtl/>
        </w:rPr>
        <w:t xml:space="preserve">, </w:t>
      </w:r>
      <w:hyperlink r:id="rId11" w:history="1">
        <w:r w:rsidRPr="00163AE5">
          <w:rPr>
            <w:rFonts w:ascii="FrankRuehl" w:hAnsi="FrankRuehl" w:cs="FrankRuehl"/>
            <w:color w:val="0000FF"/>
            <w:rtl/>
          </w:rPr>
          <w:t>10</w:t>
        </w:r>
      </w:hyperlink>
      <w:r w:rsidRPr="00163AE5">
        <w:rPr>
          <w:rFonts w:ascii="FrankRuehl" w:hAnsi="FrankRuehl" w:cs="FrankRuehl"/>
          <w:rtl/>
        </w:rPr>
        <w:t xml:space="preserve">, </w:t>
      </w:r>
      <w:hyperlink r:id="rId12" w:history="1">
        <w:r w:rsidRPr="00163AE5">
          <w:rPr>
            <w:rFonts w:ascii="FrankRuehl" w:hAnsi="FrankRuehl" w:cs="FrankRuehl"/>
            <w:color w:val="0000FF"/>
            <w:rtl/>
          </w:rPr>
          <w:t>13</w:t>
        </w:r>
      </w:hyperlink>
      <w:r w:rsidRPr="00163AE5">
        <w:rPr>
          <w:rFonts w:ascii="FrankRuehl" w:hAnsi="FrankRuehl" w:cs="FrankRuehl"/>
          <w:rtl/>
        </w:rPr>
        <w:t xml:space="preserve">, </w:t>
      </w:r>
      <w:hyperlink r:id="rId13" w:history="1">
        <w:r w:rsidRPr="00163AE5">
          <w:rPr>
            <w:rFonts w:ascii="FrankRuehl" w:hAnsi="FrankRuehl" w:cs="FrankRuehl"/>
            <w:color w:val="0000FF"/>
            <w:rtl/>
          </w:rPr>
          <w:t>19(א)</w:t>
        </w:r>
      </w:hyperlink>
    </w:p>
    <w:p w14:paraId="41A7B81F" w14:textId="77777777" w:rsidR="00163AE5" w:rsidRPr="00163AE5" w:rsidRDefault="00163AE5" w:rsidP="00163AE5">
      <w:pPr>
        <w:spacing w:before="120" w:after="120" w:line="240" w:lineRule="exact"/>
        <w:ind w:left="283" w:hanging="283"/>
        <w:jc w:val="both"/>
        <w:rPr>
          <w:rFonts w:ascii="FrankRuehl" w:hAnsi="FrankRuehl" w:cs="FrankRuehl"/>
          <w:rtl/>
        </w:rPr>
      </w:pPr>
      <w:hyperlink r:id="rId14" w:history="1">
        <w:r w:rsidRPr="00163AE5">
          <w:rPr>
            <w:rFonts w:ascii="FrankRuehl" w:hAnsi="FrankRuehl" w:cs="FrankRuehl"/>
            <w:color w:val="0000FF"/>
            <w:rtl/>
          </w:rPr>
          <w:t>חוק העונשין, תשל"ז-1977</w:t>
        </w:r>
      </w:hyperlink>
      <w:r w:rsidRPr="00163AE5">
        <w:rPr>
          <w:rFonts w:ascii="FrankRuehl" w:hAnsi="FrankRuehl" w:cs="FrankRuehl"/>
          <w:rtl/>
        </w:rPr>
        <w:t xml:space="preserve">: סע'  </w:t>
      </w:r>
      <w:hyperlink r:id="rId15" w:history="1">
        <w:r w:rsidRPr="00163AE5">
          <w:rPr>
            <w:rFonts w:ascii="FrankRuehl" w:hAnsi="FrankRuehl" w:cs="FrankRuehl"/>
            <w:color w:val="0000FF"/>
            <w:rtl/>
          </w:rPr>
          <w:t>29 (א)</w:t>
        </w:r>
      </w:hyperlink>
      <w:r w:rsidRPr="00163AE5">
        <w:rPr>
          <w:rFonts w:ascii="FrankRuehl" w:hAnsi="FrankRuehl" w:cs="FrankRuehl"/>
          <w:rtl/>
        </w:rPr>
        <w:t xml:space="preserve">, </w:t>
      </w:r>
      <w:hyperlink r:id="rId16" w:history="1">
        <w:r w:rsidRPr="00163AE5">
          <w:rPr>
            <w:rFonts w:ascii="FrankRuehl" w:hAnsi="FrankRuehl" w:cs="FrankRuehl"/>
            <w:color w:val="0000FF"/>
            <w:rtl/>
          </w:rPr>
          <w:t>40ט'</w:t>
        </w:r>
      </w:hyperlink>
      <w:r w:rsidRPr="00163AE5">
        <w:rPr>
          <w:rFonts w:ascii="FrankRuehl" w:hAnsi="FrankRuehl" w:cs="FrankRuehl"/>
          <w:rtl/>
        </w:rPr>
        <w:t xml:space="preserve">, </w:t>
      </w:r>
      <w:hyperlink r:id="rId17" w:history="1">
        <w:r w:rsidRPr="00163AE5">
          <w:rPr>
            <w:rFonts w:ascii="FrankRuehl" w:hAnsi="FrankRuehl" w:cs="FrankRuehl"/>
            <w:color w:val="0000FF"/>
            <w:rtl/>
          </w:rPr>
          <w:t>40יא</w:t>
        </w:r>
      </w:hyperlink>
    </w:p>
    <w:p w14:paraId="5A4F44F8" w14:textId="77777777" w:rsidR="00163AE5" w:rsidRPr="00163AE5" w:rsidRDefault="00163AE5" w:rsidP="00163AE5">
      <w:pPr>
        <w:jc w:val="center"/>
        <w:rPr>
          <w:rFonts w:ascii="FrankRuehl" w:hAnsi="FrankRuehl" w:cs="FrankRuehl"/>
          <w:sz w:val="28"/>
          <w:szCs w:val="28"/>
          <w:rtl/>
        </w:rPr>
      </w:pPr>
      <w:bookmarkStart w:id="4" w:name="LawTable_End"/>
      <w:bookmarkEnd w:id="4"/>
    </w:p>
    <w:p w14:paraId="2E15B16A" w14:textId="77777777" w:rsidR="007D5911" w:rsidRPr="00C37AEC" w:rsidRDefault="007D5911" w:rsidP="00C37AEC">
      <w:pPr>
        <w:jc w:val="center"/>
        <w:rPr>
          <w:rFonts w:ascii="FrankRuehl" w:hAnsi="FrankRuehl" w:cs="FrankRuehl"/>
          <w:sz w:val="28"/>
          <w:szCs w:val="28"/>
          <w:rtl/>
        </w:rPr>
      </w:pPr>
    </w:p>
    <w:p w14:paraId="114408C0" w14:textId="77777777" w:rsidR="007D5911" w:rsidRPr="00BF417E" w:rsidRDefault="007D5911" w:rsidP="00BF417E">
      <w:pPr>
        <w:jc w:val="center"/>
        <w:rPr>
          <w:rFonts w:ascii="FrankRuehl" w:hAnsi="FrankRuehl" w:cs="FrankRuehl"/>
          <w:b/>
          <w:bCs/>
          <w:sz w:val="28"/>
          <w:szCs w:val="28"/>
          <w:u w:val="single"/>
          <w:rtl/>
        </w:rPr>
      </w:pPr>
      <w:bookmarkStart w:id="5" w:name="PsakDin"/>
      <w:r w:rsidRPr="00BF417E">
        <w:rPr>
          <w:rFonts w:ascii="FrankRuehl" w:hAnsi="FrankRuehl" w:cs="FrankRuehl"/>
          <w:b/>
          <w:bCs/>
          <w:sz w:val="28"/>
          <w:szCs w:val="28"/>
          <w:u w:val="single"/>
          <w:rtl/>
        </w:rPr>
        <w:t>גזר דין</w:t>
      </w:r>
    </w:p>
    <w:bookmarkEnd w:id="5"/>
    <w:p w14:paraId="7A106E09" w14:textId="77777777" w:rsidR="007D5911" w:rsidRPr="00564E42" w:rsidRDefault="007D5911" w:rsidP="00564E42">
      <w:pPr>
        <w:jc w:val="center"/>
        <w:rPr>
          <w:rFonts w:ascii="FrankRuehl" w:hAnsi="FrankRuehl" w:cs="FrankRuehl"/>
          <w:b/>
          <w:bCs/>
          <w:sz w:val="28"/>
          <w:szCs w:val="28"/>
          <w:u w:val="single"/>
          <w:rtl/>
        </w:rPr>
      </w:pPr>
    </w:p>
    <w:p w14:paraId="635A49A0" w14:textId="77777777" w:rsidR="007D5911" w:rsidRPr="00564E42" w:rsidRDefault="007D5911" w:rsidP="00564E42">
      <w:pPr>
        <w:spacing w:line="360" w:lineRule="auto"/>
        <w:jc w:val="both"/>
        <w:rPr>
          <w:rFonts w:ascii="FrankRuehl" w:hAnsi="FrankRuehl" w:cs="FrankRuehl"/>
          <w:b/>
          <w:bCs/>
          <w:sz w:val="28"/>
          <w:szCs w:val="28"/>
          <w:u w:val="single"/>
        </w:rPr>
      </w:pPr>
      <w:r w:rsidRPr="00564E42">
        <w:rPr>
          <w:rFonts w:ascii="FrankRuehl" w:hAnsi="FrankRuehl" w:cs="FrankRuehl"/>
          <w:b/>
          <w:bCs/>
          <w:sz w:val="28"/>
          <w:szCs w:val="28"/>
          <w:u w:val="single"/>
          <w:rtl/>
        </w:rPr>
        <w:t>כתבי האישום</w:t>
      </w:r>
    </w:p>
    <w:p w14:paraId="19C770CB" w14:textId="77777777" w:rsidR="007D5911" w:rsidRPr="00564E42" w:rsidRDefault="007D5911" w:rsidP="00564E42">
      <w:pPr>
        <w:spacing w:line="360" w:lineRule="auto"/>
        <w:jc w:val="both"/>
        <w:rPr>
          <w:rFonts w:ascii="FrankRuehl" w:hAnsi="FrankRuehl" w:cs="FrankRuehl"/>
          <w:sz w:val="28"/>
          <w:szCs w:val="28"/>
          <w:rtl/>
        </w:rPr>
      </w:pPr>
      <w:bookmarkStart w:id="6" w:name="ABSTRACT_START"/>
      <w:bookmarkEnd w:id="6"/>
      <w:r w:rsidRPr="00564E42">
        <w:rPr>
          <w:rFonts w:ascii="FrankRuehl" w:hAnsi="FrankRuehl" w:cs="FrankRuehl"/>
          <w:sz w:val="28"/>
          <w:szCs w:val="28"/>
          <w:rtl/>
        </w:rPr>
        <w:t>נגד הנאש</w:t>
      </w:r>
      <w:r w:rsidRPr="00564E42">
        <w:rPr>
          <w:rFonts w:ascii="FrankRuehl" w:hAnsi="FrankRuehl" w:cs="FrankRuehl" w:hint="cs"/>
          <w:sz w:val="28"/>
          <w:szCs w:val="28"/>
          <w:rtl/>
        </w:rPr>
        <w:t>ם</w:t>
      </w:r>
      <w:r w:rsidRPr="00564E42">
        <w:rPr>
          <w:rFonts w:ascii="FrankRuehl" w:hAnsi="FrankRuehl" w:cs="FrankRuehl"/>
          <w:sz w:val="28"/>
          <w:szCs w:val="28"/>
          <w:rtl/>
        </w:rPr>
        <w:t xml:space="preserve"> הוגשו שני כתבי אישום בהם הודה במסגרת הסדר טיעון שלא כלל הסכמה עונשית.</w:t>
      </w:r>
    </w:p>
    <w:p w14:paraId="133EE448" w14:textId="77777777" w:rsidR="007D5911" w:rsidRPr="00564E42" w:rsidRDefault="007D5911" w:rsidP="00564E42">
      <w:pPr>
        <w:spacing w:line="360" w:lineRule="auto"/>
        <w:jc w:val="both"/>
        <w:rPr>
          <w:rFonts w:ascii="FrankRuehl" w:hAnsi="FrankRuehl" w:cs="FrankRuehl"/>
          <w:sz w:val="28"/>
          <w:szCs w:val="28"/>
          <w:rtl/>
        </w:rPr>
      </w:pPr>
      <w:bookmarkStart w:id="7" w:name="ABSTRACT_END"/>
      <w:bookmarkEnd w:id="7"/>
    </w:p>
    <w:p w14:paraId="6EC84B09" w14:textId="77777777" w:rsidR="007D5911" w:rsidRPr="00564E42" w:rsidRDefault="007D5911" w:rsidP="00564E42">
      <w:pPr>
        <w:spacing w:line="360" w:lineRule="auto"/>
        <w:jc w:val="both"/>
        <w:rPr>
          <w:rFonts w:ascii="FrankRuehl" w:hAnsi="FrankRuehl" w:cs="FrankRuehl"/>
          <w:sz w:val="28"/>
          <w:szCs w:val="28"/>
          <w:rtl/>
        </w:rPr>
      </w:pPr>
      <w:hyperlink r:id="rId18" w:history="1">
        <w:r w:rsidRPr="00BF417E">
          <w:rPr>
            <w:rFonts w:ascii="FrankRuehl" w:hAnsi="FrankRuehl" w:cs="FrankRuehl"/>
            <w:b/>
            <w:bCs/>
            <w:color w:val="0000FF"/>
            <w:sz w:val="28"/>
            <w:szCs w:val="28"/>
            <w:u w:val="single"/>
            <w:rtl/>
          </w:rPr>
          <w:t>ת"פ 59205-02-18</w:t>
        </w:r>
      </w:hyperlink>
      <w:r w:rsidRPr="00564E42">
        <w:rPr>
          <w:rFonts w:ascii="FrankRuehl" w:hAnsi="FrankRuehl" w:cs="FrankRuehl"/>
          <w:sz w:val="28"/>
          <w:szCs w:val="28"/>
          <w:rtl/>
        </w:rPr>
        <w:t xml:space="preserve"> (</w:t>
      </w:r>
      <w:r w:rsidRPr="00564E42">
        <w:rPr>
          <w:rFonts w:ascii="FrankRuehl" w:hAnsi="FrankRuehl" w:cs="FrankRuehl"/>
          <w:b/>
          <w:bCs/>
          <w:sz w:val="28"/>
          <w:szCs w:val="28"/>
          <w:rtl/>
        </w:rPr>
        <w:t>התיק העיקרי</w:t>
      </w:r>
      <w:r w:rsidRPr="00564E42">
        <w:rPr>
          <w:rFonts w:ascii="FrankRuehl" w:hAnsi="FrankRuehl" w:cs="FrankRuehl"/>
          <w:sz w:val="28"/>
          <w:szCs w:val="28"/>
          <w:rtl/>
        </w:rPr>
        <w:t xml:space="preserve">) </w:t>
      </w:r>
    </w:p>
    <w:p w14:paraId="14F390E8" w14:textId="77777777" w:rsidR="007D5911" w:rsidRPr="00564E42" w:rsidRDefault="007D5911" w:rsidP="00564E42">
      <w:pPr>
        <w:spacing w:after="160" w:line="360" w:lineRule="auto"/>
        <w:jc w:val="both"/>
        <w:rPr>
          <w:rFonts w:ascii="Calibri" w:hAnsi="Calibri" w:cs="FrankRuehl"/>
          <w:sz w:val="28"/>
          <w:szCs w:val="28"/>
          <w:rtl/>
        </w:rPr>
      </w:pPr>
      <w:r w:rsidRPr="00564E42">
        <w:rPr>
          <w:rFonts w:ascii="Calibri" w:hAnsi="Calibri" w:cs="FrankRuehl" w:hint="cs"/>
          <w:b/>
          <w:bCs/>
          <w:sz w:val="28"/>
          <w:szCs w:val="28"/>
          <w:rtl/>
        </w:rPr>
        <w:t>מעובדות האישום הראשון</w:t>
      </w:r>
      <w:r w:rsidRPr="00564E42">
        <w:rPr>
          <w:rFonts w:ascii="Calibri" w:hAnsi="Calibri" w:cs="FrankRuehl" w:hint="cs"/>
          <w:sz w:val="28"/>
          <w:szCs w:val="28"/>
          <w:rtl/>
        </w:rPr>
        <w:t xml:space="preserve"> עולה, כי הנאשם ובת זוגו </w:t>
      </w:r>
      <w:r w:rsidRPr="00564E42">
        <w:rPr>
          <w:rFonts w:ascii="Calibri" w:hAnsi="Calibri" w:cs="FrankRuehl"/>
          <w:sz w:val="28"/>
          <w:szCs w:val="28"/>
          <w:rtl/>
        </w:rPr>
        <w:t>–</w:t>
      </w:r>
      <w:r w:rsidRPr="00564E42">
        <w:rPr>
          <w:rFonts w:ascii="Calibri" w:hAnsi="Calibri" w:cs="FrankRuehl" w:hint="cs"/>
          <w:sz w:val="28"/>
          <w:szCs w:val="28"/>
          <w:rtl/>
        </w:rPr>
        <w:t xml:space="preserve"> שני, מתגוררים יחד במעלה אדומים. במועד שאינו ידוע התקשר הנאשם עם אחר באמצעות אפליקציית "טלגראס" במטרה לבצע עסקה של רכישת סמים. ביום 15.2.2018 בשעה 17:55 פגשה שני באחר והוא מסר לה שקית ירוקה ובה 104.6 גרם נטו קנבוס. תמורת הסם, העבירה שני לאחר סך של 2,500 </w:t>
      </w:r>
      <w:r w:rsidRPr="00564E42">
        <w:rPr>
          <w:rFonts w:ascii="Calibri" w:hAnsi="Calibri" w:cs="FrankRuehl" w:hint="eastAsia"/>
          <w:sz w:val="28"/>
          <w:szCs w:val="28"/>
          <w:rtl/>
        </w:rPr>
        <w:t>₪</w:t>
      </w:r>
      <w:r w:rsidRPr="00564E42">
        <w:rPr>
          <w:rFonts w:ascii="Calibri" w:hAnsi="Calibri" w:cs="FrankRuehl" w:hint="cs"/>
          <w:sz w:val="28"/>
          <w:szCs w:val="28"/>
          <w:rtl/>
        </w:rPr>
        <w:t xml:space="preserve"> אותו העבירה שני </w:t>
      </w:r>
      <w:r w:rsidRPr="00564E42">
        <w:rPr>
          <w:rFonts w:ascii="Calibri" w:hAnsi="Calibri" w:cs="FrankRuehl" w:hint="cs"/>
          <w:sz w:val="28"/>
          <w:szCs w:val="28"/>
          <w:rtl/>
        </w:rPr>
        <w:lastRenderedPageBreak/>
        <w:t xml:space="preserve">לנאשם, אשר הטמין את הכסף בתוך ביתם. בהמשך אותו יום נמצאו בביתם של הנאשם ושני סמים כמפורט להלן: על שולחן הסלון 13.31 גרם נטו קנבוס; על שולחן בסלון תערובת המכילה 1.18 גרם נטו קנבוס; בתוך קופסת קורנלפקס 104.6 גרם נטו קנבוס (אותו רכשה שני מוקדם יותר באותו יום). בנוסף החזיקו הנאשם ושני במשקל אלקטרוני שהיה מונח על השולחן בסלון.   </w:t>
      </w:r>
    </w:p>
    <w:p w14:paraId="5F0AD8D7" w14:textId="77777777" w:rsidR="007D5911" w:rsidRPr="00564E42" w:rsidRDefault="007D5911" w:rsidP="00564E42">
      <w:pPr>
        <w:spacing w:after="160" w:line="360" w:lineRule="auto"/>
        <w:jc w:val="both"/>
        <w:rPr>
          <w:rFonts w:ascii="Calibri" w:hAnsi="Calibri" w:cs="FrankRuehl"/>
          <w:sz w:val="28"/>
          <w:szCs w:val="28"/>
          <w:rtl/>
        </w:rPr>
      </w:pPr>
      <w:r w:rsidRPr="00564E42">
        <w:rPr>
          <w:rFonts w:ascii="Calibri" w:hAnsi="Calibri" w:cs="FrankRuehl" w:hint="cs"/>
          <w:b/>
          <w:bCs/>
          <w:sz w:val="28"/>
          <w:szCs w:val="28"/>
          <w:rtl/>
        </w:rPr>
        <w:t xml:space="preserve">מעובדות האישום השני </w:t>
      </w:r>
      <w:r w:rsidRPr="00564E42">
        <w:rPr>
          <w:rFonts w:ascii="Calibri" w:hAnsi="Calibri" w:cs="FrankRuehl" w:hint="cs"/>
          <w:sz w:val="28"/>
          <w:szCs w:val="28"/>
          <w:rtl/>
        </w:rPr>
        <w:t xml:space="preserve"> עולה כי במהלך חודש וחצי עובר ליום 15.2.2018 התקשרו הנאשם ושני עם כחמישה לקוחות שונים באמצעות אפליקציית "טלגראס". במהלך תקופה זו סחרו הנאשם ושני בסמים מסוג קנבוס ב </w:t>
      </w:r>
      <w:r w:rsidRPr="00564E42">
        <w:rPr>
          <w:rFonts w:ascii="Calibri" w:hAnsi="Calibri" w:cs="FrankRuehl"/>
          <w:sz w:val="28"/>
          <w:szCs w:val="28"/>
          <w:rtl/>
        </w:rPr>
        <w:t>–</w:t>
      </w:r>
      <w:r w:rsidRPr="00564E42">
        <w:rPr>
          <w:rFonts w:ascii="Calibri" w:hAnsi="Calibri" w:cs="FrankRuehl" w:hint="cs"/>
          <w:sz w:val="28"/>
          <w:szCs w:val="28"/>
          <w:rtl/>
        </w:rPr>
        <w:t xml:space="preserve"> 9 פעמים שונות. הנאשם ושני נהגו ליצור קשר עם הלקוחות דרך "טלגראס", אז הטמינו את כמות הסם המבוקשת (בין גרם לארבעה גרם) בסביבות ביתם. הקונים היו נוטלים את הסם ומשאירים תשלום של 100 </w:t>
      </w:r>
      <w:r w:rsidRPr="00564E42">
        <w:rPr>
          <w:rFonts w:ascii="Calibri" w:hAnsi="Calibri" w:cs="FrankRuehl" w:hint="eastAsia"/>
          <w:sz w:val="28"/>
          <w:szCs w:val="28"/>
          <w:rtl/>
        </w:rPr>
        <w:t>₪</w:t>
      </w:r>
      <w:r w:rsidRPr="00564E42">
        <w:rPr>
          <w:rFonts w:ascii="Calibri" w:hAnsi="Calibri" w:cs="FrankRuehl" w:hint="cs"/>
          <w:sz w:val="28"/>
          <w:szCs w:val="28"/>
          <w:rtl/>
        </w:rPr>
        <w:t xml:space="preserve"> בעד כל גרם. לאחר מכן שני הייתה אוספת את הכסף אשר שימש אותה ואת הנאשם לביצוע קניות לבית ותשלום חובות.</w:t>
      </w:r>
    </w:p>
    <w:p w14:paraId="3E2D91AA" w14:textId="77777777" w:rsidR="007D5911" w:rsidRPr="00564E42" w:rsidRDefault="007D5911" w:rsidP="00564E42">
      <w:pPr>
        <w:spacing w:after="160" w:line="360" w:lineRule="auto"/>
        <w:jc w:val="both"/>
        <w:rPr>
          <w:rFonts w:ascii="Calibri" w:hAnsi="Calibri" w:cs="FrankRuehl"/>
          <w:sz w:val="28"/>
          <w:szCs w:val="28"/>
          <w:rtl/>
        </w:rPr>
      </w:pPr>
      <w:r w:rsidRPr="00564E42">
        <w:rPr>
          <w:rFonts w:ascii="Calibri" w:hAnsi="Calibri" w:cs="FrankRuehl" w:hint="cs"/>
          <w:sz w:val="28"/>
          <w:szCs w:val="28"/>
          <w:rtl/>
        </w:rPr>
        <w:t xml:space="preserve">בגין כל אלה, הורשע הנאשם בעבירות של החזקת סמים שלא לצריכה עצמית, עבירה לפי </w:t>
      </w:r>
      <w:hyperlink r:id="rId19" w:history="1">
        <w:r w:rsidRPr="007D5911">
          <w:rPr>
            <w:rStyle w:val="Hyperlink"/>
            <w:rFonts w:ascii="Calibri" w:hAnsi="Calibri" w:cs="FrankRuehl" w:hint="eastAsia"/>
            <w:sz w:val="28"/>
            <w:szCs w:val="28"/>
            <w:rtl/>
          </w:rPr>
          <w:t>סעיף</w:t>
        </w:r>
        <w:r w:rsidRPr="007D5911">
          <w:rPr>
            <w:rStyle w:val="Hyperlink"/>
            <w:rFonts w:ascii="Calibri" w:hAnsi="Calibri" w:cs="FrankRuehl"/>
            <w:sz w:val="28"/>
            <w:szCs w:val="28"/>
            <w:rtl/>
          </w:rPr>
          <w:t xml:space="preserve"> 7(</w:t>
        </w:r>
        <w:r w:rsidRPr="007D5911">
          <w:rPr>
            <w:rStyle w:val="Hyperlink"/>
            <w:rFonts w:ascii="Calibri" w:hAnsi="Calibri" w:cs="FrankRuehl" w:hint="eastAsia"/>
            <w:sz w:val="28"/>
            <w:szCs w:val="28"/>
            <w:rtl/>
          </w:rPr>
          <w:t>א</w:t>
        </w:r>
        <w:r w:rsidRPr="007D5911">
          <w:rPr>
            <w:rStyle w:val="Hyperlink"/>
            <w:rFonts w:ascii="Calibri" w:hAnsi="Calibri" w:cs="FrankRuehl"/>
            <w:sz w:val="28"/>
            <w:szCs w:val="28"/>
            <w:rtl/>
          </w:rPr>
          <w:t>)</w:t>
        </w:r>
      </w:hyperlink>
      <w:r w:rsidRPr="00564E42">
        <w:rPr>
          <w:rFonts w:ascii="Calibri" w:hAnsi="Calibri" w:cs="FrankRuehl" w:hint="cs"/>
          <w:sz w:val="28"/>
          <w:szCs w:val="28"/>
          <w:rtl/>
        </w:rPr>
        <w:t xml:space="preserve"> + </w:t>
      </w:r>
      <w:hyperlink r:id="rId20" w:history="1">
        <w:r w:rsidRPr="007D5911">
          <w:rPr>
            <w:rStyle w:val="Hyperlink"/>
            <w:rFonts w:ascii="Calibri" w:hAnsi="Calibri" w:cs="FrankRuehl"/>
            <w:sz w:val="28"/>
            <w:szCs w:val="28"/>
            <w:rtl/>
          </w:rPr>
          <w:t>7(</w:t>
        </w:r>
        <w:r w:rsidRPr="007D5911">
          <w:rPr>
            <w:rStyle w:val="Hyperlink"/>
            <w:rFonts w:ascii="Calibri" w:hAnsi="Calibri" w:cs="FrankRuehl" w:hint="eastAsia"/>
            <w:sz w:val="28"/>
            <w:szCs w:val="28"/>
            <w:rtl/>
          </w:rPr>
          <w:t>ג</w:t>
        </w:r>
        <w:r w:rsidRPr="007D5911">
          <w:rPr>
            <w:rStyle w:val="Hyperlink"/>
            <w:rFonts w:ascii="Calibri" w:hAnsi="Calibri" w:cs="FrankRuehl"/>
            <w:sz w:val="28"/>
            <w:szCs w:val="28"/>
            <w:rtl/>
          </w:rPr>
          <w:t>)</w:t>
        </w:r>
      </w:hyperlink>
      <w:r w:rsidRPr="00564E42">
        <w:rPr>
          <w:rFonts w:ascii="Calibri" w:hAnsi="Calibri" w:cs="FrankRuehl" w:hint="cs"/>
          <w:sz w:val="28"/>
          <w:szCs w:val="28"/>
          <w:rtl/>
        </w:rPr>
        <w:t xml:space="preserve"> רישא ל</w:t>
      </w:r>
      <w:hyperlink r:id="rId21" w:history="1">
        <w:r w:rsidRPr="00BF417E">
          <w:rPr>
            <w:rFonts w:ascii="Calibri" w:hAnsi="Calibri" w:cs="FrankRuehl" w:hint="eastAsia"/>
            <w:color w:val="0000FF"/>
            <w:sz w:val="28"/>
            <w:szCs w:val="28"/>
            <w:u w:val="single"/>
            <w:rtl/>
          </w:rPr>
          <w:t>פקודת</w:t>
        </w:r>
        <w:r w:rsidRPr="00BF417E">
          <w:rPr>
            <w:rFonts w:ascii="Calibri" w:hAnsi="Calibri" w:cs="FrankRuehl"/>
            <w:color w:val="0000FF"/>
            <w:sz w:val="28"/>
            <w:szCs w:val="28"/>
            <w:u w:val="single"/>
            <w:rtl/>
          </w:rPr>
          <w:t xml:space="preserve"> </w:t>
        </w:r>
        <w:r w:rsidRPr="00BF417E">
          <w:rPr>
            <w:rFonts w:ascii="Calibri" w:hAnsi="Calibri" w:cs="FrankRuehl" w:hint="eastAsia"/>
            <w:color w:val="0000FF"/>
            <w:sz w:val="28"/>
            <w:szCs w:val="28"/>
            <w:u w:val="single"/>
            <w:rtl/>
          </w:rPr>
          <w:t>הסמים</w:t>
        </w:r>
        <w:r w:rsidRPr="00BF417E">
          <w:rPr>
            <w:rFonts w:ascii="Calibri" w:hAnsi="Calibri" w:cs="FrankRuehl"/>
            <w:color w:val="0000FF"/>
            <w:sz w:val="28"/>
            <w:szCs w:val="28"/>
            <w:u w:val="single"/>
            <w:rtl/>
          </w:rPr>
          <w:t xml:space="preserve"> </w:t>
        </w:r>
        <w:r w:rsidRPr="00BF417E">
          <w:rPr>
            <w:rFonts w:ascii="Calibri" w:hAnsi="Calibri" w:cs="FrankRuehl" w:hint="eastAsia"/>
            <w:color w:val="0000FF"/>
            <w:sz w:val="28"/>
            <w:szCs w:val="28"/>
            <w:u w:val="single"/>
            <w:rtl/>
          </w:rPr>
          <w:t>המסוכנים</w:t>
        </w:r>
      </w:hyperlink>
      <w:r w:rsidRPr="00564E42">
        <w:rPr>
          <w:rFonts w:ascii="Calibri" w:hAnsi="Calibri" w:cs="FrankRuehl" w:hint="cs"/>
          <w:sz w:val="28"/>
          <w:szCs w:val="28"/>
          <w:rtl/>
        </w:rPr>
        <w:t xml:space="preserve"> (נוסח חדש), תשל"ג </w:t>
      </w:r>
      <w:r w:rsidRPr="00564E42">
        <w:rPr>
          <w:rFonts w:ascii="Calibri" w:hAnsi="Calibri" w:cs="FrankRuehl"/>
          <w:sz w:val="28"/>
          <w:szCs w:val="28"/>
          <w:rtl/>
        </w:rPr>
        <w:t>–</w:t>
      </w:r>
      <w:r w:rsidRPr="00564E42">
        <w:rPr>
          <w:rFonts w:ascii="Calibri" w:hAnsi="Calibri" w:cs="FrankRuehl" w:hint="cs"/>
          <w:sz w:val="28"/>
          <w:szCs w:val="28"/>
          <w:rtl/>
        </w:rPr>
        <w:t xml:space="preserve"> 1973 (</w:t>
      </w:r>
      <w:r w:rsidRPr="00564E42">
        <w:rPr>
          <w:rFonts w:ascii="Calibri" w:hAnsi="Calibri" w:cs="FrankRuehl" w:hint="cs"/>
          <w:b/>
          <w:bCs/>
          <w:sz w:val="28"/>
          <w:szCs w:val="28"/>
          <w:rtl/>
        </w:rPr>
        <w:t>הפקודה</w:t>
      </w:r>
      <w:r w:rsidRPr="00564E42">
        <w:rPr>
          <w:rFonts w:ascii="Calibri" w:hAnsi="Calibri" w:cs="FrankRuehl" w:hint="cs"/>
          <w:sz w:val="28"/>
          <w:szCs w:val="28"/>
          <w:rtl/>
        </w:rPr>
        <w:t xml:space="preserve">), עבירה של החזקת כלים להכנת סם שלא לצריכה עצמית, עבירה לפי </w:t>
      </w:r>
      <w:hyperlink r:id="rId22" w:history="1">
        <w:r w:rsidRPr="007D5911">
          <w:rPr>
            <w:rStyle w:val="Hyperlink"/>
            <w:rFonts w:ascii="Calibri" w:hAnsi="Calibri" w:cs="FrankRuehl" w:hint="eastAsia"/>
            <w:sz w:val="28"/>
            <w:szCs w:val="28"/>
            <w:rtl/>
          </w:rPr>
          <w:t>סעיף</w:t>
        </w:r>
        <w:r w:rsidRPr="007D5911">
          <w:rPr>
            <w:rStyle w:val="Hyperlink"/>
            <w:rFonts w:ascii="Calibri" w:hAnsi="Calibri" w:cs="FrankRuehl"/>
            <w:sz w:val="28"/>
            <w:szCs w:val="28"/>
            <w:rtl/>
          </w:rPr>
          <w:t xml:space="preserve"> 10</w:t>
        </w:r>
      </w:hyperlink>
      <w:r w:rsidRPr="00564E42">
        <w:rPr>
          <w:rFonts w:ascii="Calibri" w:hAnsi="Calibri" w:cs="FrankRuehl" w:hint="cs"/>
          <w:sz w:val="28"/>
          <w:szCs w:val="28"/>
          <w:rtl/>
        </w:rPr>
        <w:t xml:space="preserve"> רישא לפקודה וב-9 (תשע) עבירות של סחר בצוותא בסמים מסוכנים, עבירה לפי </w:t>
      </w:r>
      <w:hyperlink r:id="rId23" w:history="1">
        <w:r w:rsidRPr="007D5911">
          <w:rPr>
            <w:rStyle w:val="Hyperlink"/>
            <w:rFonts w:ascii="Calibri" w:hAnsi="Calibri" w:cs="FrankRuehl" w:hint="eastAsia"/>
            <w:sz w:val="28"/>
            <w:szCs w:val="28"/>
            <w:rtl/>
          </w:rPr>
          <w:t>סעיף</w:t>
        </w:r>
        <w:r w:rsidRPr="007D5911">
          <w:rPr>
            <w:rStyle w:val="Hyperlink"/>
            <w:rFonts w:ascii="Calibri" w:hAnsi="Calibri" w:cs="FrankRuehl"/>
            <w:sz w:val="28"/>
            <w:szCs w:val="28"/>
            <w:rtl/>
          </w:rPr>
          <w:t xml:space="preserve"> 13</w:t>
        </w:r>
      </w:hyperlink>
      <w:r w:rsidRPr="00564E42">
        <w:rPr>
          <w:rFonts w:ascii="Calibri" w:hAnsi="Calibri" w:cs="FrankRuehl" w:hint="cs"/>
          <w:sz w:val="28"/>
          <w:szCs w:val="28"/>
          <w:rtl/>
        </w:rPr>
        <w:t xml:space="preserve"> + </w:t>
      </w:r>
      <w:hyperlink r:id="rId24" w:history="1">
        <w:r w:rsidRPr="007D5911">
          <w:rPr>
            <w:rStyle w:val="Hyperlink"/>
            <w:rFonts w:ascii="Calibri" w:hAnsi="Calibri" w:cs="FrankRuehl"/>
            <w:sz w:val="28"/>
            <w:szCs w:val="28"/>
            <w:rtl/>
          </w:rPr>
          <w:t>19(</w:t>
        </w:r>
        <w:r w:rsidRPr="007D5911">
          <w:rPr>
            <w:rStyle w:val="Hyperlink"/>
            <w:rFonts w:ascii="Calibri" w:hAnsi="Calibri" w:cs="FrankRuehl" w:hint="eastAsia"/>
            <w:sz w:val="28"/>
            <w:szCs w:val="28"/>
            <w:rtl/>
          </w:rPr>
          <w:t>א</w:t>
        </w:r>
        <w:r w:rsidRPr="007D5911">
          <w:rPr>
            <w:rStyle w:val="Hyperlink"/>
            <w:rFonts w:ascii="Calibri" w:hAnsi="Calibri" w:cs="FrankRuehl"/>
            <w:sz w:val="28"/>
            <w:szCs w:val="28"/>
            <w:rtl/>
          </w:rPr>
          <w:t>)</w:t>
        </w:r>
      </w:hyperlink>
      <w:r w:rsidRPr="00564E42">
        <w:rPr>
          <w:rFonts w:ascii="Calibri" w:hAnsi="Calibri" w:cs="FrankRuehl" w:hint="cs"/>
          <w:sz w:val="28"/>
          <w:szCs w:val="28"/>
          <w:rtl/>
        </w:rPr>
        <w:t xml:space="preserve"> לפקודה + סעיף </w:t>
      </w:r>
      <w:hyperlink r:id="rId25" w:history="1">
        <w:r w:rsidRPr="007D5911">
          <w:rPr>
            <w:rStyle w:val="Hyperlink"/>
            <w:rFonts w:ascii="Calibri" w:hAnsi="Calibri" w:cs="FrankRuehl"/>
            <w:sz w:val="28"/>
            <w:szCs w:val="28"/>
            <w:rtl/>
          </w:rPr>
          <w:t>29 (</w:t>
        </w:r>
        <w:r w:rsidRPr="007D5911">
          <w:rPr>
            <w:rStyle w:val="Hyperlink"/>
            <w:rFonts w:ascii="Calibri" w:hAnsi="Calibri" w:cs="FrankRuehl" w:hint="eastAsia"/>
            <w:sz w:val="28"/>
            <w:szCs w:val="28"/>
            <w:rtl/>
          </w:rPr>
          <w:t>א</w:t>
        </w:r>
        <w:r w:rsidRPr="007D5911">
          <w:rPr>
            <w:rStyle w:val="Hyperlink"/>
            <w:rFonts w:ascii="Calibri" w:hAnsi="Calibri" w:cs="FrankRuehl"/>
            <w:sz w:val="28"/>
            <w:szCs w:val="28"/>
            <w:rtl/>
          </w:rPr>
          <w:t>)</w:t>
        </w:r>
      </w:hyperlink>
      <w:r w:rsidRPr="00564E42">
        <w:rPr>
          <w:rFonts w:ascii="Calibri" w:hAnsi="Calibri" w:cs="FrankRuehl" w:hint="cs"/>
          <w:sz w:val="28"/>
          <w:szCs w:val="28"/>
          <w:rtl/>
        </w:rPr>
        <w:t xml:space="preserve"> ל</w:t>
      </w:r>
      <w:hyperlink r:id="rId26" w:history="1">
        <w:r w:rsidRPr="00BF417E">
          <w:rPr>
            <w:rFonts w:ascii="Calibri" w:hAnsi="Calibri" w:cs="FrankRuehl" w:hint="eastAsia"/>
            <w:color w:val="0000FF"/>
            <w:sz w:val="28"/>
            <w:szCs w:val="28"/>
            <w:u w:val="single"/>
            <w:rtl/>
          </w:rPr>
          <w:t>חוק</w:t>
        </w:r>
        <w:r w:rsidRPr="00BF417E">
          <w:rPr>
            <w:rFonts w:ascii="Calibri" w:hAnsi="Calibri" w:cs="FrankRuehl"/>
            <w:color w:val="0000FF"/>
            <w:sz w:val="28"/>
            <w:szCs w:val="28"/>
            <w:u w:val="single"/>
            <w:rtl/>
          </w:rPr>
          <w:t xml:space="preserve"> </w:t>
        </w:r>
        <w:r w:rsidRPr="00BF417E">
          <w:rPr>
            <w:rFonts w:ascii="Calibri" w:hAnsi="Calibri" w:cs="FrankRuehl" w:hint="eastAsia"/>
            <w:color w:val="0000FF"/>
            <w:sz w:val="28"/>
            <w:szCs w:val="28"/>
            <w:u w:val="single"/>
            <w:rtl/>
          </w:rPr>
          <w:t>העונשין</w:t>
        </w:r>
      </w:hyperlink>
      <w:r w:rsidRPr="00564E42">
        <w:rPr>
          <w:rFonts w:ascii="Calibri" w:hAnsi="Calibri" w:cs="FrankRuehl" w:hint="cs"/>
          <w:sz w:val="28"/>
          <w:szCs w:val="28"/>
          <w:rtl/>
        </w:rPr>
        <w:t xml:space="preserve">, תשל"ז </w:t>
      </w:r>
      <w:r w:rsidRPr="00564E42">
        <w:rPr>
          <w:rFonts w:ascii="Calibri" w:hAnsi="Calibri" w:cs="FrankRuehl"/>
          <w:sz w:val="28"/>
          <w:szCs w:val="28"/>
          <w:rtl/>
        </w:rPr>
        <w:t>–</w:t>
      </w:r>
      <w:r w:rsidRPr="00564E42">
        <w:rPr>
          <w:rFonts w:ascii="Calibri" w:hAnsi="Calibri" w:cs="FrankRuehl" w:hint="cs"/>
          <w:sz w:val="28"/>
          <w:szCs w:val="28"/>
          <w:rtl/>
        </w:rPr>
        <w:t xml:space="preserve"> 1977.</w:t>
      </w:r>
    </w:p>
    <w:p w14:paraId="7539ED43" w14:textId="77777777" w:rsidR="007D5911" w:rsidRPr="00564E42" w:rsidRDefault="007D5911" w:rsidP="00564E42">
      <w:pPr>
        <w:spacing w:after="160" w:line="360" w:lineRule="auto"/>
        <w:jc w:val="both"/>
        <w:rPr>
          <w:rFonts w:ascii="Calibri" w:hAnsi="Calibri" w:cs="FrankRuehl"/>
          <w:b/>
          <w:bCs/>
          <w:sz w:val="28"/>
          <w:szCs w:val="28"/>
          <w:u w:val="single"/>
          <w:rtl/>
        </w:rPr>
      </w:pPr>
      <w:hyperlink r:id="rId27" w:history="1">
        <w:r w:rsidRPr="00BF417E">
          <w:rPr>
            <w:rFonts w:ascii="Calibri" w:hAnsi="Calibri" w:cs="FrankRuehl" w:hint="eastAsia"/>
            <w:b/>
            <w:bCs/>
            <w:color w:val="0000FF"/>
            <w:sz w:val="28"/>
            <w:szCs w:val="28"/>
            <w:u w:val="single"/>
            <w:rtl/>
          </w:rPr>
          <w:t>ת</w:t>
        </w:r>
        <w:r w:rsidRPr="00BF417E">
          <w:rPr>
            <w:rFonts w:ascii="Calibri" w:hAnsi="Calibri" w:cs="FrankRuehl"/>
            <w:b/>
            <w:bCs/>
            <w:color w:val="0000FF"/>
            <w:sz w:val="28"/>
            <w:szCs w:val="28"/>
            <w:u w:val="single"/>
            <w:rtl/>
          </w:rPr>
          <w:t>"</w:t>
        </w:r>
        <w:r w:rsidRPr="00BF417E">
          <w:rPr>
            <w:rFonts w:ascii="Calibri" w:hAnsi="Calibri" w:cs="FrankRuehl" w:hint="eastAsia"/>
            <w:b/>
            <w:bCs/>
            <w:color w:val="0000FF"/>
            <w:sz w:val="28"/>
            <w:szCs w:val="28"/>
            <w:u w:val="single"/>
            <w:rtl/>
          </w:rPr>
          <w:t>פ</w:t>
        </w:r>
        <w:r w:rsidRPr="00BF417E">
          <w:rPr>
            <w:rFonts w:ascii="Calibri" w:hAnsi="Calibri" w:cs="FrankRuehl"/>
            <w:b/>
            <w:bCs/>
            <w:color w:val="0000FF"/>
            <w:sz w:val="28"/>
            <w:szCs w:val="28"/>
            <w:u w:val="single"/>
            <w:rtl/>
          </w:rPr>
          <w:t xml:space="preserve"> 54825-01-19</w:t>
        </w:r>
      </w:hyperlink>
      <w:r w:rsidRPr="00564E42">
        <w:rPr>
          <w:rFonts w:ascii="Calibri" w:hAnsi="Calibri" w:cs="FrankRuehl" w:hint="cs"/>
          <w:b/>
          <w:bCs/>
          <w:sz w:val="28"/>
          <w:szCs w:val="28"/>
          <w:rtl/>
        </w:rPr>
        <w:t xml:space="preserve"> (התיק המצורף)</w:t>
      </w:r>
    </w:p>
    <w:p w14:paraId="4A50209F" w14:textId="77777777" w:rsidR="007D5911" w:rsidRPr="00564E42" w:rsidRDefault="007D5911" w:rsidP="00564E42">
      <w:pPr>
        <w:spacing w:after="160" w:line="360" w:lineRule="auto"/>
        <w:jc w:val="both"/>
        <w:rPr>
          <w:rFonts w:ascii="Calibri" w:hAnsi="Calibri" w:cs="FrankRuehl"/>
          <w:sz w:val="28"/>
          <w:szCs w:val="28"/>
          <w:rtl/>
        </w:rPr>
      </w:pPr>
      <w:r w:rsidRPr="00564E42">
        <w:rPr>
          <w:rFonts w:ascii="Calibri" w:hAnsi="Calibri" w:cs="FrankRuehl" w:hint="cs"/>
          <w:sz w:val="28"/>
          <w:szCs w:val="28"/>
          <w:rtl/>
        </w:rPr>
        <w:t xml:space="preserve">ביום 14.5.2017, בשעה 11:30, החזיק הנאשם בביתו, 0.81 גרם חשיש על שולחן הסלון מקופל בנייר. בגין כך, הורשע הנאשם בעבירה של החזקת סמים לצריכה עצמית, לפי </w:t>
      </w:r>
      <w:hyperlink r:id="rId28" w:history="1">
        <w:r w:rsidRPr="007D5911">
          <w:rPr>
            <w:rStyle w:val="Hyperlink"/>
            <w:rFonts w:ascii="Calibri" w:hAnsi="Calibri" w:cs="FrankRuehl" w:hint="eastAsia"/>
            <w:sz w:val="28"/>
            <w:szCs w:val="28"/>
            <w:rtl/>
          </w:rPr>
          <w:t>סעיף</w:t>
        </w:r>
        <w:r w:rsidRPr="007D5911">
          <w:rPr>
            <w:rStyle w:val="Hyperlink"/>
            <w:rFonts w:ascii="Calibri" w:hAnsi="Calibri" w:cs="FrankRuehl"/>
            <w:sz w:val="28"/>
            <w:szCs w:val="28"/>
            <w:rtl/>
          </w:rPr>
          <w:t xml:space="preserve"> 7(</w:t>
        </w:r>
        <w:r w:rsidRPr="007D5911">
          <w:rPr>
            <w:rStyle w:val="Hyperlink"/>
            <w:rFonts w:ascii="Calibri" w:hAnsi="Calibri" w:cs="FrankRuehl" w:hint="eastAsia"/>
            <w:sz w:val="28"/>
            <w:szCs w:val="28"/>
            <w:rtl/>
          </w:rPr>
          <w:t>א</w:t>
        </w:r>
        <w:r w:rsidRPr="007D5911">
          <w:rPr>
            <w:rStyle w:val="Hyperlink"/>
            <w:rFonts w:ascii="Calibri" w:hAnsi="Calibri" w:cs="FrankRuehl"/>
            <w:sz w:val="28"/>
            <w:szCs w:val="28"/>
            <w:rtl/>
          </w:rPr>
          <w:t>)</w:t>
        </w:r>
      </w:hyperlink>
      <w:r w:rsidRPr="00564E42">
        <w:rPr>
          <w:rFonts w:ascii="Calibri" w:hAnsi="Calibri" w:cs="FrankRuehl" w:hint="cs"/>
          <w:sz w:val="28"/>
          <w:szCs w:val="28"/>
          <w:rtl/>
        </w:rPr>
        <w:t xml:space="preserve"> + </w:t>
      </w:r>
      <w:hyperlink r:id="rId29" w:history="1">
        <w:r w:rsidRPr="007D5911">
          <w:rPr>
            <w:rStyle w:val="Hyperlink"/>
            <w:rFonts w:ascii="Calibri" w:hAnsi="Calibri" w:cs="FrankRuehl"/>
            <w:sz w:val="28"/>
            <w:szCs w:val="28"/>
            <w:rtl/>
          </w:rPr>
          <w:t>7(</w:t>
        </w:r>
        <w:r w:rsidRPr="007D5911">
          <w:rPr>
            <w:rStyle w:val="Hyperlink"/>
            <w:rFonts w:ascii="Calibri" w:hAnsi="Calibri" w:cs="FrankRuehl" w:hint="eastAsia"/>
            <w:sz w:val="28"/>
            <w:szCs w:val="28"/>
            <w:rtl/>
          </w:rPr>
          <w:t>ג</w:t>
        </w:r>
        <w:r w:rsidRPr="007D5911">
          <w:rPr>
            <w:rStyle w:val="Hyperlink"/>
            <w:rFonts w:ascii="Calibri" w:hAnsi="Calibri" w:cs="FrankRuehl"/>
            <w:sz w:val="28"/>
            <w:szCs w:val="28"/>
            <w:rtl/>
          </w:rPr>
          <w:t>)</w:t>
        </w:r>
      </w:hyperlink>
      <w:r w:rsidRPr="00564E42">
        <w:rPr>
          <w:rFonts w:ascii="Calibri" w:hAnsi="Calibri" w:cs="FrankRuehl" w:hint="cs"/>
          <w:sz w:val="28"/>
          <w:szCs w:val="28"/>
          <w:rtl/>
        </w:rPr>
        <w:t xml:space="preserve"> סיפא לפקודה.</w:t>
      </w:r>
    </w:p>
    <w:p w14:paraId="7F004235" w14:textId="77777777" w:rsidR="007D5911" w:rsidRPr="00564E42" w:rsidRDefault="007D5911" w:rsidP="00564E42">
      <w:pPr>
        <w:spacing w:after="160" w:line="360" w:lineRule="auto"/>
        <w:jc w:val="both"/>
        <w:rPr>
          <w:rFonts w:ascii="Calibri" w:hAnsi="Calibri" w:cs="FrankRuehl"/>
          <w:b/>
          <w:bCs/>
          <w:sz w:val="28"/>
          <w:szCs w:val="28"/>
          <w:u w:val="single"/>
          <w:rtl/>
        </w:rPr>
      </w:pPr>
    </w:p>
    <w:p w14:paraId="47F8F246" w14:textId="77777777" w:rsidR="007D5911" w:rsidRPr="00564E42" w:rsidRDefault="007D5911" w:rsidP="00564E42">
      <w:pPr>
        <w:spacing w:after="160" w:line="360" w:lineRule="auto"/>
        <w:jc w:val="both"/>
        <w:rPr>
          <w:rFonts w:ascii="Calibri" w:hAnsi="Calibri" w:cs="FrankRuehl"/>
          <w:b/>
          <w:bCs/>
          <w:sz w:val="28"/>
          <w:szCs w:val="28"/>
          <w:u w:val="single"/>
          <w:rtl/>
        </w:rPr>
      </w:pPr>
      <w:r w:rsidRPr="00564E42">
        <w:rPr>
          <w:rFonts w:ascii="Calibri" w:hAnsi="Calibri" w:cs="FrankRuehl" w:hint="eastAsia"/>
          <w:b/>
          <w:bCs/>
          <w:sz w:val="28"/>
          <w:szCs w:val="28"/>
          <w:u w:val="single"/>
          <w:rtl/>
        </w:rPr>
        <w:t>מהלך</w:t>
      </w:r>
      <w:r w:rsidRPr="00564E42">
        <w:rPr>
          <w:rFonts w:ascii="Calibri" w:hAnsi="Calibri" w:cs="FrankRuehl"/>
          <w:b/>
          <w:bCs/>
          <w:sz w:val="28"/>
          <w:szCs w:val="28"/>
          <w:u w:val="single"/>
          <w:rtl/>
        </w:rPr>
        <w:t xml:space="preserve"> </w:t>
      </w:r>
      <w:r w:rsidRPr="00564E42">
        <w:rPr>
          <w:rFonts w:ascii="Calibri" w:hAnsi="Calibri" w:cs="FrankRuehl" w:hint="eastAsia"/>
          <w:b/>
          <w:bCs/>
          <w:sz w:val="28"/>
          <w:szCs w:val="28"/>
          <w:u w:val="single"/>
          <w:rtl/>
        </w:rPr>
        <w:t>הדיון</w:t>
      </w:r>
    </w:p>
    <w:p w14:paraId="34734D8F" w14:textId="77777777" w:rsidR="007D5911" w:rsidRPr="00564E42" w:rsidRDefault="007D5911" w:rsidP="00564E42">
      <w:pPr>
        <w:spacing w:after="160" w:line="360" w:lineRule="auto"/>
        <w:jc w:val="both"/>
        <w:rPr>
          <w:rFonts w:ascii="FrankRuehl" w:hAnsi="FrankRuehl" w:cs="FrankRuehl"/>
          <w:sz w:val="28"/>
          <w:szCs w:val="28"/>
          <w:rtl/>
        </w:rPr>
      </w:pPr>
      <w:r w:rsidRPr="00564E42">
        <w:rPr>
          <w:rFonts w:ascii="Calibri" w:hAnsi="Calibri" w:cs="FrankRuehl" w:hint="cs"/>
          <w:sz w:val="28"/>
          <w:szCs w:val="28"/>
          <w:rtl/>
        </w:rPr>
        <w:t xml:space="preserve">הנאשם נעצר ביום 16.2.2018 ושהה יומיים במעצר במסגרת הליך מעצר הימים. לאחר מכן, במסגרת אותו הליך, שוחרר למעצר בית מלא. ביום 26.2.2018 הוגש כתב האישום ובקשה לעצור את הנאשם עד תום ההליכים נגדו. הנאשם ובת זוגו שני שוחררו למעצר בית מלא בביתם בפיקוח אחד של השני. </w:t>
      </w:r>
      <w:r w:rsidRPr="00564E42">
        <w:rPr>
          <w:rFonts w:ascii="FrankRuehl" w:hAnsi="FrankRuehl" w:cs="FrankRuehl" w:hint="cs"/>
          <w:sz w:val="28"/>
          <w:szCs w:val="28"/>
          <w:rtl/>
        </w:rPr>
        <w:t>במהלך ההליך הפלילי, הוקלו תנאי השחרור של הנאשם בהדרגה, בין היתר בזיקה להתקדמות הטיפול תחת פיקוח שירות המבחן. בהמשך ולאחרונה נעצר הנאשם וכעת מרצה מאסר לאחר שהופקעו עבודות השירות.</w:t>
      </w:r>
    </w:p>
    <w:p w14:paraId="46733087" w14:textId="77777777" w:rsidR="007D5911" w:rsidRPr="00564E42" w:rsidRDefault="007D5911" w:rsidP="00564E42">
      <w:pPr>
        <w:spacing w:after="160" w:line="360" w:lineRule="auto"/>
        <w:jc w:val="both"/>
        <w:rPr>
          <w:rFonts w:ascii="FrankRuehl" w:hAnsi="FrankRuehl" w:cs="FrankRuehl"/>
          <w:sz w:val="28"/>
          <w:szCs w:val="28"/>
          <w:rtl/>
        </w:rPr>
      </w:pPr>
    </w:p>
    <w:p w14:paraId="4C19931E" w14:textId="77777777" w:rsidR="007D5911" w:rsidRPr="00564E42" w:rsidRDefault="007D5911" w:rsidP="00564E42">
      <w:pPr>
        <w:spacing w:after="160" w:line="360" w:lineRule="auto"/>
        <w:jc w:val="both"/>
        <w:rPr>
          <w:rFonts w:ascii="FrankRuehl" w:hAnsi="FrankRuehl" w:cs="FrankRuehl"/>
          <w:b/>
          <w:bCs/>
          <w:sz w:val="28"/>
          <w:szCs w:val="28"/>
          <w:u w:val="single"/>
          <w:rtl/>
        </w:rPr>
      </w:pPr>
      <w:r w:rsidRPr="00564E42">
        <w:rPr>
          <w:rFonts w:ascii="FrankRuehl" w:hAnsi="FrankRuehl" w:cs="FrankRuehl" w:hint="cs"/>
          <w:b/>
          <w:bCs/>
          <w:sz w:val="28"/>
          <w:szCs w:val="28"/>
          <w:u w:val="single"/>
          <w:rtl/>
        </w:rPr>
        <w:t>עבר פלילי</w:t>
      </w:r>
    </w:p>
    <w:p w14:paraId="0C2DCB34" w14:textId="77777777" w:rsidR="007D5911" w:rsidRPr="00564E42" w:rsidRDefault="007D5911" w:rsidP="00564E42">
      <w:pPr>
        <w:spacing w:after="160" w:line="360" w:lineRule="auto"/>
        <w:jc w:val="both"/>
        <w:rPr>
          <w:rFonts w:ascii="Calibri" w:hAnsi="Calibri" w:cs="FrankRuehl"/>
          <w:sz w:val="28"/>
          <w:szCs w:val="28"/>
          <w:rtl/>
        </w:rPr>
      </w:pPr>
      <w:r w:rsidRPr="00564E42">
        <w:rPr>
          <w:rFonts w:ascii="Calibri" w:hAnsi="Calibri" w:cs="FrankRuehl" w:hint="cs"/>
          <w:sz w:val="28"/>
          <w:szCs w:val="28"/>
          <w:rtl/>
        </w:rPr>
        <w:t>לנאשם 3 הרשעות קודמות בעבירות סמים, רכוש ואלימות בגינם ריצה מאסרים. נגד הנאשם תלוי ועומד מאסר על תנאי של 3 חודשים בגין עבירות סמים, שהוטל ב</w:t>
      </w:r>
      <w:hyperlink r:id="rId30" w:history="1">
        <w:r w:rsidRPr="00BF417E">
          <w:rPr>
            <w:rFonts w:ascii="Calibri" w:hAnsi="Calibri" w:cs="FrankRuehl" w:hint="eastAsia"/>
            <w:color w:val="0000FF"/>
            <w:sz w:val="28"/>
            <w:szCs w:val="28"/>
            <w:u w:val="single"/>
            <w:rtl/>
          </w:rPr>
          <w:t>ת</w:t>
        </w:r>
        <w:r w:rsidRPr="00BF417E">
          <w:rPr>
            <w:rFonts w:ascii="Calibri" w:hAnsi="Calibri" w:cs="FrankRuehl"/>
            <w:color w:val="0000FF"/>
            <w:sz w:val="28"/>
            <w:szCs w:val="28"/>
            <w:u w:val="single"/>
            <w:rtl/>
          </w:rPr>
          <w:t>"</w:t>
        </w:r>
        <w:r w:rsidRPr="00BF417E">
          <w:rPr>
            <w:rFonts w:ascii="Calibri" w:hAnsi="Calibri" w:cs="FrankRuehl" w:hint="eastAsia"/>
            <w:color w:val="0000FF"/>
            <w:sz w:val="28"/>
            <w:szCs w:val="28"/>
            <w:u w:val="single"/>
            <w:rtl/>
          </w:rPr>
          <w:t>פ</w:t>
        </w:r>
        <w:r w:rsidRPr="00BF417E">
          <w:rPr>
            <w:rFonts w:ascii="Calibri" w:hAnsi="Calibri" w:cs="FrankRuehl"/>
            <w:color w:val="0000FF"/>
            <w:sz w:val="28"/>
            <w:szCs w:val="28"/>
            <w:u w:val="single"/>
            <w:rtl/>
          </w:rPr>
          <w:t xml:space="preserve"> (</w:t>
        </w:r>
        <w:r w:rsidRPr="00BF417E">
          <w:rPr>
            <w:rFonts w:ascii="Calibri" w:hAnsi="Calibri" w:cs="FrankRuehl" w:hint="eastAsia"/>
            <w:color w:val="0000FF"/>
            <w:sz w:val="28"/>
            <w:szCs w:val="28"/>
            <w:u w:val="single"/>
            <w:rtl/>
          </w:rPr>
          <w:t>אילת</w:t>
        </w:r>
        <w:r w:rsidRPr="00BF417E">
          <w:rPr>
            <w:rFonts w:ascii="Calibri" w:hAnsi="Calibri" w:cs="FrankRuehl"/>
            <w:color w:val="0000FF"/>
            <w:sz w:val="28"/>
            <w:szCs w:val="28"/>
            <w:u w:val="single"/>
            <w:rtl/>
          </w:rPr>
          <w:t>) 25019-05-14</w:t>
        </w:r>
      </w:hyperlink>
      <w:r w:rsidRPr="00564E42">
        <w:rPr>
          <w:rFonts w:ascii="Calibri" w:hAnsi="Calibri" w:cs="FrankRuehl" w:hint="cs"/>
          <w:sz w:val="28"/>
          <w:szCs w:val="28"/>
          <w:rtl/>
        </w:rPr>
        <w:t xml:space="preserve"> מיום 20.7.2015 (</w:t>
      </w:r>
      <w:r w:rsidRPr="00564E42">
        <w:rPr>
          <w:rFonts w:ascii="Calibri" w:hAnsi="Calibri" w:cs="FrankRuehl" w:hint="cs"/>
          <w:b/>
          <w:bCs/>
          <w:sz w:val="28"/>
          <w:szCs w:val="28"/>
          <w:rtl/>
        </w:rPr>
        <w:t>המאסר המותנה</w:t>
      </w:r>
      <w:r w:rsidRPr="00564E42">
        <w:rPr>
          <w:rFonts w:ascii="Calibri" w:hAnsi="Calibri" w:cs="FrankRuehl" w:hint="cs"/>
          <w:sz w:val="28"/>
          <w:szCs w:val="28"/>
          <w:rtl/>
        </w:rPr>
        <w:t>).</w:t>
      </w:r>
    </w:p>
    <w:p w14:paraId="53D9538B" w14:textId="77777777" w:rsidR="007D5911" w:rsidRPr="00564E42" w:rsidRDefault="007D5911" w:rsidP="00564E42">
      <w:pPr>
        <w:spacing w:after="160" w:line="360" w:lineRule="auto"/>
        <w:jc w:val="both"/>
        <w:rPr>
          <w:rFonts w:ascii="Calibri" w:hAnsi="Calibri" w:cs="FrankRuehl"/>
          <w:b/>
          <w:bCs/>
          <w:sz w:val="28"/>
          <w:szCs w:val="28"/>
          <w:u w:val="single"/>
          <w:rtl/>
        </w:rPr>
      </w:pPr>
      <w:r w:rsidRPr="00564E42">
        <w:rPr>
          <w:rFonts w:ascii="Calibri" w:hAnsi="Calibri" w:cs="FrankRuehl"/>
          <w:b/>
          <w:bCs/>
          <w:sz w:val="28"/>
          <w:szCs w:val="28"/>
          <w:u w:val="single"/>
          <w:rtl/>
        </w:rPr>
        <w:t>תסקיר</w:t>
      </w:r>
      <w:r w:rsidRPr="00564E42">
        <w:rPr>
          <w:rFonts w:ascii="Calibri" w:hAnsi="Calibri" w:cs="FrankRuehl" w:hint="cs"/>
          <w:b/>
          <w:bCs/>
          <w:sz w:val="28"/>
          <w:szCs w:val="28"/>
          <w:u w:val="single"/>
          <w:rtl/>
        </w:rPr>
        <w:t>ים</w:t>
      </w:r>
    </w:p>
    <w:p w14:paraId="5366EA8A" w14:textId="77777777" w:rsidR="007D5911" w:rsidRPr="00564E42" w:rsidRDefault="007D5911" w:rsidP="00564E42">
      <w:pPr>
        <w:spacing w:after="160" w:line="360" w:lineRule="auto"/>
        <w:jc w:val="both"/>
        <w:rPr>
          <w:rFonts w:ascii="Calibri" w:hAnsi="Calibri" w:cs="FrankRuehl"/>
          <w:sz w:val="28"/>
          <w:szCs w:val="28"/>
        </w:rPr>
      </w:pPr>
      <w:r w:rsidRPr="00564E42">
        <w:rPr>
          <w:rFonts w:ascii="Calibri" w:hAnsi="Calibri" w:cs="FrankRuehl" w:hint="cs"/>
          <w:sz w:val="28"/>
          <w:szCs w:val="28"/>
          <w:rtl/>
        </w:rPr>
        <w:t>בעניינו של הנאשם הוגשו שבעה תסקירים. מ</w:t>
      </w:r>
      <w:r w:rsidRPr="00564E42">
        <w:rPr>
          <w:rFonts w:ascii="Calibri" w:hAnsi="Calibri" w:cs="FrankRuehl"/>
          <w:sz w:val="28"/>
          <w:szCs w:val="28"/>
          <w:rtl/>
        </w:rPr>
        <w:t>התסקיר</w:t>
      </w:r>
      <w:r w:rsidRPr="00564E42">
        <w:rPr>
          <w:rFonts w:ascii="Calibri" w:hAnsi="Calibri" w:cs="FrankRuehl" w:hint="cs"/>
          <w:sz w:val="28"/>
          <w:szCs w:val="28"/>
          <w:rtl/>
        </w:rPr>
        <w:t>ים</w:t>
      </w:r>
      <w:r w:rsidRPr="00564E42">
        <w:rPr>
          <w:rFonts w:ascii="Calibri" w:hAnsi="Calibri" w:cs="FrankRuehl"/>
          <w:sz w:val="28"/>
          <w:szCs w:val="28"/>
          <w:rtl/>
        </w:rPr>
        <w:t xml:space="preserve"> שהוגש</w:t>
      </w:r>
      <w:r w:rsidRPr="00564E42">
        <w:rPr>
          <w:rFonts w:ascii="Calibri" w:hAnsi="Calibri" w:cs="FrankRuehl" w:hint="cs"/>
          <w:sz w:val="28"/>
          <w:szCs w:val="28"/>
          <w:rtl/>
        </w:rPr>
        <w:t>ו</w:t>
      </w:r>
      <w:r w:rsidRPr="00564E42">
        <w:rPr>
          <w:rFonts w:ascii="Calibri" w:hAnsi="Calibri" w:cs="FrankRuehl"/>
          <w:sz w:val="28"/>
          <w:szCs w:val="28"/>
          <w:rtl/>
        </w:rPr>
        <w:t xml:space="preserve"> </w:t>
      </w:r>
      <w:r w:rsidRPr="00564E42">
        <w:rPr>
          <w:rFonts w:ascii="Calibri" w:hAnsi="Calibri" w:cs="FrankRuehl" w:hint="cs"/>
          <w:sz w:val="28"/>
          <w:szCs w:val="28"/>
          <w:rtl/>
        </w:rPr>
        <w:t>עולה כי הנאשם כבן 31, נשוי ומתגורר עם בת זוגו במעלה אדומים.</w:t>
      </w:r>
      <w:r w:rsidRPr="00564E42">
        <w:rPr>
          <w:rFonts w:ascii="Calibri" w:hAnsi="Calibri" w:cs="FrankRuehl"/>
          <w:sz w:val="28"/>
          <w:szCs w:val="28"/>
          <w:rtl/>
        </w:rPr>
        <w:t xml:space="preserve"> </w:t>
      </w:r>
      <w:r w:rsidRPr="00564E42">
        <w:rPr>
          <w:rFonts w:ascii="Calibri" w:hAnsi="Calibri" w:cs="FrankRuehl" w:hint="cs"/>
          <w:sz w:val="28"/>
          <w:szCs w:val="28"/>
          <w:rtl/>
        </w:rPr>
        <w:t xml:space="preserve">שירות המבחן גולל בהרחבה את קורות חייו, מהן עולה מסכת חיים לא פשוטה. הנאשם אומץ בגיל שלושה חודשים והיה ילד יחיד להוריו המאמצים </w:t>
      </w:r>
      <w:r w:rsidRPr="00564E42">
        <w:rPr>
          <w:rFonts w:ascii="Calibri" w:hAnsi="Calibri" w:cs="FrankRuehl"/>
          <w:sz w:val="28"/>
          <w:szCs w:val="28"/>
          <w:rtl/>
        </w:rPr>
        <w:t>–</w:t>
      </w:r>
      <w:r w:rsidRPr="00564E42">
        <w:rPr>
          <w:rFonts w:ascii="Calibri" w:hAnsi="Calibri" w:cs="FrankRuehl" w:hint="cs"/>
          <w:sz w:val="28"/>
          <w:szCs w:val="28"/>
          <w:rtl/>
        </w:rPr>
        <w:t xml:space="preserve"> נושא שמטריד את הנאשם לאורך חייו הבוגרים. אביו נפטר בפתאומיות בגיל 52 ואמו נפטרה כשנה וחצי לאחר מכן. הנאשם שיתף כי טרם אובדן הוריו ובעקבות האובדן החל להתנסות בסמים, כאשר השימוש הלך והעמיק והוביל לנשירה מלימודיו. אז, חבר הנאשם לחברה שולית והשימוש בסמים פסיכואקטיביים הפך</w:t>
      </w:r>
      <w:r w:rsidRPr="00564E42">
        <w:rPr>
          <w:rFonts w:ascii="Calibri" w:hAnsi="Calibri" w:cs="FrankRuehl"/>
          <w:sz w:val="28"/>
          <w:szCs w:val="28"/>
          <w:rtl/>
        </w:rPr>
        <w:t xml:space="preserve"> </w:t>
      </w:r>
      <w:r w:rsidRPr="00564E42">
        <w:rPr>
          <w:rFonts w:ascii="Calibri" w:hAnsi="Calibri" w:cs="FrankRuehl" w:hint="cs"/>
          <w:sz w:val="28"/>
          <w:szCs w:val="28"/>
          <w:rtl/>
        </w:rPr>
        <w:t>תדיר יותר והעמיק להתמכרות של ממש, והתרחב גם לסמים מסוג הרואין וקוקאין. לאחר מות אמו השתלב הנאשם ב"מלכישוע" ועבר טיפול במשך שנתיים, כאשר בסיומו גויס לצה"ל, אך לאחר חודש ימים שוחרר בגין "אי התאמה" על רקע בעיות עריקות וסחר בסמים. במישור התעסוקתי, עבד הנאשם בעבודות מזדמנות בתחומים שונים, כאשר נעדר מקור פרנסה יציב ורציף. בשנת 2017 עבר תאונת דרכים קשה, במהלכה נפצע באופן קשה בגופו. עד היום נמצא הנאשם בתהליך שיקום מפרך ואף חלה התדרדרות במצבו לפני  מספר חודשים אך היום המצב השתפר. שירות המבחן התרשם, כי הנאשם קיבל אחריות למעשיו והביע חרטה, וכי המעשים בוצעו על רק בצע כסף. שירות המבחן ציין, כי במהלך תקופת הטיפול, ידע הקשר של הנאשם עם שירות המבחן עליות ומורדות, והנאשם התקשה לשמור על קשר רציף עם השירות ולרוב לא התייצב לבדיקות לאיתור שרידי סם, אליהן זומן. בנוסף, בארבע השנים האחרונות, נעשו ניסיונות לשלב את הנאשם בטיפול במסגרת שירות המבחן, אך הנאשם התקשה לגייס כוחות לתהליך מעמיק, ולמעשה הניסיונות עלו בתוהו. ראוי להדגיש כי לאחרונה הופקעו עבודות השירות שנגזרו על הנאשם במסגרת הרשעתו האחרונה וכיום הנאשם מסיים לרצות את העונש בכלא "מעשיהו".</w:t>
      </w:r>
    </w:p>
    <w:p w14:paraId="2E409151" w14:textId="77777777" w:rsidR="007D5911" w:rsidRPr="00564E42" w:rsidRDefault="007D5911" w:rsidP="00564E42">
      <w:pPr>
        <w:spacing w:after="160" w:line="360" w:lineRule="auto"/>
        <w:jc w:val="both"/>
        <w:rPr>
          <w:rFonts w:ascii="Calibri" w:hAnsi="Calibri" w:cs="FrankRuehl"/>
          <w:b/>
          <w:bCs/>
          <w:sz w:val="28"/>
          <w:szCs w:val="28"/>
          <w:u w:val="single"/>
          <w:rtl/>
        </w:rPr>
      </w:pPr>
    </w:p>
    <w:p w14:paraId="7E139A74" w14:textId="77777777" w:rsidR="007D5911" w:rsidRPr="00564E42" w:rsidRDefault="007D5911" w:rsidP="00564E42">
      <w:pPr>
        <w:spacing w:after="160" w:line="360" w:lineRule="auto"/>
        <w:jc w:val="both"/>
        <w:rPr>
          <w:rFonts w:ascii="Calibri" w:hAnsi="Calibri" w:cs="FrankRuehl"/>
          <w:b/>
          <w:bCs/>
          <w:sz w:val="28"/>
          <w:szCs w:val="28"/>
          <w:u w:val="single"/>
          <w:rtl/>
        </w:rPr>
      </w:pPr>
      <w:r w:rsidRPr="00564E42">
        <w:rPr>
          <w:rFonts w:ascii="Calibri" w:hAnsi="Calibri" w:cs="FrankRuehl"/>
          <w:b/>
          <w:bCs/>
          <w:sz w:val="28"/>
          <w:szCs w:val="28"/>
          <w:u w:val="single"/>
          <w:rtl/>
        </w:rPr>
        <w:t>טיעונים לעונש</w:t>
      </w:r>
    </w:p>
    <w:p w14:paraId="51193FA9" w14:textId="77777777" w:rsidR="007D5911" w:rsidRPr="00564E42" w:rsidRDefault="007D5911" w:rsidP="00564E42">
      <w:pPr>
        <w:spacing w:after="160" w:line="360" w:lineRule="auto"/>
        <w:jc w:val="both"/>
        <w:rPr>
          <w:rFonts w:ascii="Calibri" w:hAnsi="Calibri" w:cs="FrankRuehl"/>
          <w:sz w:val="28"/>
          <w:szCs w:val="28"/>
          <w:rtl/>
        </w:rPr>
      </w:pPr>
      <w:r w:rsidRPr="00564E42">
        <w:rPr>
          <w:rFonts w:ascii="Calibri" w:hAnsi="Calibri" w:cs="FrankRuehl"/>
          <w:sz w:val="28"/>
          <w:szCs w:val="28"/>
          <w:rtl/>
        </w:rPr>
        <w:t xml:space="preserve">הצדדים לא הגיעו להסכמה עונשית. </w:t>
      </w:r>
    </w:p>
    <w:p w14:paraId="50AC2969" w14:textId="77777777" w:rsidR="007D5911" w:rsidRPr="00564E42" w:rsidRDefault="007D5911" w:rsidP="00564E42">
      <w:pPr>
        <w:spacing w:after="160" w:line="360" w:lineRule="auto"/>
        <w:jc w:val="both"/>
        <w:rPr>
          <w:rFonts w:ascii="Calibri" w:hAnsi="Calibri" w:cs="FrankRuehl"/>
          <w:sz w:val="28"/>
          <w:szCs w:val="28"/>
          <w:rtl/>
        </w:rPr>
      </w:pPr>
      <w:r w:rsidRPr="00564E42">
        <w:rPr>
          <w:rFonts w:ascii="Calibri" w:hAnsi="Calibri" w:cs="FrankRuehl" w:hint="cs"/>
          <w:sz w:val="28"/>
          <w:szCs w:val="28"/>
          <w:rtl/>
        </w:rPr>
        <w:t xml:space="preserve">המאשימה הדגישה את חומרת מעשיו של הנאשם וביקשה להטיל עליו עונש של 24 חודשי מאסר בפועל, כאשר לטענתה מתחם הענישה צריך לעמוד בין 6 ל </w:t>
      </w:r>
      <w:r w:rsidRPr="00564E42">
        <w:rPr>
          <w:rFonts w:ascii="Calibri" w:hAnsi="Calibri" w:cs="FrankRuehl"/>
          <w:sz w:val="28"/>
          <w:szCs w:val="28"/>
          <w:rtl/>
        </w:rPr>
        <w:t>–</w:t>
      </w:r>
      <w:r w:rsidRPr="00564E42">
        <w:rPr>
          <w:rFonts w:ascii="Calibri" w:hAnsi="Calibri" w:cs="FrankRuehl" w:hint="cs"/>
          <w:sz w:val="28"/>
          <w:szCs w:val="28"/>
          <w:rtl/>
        </w:rPr>
        <w:t xml:space="preserve"> 12 חודשי מאסר בפועל לכל אישום. כך גם ביקשה המאשימה, להפעיל את המאסר המותנה שהוטל ב</w:t>
      </w:r>
      <w:hyperlink r:id="rId31" w:history="1">
        <w:r w:rsidRPr="00BF417E">
          <w:rPr>
            <w:rFonts w:ascii="Calibri" w:hAnsi="Calibri" w:cs="FrankRuehl" w:hint="eastAsia"/>
            <w:color w:val="0000FF"/>
            <w:sz w:val="28"/>
            <w:szCs w:val="28"/>
            <w:u w:val="single"/>
            <w:rtl/>
          </w:rPr>
          <w:t>ת</w:t>
        </w:r>
        <w:r w:rsidRPr="00BF417E">
          <w:rPr>
            <w:rFonts w:ascii="Calibri" w:hAnsi="Calibri" w:cs="FrankRuehl"/>
            <w:color w:val="0000FF"/>
            <w:sz w:val="28"/>
            <w:szCs w:val="28"/>
            <w:u w:val="single"/>
            <w:rtl/>
          </w:rPr>
          <w:t>"</w:t>
        </w:r>
        <w:r w:rsidRPr="00BF417E">
          <w:rPr>
            <w:rFonts w:ascii="Calibri" w:hAnsi="Calibri" w:cs="FrankRuehl" w:hint="eastAsia"/>
            <w:color w:val="0000FF"/>
            <w:sz w:val="28"/>
            <w:szCs w:val="28"/>
            <w:u w:val="single"/>
            <w:rtl/>
          </w:rPr>
          <w:t>פ</w:t>
        </w:r>
        <w:r w:rsidRPr="00BF417E">
          <w:rPr>
            <w:rFonts w:ascii="Calibri" w:hAnsi="Calibri" w:cs="FrankRuehl"/>
            <w:color w:val="0000FF"/>
            <w:sz w:val="28"/>
            <w:szCs w:val="28"/>
            <w:u w:val="single"/>
            <w:rtl/>
          </w:rPr>
          <w:t xml:space="preserve"> 25019-05-14</w:t>
        </w:r>
      </w:hyperlink>
      <w:r w:rsidRPr="00564E42">
        <w:rPr>
          <w:rFonts w:ascii="Calibri" w:hAnsi="Calibri" w:cs="FrankRuehl" w:hint="cs"/>
          <w:sz w:val="28"/>
          <w:szCs w:val="28"/>
          <w:rtl/>
        </w:rPr>
        <w:t>, לפסול את רישיונו של הנאשם ולהטיל עליו מאסר על תנאי משמעותי, פסילה על תנאי והתחייבות.</w:t>
      </w:r>
    </w:p>
    <w:p w14:paraId="77BD7403" w14:textId="77777777" w:rsidR="007D5911" w:rsidRPr="00564E42" w:rsidRDefault="007D5911" w:rsidP="00564E42">
      <w:pPr>
        <w:spacing w:after="160" w:line="360" w:lineRule="auto"/>
        <w:jc w:val="both"/>
        <w:rPr>
          <w:rFonts w:ascii="Calibri" w:hAnsi="Calibri" w:cs="FrankRuehl"/>
          <w:sz w:val="28"/>
          <w:szCs w:val="28"/>
          <w:rtl/>
        </w:rPr>
      </w:pPr>
    </w:p>
    <w:p w14:paraId="3A18933F" w14:textId="77777777" w:rsidR="007D5911" w:rsidRPr="00564E42" w:rsidRDefault="007D5911" w:rsidP="00564E42">
      <w:pPr>
        <w:spacing w:after="160" w:line="360" w:lineRule="auto"/>
        <w:jc w:val="both"/>
        <w:rPr>
          <w:rFonts w:ascii="Calibri" w:hAnsi="Calibri" w:cs="FrankRuehl"/>
          <w:sz w:val="28"/>
          <w:szCs w:val="28"/>
          <w:rtl/>
        </w:rPr>
      </w:pPr>
      <w:r w:rsidRPr="00564E42">
        <w:rPr>
          <w:rFonts w:ascii="Calibri" w:hAnsi="Calibri" w:cs="FrankRuehl" w:hint="cs"/>
          <w:sz w:val="28"/>
          <w:szCs w:val="28"/>
          <w:rtl/>
        </w:rPr>
        <w:t xml:space="preserve">מנגד הדגישו הסנגורים את נסיבות חייו של הנאשם ואת מצבו הפיזי בעקבות התאונה שעבר. הסנגור אף ציין כי אישתו של הנאשם שהורשעה אף היא בתיק העיקרי, נידונה במסגרת הסדר טיעון לשל"ץ, לפיכך לטעמו יש לגזור על הנאשם עונש מאסר מינימלי ככל שיוטל. </w:t>
      </w:r>
    </w:p>
    <w:p w14:paraId="5BD5B0FA" w14:textId="77777777" w:rsidR="007D5911" w:rsidRPr="00564E42" w:rsidRDefault="007D5911" w:rsidP="00564E42">
      <w:pPr>
        <w:spacing w:after="160" w:line="360" w:lineRule="auto"/>
        <w:jc w:val="both"/>
        <w:rPr>
          <w:rFonts w:ascii="Calibri" w:hAnsi="Calibri" w:cs="FrankRuehl"/>
          <w:b/>
          <w:bCs/>
          <w:sz w:val="28"/>
          <w:szCs w:val="28"/>
          <w:u w:val="single"/>
          <w:rtl/>
        </w:rPr>
      </w:pPr>
    </w:p>
    <w:p w14:paraId="2FF33F89" w14:textId="77777777" w:rsidR="007D5911" w:rsidRPr="00564E42" w:rsidRDefault="007D5911" w:rsidP="00564E42">
      <w:pPr>
        <w:spacing w:after="160" w:line="360" w:lineRule="auto"/>
        <w:jc w:val="both"/>
        <w:rPr>
          <w:rFonts w:ascii="Calibri" w:hAnsi="Calibri" w:cs="FrankRuehl"/>
          <w:b/>
          <w:bCs/>
          <w:sz w:val="28"/>
          <w:szCs w:val="28"/>
          <w:u w:val="single"/>
          <w:rtl/>
        </w:rPr>
      </w:pPr>
      <w:r w:rsidRPr="00564E42">
        <w:rPr>
          <w:rFonts w:ascii="Calibri" w:hAnsi="Calibri" w:cs="FrankRuehl"/>
          <w:b/>
          <w:bCs/>
          <w:sz w:val="28"/>
          <w:szCs w:val="28"/>
          <w:u w:val="single"/>
          <w:rtl/>
        </w:rPr>
        <w:t xml:space="preserve">קביעת מתחם הענישה </w:t>
      </w:r>
      <w:r w:rsidRPr="00564E42">
        <w:rPr>
          <w:rFonts w:ascii="Calibri" w:hAnsi="Calibri" w:cs="FrankRuehl"/>
          <w:sz w:val="28"/>
          <w:szCs w:val="28"/>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21D94702" w14:textId="77777777" w:rsidR="007D5911" w:rsidRPr="00564E42" w:rsidRDefault="007D5911" w:rsidP="00564E42">
      <w:pPr>
        <w:spacing w:after="160" w:line="360" w:lineRule="auto"/>
        <w:jc w:val="both"/>
        <w:rPr>
          <w:rFonts w:ascii="Calibri" w:hAnsi="Calibri" w:cs="FrankRuehl"/>
          <w:b/>
          <w:bCs/>
          <w:sz w:val="28"/>
          <w:szCs w:val="28"/>
          <w:u w:val="single"/>
          <w:rtl/>
        </w:rPr>
      </w:pPr>
    </w:p>
    <w:p w14:paraId="2785E235" w14:textId="77777777" w:rsidR="007D5911" w:rsidRPr="00564E42" w:rsidRDefault="007D5911" w:rsidP="00564E42">
      <w:pPr>
        <w:spacing w:line="360" w:lineRule="auto"/>
        <w:jc w:val="both"/>
        <w:rPr>
          <w:rFonts w:ascii="Calibri" w:hAnsi="Calibri" w:cs="FrankRuehl"/>
          <w:sz w:val="28"/>
          <w:szCs w:val="28"/>
          <w:rtl/>
        </w:rPr>
      </w:pPr>
      <w:r w:rsidRPr="00564E42">
        <w:rPr>
          <w:rFonts w:ascii="Calibri" w:hAnsi="Calibri" w:cs="FrankRuehl"/>
          <w:b/>
          <w:bCs/>
          <w:sz w:val="28"/>
          <w:szCs w:val="28"/>
          <w:u w:val="single"/>
          <w:rtl/>
        </w:rPr>
        <w:t xml:space="preserve">אשר לערך המוגן </w:t>
      </w:r>
      <w:r w:rsidRPr="00564E42">
        <w:rPr>
          <w:rFonts w:ascii="Calibri" w:hAnsi="Calibri" w:cs="FrankRuehl"/>
          <w:sz w:val="28"/>
          <w:szCs w:val="28"/>
          <w:rtl/>
        </w:rPr>
        <w:t xml:space="preserve">– </w:t>
      </w:r>
      <w:r w:rsidRPr="00564E42">
        <w:rPr>
          <w:rFonts w:ascii="Calibri" w:hAnsi="Calibri" w:cs="FrankRuehl"/>
          <w:b/>
          <w:bCs/>
          <w:sz w:val="28"/>
          <w:szCs w:val="28"/>
          <w:rtl/>
        </w:rPr>
        <w:t>עבירות הסמים</w:t>
      </w:r>
      <w:r w:rsidRPr="00564E42">
        <w:rPr>
          <w:rFonts w:ascii="Calibri" w:hAnsi="Calibri" w:cs="FrankRuehl"/>
          <w:sz w:val="28"/>
          <w:szCs w:val="28"/>
          <w:rtl/>
        </w:rPr>
        <w:t xml:space="preserve"> אותן עבר הנאש</w:t>
      </w:r>
      <w:r w:rsidRPr="00564E42">
        <w:rPr>
          <w:rFonts w:ascii="Calibri" w:hAnsi="Calibri" w:cs="FrankRuehl" w:hint="cs"/>
          <w:sz w:val="28"/>
          <w:szCs w:val="28"/>
          <w:rtl/>
        </w:rPr>
        <w:t>ם</w:t>
      </w:r>
      <w:r w:rsidRPr="00564E42">
        <w:rPr>
          <w:rFonts w:ascii="Calibri" w:hAnsi="Calibri" w:cs="FrankRuehl"/>
          <w:sz w:val="28"/>
          <w:szCs w:val="28"/>
          <w:rtl/>
        </w:rPr>
        <w:t xml:space="preserve"> פוגעות בערך המוגן של  שמירה על שלום הציבור ובריאותו מפני נגע הסמים, שאינו מבחין בין "סמים קלים" ל"סמים קשים", שתוצאות השימוש בהם וההתמכרות אליהם קשות, ארוכות טווח ורחבות היקף וחורגות מעניינו של אדם אחד, ונוגעות לכלל החברה. </w:t>
      </w:r>
      <w:r w:rsidRPr="00564E42">
        <w:rPr>
          <w:rFonts w:ascii="Calibri" w:hAnsi="Calibri" w:cs="FrankRuehl" w:hint="cs"/>
          <w:sz w:val="28"/>
          <w:szCs w:val="28"/>
          <w:rtl/>
        </w:rPr>
        <w:t xml:space="preserve">ר' בהקשר זה: </w:t>
      </w:r>
      <w:r w:rsidRPr="00564E42">
        <w:rPr>
          <w:rFonts w:ascii="Calibri" w:hAnsi="Calibri" w:cs="FrankRuehl"/>
          <w:sz w:val="28"/>
          <w:szCs w:val="28"/>
          <w:rtl/>
        </w:rPr>
        <w:t xml:space="preserve">רע"פ </w:t>
      </w:r>
      <w:hyperlink r:id="rId32" w:history="1">
        <w:r w:rsidR="00C37AEC" w:rsidRPr="00C37AEC">
          <w:rPr>
            <w:rFonts w:ascii="Calibri" w:hAnsi="Calibri" w:cs="FrankRuehl"/>
            <w:color w:val="0000FF"/>
            <w:sz w:val="28"/>
            <w:szCs w:val="28"/>
            <w:u w:val="single"/>
            <w:rtl/>
          </w:rPr>
          <w:t xml:space="preserve">3343/07 </w:t>
        </w:r>
      </w:hyperlink>
      <w:r w:rsidRPr="00564E42">
        <w:rPr>
          <w:rFonts w:ascii="Calibri" w:hAnsi="Calibri" w:cs="FrankRuehl"/>
          <w:sz w:val="28"/>
          <w:szCs w:val="28"/>
          <w:rtl/>
        </w:rPr>
        <w:t xml:space="preserve"> </w:t>
      </w:r>
      <w:r w:rsidRPr="00564E42">
        <w:rPr>
          <w:rFonts w:ascii="Calibri" w:hAnsi="Calibri" w:cs="FrankRuehl"/>
          <w:b/>
          <w:bCs/>
          <w:sz w:val="28"/>
          <w:szCs w:val="28"/>
          <w:u w:val="single"/>
          <w:rtl/>
        </w:rPr>
        <w:t>מכאוי</w:t>
      </w:r>
      <w:r w:rsidRPr="00564E42">
        <w:rPr>
          <w:rFonts w:ascii="Calibri" w:hAnsi="Calibri" w:cs="FrankRuehl"/>
          <w:sz w:val="28"/>
          <w:szCs w:val="28"/>
          <w:rtl/>
        </w:rPr>
        <w:t xml:space="preserve"> נ' </w:t>
      </w:r>
      <w:r w:rsidRPr="00564E42">
        <w:rPr>
          <w:rFonts w:ascii="Calibri" w:hAnsi="Calibri" w:cs="FrankRuehl"/>
          <w:b/>
          <w:bCs/>
          <w:sz w:val="28"/>
          <w:szCs w:val="28"/>
          <w:u w:val="single"/>
          <w:rtl/>
        </w:rPr>
        <w:t>מ"</w:t>
      </w:r>
      <w:r w:rsidRPr="00564E42">
        <w:rPr>
          <w:rFonts w:ascii="Calibri" w:hAnsi="Calibri" w:cs="FrankRuehl"/>
          <w:sz w:val="28"/>
          <w:szCs w:val="28"/>
          <w:rtl/>
        </w:rPr>
        <w:t>י (מיום 26.7.2017)</w:t>
      </w:r>
      <w:r w:rsidRPr="00564E42">
        <w:rPr>
          <w:rFonts w:ascii="Calibri" w:hAnsi="Calibri" w:cs="FrankRuehl" w:hint="cs"/>
          <w:sz w:val="28"/>
          <w:szCs w:val="28"/>
          <w:rtl/>
        </w:rPr>
        <w:t>. בעניינו הפגיעה בערך המוגן בתיק העיקרי היא בינונית. על אף שמדובר בריבוי מקרי סחר, סוג הסם וכמותו מפחיתים מן הפגיעה בערך המוגן. הפגיעה בערך המוגן בתיק המצורף היא נמוכה שכן מדובר בכמות מזערית של סם קל לשימוש עצמי.</w:t>
      </w:r>
    </w:p>
    <w:p w14:paraId="5643D3DC" w14:textId="77777777" w:rsidR="007D5911" w:rsidRPr="00564E42" w:rsidRDefault="007D5911" w:rsidP="00564E42">
      <w:pPr>
        <w:spacing w:after="160" w:line="360" w:lineRule="auto"/>
        <w:jc w:val="both"/>
        <w:rPr>
          <w:rFonts w:ascii="Calibri" w:hAnsi="Calibri" w:cs="FrankRuehl"/>
          <w:sz w:val="28"/>
          <w:szCs w:val="28"/>
          <w:rtl/>
        </w:rPr>
      </w:pPr>
    </w:p>
    <w:p w14:paraId="03237924" w14:textId="77777777" w:rsidR="007D5911" w:rsidRPr="00564E42" w:rsidRDefault="007D5911" w:rsidP="00564E42">
      <w:pPr>
        <w:spacing w:after="160" w:line="360" w:lineRule="auto"/>
        <w:jc w:val="both"/>
        <w:rPr>
          <w:rFonts w:ascii="Calibri" w:hAnsi="Calibri" w:cs="FrankRuehl"/>
          <w:sz w:val="28"/>
          <w:szCs w:val="28"/>
          <w:rtl/>
        </w:rPr>
      </w:pPr>
      <w:r w:rsidRPr="00564E42">
        <w:rPr>
          <w:rFonts w:ascii="Calibri" w:hAnsi="Calibri" w:cs="FrankRuehl"/>
          <w:b/>
          <w:bCs/>
          <w:sz w:val="28"/>
          <w:szCs w:val="28"/>
          <w:u w:val="single"/>
          <w:rtl/>
        </w:rPr>
        <w:t xml:space="preserve">נסיבות הקשורות בביצוע העבירה, לפי </w:t>
      </w:r>
      <w:hyperlink r:id="rId33" w:history="1">
        <w:r w:rsidRPr="007D5911">
          <w:rPr>
            <w:rStyle w:val="Hyperlink"/>
            <w:rFonts w:ascii="Calibri" w:hAnsi="Calibri" w:cs="FrankRuehl" w:hint="eastAsia"/>
            <w:b/>
            <w:bCs/>
            <w:sz w:val="28"/>
            <w:szCs w:val="28"/>
            <w:rtl/>
          </w:rPr>
          <w:t>סעיף</w:t>
        </w:r>
        <w:r w:rsidRPr="007D5911">
          <w:rPr>
            <w:rStyle w:val="Hyperlink"/>
            <w:rFonts w:ascii="Calibri" w:hAnsi="Calibri" w:cs="FrankRuehl"/>
            <w:b/>
            <w:bCs/>
            <w:sz w:val="28"/>
            <w:szCs w:val="28"/>
            <w:rtl/>
          </w:rPr>
          <w:t xml:space="preserve"> 40</w:t>
        </w:r>
        <w:r w:rsidRPr="007D5911">
          <w:rPr>
            <w:rStyle w:val="Hyperlink"/>
            <w:rFonts w:ascii="Calibri" w:hAnsi="Calibri" w:cs="FrankRuehl" w:hint="eastAsia"/>
            <w:b/>
            <w:bCs/>
            <w:sz w:val="28"/>
            <w:szCs w:val="28"/>
            <w:rtl/>
          </w:rPr>
          <w:t>ט</w:t>
        </w:r>
        <w:r w:rsidRPr="007D5911">
          <w:rPr>
            <w:rStyle w:val="Hyperlink"/>
            <w:rFonts w:ascii="Calibri" w:hAnsi="Calibri" w:cs="FrankRuehl"/>
            <w:b/>
            <w:bCs/>
            <w:sz w:val="28"/>
            <w:szCs w:val="28"/>
            <w:rtl/>
          </w:rPr>
          <w:t>'</w:t>
        </w:r>
      </w:hyperlink>
      <w:r w:rsidRPr="00564E42">
        <w:rPr>
          <w:rFonts w:ascii="Calibri" w:hAnsi="Calibri" w:cs="FrankRuehl"/>
          <w:b/>
          <w:bCs/>
          <w:sz w:val="28"/>
          <w:szCs w:val="28"/>
          <w:u w:val="single"/>
          <w:rtl/>
        </w:rPr>
        <w:t xml:space="preserve"> לחוק העונשין</w:t>
      </w:r>
      <w:r w:rsidRPr="00564E42">
        <w:rPr>
          <w:rFonts w:ascii="Calibri" w:hAnsi="Calibri" w:cs="FrankRuehl"/>
          <w:b/>
          <w:bCs/>
          <w:sz w:val="28"/>
          <w:szCs w:val="28"/>
          <w:rtl/>
        </w:rPr>
        <w:t xml:space="preserve"> – </w:t>
      </w:r>
      <w:r w:rsidRPr="00564E42">
        <w:rPr>
          <w:rFonts w:ascii="Calibri" w:hAnsi="Calibri" w:cs="FrankRuehl"/>
          <w:sz w:val="28"/>
          <w:szCs w:val="28"/>
          <w:rtl/>
        </w:rPr>
        <w:t xml:space="preserve">בין הנסיבות הקשורות בביצוע העבירה יש לשקול את אלה, לעניין קביעת המתחם: מדובר בנסיבות מחמירות של ביצוע </w:t>
      </w:r>
      <w:r w:rsidRPr="00564E42">
        <w:rPr>
          <w:rFonts w:ascii="Calibri" w:hAnsi="Calibri" w:cs="FrankRuehl" w:hint="cs"/>
          <w:sz w:val="28"/>
          <w:szCs w:val="28"/>
          <w:rtl/>
        </w:rPr>
        <w:t>ב</w:t>
      </w:r>
      <w:r w:rsidRPr="00564E42">
        <w:rPr>
          <w:rFonts w:ascii="Calibri" w:hAnsi="Calibri" w:cs="FrankRuehl"/>
          <w:sz w:val="28"/>
          <w:szCs w:val="28"/>
          <w:rtl/>
        </w:rPr>
        <w:t xml:space="preserve">צוותא, מתוך תכנון, חלוקת עבודה, ביצוע מתוחכם </w:t>
      </w:r>
      <w:r w:rsidRPr="00564E42">
        <w:rPr>
          <w:rFonts w:ascii="Calibri" w:hAnsi="Calibri" w:cs="FrankRuehl" w:hint="cs"/>
          <w:sz w:val="28"/>
          <w:szCs w:val="28"/>
          <w:rtl/>
        </w:rPr>
        <w:t>ומתוך מניע כלכלי</w:t>
      </w:r>
      <w:r w:rsidRPr="00564E42">
        <w:rPr>
          <w:rFonts w:ascii="Calibri" w:hAnsi="Calibri" w:cs="FrankRuehl"/>
          <w:sz w:val="28"/>
          <w:szCs w:val="28"/>
          <w:rtl/>
        </w:rPr>
        <w:t>; על הנזק הנגרם מסמים עמדתי, ובוודאי שמדובר בנזק משמעותי שעה שמדובר ב</w:t>
      </w:r>
      <w:r w:rsidRPr="00564E42">
        <w:rPr>
          <w:rFonts w:ascii="Calibri" w:hAnsi="Calibri" w:cs="FrankRuehl" w:hint="cs"/>
          <w:sz w:val="28"/>
          <w:szCs w:val="28"/>
          <w:rtl/>
        </w:rPr>
        <w:t xml:space="preserve">מספר </w:t>
      </w:r>
      <w:r w:rsidRPr="00564E42">
        <w:rPr>
          <w:rFonts w:ascii="Calibri" w:hAnsi="Calibri" w:cs="FrankRuehl"/>
          <w:sz w:val="28"/>
          <w:szCs w:val="28"/>
          <w:rtl/>
        </w:rPr>
        <w:t xml:space="preserve">מקרי </w:t>
      </w:r>
      <w:r w:rsidRPr="00564E42">
        <w:rPr>
          <w:rFonts w:ascii="Calibri" w:hAnsi="Calibri" w:cs="FrankRuehl" w:hint="cs"/>
          <w:sz w:val="28"/>
          <w:szCs w:val="28"/>
          <w:rtl/>
        </w:rPr>
        <w:t>סחר ללקוחות מזדמנים ולא מוכרים</w:t>
      </w:r>
      <w:r w:rsidRPr="00564E42">
        <w:rPr>
          <w:rFonts w:ascii="Calibri" w:hAnsi="Calibri" w:cs="FrankRuehl"/>
          <w:sz w:val="28"/>
          <w:szCs w:val="28"/>
          <w:rtl/>
        </w:rPr>
        <w:t>; הגם שהנאש</w:t>
      </w:r>
      <w:r w:rsidRPr="00564E42">
        <w:rPr>
          <w:rFonts w:ascii="Calibri" w:hAnsi="Calibri" w:cs="FrankRuehl" w:hint="cs"/>
          <w:sz w:val="28"/>
          <w:szCs w:val="28"/>
          <w:rtl/>
        </w:rPr>
        <w:t xml:space="preserve">ם </w:t>
      </w:r>
      <w:r w:rsidRPr="00564E42">
        <w:rPr>
          <w:rFonts w:ascii="Calibri" w:hAnsi="Calibri" w:cs="FrankRuehl"/>
          <w:sz w:val="28"/>
          <w:szCs w:val="28"/>
          <w:rtl/>
        </w:rPr>
        <w:t>ה</w:t>
      </w:r>
      <w:r w:rsidRPr="00564E42">
        <w:rPr>
          <w:rFonts w:ascii="Calibri" w:hAnsi="Calibri" w:cs="FrankRuehl" w:hint="cs"/>
          <w:sz w:val="28"/>
          <w:szCs w:val="28"/>
          <w:rtl/>
        </w:rPr>
        <w:t>ו</w:t>
      </w:r>
      <w:r w:rsidRPr="00564E42">
        <w:rPr>
          <w:rFonts w:ascii="Calibri" w:hAnsi="Calibri" w:cs="FrankRuehl"/>
          <w:sz w:val="28"/>
          <w:szCs w:val="28"/>
          <w:rtl/>
        </w:rPr>
        <w:t xml:space="preserve">א צעיר </w:t>
      </w:r>
      <w:r w:rsidRPr="00564E42">
        <w:rPr>
          <w:rFonts w:ascii="Calibri" w:hAnsi="Calibri" w:cs="FrankRuehl" w:hint="cs"/>
          <w:sz w:val="28"/>
          <w:szCs w:val="28"/>
          <w:rtl/>
        </w:rPr>
        <w:t>יחסית</w:t>
      </w:r>
      <w:r w:rsidRPr="00564E42">
        <w:rPr>
          <w:rFonts w:ascii="Calibri" w:hAnsi="Calibri" w:cs="FrankRuehl"/>
          <w:sz w:val="28"/>
          <w:szCs w:val="28"/>
          <w:rtl/>
        </w:rPr>
        <w:t xml:space="preserve">, בוודאי </w:t>
      </w:r>
      <w:r w:rsidRPr="00564E42">
        <w:rPr>
          <w:rFonts w:ascii="Calibri" w:hAnsi="Calibri" w:cs="FrankRuehl" w:hint="cs"/>
          <w:sz w:val="28"/>
          <w:szCs w:val="28"/>
          <w:rtl/>
        </w:rPr>
        <w:t>ש</w:t>
      </w:r>
      <w:r w:rsidRPr="00564E42">
        <w:rPr>
          <w:rFonts w:ascii="Calibri" w:hAnsi="Calibri" w:cs="FrankRuehl"/>
          <w:sz w:val="28"/>
          <w:szCs w:val="28"/>
          <w:rtl/>
        </w:rPr>
        <w:t>ידע את הפסול שבמעשים, ואין כל סיבה נראית לעין, מלבד בצע כסף, לביצוע העבירות, כך שיכולת</w:t>
      </w:r>
      <w:r w:rsidRPr="00564E42">
        <w:rPr>
          <w:rFonts w:ascii="Calibri" w:hAnsi="Calibri" w:cs="FrankRuehl" w:hint="cs"/>
          <w:sz w:val="28"/>
          <w:szCs w:val="28"/>
          <w:rtl/>
        </w:rPr>
        <w:t>ו</w:t>
      </w:r>
      <w:r w:rsidRPr="00564E42">
        <w:rPr>
          <w:rFonts w:ascii="Calibri" w:hAnsi="Calibri" w:cs="FrankRuehl"/>
          <w:sz w:val="28"/>
          <w:szCs w:val="28"/>
          <w:rtl/>
        </w:rPr>
        <w:t xml:space="preserve"> להימנע מביצוען ברורה. </w:t>
      </w:r>
    </w:p>
    <w:p w14:paraId="02EB01DE" w14:textId="77777777" w:rsidR="007D5911" w:rsidRPr="00564E42" w:rsidRDefault="007D5911" w:rsidP="00564E42">
      <w:pPr>
        <w:spacing w:after="160" w:line="360" w:lineRule="auto"/>
        <w:jc w:val="both"/>
        <w:rPr>
          <w:rFonts w:ascii="Calibri" w:hAnsi="Calibri" w:cs="FrankRuehl"/>
          <w:b/>
          <w:bCs/>
          <w:sz w:val="28"/>
          <w:szCs w:val="28"/>
          <w:u w:val="single"/>
          <w:rtl/>
        </w:rPr>
      </w:pPr>
    </w:p>
    <w:p w14:paraId="0CB36670" w14:textId="77777777" w:rsidR="007D5911" w:rsidRPr="00564E42" w:rsidRDefault="007D5911" w:rsidP="00564E42">
      <w:pPr>
        <w:spacing w:after="160" w:line="360" w:lineRule="auto"/>
        <w:jc w:val="both"/>
        <w:rPr>
          <w:rFonts w:ascii="Calibri" w:hAnsi="Calibri" w:cs="FrankRuehl"/>
          <w:sz w:val="28"/>
          <w:szCs w:val="28"/>
          <w:rtl/>
        </w:rPr>
      </w:pPr>
      <w:r w:rsidRPr="00564E42">
        <w:rPr>
          <w:rFonts w:ascii="Calibri" w:hAnsi="Calibri" w:cs="FrankRuehl"/>
          <w:b/>
          <w:bCs/>
          <w:sz w:val="28"/>
          <w:szCs w:val="28"/>
          <w:u w:val="single"/>
          <w:rtl/>
        </w:rPr>
        <w:t>מדיניות הענישה הנוהגת</w:t>
      </w:r>
      <w:r w:rsidRPr="00564E42">
        <w:rPr>
          <w:rFonts w:ascii="Calibri" w:hAnsi="Calibri" w:cs="FrankRuehl"/>
          <w:b/>
          <w:bCs/>
          <w:sz w:val="28"/>
          <w:szCs w:val="28"/>
          <w:rtl/>
        </w:rPr>
        <w:t xml:space="preserve"> – </w:t>
      </w:r>
      <w:r w:rsidRPr="00564E42">
        <w:rPr>
          <w:rFonts w:ascii="Calibri" w:hAnsi="Calibri" w:cs="FrankRuehl"/>
          <w:sz w:val="28"/>
          <w:szCs w:val="28"/>
          <w:rtl/>
        </w:rPr>
        <w:t xml:space="preserve">סקירת הפסיקה בנסיבות של סחר בסמים מלמדת כי הכלל הוא מאסר בפועל ולעתים קרובות </w:t>
      </w:r>
      <w:r w:rsidRPr="00564E42">
        <w:rPr>
          <w:rFonts w:ascii="Calibri" w:hAnsi="Calibri" w:cs="FrankRuehl" w:hint="cs"/>
          <w:sz w:val="28"/>
          <w:szCs w:val="28"/>
          <w:rtl/>
        </w:rPr>
        <w:t>מדובר ב</w:t>
      </w:r>
      <w:r w:rsidRPr="00564E42">
        <w:rPr>
          <w:rFonts w:ascii="Calibri" w:hAnsi="Calibri" w:cs="FrankRuehl"/>
          <w:sz w:val="28"/>
          <w:szCs w:val="28"/>
          <w:rtl/>
        </w:rPr>
        <w:t>ענישה דו-ספרתית. אלא שכל מקרה בנסיבותיו וישנם גם מקרים חריגים המסתיימים בענישה מופחתת, בעיקר פרי של שיקום.  ב</w:t>
      </w:r>
      <w:hyperlink r:id="rId34" w:history="1">
        <w:r w:rsidRPr="00BF417E">
          <w:rPr>
            <w:rFonts w:ascii="Calibri" w:hAnsi="Calibri" w:cs="FrankRuehl" w:hint="eastAsia"/>
            <w:color w:val="0000FF"/>
            <w:sz w:val="28"/>
            <w:szCs w:val="28"/>
            <w:u w:val="single"/>
            <w:rtl/>
          </w:rPr>
          <w:t>רע</w:t>
        </w:r>
        <w:r w:rsidRPr="00BF417E">
          <w:rPr>
            <w:rFonts w:ascii="Calibri" w:hAnsi="Calibri" w:cs="FrankRuehl"/>
            <w:color w:val="0000FF"/>
            <w:sz w:val="28"/>
            <w:szCs w:val="28"/>
            <w:u w:val="single"/>
            <w:rtl/>
          </w:rPr>
          <w:t>"</w:t>
        </w:r>
        <w:r w:rsidRPr="00BF417E">
          <w:rPr>
            <w:rFonts w:ascii="Calibri" w:hAnsi="Calibri" w:cs="FrankRuehl" w:hint="eastAsia"/>
            <w:color w:val="0000FF"/>
            <w:sz w:val="28"/>
            <w:szCs w:val="28"/>
            <w:u w:val="single"/>
            <w:rtl/>
          </w:rPr>
          <w:t>פ</w:t>
        </w:r>
        <w:r w:rsidRPr="00BF417E">
          <w:rPr>
            <w:rFonts w:ascii="Calibri" w:hAnsi="Calibri" w:cs="FrankRuehl"/>
            <w:color w:val="0000FF"/>
            <w:sz w:val="28"/>
            <w:szCs w:val="28"/>
            <w:u w:val="single"/>
            <w:rtl/>
          </w:rPr>
          <w:t xml:space="preserve"> 1183/18</w:t>
        </w:r>
      </w:hyperlink>
      <w:r w:rsidRPr="00564E42">
        <w:rPr>
          <w:rFonts w:ascii="Calibri" w:hAnsi="Calibri" w:cs="FrankRuehl"/>
          <w:sz w:val="28"/>
          <w:szCs w:val="28"/>
          <w:rtl/>
        </w:rPr>
        <w:t xml:space="preserve"> </w:t>
      </w:r>
      <w:r w:rsidRPr="00564E42">
        <w:rPr>
          <w:rFonts w:ascii="Calibri" w:hAnsi="Calibri" w:cs="FrankRuehl"/>
          <w:b/>
          <w:bCs/>
          <w:sz w:val="28"/>
          <w:szCs w:val="28"/>
          <w:u w:val="single"/>
          <w:rtl/>
        </w:rPr>
        <w:t>ששון</w:t>
      </w:r>
      <w:r w:rsidRPr="00564E42">
        <w:rPr>
          <w:rFonts w:ascii="Calibri" w:hAnsi="Calibri" w:cs="FrankRuehl"/>
          <w:sz w:val="28"/>
          <w:szCs w:val="28"/>
          <w:rtl/>
        </w:rPr>
        <w:t xml:space="preserve"> נ' </w:t>
      </w:r>
      <w:r w:rsidRPr="00564E42">
        <w:rPr>
          <w:rFonts w:ascii="Calibri" w:hAnsi="Calibri" w:cs="FrankRuehl"/>
          <w:b/>
          <w:bCs/>
          <w:sz w:val="28"/>
          <w:szCs w:val="28"/>
          <w:u w:val="single"/>
          <w:rtl/>
        </w:rPr>
        <w:t>מ"י</w:t>
      </w:r>
      <w:r w:rsidRPr="00564E42">
        <w:rPr>
          <w:rFonts w:ascii="Calibri" w:hAnsi="Calibri" w:cs="FrankRuehl"/>
          <w:sz w:val="28"/>
          <w:szCs w:val="28"/>
          <w:rtl/>
        </w:rPr>
        <w:t xml:space="preserve"> (מיום 21.3.2018) אושר מתחם שבין מס' חודשי מאסר לרבות עבודות שירות עד 12 חודשי מאסר בנסיבות של 2 עסקאות ב-</w:t>
      </w:r>
      <w:r w:rsidRPr="00564E42">
        <w:rPr>
          <w:rFonts w:ascii="Calibri" w:hAnsi="Calibri" w:cs="FrankRuehl"/>
          <w:sz w:val="28"/>
          <w:szCs w:val="28"/>
        </w:rPr>
        <w:t>LSD</w:t>
      </w:r>
      <w:r w:rsidRPr="00564E42">
        <w:rPr>
          <w:rFonts w:ascii="Calibri" w:hAnsi="Calibri" w:cs="FrankRuehl"/>
          <w:sz w:val="28"/>
          <w:szCs w:val="28"/>
          <w:rtl/>
        </w:rPr>
        <w:t xml:space="preserve"> והתיק הסתיים ב-5 חודשי מאסר לריצוי בעבודות שירות, כאשר בית המשפט העליון סבר כי יש קושי שלא להרשיע בעבירות מסוג זה. ב</w:t>
      </w:r>
      <w:hyperlink r:id="rId35" w:history="1">
        <w:r w:rsidRPr="00BF417E">
          <w:rPr>
            <w:rFonts w:ascii="Calibri" w:hAnsi="Calibri" w:cs="FrankRuehl" w:hint="eastAsia"/>
            <w:color w:val="0000FF"/>
            <w:sz w:val="28"/>
            <w:szCs w:val="28"/>
            <w:u w:val="single"/>
            <w:rtl/>
          </w:rPr>
          <w:t>רע</w:t>
        </w:r>
        <w:r w:rsidRPr="00BF417E">
          <w:rPr>
            <w:rFonts w:ascii="Calibri" w:hAnsi="Calibri" w:cs="FrankRuehl"/>
            <w:color w:val="0000FF"/>
            <w:sz w:val="28"/>
            <w:szCs w:val="28"/>
            <w:u w:val="single"/>
            <w:rtl/>
          </w:rPr>
          <w:t>"</w:t>
        </w:r>
        <w:r w:rsidRPr="00BF417E">
          <w:rPr>
            <w:rFonts w:ascii="Calibri" w:hAnsi="Calibri" w:cs="FrankRuehl" w:hint="eastAsia"/>
            <w:color w:val="0000FF"/>
            <w:sz w:val="28"/>
            <w:szCs w:val="28"/>
            <w:u w:val="single"/>
            <w:rtl/>
          </w:rPr>
          <w:t>פ</w:t>
        </w:r>
        <w:r w:rsidRPr="00BF417E">
          <w:rPr>
            <w:rFonts w:ascii="Calibri" w:hAnsi="Calibri" w:cs="FrankRuehl"/>
            <w:color w:val="0000FF"/>
            <w:sz w:val="28"/>
            <w:szCs w:val="28"/>
            <w:u w:val="single"/>
            <w:rtl/>
          </w:rPr>
          <w:t xml:space="preserve"> 1370/17</w:t>
        </w:r>
      </w:hyperlink>
      <w:r w:rsidRPr="00564E42">
        <w:rPr>
          <w:rFonts w:ascii="Calibri" w:hAnsi="Calibri" w:cs="FrankRuehl"/>
          <w:sz w:val="28"/>
          <w:szCs w:val="28"/>
          <w:rtl/>
        </w:rPr>
        <w:t xml:space="preserve"> </w:t>
      </w:r>
      <w:r w:rsidRPr="00564E42">
        <w:rPr>
          <w:rFonts w:ascii="Calibri" w:hAnsi="Calibri" w:cs="FrankRuehl"/>
          <w:b/>
          <w:bCs/>
          <w:sz w:val="28"/>
          <w:szCs w:val="28"/>
          <w:u w:val="single"/>
          <w:rtl/>
        </w:rPr>
        <w:t>בן נעים</w:t>
      </w:r>
      <w:r w:rsidRPr="00564E42">
        <w:rPr>
          <w:rFonts w:ascii="Calibri" w:hAnsi="Calibri" w:cs="FrankRuehl"/>
          <w:sz w:val="28"/>
          <w:szCs w:val="28"/>
          <w:rtl/>
        </w:rPr>
        <w:t xml:space="preserve"> נ' </w:t>
      </w:r>
      <w:r w:rsidRPr="00564E42">
        <w:rPr>
          <w:rFonts w:ascii="Calibri" w:hAnsi="Calibri" w:cs="FrankRuehl"/>
          <w:b/>
          <w:bCs/>
          <w:sz w:val="28"/>
          <w:szCs w:val="28"/>
          <w:u w:val="single"/>
          <w:rtl/>
        </w:rPr>
        <w:t xml:space="preserve">מ"י </w:t>
      </w:r>
      <w:r w:rsidRPr="00564E42">
        <w:rPr>
          <w:rFonts w:ascii="Calibri" w:hAnsi="Calibri" w:cs="FrankRuehl"/>
          <w:sz w:val="28"/>
          <w:szCs w:val="28"/>
          <w:rtl/>
        </w:rPr>
        <w:t>(מיום 20.4.2017) אושר עונש של 16 חודשי מאסר בפועל ומתחם ענישה שבין 12 ל-24 חודשי מאסר בעניין אישום של ריבוי מקרים של סחר בחשיש. ב</w:t>
      </w:r>
      <w:hyperlink r:id="rId36" w:history="1">
        <w:r w:rsidRPr="00BF417E">
          <w:rPr>
            <w:rFonts w:ascii="Calibri" w:hAnsi="Calibri" w:cs="FrankRuehl" w:hint="eastAsia"/>
            <w:color w:val="0000FF"/>
            <w:sz w:val="28"/>
            <w:szCs w:val="28"/>
            <w:u w:val="single"/>
            <w:rtl/>
          </w:rPr>
          <w:t>עפ</w:t>
        </w:r>
        <w:r w:rsidRPr="00BF417E">
          <w:rPr>
            <w:rFonts w:ascii="Calibri" w:hAnsi="Calibri" w:cs="FrankRuehl"/>
            <w:color w:val="0000FF"/>
            <w:sz w:val="28"/>
            <w:szCs w:val="28"/>
            <w:u w:val="single"/>
            <w:rtl/>
          </w:rPr>
          <w:t>"</w:t>
        </w:r>
        <w:r w:rsidRPr="00BF417E">
          <w:rPr>
            <w:rFonts w:ascii="Calibri" w:hAnsi="Calibri" w:cs="FrankRuehl" w:hint="eastAsia"/>
            <w:color w:val="0000FF"/>
            <w:sz w:val="28"/>
            <w:szCs w:val="28"/>
            <w:u w:val="single"/>
            <w:rtl/>
          </w:rPr>
          <w:t>ג</w:t>
        </w:r>
        <w:r w:rsidRPr="00BF417E">
          <w:rPr>
            <w:rFonts w:ascii="Calibri" w:hAnsi="Calibri" w:cs="FrankRuehl"/>
            <w:color w:val="0000FF"/>
            <w:sz w:val="28"/>
            <w:szCs w:val="28"/>
            <w:u w:val="single"/>
            <w:rtl/>
          </w:rPr>
          <w:t xml:space="preserve"> (</w:t>
        </w:r>
        <w:r w:rsidRPr="00BF417E">
          <w:rPr>
            <w:rFonts w:ascii="Calibri" w:hAnsi="Calibri" w:cs="FrankRuehl" w:hint="eastAsia"/>
            <w:color w:val="0000FF"/>
            <w:sz w:val="28"/>
            <w:szCs w:val="28"/>
            <w:u w:val="single"/>
            <w:rtl/>
          </w:rPr>
          <w:t>חיפה</w:t>
        </w:r>
        <w:r w:rsidRPr="00BF417E">
          <w:rPr>
            <w:rFonts w:ascii="Calibri" w:hAnsi="Calibri" w:cs="FrankRuehl"/>
            <w:color w:val="0000FF"/>
            <w:sz w:val="28"/>
            <w:szCs w:val="28"/>
            <w:u w:val="single"/>
            <w:rtl/>
          </w:rPr>
          <w:t>) 53901-05-15</w:t>
        </w:r>
      </w:hyperlink>
      <w:r w:rsidRPr="00564E42">
        <w:rPr>
          <w:rFonts w:ascii="Calibri" w:hAnsi="Calibri" w:cs="FrankRuehl"/>
          <w:sz w:val="28"/>
          <w:szCs w:val="28"/>
          <w:rtl/>
        </w:rPr>
        <w:t xml:space="preserve"> </w:t>
      </w:r>
      <w:r w:rsidRPr="00564E42">
        <w:rPr>
          <w:rFonts w:ascii="Calibri" w:hAnsi="Calibri" w:cs="FrankRuehl"/>
          <w:b/>
          <w:bCs/>
          <w:sz w:val="28"/>
          <w:szCs w:val="28"/>
          <w:u w:val="single"/>
          <w:rtl/>
        </w:rPr>
        <w:t>איטח</w:t>
      </w:r>
      <w:r w:rsidRPr="00564E42">
        <w:rPr>
          <w:rFonts w:ascii="Calibri" w:hAnsi="Calibri" w:cs="FrankRuehl"/>
          <w:sz w:val="28"/>
          <w:szCs w:val="28"/>
          <w:rtl/>
        </w:rPr>
        <w:t xml:space="preserve"> נ' </w:t>
      </w:r>
      <w:r w:rsidRPr="00564E42">
        <w:rPr>
          <w:rFonts w:ascii="Calibri" w:hAnsi="Calibri" w:cs="FrankRuehl"/>
          <w:b/>
          <w:bCs/>
          <w:sz w:val="28"/>
          <w:szCs w:val="28"/>
          <w:u w:val="single"/>
          <w:rtl/>
        </w:rPr>
        <w:t>מ"י</w:t>
      </w:r>
      <w:r w:rsidRPr="00564E42">
        <w:rPr>
          <w:rFonts w:ascii="Calibri" w:hAnsi="Calibri" w:cs="FrankRuehl"/>
          <w:sz w:val="28"/>
          <w:szCs w:val="28"/>
          <w:rtl/>
        </w:rPr>
        <w:t xml:space="preserve"> (מיום 20.7.2015) אושר עונש של מאסר על תנאי, מבחן ו-200 שעות של"ץ במקרה של סיוע לביצוע 3 עסקאות סמים מסוג מריחואנה. נסיבות אחרונות אלו קלות בהרבה מענייננו, וגם שם נקבע כי לא ניתן להימנע מהרשעה בעבירות מסוג זה. </w:t>
      </w:r>
    </w:p>
    <w:p w14:paraId="596D976B" w14:textId="77777777" w:rsidR="007D5911" w:rsidRPr="00564E42" w:rsidRDefault="007D5911" w:rsidP="00564E42">
      <w:pPr>
        <w:spacing w:after="160" w:line="360" w:lineRule="auto"/>
        <w:jc w:val="both"/>
        <w:rPr>
          <w:rFonts w:ascii="Calibri" w:hAnsi="Calibri" w:cs="FrankRuehl"/>
          <w:sz w:val="28"/>
          <w:szCs w:val="28"/>
          <w:rtl/>
        </w:rPr>
      </w:pPr>
      <w:r w:rsidRPr="00564E42">
        <w:rPr>
          <w:rFonts w:ascii="Calibri" w:hAnsi="Calibri" w:cs="FrankRuehl"/>
          <w:b/>
          <w:bCs/>
          <w:sz w:val="28"/>
          <w:szCs w:val="28"/>
          <w:u w:val="single"/>
          <w:rtl/>
        </w:rPr>
        <w:t>מתחם הענישה</w:t>
      </w:r>
      <w:r w:rsidRPr="00564E42">
        <w:rPr>
          <w:rFonts w:ascii="Calibri" w:hAnsi="Calibri" w:cs="FrankRuehl"/>
          <w:sz w:val="28"/>
          <w:szCs w:val="28"/>
          <w:rtl/>
        </w:rPr>
        <w:t xml:space="preserve"> – לפיכך, מתחם הענישה בתיק העיקרי צריך לעמוד על בין </w:t>
      </w:r>
      <w:r w:rsidRPr="00564E42">
        <w:rPr>
          <w:rFonts w:ascii="Calibri" w:hAnsi="Calibri" w:cs="FrankRuehl" w:hint="cs"/>
          <w:sz w:val="28"/>
          <w:szCs w:val="28"/>
          <w:rtl/>
        </w:rPr>
        <w:t>8</w:t>
      </w:r>
      <w:r w:rsidRPr="00564E42">
        <w:rPr>
          <w:rFonts w:ascii="Calibri" w:hAnsi="Calibri" w:cs="FrankRuehl"/>
          <w:sz w:val="28"/>
          <w:szCs w:val="28"/>
          <w:rtl/>
        </w:rPr>
        <w:t xml:space="preserve"> ל-</w:t>
      </w:r>
      <w:r w:rsidRPr="00564E42">
        <w:rPr>
          <w:rFonts w:ascii="Calibri" w:hAnsi="Calibri" w:cs="FrankRuehl" w:hint="cs"/>
          <w:sz w:val="28"/>
          <w:szCs w:val="28"/>
          <w:rtl/>
        </w:rPr>
        <w:t>18</w:t>
      </w:r>
      <w:r w:rsidRPr="00564E42">
        <w:rPr>
          <w:rFonts w:ascii="Calibri" w:hAnsi="Calibri" w:cs="FrankRuehl"/>
          <w:sz w:val="28"/>
          <w:szCs w:val="28"/>
          <w:rtl/>
        </w:rPr>
        <w:t xml:space="preserve"> חודשי מאסר, </w:t>
      </w:r>
      <w:r w:rsidRPr="00564E42">
        <w:rPr>
          <w:rFonts w:ascii="Calibri" w:hAnsi="Calibri" w:cs="FrankRuehl" w:hint="cs"/>
          <w:sz w:val="28"/>
          <w:szCs w:val="28"/>
          <w:rtl/>
        </w:rPr>
        <w:t xml:space="preserve">זאת לאחר שאני סבור כי מדובר במסכת אירועים אחת, בשל סמיכות הזמנים, סוג הסם והקשר ההדוק שבין שני האירועים הכרוכים זה בזה. </w:t>
      </w:r>
      <w:r w:rsidRPr="00564E42">
        <w:rPr>
          <w:rFonts w:ascii="Calibri" w:hAnsi="Calibri" w:cs="FrankRuehl"/>
          <w:sz w:val="28"/>
          <w:szCs w:val="28"/>
          <w:rtl/>
        </w:rPr>
        <w:t xml:space="preserve">בתיק </w:t>
      </w:r>
      <w:r w:rsidRPr="00564E42">
        <w:rPr>
          <w:rFonts w:ascii="Calibri" w:hAnsi="Calibri" w:cs="FrankRuehl" w:hint="cs"/>
          <w:sz w:val="28"/>
          <w:szCs w:val="28"/>
          <w:rtl/>
        </w:rPr>
        <w:t>המצורף</w:t>
      </w:r>
      <w:r w:rsidRPr="00564E42">
        <w:rPr>
          <w:rFonts w:ascii="Calibri" w:hAnsi="Calibri" w:cs="FrankRuehl"/>
          <w:sz w:val="28"/>
          <w:szCs w:val="28"/>
          <w:rtl/>
        </w:rPr>
        <w:t xml:space="preserve"> צריך לעמוד </w:t>
      </w:r>
      <w:r w:rsidRPr="00564E42">
        <w:rPr>
          <w:rFonts w:ascii="Calibri" w:hAnsi="Calibri" w:cs="FrankRuehl" w:hint="cs"/>
          <w:sz w:val="28"/>
          <w:szCs w:val="28"/>
          <w:rtl/>
        </w:rPr>
        <w:t xml:space="preserve">מתחם הענישה </w:t>
      </w:r>
      <w:r w:rsidRPr="00564E42">
        <w:rPr>
          <w:rFonts w:ascii="Calibri" w:hAnsi="Calibri" w:cs="FrankRuehl"/>
          <w:sz w:val="28"/>
          <w:szCs w:val="28"/>
          <w:rtl/>
        </w:rPr>
        <w:t xml:space="preserve">על מאסר על-תנאי ועד 6 חודשי מאסר.  </w:t>
      </w:r>
    </w:p>
    <w:p w14:paraId="5C56DA0D" w14:textId="77777777" w:rsidR="007D5911" w:rsidRPr="00564E42" w:rsidRDefault="007D5911" w:rsidP="00564E42">
      <w:pPr>
        <w:spacing w:after="160" w:line="360" w:lineRule="auto"/>
        <w:jc w:val="both"/>
        <w:rPr>
          <w:rFonts w:ascii="Calibri" w:hAnsi="Calibri" w:cs="FrankRuehl"/>
          <w:sz w:val="28"/>
          <w:szCs w:val="28"/>
          <w:rtl/>
        </w:rPr>
      </w:pPr>
      <w:r w:rsidRPr="00564E42">
        <w:rPr>
          <w:rFonts w:ascii="Calibri" w:hAnsi="Calibri" w:cs="FrankRuehl"/>
          <w:b/>
          <w:bCs/>
          <w:sz w:val="28"/>
          <w:szCs w:val="28"/>
          <w:u w:val="single"/>
          <w:rtl/>
        </w:rPr>
        <w:t xml:space="preserve">נסיבות שאינן קשורות בביצוע העבירה לפי </w:t>
      </w:r>
      <w:hyperlink r:id="rId37" w:history="1">
        <w:r w:rsidRPr="007D5911">
          <w:rPr>
            <w:rStyle w:val="Hyperlink"/>
            <w:rFonts w:ascii="Calibri" w:hAnsi="Calibri" w:cs="FrankRuehl" w:hint="eastAsia"/>
            <w:b/>
            <w:bCs/>
            <w:sz w:val="28"/>
            <w:szCs w:val="28"/>
            <w:rtl/>
          </w:rPr>
          <w:t>סעיף</w:t>
        </w:r>
        <w:r w:rsidRPr="007D5911">
          <w:rPr>
            <w:rStyle w:val="Hyperlink"/>
            <w:rFonts w:ascii="Calibri" w:hAnsi="Calibri" w:cs="FrankRuehl"/>
            <w:b/>
            <w:bCs/>
            <w:sz w:val="28"/>
            <w:szCs w:val="28"/>
            <w:rtl/>
          </w:rPr>
          <w:t xml:space="preserve"> 40</w:t>
        </w:r>
        <w:r w:rsidRPr="007D5911">
          <w:rPr>
            <w:rStyle w:val="Hyperlink"/>
            <w:rFonts w:ascii="Calibri" w:hAnsi="Calibri" w:cs="FrankRuehl" w:hint="eastAsia"/>
            <w:b/>
            <w:bCs/>
            <w:sz w:val="28"/>
            <w:szCs w:val="28"/>
            <w:rtl/>
          </w:rPr>
          <w:t>י</w:t>
        </w:r>
        <w:r w:rsidRPr="007D5911">
          <w:rPr>
            <w:rStyle w:val="Hyperlink"/>
            <w:rFonts w:ascii="Calibri" w:hAnsi="Calibri" w:cs="FrankRuehl"/>
            <w:b/>
            <w:bCs/>
            <w:sz w:val="28"/>
            <w:szCs w:val="28"/>
            <w:rtl/>
          </w:rPr>
          <w:t>"</w:t>
        </w:r>
        <w:r w:rsidRPr="007D5911">
          <w:rPr>
            <w:rStyle w:val="Hyperlink"/>
            <w:rFonts w:ascii="Calibri" w:hAnsi="Calibri" w:cs="FrankRuehl" w:hint="eastAsia"/>
            <w:b/>
            <w:bCs/>
            <w:sz w:val="28"/>
            <w:szCs w:val="28"/>
            <w:rtl/>
          </w:rPr>
          <w:t>א</w:t>
        </w:r>
      </w:hyperlink>
      <w:r w:rsidRPr="00564E42">
        <w:rPr>
          <w:rFonts w:ascii="Calibri" w:hAnsi="Calibri" w:cs="FrankRuehl"/>
          <w:b/>
          <w:bCs/>
          <w:sz w:val="28"/>
          <w:szCs w:val="28"/>
          <w:u w:val="single"/>
          <w:rtl/>
        </w:rPr>
        <w:t xml:space="preserve"> לחוק העונשין</w:t>
      </w:r>
      <w:r w:rsidRPr="00564E42">
        <w:rPr>
          <w:rFonts w:ascii="Calibri" w:hAnsi="Calibri" w:cs="FrankRuehl"/>
          <w:b/>
          <w:bCs/>
          <w:sz w:val="28"/>
          <w:szCs w:val="28"/>
          <w:rtl/>
        </w:rPr>
        <w:t xml:space="preserve"> – </w:t>
      </w:r>
      <w:r w:rsidRPr="00564E42">
        <w:rPr>
          <w:rFonts w:ascii="Calibri" w:hAnsi="Calibri" w:cs="FrankRuehl"/>
          <w:sz w:val="28"/>
          <w:szCs w:val="28"/>
          <w:rtl/>
        </w:rPr>
        <w:t xml:space="preserve">ניתן  לתת משקל לנסיבות הבאות שאינן קשורות בביצוע העבירה, במסגרת גזירת העונש בתוך המתחם: </w:t>
      </w:r>
      <w:r w:rsidRPr="00564E42">
        <w:rPr>
          <w:rFonts w:ascii="Calibri" w:hAnsi="Calibri" w:cs="FrankRuehl" w:hint="cs"/>
          <w:sz w:val="28"/>
          <w:szCs w:val="28"/>
          <w:rtl/>
        </w:rPr>
        <w:t>מחד נסיבותיו חייו של הנאשם אינן פשוטות, הן בהיבט של ילדותו, הן בהיבט של קורותיו כשבגר  - חייו לא היו קלים והיו רצופים התמודדויות עם אתגרים לא פשוטים. בשנים האחרונות נלוותה לכך התמודד פיזית קשה ביותר לאחר תאונה משמעותית שעבר הנאשם. היום, במסגרת הדיון ראיתי את הנאשם עומד לראשונה על שתי רגליו, ושמחתי לראות שהוא בדרכו לשיקום פיזי. הנאשם קיבל אחריות מלאה למעשים, ואולם בשל משך התנהלות ההליכים, הדבר לא התבטא בחסכון בזמן שיפוטי. כל אלה לקולא. לחומרה, העובדה שבסופו של יום, הנאשם התקשה לגייס את הכוחות להשלים תהליך טיפולי שיאפשר לסיים את ההליך המשפטי באופן מיטבי מבחינתו. יחד עם זאת, אינני נוטל מהנאשם את הישגיו ואת שיתוף הפעולה שלו עם שירות המבחן לאורך, ומהיכרותי הממושכת עם הנאשם לאורך השנים האחרונות, בהחלט ניתן לומר שעשה כברת דרך משמעותית, גם אם לא "מושלמת", והאמת תיאמר, שאין תהליך "מושלם".  אשר לרעייתו של הנאשם, לא ניתן להשוות את מצבה לשלו במכלול הנסיבות, ולכן עקרון אחידות הענישה אינו רלבנטי. הסניגור ביקש היום לשקול ענישה שאינה מאסר, ואולם סברתי, כי אין מקום לדחות עוד את מתן גזר הדין, לנוכח הימשכות ההליכים והתפתחותם לאורך תקופה ארוכה.</w:t>
      </w:r>
    </w:p>
    <w:p w14:paraId="0AF807DB" w14:textId="77777777" w:rsidR="007D5911" w:rsidRPr="00564E42" w:rsidRDefault="007D5911" w:rsidP="00564E42">
      <w:pPr>
        <w:spacing w:after="160" w:line="360" w:lineRule="auto"/>
        <w:jc w:val="both"/>
        <w:rPr>
          <w:rFonts w:ascii="Calibri" w:hAnsi="Calibri" w:cs="FrankRuehl"/>
          <w:sz w:val="28"/>
          <w:szCs w:val="28"/>
          <w:rtl/>
        </w:rPr>
      </w:pPr>
    </w:p>
    <w:p w14:paraId="68521BF2" w14:textId="77777777" w:rsidR="007D5911" w:rsidRPr="00564E42" w:rsidRDefault="007D5911" w:rsidP="00564E42">
      <w:pPr>
        <w:spacing w:after="160" w:line="360" w:lineRule="auto"/>
        <w:jc w:val="both"/>
        <w:rPr>
          <w:rFonts w:ascii="Calibri" w:hAnsi="Calibri" w:cs="FrankRuehl"/>
          <w:sz w:val="28"/>
          <w:szCs w:val="28"/>
          <w:rtl/>
        </w:rPr>
      </w:pPr>
      <w:r w:rsidRPr="00564E42">
        <w:rPr>
          <w:rFonts w:ascii="Calibri" w:hAnsi="Calibri" w:cs="FrankRuehl"/>
          <w:b/>
          <w:bCs/>
          <w:sz w:val="28"/>
          <w:szCs w:val="28"/>
          <w:u w:val="single"/>
          <w:rtl/>
        </w:rPr>
        <w:t>המיקום במתחם</w:t>
      </w:r>
      <w:r w:rsidRPr="00564E42">
        <w:rPr>
          <w:rFonts w:ascii="Calibri" w:hAnsi="Calibri" w:cs="FrankRuehl"/>
          <w:sz w:val="28"/>
          <w:szCs w:val="28"/>
          <w:rtl/>
        </w:rPr>
        <w:t xml:space="preserve"> – </w:t>
      </w:r>
      <w:r w:rsidRPr="00564E42">
        <w:rPr>
          <w:rFonts w:ascii="Calibri" w:hAnsi="Calibri" w:cs="FrankRuehl" w:hint="cs"/>
          <w:sz w:val="28"/>
          <w:szCs w:val="28"/>
          <w:rtl/>
        </w:rPr>
        <w:t>בנסיבות העניין יש למקם את הנאשם עד  לחלק של המתחמים שקבעתי.</w:t>
      </w:r>
    </w:p>
    <w:p w14:paraId="31070661" w14:textId="77777777" w:rsidR="007D5911" w:rsidRPr="00564E42" w:rsidRDefault="007D5911" w:rsidP="00564E42">
      <w:pPr>
        <w:spacing w:after="160" w:line="360" w:lineRule="auto"/>
        <w:jc w:val="both"/>
        <w:rPr>
          <w:rFonts w:ascii="Calibri" w:hAnsi="Calibri" w:cs="FrankRuehl"/>
          <w:b/>
          <w:bCs/>
          <w:sz w:val="28"/>
          <w:szCs w:val="28"/>
          <w:u w:val="single"/>
          <w:rtl/>
        </w:rPr>
      </w:pPr>
    </w:p>
    <w:p w14:paraId="758C8D8D" w14:textId="77777777" w:rsidR="007D5911" w:rsidRPr="00564E42" w:rsidRDefault="007D5911" w:rsidP="00564E42">
      <w:pPr>
        <w:spacing w:after="160" w:line="360" w:lineRule="auto"/>
        <w:jc w:val="both"/>
        <w:rPr>
          <w:rFonts w:ascii="Calibri" w:hAnsi="Calibri" w:cs="FrankRuehl"/>
          <w:b/>
          <w:bCs/>
          <w:sz w:val="28"/>
          <w:szCs w:val="28"/>
          <w:u w:val="single"/>
          <w:rtl/>
        </w:rPr>
      </w:pPr>
      <w:r w:rsidRPr="00564E42">
        <w:rPr>
          <w:rFonts w:ascii="Calibri" w:hAnsi="Calibri" w:cs="FrankRuehl" w:hint="cs"/>
          <w:b/>
          <w:bCs/>
          <w:sz w:val="28"/>
          <w:szCs w:val="28"/>
          <w:u w:val="single"/>
          <w:rtl/>
        </w:rPr>
        <w:t>גזירת הדין</w:t>
      </w:r>
    </w:p>
    <w:p w14:paraId="2C1F6404" w14:textId="77777777" w:rsidR="007D5911" w:rsidRPr="00564E42" w:rsidRDefault="007D5911" w:rsidP="00564E42">
      <w:pPr>
        <w:spacing w:after="160" w:line="360" w:lineRule="auto"/>
        <w:jc w:val="both"/>
        <w:rPr>
          <w:rFonts w:ascii="Calibri" w:hAnsi="Calibri" w:cs="FrankRuehl"/>
          <w:sz w:val="28"/>
          <w:szCs w:val="28"/>
          <w:rtl/>
        </w:rPr>
      </w:pPr>
      <w:r w:rsidRPr="00564E42">
        <w:rPr>
          <w:rFonts w:ascii="Calibri" w:hAnsi="Calibri" w:cs="FrankRuehl" w:hint="cs"/>
          <w:sz w:val="28"/>
          <w:szCs w:val="28"/>
          <w:rtl/>
        </w:rPr>
        <w:t>לפיכך, אני מחליט לגזור על הנאשם את העונשים הבאים:</w:t>
      </w:r>
    </w:p>
    <w:p w14:paraId="4B4CC8CA" w14:textId="77777777" w:rsidR="007D5911" w:rsidRPr="00564E42" w:rsidRDefault="007D5911" w:rsidP="00564E42">
      <w:pPr>
        <w:spacing w:after="160" w:line="360" w:lineRule="auto"/>
        <w:jc w:val="both"/>
        <w:rPr>
          <w:rFonts w:ascii="Calibri" w:hAnsi="Calibri" w:cs="FrankRuehl"/>
          <w:sz w:val="28"/>
          <w:szCs w:val="28"/>
          <w:rtl/>
        </w:rPr>
      </w:pPr>
      <w:r w:rsidRPr="00564E42">
        <w:rPr>
          <w:rFonts w:ascii="Calibri" w:hAnsi="Calibri" w:cs="FrankRuehl" w:hint="cs"/>
          <w:sz w:val="28"/>
          <w:szCs w:val="28"/>
          <w:rtl/>
        </w:rPr>
        <w:t>א. 7 חודשי מאסר בפועל במצטבר לכל עונש שהוא מרצה כעת ובניכוי מלא של ימי מעצרו בתיקים שלפניי;</w:t>
      </w:r>
    </w:p>
    <w:p w14:paraId="5BBFD754" w14:textId="77777777" w:rsidR="007D5911" w:rsidRPr="00564E42" w:rsidRDefault="007D5911" w:rsidP="00564E42">
      <w:pPr>
        <w:spacing w:after="160" w:line="360" w:lineRule="auto"/>
        <w:jc w:val="both"/>
        <w:rPr>
          <w:rFonts w:ascii="Calibri" w:hAnsi="Calibri" w:cs="FrankRuehl"/>
          <w:sz w:val="28"/>
          <w:szCs w:val="28"/>
          <w:rtl/>
        </w:rPr>
      </w:pPr>
      <w:r w:rsidRPr="00564E42">
        <w:rPr>
          <w:rFonts w:ascii="Calibri" w:hAnsi="Calibri" w:cs="FrankRuehl" w:hint="cs"/>
          <w:sz w:val="28"/>
          <w:szCs w:val="28"/>
          <w:rtl/>
        </w:rPr>
        <w:t>ב. מפעיל  את המאסר המותנה של 3 חודשים, וזאת חודשיים במצטבר וחודש בחופף לעונשו הנוכחי. בסה"כ ירצה הנאשם  9 חודשי מאסר בפועל בניכוי ימי מעצרו בתיקים שלפניי ע"פ חישוב שב"ס שיכריע;</w:t>
      </w:r>
    </w:p>
    <w:p w14:paraId="69B4AB92" w14:textId="77777777" w:rsidR="007D5911" w:rsidRPr="00564E42" w:rsidRDefault="007D5911" w:rsidP="00564E42">
      <w:pPr>
        <w:spacing w:after="160" w:line="360" w:lineRule="auto"/>
        <w:jc w:val="both"/>
        <w:rPr>
          <w:rFonts w:ascii="Calibri" w:hAnsi="Calibri" w:cs="FrankRuehl"/>
          <w:sz w:val="28"/>
          <w:szCs w:val="28"/>
          <w:rtl/>
        </w:rPr>
      </w:pPr>
      <w:r w:rsidRPr="00564E42">
        <w:rPr>
          <w:rFonts w:ascii="Calibri" w:hAnsi="Calibri" w:cs="FrankRuehl" w:hint="cs"/>
          <w:sz w:val="28"/>
          <w:szCs w:val="28"/>
          <w:rtl/>
        </w:rPr>
        <w:t>ג. 4 חודשי מאסר שלא ירוצו, אלא אם יעבור הנאשם כל עבירת עוון לפי פקודת הסמים בתוך 3 שנים מעת שחרורו;</w:t>
      </w:r>
    </w:p>
    <w:p w14:paraId="5326FC1F" w14:textId="77777777" w:rsidR="007D5911" w:rsidRPr="00564E42" w:rsidRDefault="007D5911" w:rsidP="00564E42">
      <w:pPr>
        <w:spacing w:after="160" w:line="360" w:lineRule="auto"/>
        <w:jc w:val="both"/>
        <w:rPr>
          <w:rFonts w:ascii="Calibri" w:hAnsi="Calibri" w:cs="FrankRuehl"/>
          <w:sz w:val="28"/>
          <w:szCs w:val="28"/>
          <w:rtl/>
        </w:rPr>
      </w:pPr>
      <w:r w:rsidRPr="00564E42">
        <w:rPr>
          <w:rFonts w:ascii="Calibri" w:hAnsi="Calibri" w:cs="FrankRuehl" w:hint="cs"/>
          <w:sz w:val="28"/>
          <w:szCs w:val="28"/>
          <w:rtl/>
        </w:rPr>
        <w:t>ד. 10 חודשי מאסר שלא  ירוצו, אלא אם יעבור הנאשם כל עבירת פשע לפי פקודת הסמים בתוך 3 שנים מעת שחרורו;</w:t>
      </w:r>
    </w:p>
    <w:p w14:paraId="19A30350" w14:textId="77777777" w:rsidR="007D5911" w:rsidRPr="00564E42" w:rsidRDefault="007D5911" w:rsidP="00564E42">
      <w:pPr>
        <w:spacing w:after="160" w:line="360" w:lineRule="auto"/>
        <w:jc w:val="both"/>
        <w:rPr>
          <w:rFonts w:ascii="Calibri" w:hAnsi="Calibri" w:cs="FrankRuehl"/>
          <w:sz w:val="28"/>
          <w:szCs w:val="28"/>
          <w:rtl/>
        </w:rPr>
      </w:pPr>
      <w:r w:rsidRPr="00564E42">
        <w:rPr>
          <w:rFonts w:ascii="Calibri" w:hAnsi="Calibri" w:cs="FrankRuehl" w:hint="cs"/>
          <w:sz w:val="28"/>
          <w:szCs w:val="28"/>
          <w:rtl/>
        </w:rPr>
        <w:t>ה. מפעיל את פסילת רישיון הנהיגה המותנית של 15 חודשים מתיק התנאי וקובע כי הנאשם לא יוכל לקבל רישיון נהיגה או להחזיק ברישיון נהיגה למשך תקופה של 15 חודשים מיום שחרורו. נוכח הצהרת הנאשם, פוטר אותו מהפקדת רישיון;</w:t>
      </w:r>
    </w:p>
    <w:p w14:paraId="1DC2C392" w14:textId="77777777" w:rsidR="007D5911" w:rsidRPr="00564E42" w:rsidRDefault="007D5911" w:rsidP="00564E42">
      <w:pPr>
        <w:spacing w:after="160" w:line="360" w:lineRule="auto"/>
        <w:jc w:val="both"/>
        <w:rPr>
          <w:rFonts w:ascii="Calibri" w:hAnsi="Calibri" w:cs="FrankRuehl"/>
          <w:sz w:val="28"/>
          <w:szCs w:val="28"/>
          <w:rtl/>
        </w:rPr>
      </w:pPr>
      <w:r w:rsidRPr="00564E42">
        <w:rPr>
          <w:rFonts w:ascii="Calibri" w:hAnsi="Calibri" w:cs="FrankRuehl" w:hint="cs"/>
          <w:sz w:val="28"/>
          <w:szCs w:val="28"/>
          <w:rtl/>
        </w:rPr>
        <w:t>ו. פוסל את הנאשם מלקבל או מלהחזיק ברישיון נהיגה  למשך 24 חודשים, וזאת על-תנאי למשך 3 שנים מעת שחרורו, שלא יבצע כל עבירה לפי פקודת הסמים בתוך התקופה של 3 שנים מיום שחרורו;</w:t>
      </w:r>
    </w:p>
    <w:p w14:paraId="53D571A8" w14:textId="77777777" w:rsidR="007D5911" w:rsidRPr="00564E42" w:rsidRDefault="007D5911" w:rsidP="00564E42">
      <w:pPr>
        <w:spacing w:after="160" w:line="360" w:lineRule="auto"/>
        <w:jc w:val="both"/>
        <w:rPr>
          <w:rFonts w:ascii="Calibri" w:hAnsi="Calibri" w:cs="FrankRuehl"/>
          <w:sz w:val="28"/>
          <w:szCs w:val="28"/>
          <w:rtl/>
        </w:rPr>
      </w:pPr>
      <w:r w:rsidRPr="00564E42">
        <w:rPr>
          <w:rFonts w:ascii="Calibri" w:hAnsi="Calibri" w:cs="FrankRuehl" w:hint="cs"/>
          <w:sz w:val="28"/>
          <w:szCs w:val="28"/>
          <w:rtl/>
        </w:rPr>
        <w:t xml:space="preserve">ז. התחייבות בסך 5,000 </w:t>
      </w:r>
      <w:r w:rsidRPr="00564E42">
        <w:rPr>
          <w:rFonts w:ascii="Calibri" w:hAnsi="Calibri" w:cs="FrankRuehl" w:hint="eastAsia"/>
          <w:sz w:val="28"/>
          <w:szCs w:val="28"/>
          <w:rtl/>
        </w:rPr>
        <w:t>₪</w:t>
      </w:r>
      <w:r w:rsidRPr="00564E42">
        <w:rPr>
          <w:rFonts w:ascii="Calibri" w:hAnsi="Calibri" w:cs="FrankRuehl" w:hint="cs"/>
          <w:sz w:val="28"/>
          <w:szCs w:val="28"/>
          <w:rtl/>
        </w:rPr>
        <w:t xml:space="preserve"> שלא יעבור הנאשם בתוך שנתיים מהיום כל עבירה לפי פקודת הסמים.</w:t>
      </w:r>
    </w:p>
    <w:p w14:paraId="3E762E05" w14:textId="77777777" w:rsidR="007D5911" w:rsidRPr="00564E42" w:rsidRDefault="007D5911" w:rsidP="00564E42">
      <w:pPr>
        <w:spacing w:after="160" w:line="360" w:lineRule="auto"/>
        <w:jc w:val="both"/>
        <w:rPr>
          <w:rFonts w:ascii="Calibri" w:hAnsi="Calibri" w:cs="FrankRuehl"/>
          <w:sz w:val="28"/>
          <w:szCs w:val="28"/>
          <w:rtl/>
        </w:rPr>
      </w:pPr>
      <w:r w:rsidRPr="00564E42">
        <w:rPr>
          <w:rFonts w:ascii="Calibri" w:hAnsi="Calibri" w:cs="FrankRuehl" w:hint="cs"/>
          <w:sz w:val="28"/>
          <w:szCs w:val="28"/>
          <w:rtl/>
        </w:rPr>
        <w:t>בשל נסיבותיו האישיות של הנאשם ועונש המאסר שהטלתי, לא מצאתי להטיל עליו רכיב ענישתי כספי. ככל שישנן הפקדות בתיק, יחולטו לאוצר המדינה.</w:t>
      </w:r>
    </w:p>
    <w:p w14:paraId="56D0568C" w14:textId="77777777" w:rsidR="007D5911" w:rsidRPr="00564E42" w:rsidRDefault="007D5911" w:rsidP="00564E42">
      <w:pPr>
        <w:spacing w:after="160" w:line="360" w:lineRule="auto"/>
        <w:jc w:val="both"/>
        <w:rPr>
          <w:rFonts w:ascii="Calibri" w:hAnsi="Calibri" w:cs="FrankRuehl"/>
          <w:sz w:val="28"/>
          <w:szCs w:val="28"/>
          <w:rtl/>
        </w:rPr>
      </w:pPr>
      <w:r w:rsidRPr="00564E42">
        <w:rPr>
          <w:rFonts w:ascii="Calibri" w:hAnsi="Calibri" w:cs="FrankRuehl" w:hint="cs"/>
          <w:sz w:val="28"/>
          <w:szCs w:val="28"/>
          <w:rtl/>
        </w:rPr>
        <w:t>מורה על השמדת הסמים.</w:t>
      </w:r>
    </w:p>
    <w:p w14:paraId="119525CF" w14:textId="77777777" w:rsidR="007D5911" w:rsidRPr="00564E42" w:rsidRDefault="007D5911" w:rsidP="00564E42">
      <w:pPr>
        <w:spacing w:after="160" w:line="360" w:lineRule="auto"/>
        <w:jc w:val="both"/>
        <w:rPr>
          <w:rFonts w:ascii="Calibri" w:hAnsi="Calibri" w:cs="FrankRuehl"/>
          <w:sz w:val="28"/>
          <w:szCs w:val="28"/>
          <w:rtl/>
        </w:rPr>
      </w:pPr>
      <w:r w:rsidRPr="00564E42">
        <w:rPr>
          <w:rFonts w:ascii="Calibri" w:hAnsi="Calibri" w:cs="FrankRuehl" w:hint="cs"/>
          <w:sz w:val="28"/>
          <w:szCs w:val="28"/>
          <w:rtl/>
        </w:rPr>
        <w:t>הסניגור יבדוק את שאלת המוצגים, ויגיש בקשה מתאימה. יעשה כן עד ליום 10.7.2021.</w:t>
      </w:r>
    </w:p>
    <w:p w14:paraId="21D82DB9" w14:textId="77777777" w:rsidR="007D5911" w:rsidRPr="00564E42" w:rsidRDefault="007D5911" w:rsidP="00564E42">
      <w:pPr>
        <w:spacing w:after="160" w:line="360" w:lineRule="auto"/>
        <w:jc w:val="both"/>
        <w:rPr>
          <w:rFonts w:ascii="Calibri" w:hAnsi="Calibri" w:cs="FrankRuehl"/>
          <w:sz w:val="28"/>
          <w:szCs w:val="28"/>
          <w:rtl/>
        </w:rPr>
      </w:pPr>
      <w:r w:rsidRPr="00564E42">
        <w:rPr>
          <w:rFonts w:ascii="Calibri" w:hAnsi="Calibri" w:cs="FrankRuehl" w:hint="cs"/>
          <w:sz w:val="28"/>
          <w:szCs w:val="28"/>
          <w:rtl/>
        </w:rPr>
        <w:t>יש לשלוח לשירות המבחן ולממונה על עבודות השירות.</w:t>
      </w:r>
    </w:p>
    <w:p w14:paraId="7D5EDC88" w14:textId="77777777" w:rsidR="007D5911" w:rsidRPr="00564E42" w:rsidRDefault="007D5911" w:rsidP="00564E42">
      <w:pPr>
        <w:spacing w:after="160" w:line="360" w:lineRule="auto"/>
        <w:jc w:val="both"/>
        <w:rPr>
          <w:rFonts w:ascii="Calibri" w:hAnsi="Calibri" w:cs="FrankRuehl"/>
          <w:sz w:val="28"/>
          <w:szCs w:val="28"/>
          <w:rtl/>
        </w:rPr>
      </w:pPr>
      <w:r w:rsidRPr="00564E42">
        <w:rPr>
          <w:rFonts w:ascii="Calibri" w:hAnsi="Calibri" w:cs="FrankRuehl" w:hint="cs"/>
          <w:sz w:val="28"/>
          <w:szCs w:val="28"/>
          <w:rtl/>
        </w:rPr>
        <w:t>זכות ערעור כחוק.</w:t>
      </w:r>
    </w:p>
    <w:p w14:paraId="3B3F54CD" w14:textId="77777777" w:rsidR="007D5911" w:rsidRPr="00564E42" w:rsidRDefault="007D5911" w:rsidP="00564E42">
      <w:pPr>
        <w:jc w:val="center"/>
        <w:rPr>
          <w:rFonts w:ascii="FrankRuehl" w:hAnsi="FrankRuehl" w:cs="FrankRuehl"/>
          <w:b/>
          <w:bCs/>
          <w:sz w:val="28"/>
          <w:szCs w:val="28"/>
          <w:u w:val="single"/>
          <w:rtl/>
        </w:rPr>
      </w:pPr>
    </w:p>
    <w:bookmarkEnd w:id="0"/>
    <w:bookmarkEnd w:id="1"/>
    <w:p w14:paraId="07A51F02" w14:textId="77777777" w:rsidR="00564E42" w:rsidRPr="00BF417E" w:rsidRDefault="00BF417E" w:rsidP="00564E42">
      <w:pPr>
        <w:rPr>
          <w:rFonts w:ascii="Arial" w:hAnsi="Arial"/>
          <w:color w:val="FFFFFF"/>
          <w:sz w:val="2"/>
          <w:szCs w:val="2"/>
          <w:rtl/>
        </w:rPr>
      </w:pPr>
      <w:r w:rsidRPr="00BF417E">
        <w:rPr>
          <w:rFonts w:ascii="Arial" w:hAnsi="Arial"/>
          <w:color w:val="FFFFFF"/>
          <w:sz w:val="2"/>
          <w:szCs w:val="2"/>
          <w:rtl/>
        </w:rPr>
        <w:t>5129371</w:t>
      </w:r>
    </w:p>
    <w:p w14:paraId="64A33DBB" w14:textId="77777777" w:rsidR="00564E42" w:rsidRPr="00700F07" w:rsidRDefault="00BF417E" w:rsidP="00564E42">
      <w:pPr>
        <w:rPr>
          <w:rFonts w:cs="FrankRuehl"/>
          <w:sz w:val="28"/>
          <w:szCs w:val="28"/>
          <w:rtl/>
        </w:rPr>
      </w:pPr>
      <w:bookmarkStart w:id="8" w:name="Nitan"/>
      <w:r w:rsidRPr="00BF417E">
        <w:rPr>
          <w:rFonts w:ascii="Arial" w:hAnsi="Arial"/>
          <w:color w:val="FFFFFF"/>
          <w:sz w:val="2"/>
          <w:szCs w:val="2"/>
          <w:rtl/>
        </w:rPr>
        <w:t>54678313</w:t>
      </w:r>
      <w:r>
        <w:rPr>
          <w:rFonts w:ascii="Arial" w:hAnsi="Arial"/>
          <w:sz w:val="28"/>
          <w:szCs w:val="28"/>
          <w:rtl/>
        </w:rPr>
        <w:t xml:space="preserve">ניתן היום,  כ"א סיוון תשפ"א, 01 יוני 2021, במעמד הצדדים. </w:t>
      </w:r>
      <w:bookmarkEnd w:id="8"/>
    </w:p>
    <w:p w14:paraId="65841D00" w14:textId="77777777" w:rsidR="00564E42" w:rsidRPr="008227CF" w:rsidRDefault="00564E42" w:rsidP="00BF417E">
      <w:pPr>
        <w:jc w:val="center"/>
      </w:pPr>
      <w:r w:rsidRPr="008227CF">
        <w:rPr>
          <w:rFonts w:hint="cs"/>
          <w:sz w:val="28"/>
          <w:szCs w:val="28"/>
          <w:rtl/>
        </w:rPr>
        <w:t xml:space="preserve">   </w:t>
      </w:r>
      <w:r w:rsidRPr="008227CF">
        <w:rPr>
          <w:rFonts w:hint="cs"/>
          <w:sz w:val="28"/>
          <w:szCs w:val="28"/>
          <w:rtl/>
        </w:rPr>
        <w:tab/>
      </w:r>
      <w:r w:rsidRPr="008227CF">
        <w:rPr>
          <w:rFonts w:hint="cs"/>
          <w:sz w:val="28"/>
          <w:szCs w:val="28"/>
          <w:rtl/>
        </w:rPr>
        <w:tab/>
      </w:r>
      <w:r w:rsidRPr="008227CF">
        <w:rPr>
          <w:rFonts w:hint="cs"/>
          <w:sz w:val="28"/>
          <w:szCs w:val="28"/>
          <w:rtl/>
        </w:rPr>
        <w:tab/>
      </w:r>
      <w:r w:rsidRPr="008227CF">
        <w:rPr>
          <w:rFonts w:hint="cs"/>
          <w:sz w:val="28"/>
          <w:szCs w:val="28"/>
          <w:rtl/>
        </w:rPr>
        <w:tab/>
      </w:r>
      <w:r w:rsidRPr="008227CF">
        <w:rPr>
          <w:rFonts w:hint="cs"/>
          <w:sz w:val="28"/>
          <w:szCs w:val="28"/>
          <w:rtl/>
        </w:rPr>
        <w:tab/>
      </w:r>
    </w:p>
    <w:p w14:paraId="185982B0" w14:textId="77777777" w:rsidR="00564E42" w:rsidRPr="008227CF" w:rsidRDefault="00564E42" w:rsidP="00564E42">
      <w:pPr>
        <w:jc w:val="center"/>
        <w:rPr>
          <w:rFonts w:ascii="Arial" w:hAnsi="Arial" w:cs="FrankRuehl"/>
          <w:sz w:val="28"/>
          <w:szCs w:val="28"/>
          <w:rtl/>
        </w:rPr>
      </w:pPr>
    </w:p>
    <w:p w14:paraId="3CF74CD0" w14:textId="77777777" w:rsidR="00564E42" w:rsidRPr="008227CF" w:rsidRDefault="00564E42" w:rsidP="00564E42">
      <w:pPr>
        <w:rPr>
          <w:rFonts w:cs="FrankRuehl"/>
          <w:sz w:val="28"/>
          <w:szCs w:val="28"/>
          <w:rtl/>
        </w:rPr>
      </w:pPr>
    </w:p>
    <w:p w14:paraId="764AAE36" w14:textId="77777777" w:rsidR="00564E42" w:rsidRPr="008227CF" w:rsidRDefault="00564E42" w:rsidP="00564E42">
      <w:pPr>
        <w:pStyle w:val="a3"/>
        <w:jc w:val="center"/>
        <w:rPr>
          <w:sz w:val="28"/>
          <w:szCs w:val="28"/>
          <w:rtl/>
        </w:rPr>
      </w:pPr>
    </w:p>
    <w:p w14:paraId="2A0A47FA" w14:textId="77777777" w:rsidR="003C4C1E" w:rsidRPr="00BF417E" w:rsidRDefault="003C4C1E" w:rsidP="00BF417E">
      <w:pPr>
        <w:keepNext/>
        <w:rPr>
          <w:rFonts w:ascii="David" w:hAnsi="David"/>
          <w:color w:val="000000"/>
          <w:sz w:val="22"/>
          <w:szCs w:val="22"/>
          <w:rtl/>
        </w:rPr>
      </w:pPr>
    </w:p>
    <w:p w14:paraId="67780D1F" w14:textId="77777777" w:rsidR="00BF417E" w:rsidRPr="00BF417E" w:rsidRDefault="00BF417E" w:rsidP="00BF417E">
      <w:pPr>
        <w:keepNext/>
        <w:rPr>
          <w:rFonts w:ascii="David" w:hAnsi="David"/>
          <w:color w:val="000000"/>
          <w:sz w:val="22"/>
          <w:szCs w:val="22"/>
          <w:rtl/>
        </w:rPr>
      </w:pPr>
      <w:r w:rsidRPr="00BF417E">
        <w:rPr>
          <w:rFonts w:ascii="David" w:hAnsi="David"/>
          <w:color w:val="000000"/>
          <w:sz w:val="22"/>
          <w:szCs w:val="22"/>
          <w:rtl/>
        </w:rPr>
        <w:t>דוד שאול גבאי ריכטר 54678313</w:t>
      </w:r>
    </w:p>
    <w:p w14:paraId="039C4D29" w14:textId="77777777" w:rsidR="00BF417E" w:rsidRDefault="00BF417E" w:rsidP="00BF417E">
      <w:r w:rsidRPr="00BF417E">
        <w:rPr>
          <w:color w:val="000000"/>
          <w:rtl/>
        </w:rPr>
        <w:t>נוסח מסמך זה כפוף לשינויי ניסוח ועריכה</w:t>
      </w:r>
    </w:p>
    <w:p w14:paraId="1E48CAC7" w14:textId="77777777" w:rsidR="00BF417E" w:rsidRDefault="00BF417E" w:rsidP="00BF417E">
      <w:pPr>
        <w:rPr>
          <w:rtl/>
        </w:rPr>
      </w:pPr>
    </w:p>
    <w:p w14:paraId="69980690" w14:textId="77777777" w:rsidR="00BF417E" w:rsidRDefault="00BF417E" w:rsidP="00BF417E">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0840AD17" w14:textId="77777777" w:rsidR="00BF417E" w:rsidRPr="00BF417E" w:rsidRDefault="00BF417E" w:rsidP="00BF417E">
      <w:pPr>
        <w:jc w:val="center"/>
        <w:rPr>
          <w:color w:val="0000FF"/>
          <w:u w:val="single"/>
        </w:rPr>
      </w:pPr>
    </w:p>
    <w:sectPr w:rsidR="00BF417E" w:rsidRPr="00BF417E" w:rsidSect="00BF417E">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997AE8" w14:textId="77777777" w:rsidR="00D66D13" w:rsidRDefault="00D66D13" w:rsidP="00606BA8">
      <w:r>
        <w:separator/>
      </w:r>
    </w:p>
  </w:endnote>
  <w:endnote w:type="continuationSeparator" w:id="0">
    <w:p w14:paraId="1892795B" w14:textId="77777777" w:rsidR="00D66D13" w:rsidRDefault="00D66D13" w:rsidP="00606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DA0DC" w14:textId="77777777" w:rsidR="00BF417E" w:rsidRDefault="00BF417E" w:rsidP="00BF417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1C0D0B8" w14:textId="77777777" w:rsidR="005051CF" w:rsidRPr="00BF417E" w:rsidRDefault="00BF417E" w:rsidP="00BF417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FEC32" w14:textId="77777777" w:rsidR="00BF417E" w:rsidRDefault="00BF417E" w:rsidP="00BF417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F1659">
      <w:rPr>
        <w:rFonts w:ascii="FrankRuehl" w:hAnsi="FrankRuehl" w:cs="FrankRuehl"/>
        <w:noProof/>
        <w:rtl/>
      </w:rPr>
      <w:t>1</w:t>
    </w:r>
    <w:r>
      <w:rPr>
        <w:rFonts w:ascii="FrankRuehl" w:hAnsi="FrankRuehl" w:cs="FrankRuehl"/>
        <w:rtl/>
      </w:rPr>
      <w:fldChar w:fldCharType="end"/>
    </w:r>
  </w:p>
  <w:p w14:paraId="251522FE" w14:textId="77777777" w:rsidR="005051CF" w:rsidRPr="00BF417E" w:rsidRDefault="00BF417E" w:rsidP="00BF417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1EF7A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1A6DC9" w14:textId="77777777" w:rsidR="00D66D13" w:rsidRDefault="00D66D13" w:rsidP="00606BA8">
      <w:r>
        <w:separator/>
      </w:r>
    </w:p>
  </w:footnote>
  <w:footnote w:type="continuationSeparator" w:id="0">
    <w:p w14:paraId="76459CED" w14:textId="77777777" w:rsidR="00D66D13" w:rsidRDefault="00D66D13" w:rsidP="00606B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2E95F" w14:textId="77777777" w:rsidR="00BF417E" w:rsidRPr="00BF417E" w:rsidRDefault="00BF417E" w:rsidP="00BF417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59205-02-18</w:t>
    </w:r>
    <w:r>
      <w:rPr>
        <w:rFonts w:ascii="David" w:hAnsi="David"/>
        <w:color w:val="000000"/>
        <w:sz w:val="22"/>
        <w:szCs w:val="22"/>
        <w:rtl/>
      </w:rPr>
      <w:tab/>
      <w:t xml:space="preserve"> מדינת ישראל נ' לירון סקורי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CC714" w14:textId="77777777" w:rsidR="00BF417E" w:rsidRPr="00BF417E" w:rsidRDefault="00BF417E" w:rsidP="00BF417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59205-02-18</w:t>
    </w:r>
    <w:r>
      <w:rPr>
        <w:rFonts w:ascii="David" w:hAnsi="David"/>
        <w:color w:val="000000"/>
        <w:sz w:val="22"/>
        <w:szCs w:val="22"/>
        <w:rtl/>
      </w:rPr>
      <w:tab/>
      <w:t xml:space="preserve"> מדינת ישראל נ' לירון סקורי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64E42"/>
    <w:rsid w:val="000A3CE3"/>
    <w:rsid w:val="00163AE5"/>
    <w:rsid w:val="001B5A3B"/>
    <w:rsid w:val="003C4C1E"/>
    <w:rsid w:val="004A4843"/>
    <w:rsid w:val="005051CF"/>
    <w:rsid w:val="00564E42"/>
    <w:rsid w:val="005A2DBF"/>
    <w:rsid w:val="00606BA8"/>
    <w:rsid w:val="007D5911"/>
    <w:rsid w:val="00A26B74"/>
    <w:rsid w:val="00A534D5"/>
    <w:rsid w:val="00BF417E"/>
    <w:rsid w:val="00C37AEC"/>
    <w:rsid w:val="00CF1659"/>
    <w:rsid w:val="00D11062"/>
    <w:rsid w:val="00D66D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C35297"/>
  <w15:chartTrackingRefBased/>
  <w15:docId w15:val="{3E1C2774-8FE4-4FBE-878D-ACF1EE3B6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64E4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64E42"/>
    <w:pPr>
      <w:tabs>
        <w:tab w:val="center" w:pos="4153"/>
        <w:tab w:val="right" w:pos="8306"/>
      </w:tabs>
    </w:pPr>
  </w:style>
  <w:style w:type="character" w:customStyle="1" w:styleId="a4">
    <w:name w:val="כותרת עליונה תו"/>
    <w:link w:val="a3"/>
    <w:rsid w:val="00564E42"/>
    <w:rPr>
      <w:rFonts w:ascii="Times New Roman" w:eastAsia="Times New Roman" w:hAnsi="Times New Roman" w:cs="David"/>
      <w:sz w:val="24"/>
      <w:szCs w:val="24"/>
    </w:rPr>
  </w:style>
  <w:style w:type="paragraph" w:styleId="a5">
    <w:name w:val="footer"/>
    <w:basedOn w:val="a"/>
    <w:link w:val="a6"/>
    <w:rsid w:val="00564E42"/>
    <w:pPr>
      <w:tabs>
        <w:tab w:val="center" w:pos="4153"/>
        <w:tab w:val="right" w:pos="8306"/>
      </w:tabs>
    </w:pPr>
  </w:style>
  <w:style w:type="character" w:customStyle="1" w:styleId="a6">
    <w:name w:val="כותרת תחתונה תו"/>
    <w:link w:val="a5"/>
    <w:rsid w:val="00564E42"/>
    <w:rPr>
      <w:rFonts w:ascii="Times New Roman" w:eastAsia="Times New Roman" w:hAnsi="Times New Roman" w:cs="David"/>
      <w:sz w:val="24"/>
      <w:szCs w:val="24"/>
    </w:rPr>
  </w:style>
  <w:style w:type="table" w:styleId="a7">
    <w:name w:val="Table Grid"/>
    <w:basedOn w:val="a1"/>
    <w:rsid w:val="00564E4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64E42"/>
  </w:style>
  <w:style w:type="character" w:styleId="Hyperlink">
    <w:name w:val="Hyperlink"/>
    <w:rsid w:val="00BF41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9.a" TargetMode="External"/><Relationship Id="rId18" Type="http://schemas.openxmlformats.org/officeDocument/2006/relationships/hyperlink" Target="http://www.nevo.co.il/case/23669697" TargetMode="External"/><Relationship Id="rId26" Type="http://schemas.openxmlformats.org/officeDocument/2006/relationships/hyperlink" Target="http://www.nevo.co.il/law/70301" TargetMode="External"/><Relationship Id="rId39" Type="http://schemas.openxmlformats.org/officeDocument/2006/relationships/header" Target="header1.xml"/><Relationship Id="rId21" Type="http://schemas.openxmlformats.org/officeDocument/2006/relationships/hyperlink" Target="http://www.nevo.co.il/law/4216" TargetMode="External"/><Relationship Id="rId34" Type="http://schemas.openxmlformats.org/officeDocument/2006/relationships/hyperlink" Target="http://www.nevo.co.il/case/23748897" TargetMode="External"/><Relationship Id="rId42" Type="http://schemas.openxmlformats.org/officeDocument/2006/relationships/footer" Target="footer2.xml"/><Relationship Id="rId7" Type="http://schemas.openxmlformats.org/officeDocument/2006/relationships/hyperlink" Target="http://www.nevo.co.il/case/25351945" TargetMode="External"/><Relationship Id="rId2" Type="http://schemas.openxmlformats.org/officeDocument/2006/relationships/settings" Target="settings.xml"/><Relationship Id="rId16" Type="http://schemas.openxmlformats.org/officeDocument/2006/relationships/hyperlink" Target="http://www.nevo.co.il/law/70301/40i" TargetMode="External"/><Relationship Id="rId20" Type="http://schemas.openxmlformats.org/officeDocument/2006/relationships/hyperlink" Target="http://www.nevo.co.il/law/4216/7.c" TargetMode="External"/><Relationship Id="rId29" Type="http://schemas.openxmlformats.org/officeDocument/2006/relationships/hyperlink" Target="http://www.nevo.co.il/law/4216/7.c" TargetMode="External"/><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case/23669697" TargetMode="External"/><Relationship Id="rId11" Type="http://schemas.openxmlformats.org/officeDocument/2006/relationships/hyperlink" Target="http://www.nevo.co.il/law/4216/10" TargetMode="External"/><Relationship Id="rId24" Type="http://schemas.openxmlformats.org/officeDocument/2006/relationships/hyperlink" Target="http://www.nevo.co.il/law/4216/19.a" TargetMode="External"/><Relationship Id="rId32" Type="http://schemas.openxmlformats.org/officeDocument/2006/relationships/hyperlink" Target="http://www.nevo.co.il/case/5896323" TargetMode="External"/><Relationship Id="rId37" Type="http://schemas.openxmlformats.org/officeDocument/2006/relationships/hyperlink" Target="http://www.nevo.co.il/law/70301/40ja" TargetMode="External"/><Relationship Id="rId40"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0301/29.a" TargetMode="External"/><Relationship Id="rId23" Type="http://schemas.openxmlformats.org/officeDocument/2006/relationships/hyperlink" Target="http://www.nevo.co.il/law/4216/13" TargetMode="External"/><Relationship Id="rId28" Type="http://schemas.openxmlformats.org/officeDocument/2006/relationships/hyperlink" Target="http://www.nevo.co.il/law/4216/7.a" TargetMode="External"/><Relationship Id="rId36" Type="http://schemas.openxmlformats.org/officeDocument/2006/relationships/hyperlink" Target="http://www.nevo.co.il/case/20321459" TargetMode="External"/><Relationship Id="rId10" Type="http://schemas.openxmlformats.org/officeDocument/2006/relationships/hyperlink" Target="http://www.nevo.co.il/law/4216/7.c" TargetMode="External"/><Relationship Id="rId19" Type="http://schemas.openxmlformats.org/officeDocument/2006/relationships/hyperlink" Target="http://www.nevo.co.il/law/4216/7.a" TargetMode="External"/><Relationship Id="rId31" Type="http://schemas.openxmlformats.org/officeDocument/2006/relationships/hyperlink" Target="http://www.nevo.co.il/case/16930828"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4216/7.a"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10" TargetMode="External"/><Relationship Id="rId27" Type="http://schemas.openxmlformats.org/officeDocument/2006/relationships/hyperlink" Target="http://www.nevo.co.il/case/25351945" TargetMode="External"/><Relationship Id="rId30" Type="http://schemas.openxmlformats.org/officeDocument/2006/relationships/hyperlink" Target="http://www.nevo.co.il/case/16930828" TargetMode="External"/><Relationship Id="rId35" Type="http://schemas.openxmlformats.org/officeDocument/2006/relationships/hyperlink" Target="http://www.nevo.co.il/case/22240058" TargetMode="External"/><Relationship Id="rId43" Type="http://schemas.openxmlformats.org/officeDocument/2006/relationships/fontTable" Target="fontTable.xml"/><Relationship Id="rId8" Type="http://schemas.openxmlformats.org/officeDocument/2006/relationships/hyperlink" Target="http://www.nevo.co.il/law/4216" TargetMode="External"/><Relationship Id="rId3" Type="http://schemas.openxmlformats.org/officeDocument/2006/relationships/webSettings" Target="webSettings.xml"/><Relationship Id="rId12" Type="http://schemas.openxmlformats.org/officeDocument/2006/relationships/hyperlink" Target="http://www.nevo.co.il/law/4216/13"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law/70301/29.a" TargetMode="External"/><Relationship Id="rId33" Type="http://schemas.openxmlformats.org/officeDocument/2006/relationships/hyperlink" Target="http://www.nevo.co.il/law/70301/40i"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1977</Words>
  <Characters>9885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11839</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262155</vt:i4>
      </vt:variant>
      <vt:variant>
        <vt:i4>93</vt:i4>
      </vt:variant>
      <vt:variant>
        <vt:i4>0</vt:i4>
      </vt:variant>
      <vt:variant>
        <vt:i4>5</vt:i4>
      </vt:variant>
      <vt:variant>
        <vt:lpwstr>http://www.nevo.co.il/law/70301/40ja</vt:lpwstr>
      </vt:variant>
      <vt:variant>
        <vt:lpwstr/>
      </vt:variant>
      <vt:variant>
        <vt:i4>3473522</vt:i4>
      </vt:variant>
      <vt:variant>
        <vt:i4>90</vt:i4>
      </vt:variant>
      <vt:variant>
        <vt:i4>0</vt:i4>
      </vt:variant>
      <vt:variant>
        <vt:i4>5</vt:i4>
      </vt:variant>
      <vt:variant>
        <vt:lpwstr>http://www.nevo.co.il/case/20321459</vt:lpwstr>
      </vt:variant>
      <vt:variant>
        <vt:lpwstr/>
      </vt:variant>
      <vt:variant>
        <vt:i4>3473522</vt:i4>
      </vt:variant>
      <vt:variant>
        <vt:i4>87</vt:i4>
      </vt:variant>
      <vt:variant>
        <vt:i4>0</vt:i4>
      </vt:variant>
      <vt:variant>
        <vt:i4>5</vt:i4>
      </vt:variant>
      <vt:variant>
        <vt:lpwstr>http://www.nevo.co.il/case/22240058</vt:lpwstr>
      </vt:variant>
      <vt:variant>
        <vt:lpwstr/>
      </vt:variant>
      <vt:variant>
        <vt:i4>3407995</vt:i4>
      </vt:variant>
      <vt:variant>
        <vt:i4>84</vt:i4>
      </vt:variant>
      <vt:variant>
        <vt:i4>0</vt:i4>
      </vt:variant>
      <vt:variant>
        <vt:i4>5</vt:i4>
      </vt:variant>
      <vt:variant>
        <vt:lpwstr>http://www.nevo.co.il/case/23748897</vt:lpwstr>
      </vt:variant>
      <vt:variant>
        <vt:lpwstr/>
      </vt:variant>
      <vt:variant>
        <vt:i4>6619233</vt:i4>
      </vt:variant>
      <vt:variant>
        <vt:i4>81</vt:i4>
      </vt:variant>
      <vt:variant>
        <vt:i4>0</vt:i4>
      </vt:variant>
      <vt:variant>
        <vt:i4>5</vt:i4>
      </vt:variant>
      <vt:variant>
        <vt:lpwstr>http://www.nevo.co.il/law/70301/40i</vt:lpwstr>
      </vt:variant>
      <vt:variant>
        <vt:lpwstr/>
      </vt:variant>
      <vt:variant>
        <vt:i4>3932280</vt:i4>
      </vt:variant>
      <vt:variant>
        <vt:i4>78</vt:i4>
      </vt:variant>
      <vt:variant>
        <vt:i4>0</vt:i4>
      </vt:variant>
      <vt:variant>
        <vt:i4>5</vt:i4>
      </vt:variant>
      <vt:variant>
        <vt:lpwstr>http://www.nevo.co.il/case/5896323</vt:lpwstr>
      </vt:variant>
      <vt:variant>
        <vt:lpwstr/>
      </vt:variant>
      <vt:variant>
        <vt:i4>3801209</vt:i4>
      </vt:variant>
      <vt:variant>
        <vt:i4>75</vt:i4>
      </vt:variant>
      <vt:variant>
        <vt:i4>0</vt:i4>
      </vt:variant>
      <vt:variant>
        <vt:i4>5</vt:i4>
      </vt:variant>
      <vt:variant>
        <vt:lpwstr>http://www.nevo.co.il/case/16930828</vt:lpwstr>
      </vt:variant>
      <vt:variant>
        <vt:lpwstr/>
      </vt:variant>
      <vt:variant>
        <vt:i4>3801209</vt:i4>
      </vt:variant>
      <vt:variant>
        <vt:i4>72</vt:i4>
      </vt:variant>
      <vt:variant>
        <vt:i4>0</vt:i4>
      </vt:variant>
      <vt:variant>
        <vt:i4>5</vt:i4>
      </vt:variant>
      <vt:variant>
        <vt:lpwstr>http://www.nevo.co.il/case/16930828</vt:lpwstr>
      </vt:variant>
      <vt:variant>
        <vt:lpwstr/>
      </vt:variant>
      <vt:variant>
        <vt:i4>2752612</vt:i4>
      </vt:variant>
      <vt:variant>
        <vt:i4>69</vt:i4>
      </vt:variant>
      <vt:variant>
        <vt:i4>0</vt:i4>
      </vt:variant>
      <vt:variant>
        <vt:i4>5</vt:i4>
      </vt:variant>
      <vt:variant>
        <vt:lpwstr>http://www.nevo.co.il/law/4216/7.c</vt:lpwstr>
      </vt:variant>
      <vt:variant>
        <vt:lpwstr/>
      </vt:variant>
      <vt:variant>
        <vt:i4>2621540</vt:i4>
      </vt:variant>
      <vt:variant>
        <vt:i4>66</vt:i4>
      </vt:variant>
      <vt:variant>
        <vt:i4>0</vt:i4>
      </vt:variant>
      <vt:variant>
        <vt:i4>5</vt:i4>
      </vt:variant>
      <vt:variant>
        <vt:lpwstr>http://www.nevo.co.il/law/4216/7.a</vt:lpwstr>
      </vt:variant>
      <vt:variant>
        <vt:lpwstr/>
      </vt:variant>
      <vt:variant>
        <vt:i4>3407997</vt:i4>
      </vt:variant>
      <vt:variant>
        <vt:i4>63</vt:i4>
      </vt:variant>
      <vt:variant>
        <vt:i4>0</vt:i4>
      </vt:variant>
      <vt:variant>
        <vt:i4>5</vt:i4>
      </vt:variant>
      <vt:variant>
        <vt:lpwstr>http://www.nevo.co.il/case/25351945</vt:lpwstr>
      </vt:variant>
      <vt:variant>
        <vt:lpwstr/>
      </vt:variant>
      <vt:variant>
        <vt:i4>7995492</vt:i4>
      </vt:variant>
      <vt:variant>
        <vt:i4>60</vt:i4>
      </vt:variant>
      <vt:variant>
        <vt:i4>0</vt:i4>
      </vt:variant>
      <vt:variant>
        <vt:i4>5</vt:i4>
      </vt:variant>
      <vt:variant>
        <vt:lpwstr>http://www.nevo.co.il/law/70301</vt:lpwstr>
      </vt:variant>
      <vt:variant>
        <vt:lpwstr/>
      </vt:variant>
      <vt:variant>
        <vt:i4>852041</vt:i4>
      </vt:variant>
      <vt:variant>
        <vt:i4>57</vt:i4>
      </vt:variant>
      <vt:variant>
        <vt:i4>0</vt:i4>
      </vt:variant>
      <vt:variant>
        <vt:i4>5</vt:i4>
      </vt:variant>
      <vt:variant>
        <vt:lpwstr>http://www.nevo.co.il/law/70301/29.a</vt:lpwstr>
      </vt:variant>
      <vt:variant>
        <vt:lpwstr/>
      </vt:variant>
      <vt:variant>
        <vt:i4>6357107</vt:i4>
      </vt:variant>
      <vt:variant>
        <vt:i4>54</vt:i4>
      </vt:variant>
      <vt:variant>
        <vt:i4>0</vt:i4>
      </vt:variant>
      <vt:variant>
        <vt:i4>5</vt:i4>
      </vt:variant>
      <vt:variant>
        <vt:lpwstr>http://www.nevo.co.il/law/4216/19.a</vt:lpwstr>
      </vt:variant>
      <vt:variant>
        <vt:lpwstr/>
      </vt:variant>
      <vt:variant>
        <vt:i4>5177418</vt:i4>
      </vt:variant>
      <vt:variant>
        <vt:i4>51</vt:i4>
      </vt:variant>
      <vt:variant>
        <vt:i4>0</vt:i4>
      </vt:variant>
      <vt:variant>
        <vt:i4>5</vt:i4>
      </vt:variant>
      <vt:variant>
        <vt:lpwstr>http://www.nevo.co.il/law/4216/13</vt:lpwstr>
      </vt:variant>
      <vt:variant>
        <vt:lpwstr/>
      </vt:variant>
      <vt:variant>
        <vt:i4>5177418</vt:i4>
      </vt:variant>
      <vt:variant>
        <vt:i4>48</vt:i4>
      </vt:variant>
      <vt:variant>
        <vt:i4>0</vt:i4>
      </vt:variant>
      <vt:variant>
        <vt:i4>5</vt:i4>
      </vt:variant>
      <vt:variant>
        <vt:lpwstr>http://www.nevo.co.il/law/4216/10</vt:lpwstr>
      </vt:variant>
      <vt:variant>
        <vt:lpwstr/>
      </vt:variant>
      <vt:variant>
        <vt:i4>8257637</vt:i4>
      </vt:variant>
      <vt:variant>
        <vt:i4>45</vt:i4>
      </vt:variant>
      <vt:variant>
        <vt:i4>0</vt:i4>
      </vt:variant>
      <vt:variant>
        <vt:i4>5</vt:i4>
      </vt:variant>
      <vt:variant>
        <vt:lpwstr>http://www.nevo.co.il/law/4216</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3407991</vt:i4>
      </vt:variant>
      <vt:variant>
        <vt:i4>36</vt:i4>
      </vt:variant>
      <vt:variant>
        <vt:i4>0</vt:i4>
      </vt:variant>
      <vt:variant>
        <vt:i4>5</vt:i4>
      </vt:variant>
      <vt:variant>
        <vt:lpwstr>http://www.nevo.co.il/case/23669697</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6619233</vt:i4>
      </vt:variant>
      <vt:variant>
        <vt:i4>30</vt:i4>
      </vt:variant>
      <vt:variant>
        <vt:i4>0</vt:i4>
      </vt:variant>
      <vt:variant>
        <vt:i4>5</vt:i4>
      </vt:variant>
      <vt:variant>
        <vt:lpwstr>http://www.nevo.co.il/law/70301/40i</vt:lpwstr>
      </vt:variant>
      <vt:variant>
        <vt:lpwstr/>
      </vt:variant>
      <vt:variant>
        <vt:i4>852041</vt:i4>
      </vt:variant>
      <vt:variant>
        <vt:i4>27</vt:i4>
      </vt:variant>
      <vt:variant>
        <vt:i4>0</vt:i4>
      </vt:variant>
      <vt:variant>
        <vt:i4>5</vt:i4>
      </vt:variant>
      <vt:variant>
        <vt:lpwstr>http://www.nevo.co.il/law/70301/29.a</vt:lpwstr>
      </vt:variant>
      <vt:variant>
        <vt:lpwstr/>
      </vt:variant>
      <vt:variant>
        <vt:i4>7995492</vt:i4>
      </vt:variant>
      <vt:variant>
        <vt:i4>24</vt:i4>
      </vt:variant>
      <vt:variant>
        <vt:i4>0</vt:i4>
      </vt:variant>
      <vt:variant>
        <vt:i4>5</vt:i4>
      </vt:variant>
      <vt:variant>
        <vt:lpwstr>http://www.nevo.co.il/law/70301</vt:lpwstr>
      </vt:variant>
      <vt:variant>
        <vt:lpwstr/>
      </vt:variant>
      <vt:variant>
        <vt:i4>6357107</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5177418</vt:i4>
      </vt:variant>
      <vt:variant>
        <vt:i4>15</vt:i4>
      </vt:variant>
      <vt:variant>
        <vt:i4>0</vt:i4>
      </vt:variant>
      <vt:variant>
        <vt:i4>5</vt:i4>
      </vt:variant>
      <vt:variant>
        <vt:lpwstr>http://www.nevo.co.il/law/4216/10</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3407997</vt:i4>
      </vt:variant>
      <vt:variant>
        <vt:i4>3</vt:i4>
      </vt:variant>
      <vt:variant>
        <vt:i4>0</vt:i4>
      </vt:variant>
      <vt:variant>
        <vt:i4>5</vt:i4>
      </vt:variant>
      <vt:variant>
        <vt:lpwstr>http://www.nevo.co.il/case/25351945</vt:lpwstr>
      </vt:variant>
      <vt:variant>
        <vt:lpwstr/>
      </vt:variant>
      <vt:variant>
        <vt:i4>3407991</vt:i4>
      </vt:variant>
      <vt:variant>
        <vt:i4>0</vt:i4>
      </vt:variant>
      <vt:variant>
        <vt:i4>0</vt:i4>
      </vt:variant>
      <vt:variant>
        <vt:i4>5</vt:i4>
      </vt:variant>
      <vt:variant>
        <vt:lpwstr>http://www.nevo.co.il/case/23669697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2025-04-22T23:42:00Z</dcterms:created>
  <dcterms:modified xsi:type="dcterms:W3CDTF">2025-04-22T23:42:00Z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59205;54825</vt:lpwstr>
  </property>
  <property fmtid="{D5CDD505-2E9C-101B-9397-08002B2CF9AE}" pid="6" name="NEWPARTB">
    <vt:lpwstr>02;01</vt:lpwstr>
  </property>
  <property fmtid="{D5CDD505-2E9C-101B-9397-08002B2CF9AE}" pid="7" name="NEWPARTC">
    <vt:lpwstr>18;19</vt:lpwstr>
  </property>
  <property fmtid="{D5CDD505-2E9C-101B-9397-08002B2CF9AE}" pid="8" name="APPELLANT">
    <vt:lpwstr>מדינת ישראל</vt:lpwstr>
  </property>
  <property fmtid="{D5CDD505-2E9C-101B-9397-08002B2CF9AE}" pid="9" name="APPELLEE">
    <vt:lpwstr>לירון סקורי</vt:lpwstr>
  </property>
  <property fmtid="{D5CDD505-2E9C-101B-9397-08002B2CF9AE}" pid="10" name="LAWYER">
    <vt:lpwstr>חנן רובינשטיין; יאיר הרשקוביץ</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20210601</vt:lpwstr>
  </property>
  <property fmtid="{D5CDD505-2E9C-101B-9397-08002B2CF9AE}" pid="14" name="TYPE_N_DATE">
    <vt:lpwstr>38020210601</vt:lpwstr>
  </property>
  <property fmtid="{D5CDD505-2E9C-101B-9397-08002B2CF9AE}" pid="15" name="WORDNUMPAGES">
    <vt:lpwstr>7</vt:lpwstr>
  </property>
  <property fmtid="{D5CDD505-2E9C-101B-9397-08002B2CF9AE}" pid="16" name="TYPE_ABS_DATE">
    <vt:lpwstr>380020210601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23669697:2;25351945:2;16930828:2;5896323;23748897;22240058;20321459</vt:lpwstr>
  </property>
  <property fmtid="{D5CDD505-2E9C-101B-9397-08002B2CF9AE}" pid="36" name="LAWLISTTMP1">
    <vt:lpwstr>4216/007.a:2;007.c:2;010;013;019.a</vt:lpwstr>
  </property>
  <property fmtid="{D5CDD505-2E9C-101B-9397-08002B2CF9AE}" pid="37" name="LAWLISTTMP2">
    <vt:lpwstr>70301/029.a;040i;40ja</vt:lpwstr>
  </property>
</Properties>
</file>