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30722B" w:rsidRPr="0094334C" w14:paraId="76361C0E" w14:textId="77777777" w:rsidTr="00B51DE8">
        <w:trPr>
          <w:trHeight w:hRule="exact" w:val="418"/>
          <w:jc w:val="center"/>
        </w:trPr>
        <w:tc>
          <w:tcPr>
            <w:tcW w:w="8861" w:type="dxa"/>
            <w:gridSpan w:val="2"/>
          </w:tcPr>
          <w:p w14:paraId="083BB908" w14:textId="77777777" w:rsidR="0030722B" w:rsidRPr="0094334C" w:rsidRDefault="0030722B" w:rsidP="00B51DE8">
            <w:pPr>
              <w:pStyle w:val="a3"/>
              <w:jc w:val="center"/>
              <w:rPr>
                <w:rFonts w:ascii="Tahoma" w:hAnsi="Tahoma" w:cs="Tahoma"/>
                <w:color w:val="000080"/>
                <w:rtl/>
              </w:rPr>
            </w:pPr>
            <w:bookmarkStart w:id="0" w:name="FirstLawyer"/>
            <w:bookmarkStart w:id="1" w:name="LastJudge"/>
            <w:r w:rsidRPr="0094334C">
              <w:rPr>
                <w:rFonts w:ascii="Tahoma" w:hAnsi="Tahoma" w:cs="Tahoma"/>
                <w:b/>
                <w:bCs/>
                <w:color w:val="000080"/>
                <w:rtl/>
              </w:rPr>
              <w:t>בית משפט השלום באשדוד</w:t>
            </w:r>
          </w:p>
        </w:tc>
      </w:tr>
      <w:tr w:rsidR="0030722B" w:rsidRPr="0094334C" w14:paraId="5EB313EA" w14:textId="77777777" w:rsidTr="00B51DE8">
        <w:trPr>
          <w:trHeight w:val="337"/>
          <w:jc w:val="center"/>
        </w:trPr>
        <w:tc>
          <w:tcPr>
            <w:tcW w:w="5131" w:type="dxa"/>
          </w:tcPr>
          <w:p w14:paraId="14DF2F1D" w14:textId="77777777" w:rsidR="0030722B" w:rsidRPr="0094334C" w:rsidRDefault="0030722B" w:rsidP="00B51DE8">
            <w:pPr>
              <w:rPr>
                <w:rFonts w:cs="FrankRuehl"/>
                <w:sz w:val="28"/>
                <w:szCs w:val="28"/>
                <w:rtl/>
              </w:rPr>
            </w:pPr>
            <w:r w:rsidRPr="0094334C">
              <w:rPr>
                <w:rFonts w:cs="FrankRuehl"/>
                <w:sz w:val="28"/>
                <w:szCs w:val="28"/>
                <w:rtl/>
              </w:rPr>
              <w:t>ת"פ</w:t>
            </w:r>
            <w:r w:rsidRPr="0094334C">
              <w:rPr>
                <w:rFonts w:cs="FrankRuehl" w:hint="cs"/>
                <w:sz w:val="28"/>
                <w:szCs w:val="28"/>
                <w:rtl/>
              </w:rPr>
              <w:t xml:space="preserve"> </w:t>
            </w:r>
            <w:hyperlink r:id="rId7" w:history="1">
              <w:r w:rsidR="00082CB2" w:rsidRPr="00082CB2">
                <w:rPr>
                  <w:rFonts w:cs="FrankRuehl"/>
                  <w:color w:val="0000FF"/>
                  <w:sz w:val="28"/>
                  <w:szCs w:val="28"/>
                  <w:u w:val="single"/>
                  <w:rtl/>
                </w:rPr>
                <w:t>11072-03-18</w:t>
              </w:r>
            </w:hyperlink>
            <w:r w:rsidRPr="0094334C">
              <w:rPr>
                <w:rFonts w:cs="FrankRuehl" w:hint="cs"/>
                <w:sz w:val="28"/>
                <w:szCs w:val="28"/>
                <w:rtl/>
              </w:rPr>
              <w:t xml:space="preserve"> </w:t>
            </w:r>
            <w:r w:rsidRPr="0094334C">
              <w:rPr>
                <w:rFonts w:cs="FrankRuehl"/>
                <w:sz w:val="28"/>
                <w:szCs w:val="28"/>
                <w:rtl/>
              </w:rPr>
              <w:t>מדינת ישראל נ' סאול מכר</w:t>
            </w:r>
          </w:p>
          <w:p w14:paraId="511F1FE9" w14:textId="77777777" w:rsidR="0030722B" w:rsidRPr="0094334C" w:rsidRDefault="0030722B" w:rsidP="00B51DE8">
            <w:pPr>
              <w:pStyle w:val="a3"/>
              <w:rPr>
                <w:rFonts w:cs="FrankRuehl"/>
                <w:sz w:val="28"/>
                <w:szCs w:val="28"/>
                <w:rtl/>
              </w:rPr>
            </w:pPr>
          </w:p>
        </w:tc>
        <w:tc>
          <w:tcPr>
            <w:tcW w:w="3730" w:type="dxa"/>
          </w:tcPr>
          <w:p w14:paraId="32180636" w14:textId="77777777" w:rsidR="0030722B" w:rsidRPr="0094334C" w:rsidRDefault="0030722B" w:rsidP="00B51DE8">
            <w:pPr>
              <w:pStyle w:val="a3"/>
              <w:jc w:val="right"/>
              <w:rPr>
                <w:rFonts w:cs="FrankRuehl"/>
                <w:sz w:val="28"/>
                <w:szCs w:val="28"/>
                <w:rtl/>
              </w:rPr>
            </w:pPr>
          </w:p>
        </w:tc>
      </w:tr>
    </w:tbl>
    <w:p w14:paraId="170FF118" w14:textId="77777777" w:rsidR="0030722B" w:rsidRPr="0094334C" w:rsidRDefault="0030722B" w:rsidP="0030722B">
      <w:pPr>
        <w:pStyle w:val="a3"/>
        <w:rPr>
          <w:rtl/>
        </w:rPr>
      </w:pPr>
      <w:r w:rsidRPr="0094334C">
        <w:rPr>
          <w:rFonts w:hint="cs"/>
          <w:rtl/>
        </w:rPr>
        <w:t xml:space="preserve"> </w:t>
      </w:r>
    </w:p>
    <w:p w14:paraId="59A0ED93" w14:textId="77777777" w:rsidR="0030722B" w:rsidRPr="0094334C" w:rsidRDefault="0030722B" w:rsidP="0030722B">
      <w:pPr>
        <w:rPr>
          <w:rtl/>
        </w:rPr>
      </w:pPr>
    </w:p>
    <w:p w14:paraId="0DC701AA" w14:textId="77777777" w:rsidR="0030722B" w:rsidRPr="0094334C" w:rsidRDefault="0030722B" w:rsidP="0030722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30722B" w:rsidRPr="0094334C" w14:paraId="1207084B" w14:textId="77777777" w:rsidTr="0030722B">
        <w:trPr>
          <w:trHeight w:val="295"/>
          <w:jc w:val="center"/>
        </w:trPr>
        <w:tc>
          <w:tcPr>
            <w:tcW w:w="923" w:type="dxa"/>
            <w:tcBorders>
              <w:top w:val="nil"/>
              <w:left w:val="nil"/>
              <w:bottom w:val="nil"/>
              <w:right w:val="nil"/>
            </w:tcBorders>
            <w:shd w:val="clear" w:color="auto" w:fill="auto"/>
          </w:tcPr>
          <w:p w14:paraId="26978165" w14:textId="77777777" w:rsidR="0030722B" w:rsidRPr="0094334C" w:rsidRDefault="0030722B" w:rsidP="0030722B">
            <w:pPr>
              <w:jc w:val="both"/>
              <w:rPr>
                <w:rFonts w:ascii="Arial" w:hAnsi="Arial" w:cs="FrankRuehl"/>
                <w:sz w:val="28"/>
                <w:szCs w:val="28"/>
              </w:rPr>
            </w:pPr>
            <w:r w:rsidRPr="0094334C">
              <w:rPr>
                <w:rFonts w:ascii="Arial" w:hAnsi="Arial" w:cs="FrankRuehl" w:hint="cs"/>
                <w:sz w:val="28"/>
                <w:szCs w:val="28"/>
                <w:rtl/>
              </w:rPr>
              <w:t>ב</w:t>
            </w:r>
            <w:r w:rsidRPr="0094334C">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D4BC0BB" w14:textId="77777777" w:rsidR="0030722B" w:rsidRPr="0094334C" w:rsidRDefault="0030722B" w:rsidP="00B51DE8">
            <w:pPr>
              <w:rPr>
                <w:rFonts w:ascii="Arial" w:hAnsi="Arial"/>
                <w:b/>
                <w:bCs/>
                <w:rtl/>
              </w:rPr>
            </w:pPr>
            <w:r w:rsidRPr="0094334C">
              <w:rPr>
                <w:rFonts w:ascii="Arial" w:hAnsi="Arial" w:hint="cs"/>
                <w:b/>
                <w:bCs/>
                <w:rtl/>
              </w:rPr>
              <w:t>כבוד ה</w:t>
            </w:r>
            <w:r w:rsidRPr="0094334C">
              <w:rPr>
                <w:rFonts w:ascii="Arial" w:hAnsi="Arial"/>
                <w:b/>
                <w:bCs/>
                <w:rtl/>
              </w:rPr>
              <w:t>שופטת</w:t>
            </w:r>
            <w:r w:rsidRPr="0094334C">
              <w:rPr>
                <w:rFonts w:ascii="Arial" w:hAnsi="Arial" w:hint="cs"/>
                <w:b/>
                <w:bCs/>
                <w:rtl/>
              </w:rPr>
              <w:t xml:space="preserve">  </w:t>
            </w:r>
            <w:r w:rsidRPr="0094334C">
              <w:rPr>
                <w:rFonts w:ascii="Arial" w:hAnsi="Arial"/>
                <w:b/>
                <w:bCs/>
                <w:rtl/>
              </w:rPr>
              <w:t>עדי אייזדורפר</w:t>
            </w:r>
          </w:p>
          <w:p w14:paraId="7E2D92E2" w14:textId="77777777" w:rsidR="0030722B" w:rsidRPr="0094334C" w:rsidRDefault="0030722B" w:rsidP="00B51DE8">
            <w:pPr>
              <w:rPr>
                <w:rtl/>
              </w:rPr>
            </w:pPr>
          </w:p>
          <w:p w14:paraId="3568D6D9" w14:textId="77777777" w:rsidR="0030722B" w:rsidRPr="0094334C" w:rsidRDefault="0030722B" w:rsidP="0030722B">
            <w:pPr>
              <w:jc w:val="both"/>
              <w:rPr>
                <w:rFonts w:ascii="Arial" w:hAnsi="Arial" w:cs="FrankRuehl"/>
                <w:sz w:val="28"/>
                <w:szCs w:val="28"/>
              </w:rPr>
            </w:pPr>
          </w:p>
        </w:tc>
      </w:tr>
      <w:tr w:rsidR="0030722B" w:rsidRPr="0094334C" w14:paraId="354716C1" w14:textId="77777777" w:rsidTr="0030722B">
        <w:trPr>
          <w:trHeight w:val="355"/>
          <w:jc w:val="center"/>
        </w:trPr>
        <w:tc>
          <w:tcPr>
            <w:tcW w:w="923" w:type="dxa"/>
            <w:tcBorders>
              <w:top w:val="nil"/>
              <w:left w:val="nil"/>
              <w:bottom w:val="nil"/>
              <w:right w:val="nil"/>
            </w:tcBorders>
            <w:shd w:val="clear" w:color="auto" w:fill="auto"/>
          </w:tcPr>
          <w:p w14:paraId="32D5E755" w14:textId="77777777" w:rsidR="0030722B" w:rsidRPr="0094334C" w:rsidRDefault="0030722B" w:rsidP="0030722B">
            <w:pPr>
              <w:jc w:val="both"/>
              <w:rPr>
                <w:rFonts w:ascii="David" w:hAnsi="David"/>
                <w:b/>
                <w:bCs/>
                <w:sz w:val="28"/>
                <w:szCs w:val="28"/>
              </w:rPr>
            </w:pPr>
            <w:bookmarkStart w:id="2" w:name="FirstAppellant"/>
            <w:r w:rsidRPr="0094334C">
              <w:rPr>
                <w:rFonts w:ascii="David" w:hAnsi="David"/>
                <w:b/>
                <w:bCs/>
                <w:sz w:val="28"/>
                <w:szCs w:val="28"/>
                <w:rtl/>
              </w:rPr>
              <w:t>בעניין:</w:t>
            </w:r>
          </w:p>
        </w:tc>
        <w:tc>
          <w:tcPr>
            <w:tcW w:w="4126" w:type="dxa"/>
            <w:tcBorders>
              <w:top w:val="nil"/>
              <w:left w:val="nil"/>
              <w:bottom w:val="nil"/>
              <w:right w:val="nil"/>
            </w:tcBorders>
            <w:shd w:val="clear" w:color="auto" w:fill="auto"/>
          </w:tcPr>
          <w:p w14:paraId="531889A9" w14:textId="77777777" w:rsidR="0030722B" w:rsidRPr="0094334C" w:rsidRDefault="0030722B" w:rsidP="00B51DE8">
            <w:pPr>
              <w:rPr>
                <w:rFonts w:ascii="David" w:hAnsi="David"/>
                <w:b/>
                <w:bCs/>
                <w:sz w:val="28"/>
                <w:szCs w:val="28"/>
              </w:rPr>
            </w:pPr>
            <w:r w:rsidRPr="0094334C">
              <w:rPr>
                <w:rFonts w:ascii="David" w:hAnsi="David"/>
                <w:b/>
                <w:bCs/>
                <w:sz w:val="28"/>
                <w:szCs w:val="28"/>
                <w:rtl/>
              </w:rPr>
              <w:t>מדינת ישראל</w:t>
            </w:r>
          </w:p>
        </w:tc>
        <w:tc>
          <w:tcPr>
            <w:tcW w:w="3771" w:type="dxa"/>
            <w:tcBorders>
              <w:top w:val="nil"/>
              <w:left w:val="nil"/>
              <w:bottom w:val="nil"/>
              <w:right w:val="nil"/>
            </w:tcBorders>
            <w:shd w:val="clear" w:color="auto" w:fill="auto"/>
          </w:tcPr>
          <w:p w14:paraId="6F65F3CE" w14:textId="77777777" w:rsidR="0030722B" w:rsidRPr="0094334C" w:rsidRDefault="0030722B" w:rsidP="0030722B">
            <w:pPr>
              <w:jc w:val="both"/>
              <w:rPr>
                <w:rFonts w:ascii="David" w:hAnsi="David"/>
                <w:b/>
                <w:bCs/>
                <w:sz w:val="28"/>
                <w:szCs w:val="28"/>
              </w:rPr>
            </w:pPr>
          </w:p>
        </w:tc>
      </w:tr>
      <w:bookmarkEnd w:id="2"/>
      <w:tr w:rsidR="0030722B" w:rsidRPr="0094334C" w14:paraId="31192ACB" w14:textId="77777777" w:rsidTr="0030722B">
        <w:trPr>
          <w:trHeight w:val="355"/>
          <w:jc w:val="center"/>
        </w:trPr>
        <w:tc>
          <w:tcPr>
            <w:tcW w:w="923" w:type="dxa"/>
            <w:tcBorders>
              <w:top w:val="nil"/>
              <w:left w:val="nil"/>
              <w:bottom w:val="nil"/>
              <w:right w:val="nil"/>
            </w:tcBorders>
            <w:shd w:val="clear" w:color="auto" w:fill="auto"/>
          </w:tcPr>
          <w:p w14:paraId="0340B9C4" w14:textId="77777777" w:rsidR="0030722B" w:rsidRPr="0094334C" w:rsidRDefault="0030722B" w:rsidP="0030722B">
            <w:pPr>
              <w:jc w:val="both"/>
              <w:rPr>
                <w:rFonts w:ascii="David" w:hAnsi="David"/>
                <w:b/>
                <w:bCs/>
                <w:sz w:val="28"/>
                <w:szCs w:val="28"/>
                <w:rtl/>
              </w:rPr>
            </w:pPr>
          </w:p>
        </w:tc>
        <w:tc>
          <w:tcPr>
            <w:tcW w:w="4126" w:type="dxa"/>
            <w:tcBorders>
              <w:top w:val="nil"/>
              <w:left w:val="nil"/>
              <w:bottom w:val="nil"/>
              <w:right w:val="nil"/>
            </w:tcBorders>
            <w:shd w:val="clear" w:color="auto" w:fill="auto"/>
          </w:tcPr>
          <w:p w14:paraId="65234AE6" w14:textId="77777777" w:rsidR="0030722B" w:rsidRPr="0094334C" w:rsidRDefault="0030722B" w:rsidP="0030722B">
            <w:pPr>
              <w:jc w:val="both"/>
              <w:rPr>
                <w:rFonts w:ascii="David" w:hAnsi="David"/>
                <w:b/>
                <w:bCs/>
                <w:sz w:val="28"/>
                <w:szCs w:val="28"/>
                <w:rtl/>
              </w:rPr>
            </w:pPr>
          </w:p>
        </w:tc>
        <w:tc>
          <w:tcPr>
            <w:tcW w:w="3771" w:type="dxa"/>
            <w:tcBorders>
              <w:top w:val="nil"/>
              <w:left w:val="nil"/>
              <w:bottom w:val="nil"/>
              <w:right w:val="nil"/>
            </w:tcBorders>
            <w:shd w:val="clear" w:color="auto" w:fill="auto"/>
          </w:tcPr>
          <w:p w14:paraId="15FD4A54" w14:textId="77777777" w:rsidR="0030722B" w:rsidRPr="0094334C" w:rsidRDefault="0030722B" w:rsidP="0030722B">
            <w:pPr>
              <w:jc w:val="right"/>
              <w:rPr>
                <w:rFonts w:ascii="David" w:hAnsi="David"/>
                <w:b/>
                <w:bCs/>
                <w:sz w:val="28"/>
                <w:szCs w:val="28"/>
                <w:rtl/>
              </w:rPr>
            </w:pPr>
            <w:r w:rsidRPr="0094334C">
              <w:rPr>
                <w:rFonts w:ascii="David" w:hAnsi="David"/>
                <w:b/>
                <w:bCs/>
                <w:sz w:val="28"/>
                <w:szCs w:val="28"/>
                <w:rtl/>
              </w:rPr>
              <w:t>המאשימה</w:t>
            </w:r>
          </w:p>
        </w:tc>
      </w:tr>
      <w:tr w:rsidR="0030722B" w:rsidRPr="0094334C" w14:paraId="2C3808BA" w14:textId="77777777" w:rsidTr="0030722B">
        <w:trPr>
          <w:trHeight w:val="355"/>
          <w:jc w:val="center"/>
        </w:trPr>
        <w:tc>
          <w:tcPr>
            <w:tcW w:w="923" w:type="dxa"/>
            <w:tcBorders>
              <w:top w:val="nil"/>
              <w:left w:val="nil"/>
              <w:bottom w:val="nil"/>
              <w:right w:val="nil"/>
            </w:tcBorders>
            <w:shd w:val="clear" w:color="auto" w:fill="auto"/>
          </w:tcPr>
          <w:p w14:paraId="2D8B8304" w14:textId="77777777" w:rsidR="0030722B" w:rsidRPr="0094334C" w:rsidRDefault="0030722B" w:rsidP="0030722B">
            <w:pPr>
              <w:jc w:val="both"/>
              <w:rPr>
                <w:rFonts w:ascii="David" w:hAnsi="David"/>
                <w:b/>
                <w:bCs/>
                <w:sz w:val="28"/>
                <w:szCs w:val="28"/>
                <w:rtl/>
              </w:rPr>
            </w:pPr>
          </w:p>
        </w:tc>
        <w:tc>
          <w:tcPr>
            <w:tcW w:w="7897" w:type="dxa"/>
            <w:gridSpan w:val="2"/>
            <w:tcBorders>
              <w:top w:val="nil"/>
              <w:left w:val="nil"/>
              <w:bottom w:val="nil"/>
              <w:right w:val="nil"/>
            </w:tcBorders>
            <w:shd w:val="clear" w:color="auto" w:fill="auto"/>
          </w:tcPr>
          <w:p w14:paraId="5C2DFF0D" w14:textId="77777777" w:rsidR="0030722B" w:rsidRPr="0094334C" w:rsidRDefault="0030722B" w:rsidP="0030722B">
            <w:pPr>
              <w:jc w:val="center"/>
              <w:rPr>
                <w:rFonts w:ascii="David" w:hAnsi="David"/>
                <w:b/>
                <w:bCs/>
                <w:sz w:val="28"/>
                <w:szCs w:val="28"/>
                <w:rtl/>
              </w:rPr>
            </w:pPr>
          </w:p>
          <w:p w14:paraId="6B9E8451" w14:textId="77777777" w:rsidR="0030722B" w:rsidRPr="0094334C" w:rsidRDefault="0030722B" w:rsidP="0030722B">
            <w:pPr>
              <w:jc w:val="center"/>
              <w:rPr>
                <w:rFonts w:ascii="David" w:hAnsi="David"/>
                <w:b/>
                <w:bCs/>
                <w:sz w:val="28"/>
                <w:szCs w:val="28"/>
                <w:rtl/>
              </w:rPr>
            </w:pPr>
            <w:r w:rsidRPr="0094334C">
              <w:rPr>
                <w:rFonts w:ascii="David" w:hAnsi="David"/>
                <w:b/>
                <w:bCs/>
                <w:sz w:val="28"/>
                <w:szCs w:val="28"/>
                <w:rtl/>
              </w:rPr>
              <w:t>נגד</w:t>
            </w:r>
          </w:p>
          <w:p w14:paraId="3B46F529" w14:textId="77777777" w:rsidR="0030722B" w:rsidRPr="0094334C" w:rsidRDefault="0030722B" w:rsidP="0030722B">
            <w:pPr>
              <w:jc w:val="both"/>
              <w:rPr>
                <w:rFonts w:ascii="David" w:hAnsi="David"/>
                <w:b/>
                <w:bCs/>
                <w:sz w:val="28"/>
                <w:szCs w:val="28"/>
              </w:rPr>
            </w:pPr>
          </w:p>
        </w:tc>
      </w:tr>
      <w:tr w:rsidR="0030722B" w:rsidRPr="0094334C" w14:paraId="52D88F55" w14:textId="77777777" w:rsidTr="0030722B">
        <w:trPr>
          <w:trHeight w:val="355"/>
          <w:jc w:val="center"/>
        </w:trPr>
        <w:tc>
          <w:tcPr>
            <w:tcW w:w="923" w:type="dxa"/>
            <w:tcBorders>
              <w:top w:val="nil"/>
              <w:left w:val="nil"/>
              <w:bottom w:val="nil"/>
              <w:right w:val="nil"/>
            </w:tcBorders>
            <w:shd w:val="clear" w:color="auto" w:fill="auto"/>
          </w:tcPr>
          <w:p w14:paraId="7CB39172" w14:textId="77777777" w:rsidR="0030722B" w:rsidRPr="0094334C" w:rsidRDefault="0030722B" w:rsidP="00B51DE8">
            <w:pPr>
              <w:rPr>
                <w:rFonts w:ascii="David" w:hAnsi="David"/>
                <w:b/>
                <w:bCs/>
                <w:sz w:val="28"/>
                <w:szCs w:val="28"/>
                <w:rtl/>
              </w:rPr>
            </w:pPr>
          </w:p>
        </w:tc>
        <w:tc>
          <w:tcPr>
            <w:tcW w:w="4126" w:type="dxa"/>
            <w:tcBorders>
              <w:top w:val="nil"/>
              <w:left w:val="nil"/>
              <w:bottom w:val="nil"/>
              <w:right w:val="nil"/>
            </w:tcBorders>
            <w:shd w:val="clear" w:color="auto" w:fill="auto"/>
          </w:tcPr>
          <w:p w14:paraId="0FDFC65E" w14:textId="77777777" w:rsidR="0030722B" w:rsidRPr="0094334C" w:rsidRDefault="0030722B" w:rsidP="00B51DE8">
            <w:pPr>
              <w:rPr>
                <w:rFonts w:ascii="David" w:hAnsi="David"/>
                <w:b/>
                <w:bCs/>
                <w:sz w:val="28"/>
                <w:szCs w:val="28"/>
                <w:rtl/>
              </w:rPr>
            </w:pPr>
            <w:r w:rsidRPr="0094334C">
              <w:rPr>
                <w:rFonts w:ascii="David" w:hAnsi="David"/>
                <w:b/>
                <w:bCs/>
                <w:sz w:val="28"/>
                <w:szCs w:val="28"/>
                <w:rtl/>
              </w:rPr>
              <w:t>דמיאן מרטין סאול מכר</w:t>
            </w:r>
            <w:r w:rsidRPr="0094334C">
              <w:rPr>
                <w:rFonts w:ascii="David" w:hAnsi="David"/>
                <w:b/>
                <w:bCs/>
                <w:sz w:val="28"/>
                <w:szCs w:val="28"/>
                <w:rtl/>
              </w:rPr>
              <w:br/>
              <w:t>ע"י ב"כ עו"ד רסקין</w:t>
            </w:r>
          </w:p>
        </w:tc>
        <w:tc>
          <w:tcPr>
            <w:tcW w:w="3771" w:type="dxa"/>
            <w:tcBorders>
              <w:top w:val="nil"/>
              <w:left w:val="nil"/>
              <w:bottom w:val="nil"/>
              <w:right w:val="nil"/>
            </w:tcBorders>
            <w:shd w:val="clear" w:color="auto" w:fill="auto"/>
          </w:tcPr>
          <w:p w14:paraId="16C9B2AF" w14:textId="77777777" w:rsidR="0030722B" w:rsidRPr="0094334C" w:rsidRDefault="0030722B" w:rsidP="0030722B">
            <w:pPr>
              <w:jc w:val="right"/>
              <w:rPr>
                <w:rFonts w:ascii="David" w:hAnsi="David"/>
                <w:b/>
                <w:bCs/>
                <w:sz w:val="28"/>
                <w:szCs w:val="28"/>
              </w:rPr>
            </w:pPr>
          </w:p>
        </w:tc>
      </w:tr>
      <w:tr w:rsidR="0030722B" w:rsidRPr="0094334C" w14:paraId="5D57344E" w14:textId="77777777" w:rsidTr="0030722B">
        <w:trPr>
          <w:trHeight w:val="355"/>
          <w:jc w:val="center"/>
        </w:trPr>
        <w:tc>
          <w:tcPr>
            <w:tcW w:w="923" w:type="dxa"/>
            <w:tcBorders>
              <w:top w:val="nil"/>
              <w:left w:val="nil"/>
              <w:bottom w:val="nil"/>
              <w:right w:val="nil"/>
            </w:tcBorders>
            <w:shd w:val="clear" w:color="auto" w:fill="auto"/>
          </w:tcPr>
          <w:p w14:paraId="58FF8CB7" w14:textId="77777777" w:rsidR="0030722B" w:rsidRPr="0094334C" w:rsidRDefault="0030722B" w:rsidP="0030722B">
            <w:pPr>
              <w:jc w:val="both"/>
              <w:rPr>
                <w:rFonts w:ascii="David" w:hAnsi="David"/>
                <w:b/>
                <w:bCs/>
                <w:sz w:val="28"/>
                <w:szCs w:val="28"/>
                <w:rtl/>
              </w:rPr>
            </w:pPr>
          </w:p>
        </w:tc>
        <w:tc>
          <w:tcPr>
            <w:tcW w:w="4126" w:type="dxa"/>
            <w:tcBorders>
              <w:top w:val="nil"/>
              <w:left w:val="nil"/>
              <w:bottom w:val="nil"/>
              <w:right w:val="nil"/>
            </w:tcBorders>
            <w:shd w:val="clear" w:color="auto" w:fill="auto"/>
          </w:tcPr>
          <w:p w14:paraId="5EC62457" w14:textId="77777777" w:rsidR="0030722B" w:rsidRPr="0094334C" w:rsidRDefault="0030722B" w:rsidP="0030722B">
            <w:pPr>
              <w:jc w:val="both"/>
              <w:rPr>
                <w:rFonts w:ascii="David" w:hAnsi="David"/>
                <w:b/>
                <w:bCs/>
                <w:sz w:val="28"/>
                <w:szCs w:val="28"/>
                <w:rtl/>
              </w:rPr>
            </w:pPr>
          </w:p>
        </w:tc>
        <w:tc>
          <w:tcPr>
            <w:tcW w:w="3771" w:type="dxa"/>
            <w:tcBorders>
              <w:top w:val="nil"/>
              <w:left w:val="nil"/>
              <w:bottom w:val="nil"/>
              <w:right w:val="nil"/>
            </w:tcBorders>
            <w:shd w:val="clear" w:color="auto" w:fill="auto"/>
          </w:tcPr>
          <w:p w14:paraId="726D11F7" w14:textId="77777777" w:rsidR="0030722B" w:rsidRPr="0094334C" w:rsidRDefault="0030722B" w:rsidP="0030722B">
            <w:pPr>
              <w:jc w:val="right"/>
              <w:rPr>
                <w:rFonts w:ascii="David" w:hAnsi="David"/>
                <w:b/>
                <w:bCs/>
                <w:sz w:val="28"/>
                <w:szCs w:val="28"/>
              </w:rPr>
            </w:pPr>
            <w:r w:rsidRPr="0094334C">
              <w:rPr>
                <w:rFonts w:ascii="David" w:hAnsi="David"/>
                <w:b/>
                <w:bCs/>
                <w:sz w:val="28"/>
                <w:szCs w:val="28"/>
                <w:rtl/>
              </w:rPr>
              <w:t>הנאשמים</w:t>
            </w:r>
          </w:p>
        </w:tc>
      </w:tr>
    </w:tbl>
    <w:p w14:paraId="757E6CAC" w14:textId="77777777" w:rsidR="00082CB2" w:rsidRPr="00082CB2" w:rsidRDefault="00082CB2" w:rsidP="00082CB2">
      <w:pPr>
        <w:spacing w:before="120" w:after="120" w:line="240" w:lineRule="exact"/>
        <w:ind w:left="283" w:hanging="283"/>
        <w:jc w:val="both"/>
        <w:rPr>
          <w:rFonts w:ascii="FrankRuehl" w:hAnsi="FrankRuehl" w:cs="FrankRuehl"/>
          <w:rtl/>
        </w:rPr>
      </w:pPr>
    </w:p>
    <w:p w14:paraId="0E1C089C" w14:textId="77777777" w:rsidR="002145D9" w:rsidRDefault="002145D9" w:rsidP="002145D9">
      <w:pPr>
        <w:rPr>
          <w:rFonts w:ascii="David" w:hAnsi="David"/>
          <w:sz w:val="28"/>
          <w:szCs w:val="28"/>
          <w:rtl/>
        </w:rPr>
      </w:pPr>
      <w:bookmarkStart w:id="3" w:name="LawTable"/>
      <w:bookmarkEnd w:id="3"/>
    </w:p>
    <w:p w14:paraId="6483018A" w14:textId="77777777" w:rsidR="002145D9" w:rsidRPr="002145D9" w:rsidRDefault="002145D9" w:rsidP="002145D9">
      <w:pPr>
        <w:spacing w:before="120" w:after="120" w:line="240" w:lineRule="exact"/>
        <w:ind w:left="283" w:hanging="283"/>
        <w:jc w:val="both"/>
        <w:rPr>
          <w:rFonts w:ascii="FrankRuehl" w:hAnsi="FrankRuehl" w:cs="FrankRuehl"/>
          <w:rtl/>
        </w:rPr>
      </w:pPr>
    </w:p>
    <w:p w14:paraId="10DF062B" w14:textId="77777777" w:rsidR="002145D9" w:rsidRPr="002145D9" w:rsidRDefault="002145D9" w:rsidP="002145D9">
      <w:pPr>
        <w:spacing w:before="120" w:after="120" w:line="240" w:lineRule="exact"/>
        <w:ind w:left="283" w:hanging="283"/>
        <w:jc w:val="both"/>
        <w:rPr>
          <w:rFonts w:ascii="FrankRuehl" w:hAnsi="FrankRuehl" w:cs="FrankRuehl"/>
          <w:rtl/>
        </w:rPr>
      </w:pPr>
    </w:p>
    <w:p w14:paraId="56FC5CD6" w14:textId="77777777" w:rsidR="002145D9" w:rsidRPr="002145D9" w:rsidRDefault="002145D9" w:rsidP="002145D9">
      <w:pPr>
        <w:spacing w:before="120" w:after="120" w:line="240" w:lineRule="exact"/>
        <w:ind w:left="283" w:hanging="283"/>
        <w:jc w:val="both"/>
        <w:rPr>
          <w:rFonts w:ascii="FrankRuehl" w:hAnsi="FrankRuehl" w:cs="FrankRuehl"/>
          <w:rtl/>
        </w:rPr>
      </w:pPr>
      <w:r w:rsidRPr="002145D9">
        <w:rPr>
          <w:rFonts w:ascii="FrankRuehl" w:hAnsi="FrankRuehl" w:cs="FrankRuehl"/>
          <w:rtl/>
        </w:rPr>
        <w:t xml:space="preserve">חקיקה שאוזכרה: </w:t>
      </w:r>
    </w:p>
    <w:p w14:paraId="2A8266F1" w14:textId="77777777" w:rsidR="002145D9" w:rsidRPr="002145D9" w:rsidRDefault="002145D9" w:rsidP="002145D9">
      <w:pPr>
        <w:spacing w:before="120" w:after="120" w:line="240" w:lineRule="exact"/>
        <w:ind w:left="283" w:hanging="283"/>
        <w:jc w:val="both"/>
        <w:rPr>
          <w:rFonts w:ascii="FrankRuehl" w:hAnsi="FrankRuehl" w:cs="FrankRuehl"/>
          <w:rtl/>
        </w:rPr>
      </w:pPr>
      <w:hyperlink r:id="rId8" w:history="1">
        <w:r w:rsidRPr="002145D9">
          <w:rPr>
            <w:rFonts w:ascii="FrankRuehl" w:hAnsi="FrankRuehl" w:cs="FrankRuehl"/>
            <w:color w:val="0000FF"/>
            <w:rtl/>
          </w:rPr>
          <w:t>פקודת הסמים המסוכנים [נוסח חדש], תשל"ג-1973</w:t>
        </w:r>
      </w:hyperlink>
      <w:r w:rsidRPr="002145D9">
        <w:rPr>
          <w:rFonts w:ascii="FrankRuehl" w:hAnsi="FrankRuehl" w:cs="FrankRuehl"/>
          <w:rtl/>
        </w:rPr>
        <w:t xml:space="preserve">: סע'  </w:t>
      </w:r>
      <w:hyperlink r:id="rId9" w:history="1">
        <w:r w:rsidRPr="002145D9">
          <w:rPr>
            <w:rFonts w:ascii="FrankRuehl" w:hAnsi="FrankRuehl" w:cs="FrankRuehl"/>
            <w:color w:val="0000FF"/>
            <w:rtl/>
          </w:rPr>
          <w:t>6</w:t>
        </w:r>
      </w:hyperlink>
    </w:p>
    <w:p w14:paraId="67B40649" w14:textId="77777777" w:rsidR="002145D9" w:rsidRPr="002145D9" w:rsidRDefault="002145D9" w:rsidP="002145D9">
      <w:pPr>
        <w:spacing w:before="120" w:after="120" w:line="240" w:lineRule="exact"/>
        <w:ind w:left="283" w:hanging="283"/>
        <w:jc w:val="both"/>
        <w:rPr>
          <w:rFonts w:ascii="FrankRuehl" w:hAnsi="FrankRuehl" w:cs="FrankRuehl"/>
          <w:rtl/>
        </w:rPr>
      </w:pPr>
      <w:hyperlink r:id="rId10" w:history="1">
        <w:r w:rsidRPr="002145D9">
          <w:rPr>
            <w:rFonts w:ascii="FrankRuehl" w:hAnsi="FrankRuehl" w:cs="FrankRuehl"/>
            <w:color w:val="0000FF"/>
            <w:rtl/>
          </w:rPr>
          <w:t>חוק המתווכים במקרקעין, תשנ"ו-1996</w:t>
        </w:r>
      </w:hyperlink>
      <w:r w:rsidRPr="002145D9">
        <w:rPr>
          <w:rFonts w:ascii="FrankRuehl" w:hAnsi="FrankRuehl" w:cs="FrankRuehl"/>
          <w:rtl/>
        </w:rPr>
        <w:t xml:space="preserve">: סע'  </w:t>
      </w:r>
      <w:hyperlink r:id="rId11" w:history="1">
        <w:r w:rsidRPr="002145D9">
          <w:rPr>
            <w:rFonts w:ascii="FrankRuehl" w:hAnsi="FrankRuehl" w:cs="FrankRuehl"/>
            <w:color w:val="0000FF"/>
            <w:rtl/>
          </w:rPr>
          <w:t>5(א)(4)</w:t>
        </w:r>
      </w:hyperlink>
    </w:p>
    <w:p w14:paraId="00621D74" w14:textId="77777777" w:rsidR="002145D9" w:rsidRPr="002145D9" w:rsidRDefault="002145D9" w:rsidP="002145D9">
      <w:pPr>
        <w:rPr>
          <w:rFonts w:ascii="David" w:hAnsi="David"/>
          <w:sz w:val="28"/>
          <w:szCs w:val="28"/>
          <w:rtl/>
        </w:rPr>
      </w:pPr>
      <w:bookmarkStart w:id="4" w:name="LawTable_End"/>
      <w:bookmarkEnd w:id="4"/>
    </w:p>
    <w:p w14:paraId="4F109314" w14:textId="77777777" w:rsidR="0030722B" w:rsidRPr="00082CB2" w:rsidRDefault="0030722B" w:rsidP="00082CB2">
      <w:pPr>
        <w:rPr>
          <w:rFonts w:ascii="David" w:hAnsi="David"/>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0722B" w14:paraId="07E56CA2" w14:textId="77777777" w:rsidTr="0030722B">
        <w:trPr>
          <w:trHeight w:val="355"/>
          <w:jc w:val="center"/>
        </w:trPr>
        <w:tc>
          <w:tcPr>
            <w:tcW w:w="8820" w:type="dxa"/>
            <w:tcBorders>
              <w:top w:val="nil"/>
              <w:left w:val="nil"/>
              <w:bottom w:val="nil"/>
              <w:right w:val="nil"/>
            </w:tcBorders>
            <w:shd w:val="clear" w:color="auto" w:fill="auto"/>
          </w:tcPr>
          <w:p w14:paraId="49E738FD" w14:textId="77777777" w:rsidR="0094334C" w:rsidRPr="0094334C" w:rsidRDefault="0094334C" w:rsidP="0094334C">
            <w:pPr>
              <w:jc w:val="center"/>
              <w:rPr>
                <w:rFonts w:ascii="David" w:hAnsi="David"/>
                <w:b/>
                <w:bCs/>
                <w:sz w:val="32"/>
                <w:szCs w:val="32"/>
                <w:u w:val="single"/>
                <w:rtl/>
              </w:rPr>
            </w:pPr>
            <w:bookmarkStart w:id="5" w:name="PsakDin" w:colFirst="0" w:colLast="0"/>
            <w:bookmarkEnd w:id="0"/>
            <w:bookmarkEnd w:id="1"/>
            <w:r w:rsidRPr="0094334C">
              <w:rPr>
                <w:rFonts w:ascii="David" w:hAnsi="David"/>
                <w:b/>
                <w:bCs/>
                <w:sz w:val="32"/>
                <w:szCs w:val="32"/>
                <w:u w:val="single"/>
                <w:rtl/>
              </w:rPr>
              <w:t>גזר דין</w:t>
            </w:r>
          </w:p>
          <w:p w14:paraId="46821827" w14:textId="77777777" w:rsidR="0030722B" w:rsidRPr="0094334C" w:rsidRDefault="0030722B" w:rsidP="0094334C">
            <w:pPr>
              <w:jc w:val="center"/>
              <w:rPr>
                <w:rFonts w:ascii="David" w:hAnsi="David"/>
                <w:bCs/>
                <w:sz w:val="32"/>
                <w:szCs w:val="32"/>
                <w:u w:val="single"/>
                <w:rtl/>
              </w:rPr>
            </w:pPr>
          </w:p>
        </w:tc>
      </w:tr>
      <w:bookmarkEnd w:id="5"/>
    </w:tbl>
    <w:p w14:paraId="07853BE0" w14:textId="77777777" w:rsidR="0030722B" w:rsidRPr="00B05847" w:rsidRDefault="0030722B" w:rsidP="0030722B">
      <w:pPr>
        <w:rPr>
          <w:rFonts w:ascii="Arial" w:hAnsi="Arial"/>
          <w:rtl/>
        </w:rPr>
      </w:pPr>
    </w:p>
    <w:p w14:paraId="1D56BC9F" w14:textId="77777777" w:rsidR="0030722B" w:rsidRPr="001616DD" w:rsidRDefault="0030722B" w:rsidP="0030722B">
      <w:pPr>
        <w:spacing w:line="360" w:lineRule="auto"/>
        <w:ind w:firstLine="43"/>
        <w:jc w:val="both"/>
        <w:rPr>
          <w:rFonts w:ascii="David" w:hAnsi="David"/>
          <w:b/>
          <w:bCs/>
          <w:u w:val="single"/>
          <w:rtl/>
        </w:rPr>
      </w:pPr>
      <w:r w:rsidRPr="001616DD">
        <w:rPr>
          <w:rFonts w:ascii="David" w:hAnsi="David"/>
          <w:b/>
          <w:bCs/>
          <w:u w:val="single"/>
          <w:rtl/>
        </w:rPr>
        <w:t>כתב האישום והסדר הטיעון</w:t>
      </w:r>
    </w:p>
    <w:p w14:paraId="238ED4BD" w14:textId="77777777" w:rsidR="0030722B" w:rsidRPr="001616DD" w:rsidRDefault="0030722B" w:rsidP="0030722B">
      <w:pPr>
        <w:pStyle w:val="a9"/>
        <w:numPr>
          <w:ilvl w:val="0"/>
          <w:numId w:val="1"/>
        </w:numPr>
        <w:spacing w:line="360" w:lineRule="auto"/>
        <w:ind w:left="468" w:hanging="425"/>
        <w:jc w:val="both"/>
      </w:pPr>
      <w:bookmarkStart w:id="6" w:name="ABSTRACT_START"/>
      <w:bookmarkEnd w:id="6"/>
      <w:r w:rsidRPr="001616DD">
        <w:rPr>
          <w:rtl/>
        </w:rPr>
        <w:t>הנאש</w:t>
      </w:r>
      <w:r w:rsidRPr="001616DD">
        <w:rPr>
          <w:rFonts w:hint="cs"/>
          <w:rtl/>
        </w:rPr>
        <w:t>ם</w:t>
      </w:r>
      <w:r w:rsidRPr="001616DD">
        <w:rPr>
          <w:rtl/>
        </w:rPr>
        <w:t xml:space="preserve">, יליד </w:t>
      </w:r>
      <w:r>
        <w:rPr>
          <w:rFonts w:hint="cs"/>
          <w:rtl/>
        </w:rPr>
        <w:t>1986</w:t>
      </w:r>
      <w:r w:rsidRPr="001616DD">
        <w:rPr>
          <w:rtl/>
        </w:rPr>
        <w:t xml:space="preserve">, הודה במסגרת הסדר טיעון שהושג בין הצדדים, </w:t>
      </w:r>
      <w:r w:rsidRPr="001616DD">
        <w:rPr>
          <w:rFonts w:hint="cs"/>
          <w:rtl/>
        </w:rPr>
        <w:t>בעביר</w:t>
      </w:r>
      <w:r>
        <w:rPr>
          <w:rFonts w:hint="cs"/>
          <w:rtl/>
        </w:rPr>
        <w:t>ה של</w:t>
      </w:r>
      <w:r w:rsidRPr="001616DD">
        <w:rPr>
          <w:rFonts w:hint="cs"/>
          <w:rtl/>
        </w:rPr>
        <w:t xml:space="preserve"> </w:t>
      </w:r>
      <w:r>
        <w:rPr>
          <w:rFonts w:eastAsia="Times New Roman" w:hint="cs"/>
          <w:b/>
          <w:bCs/>
          <w:rtl/>
        </w:rPr>
        <w:t>גידול, ייצור, הכנת סמים מסוכנים</w:t>
      </w:r>
      <w:r w:rsidRPr="001616DD">
        <w:rPr>
          <w:rFonts w:eastAsia="Times New Roman" w:hint="cs"/>
          <w:b/>
          <w:bCs/>
          <w:rtl/>
        </w:rPr>
        <w:t>,</w:t>
      </w:r>
      <w:r w:rsidRPr="001616DD">
        <w:rPr>
          <w:rFonts w:eastAsia="Times New Roman"/>
          <w:b/>
          <w:bCs/>
          <w:rtl/>
        </w:rPr>
        <w:t xml:space="preserve"> </w:t>
      </w:r>
      <w:r w:rsidRPr="001616DD">
        <w:rPr>
          <w:rFonts w:eastAsia="Times New Roman"/>
          <w:rtl/>
        </w:rPr>
        <w:t xml:space="preserve">לפי </w:t>
      </w:r>
      <w:hyperlink r:id="rId12" w:history="1">
        <w:r w:rsidR="00D87ECC" w:rsidRPr="00D87ECC">
          <w:rPr>
            <w:rStyle w:val="Hyperlink"/>
            <w:rFonts w:eastAsia="Times New Roman" w:hint="eastAsia"/>
            <w:rtl/>
          </w:rPr>
          <w:t>סעיף</w:t>
        </w:r>
        <w:r w:rsidR="00D87ECC" w:rsidRPr="00D87ECC">
          <w:rPr>
            <w:rStyle w:val="Hyperlink"/>
            <w:rFonts w:eastAsia="Times New Roman"/>
            <w:rtl/>
          </w:rPr>
          <w:t xml:space="preserve"> 6</w:t>
        </w:r>
      </w:hyperlink>
      <w:r>
        <w:rPr>
          <w:rFonts w:eastAsia="Times New Roman" w:hint="cs"/>
          <w:rtl/>
        </w:rPr>
        <w:t xml:space="preserve"> ל</w:t>
      </w:r>
      <w:hyperlink r:id="rId13" w:history="1">
        <w:r w:rsidR="0094334C" w:rsidRPr="0094334C">
          <w:rPr>
            <w:rFonts w:eastAsia="Times New Roman"/>
            <w:color w:val="0000FF"/>
            <w:u w:val="single"/>
            <w:rtl/>
          </w:rPr>
          <w:t>פקודת הסמים המסוכנים</w:t>
        </w:r>
      </w:hyperlink>
      <w:r>
        <w:rPr>
          <w:rFonts w:eastAsia="Times New Roman" w:hint="cs"/>
          <w:rtl/>
        </w:rPr>
        <w:t xml:space="preserve"> (נוסח חדש) תשל"ג-1973</w:t>
      </w:r>
      <w:r w:rsidRPr="001616DD">
        <w:rPr>
          <w:rtl/>
        </w:rPr>
        <w:t xml:space="preserve"> </w:t>
      </w:r>
      <w:r>
        <w:rPr>
          <w:rFonts w:hint="cs"/>
          <w:rtl/>
        </w:rPr>
        <w:t xml:space="preserve">(להלן: </w:t>
      </w:r>
      <w:r>
        <w:rPr>
          <w:rFonts w:hint="cs"/>
          <w:b/>
          <w:bCs/>
          <w:rtl/>
        </w:rPr>
        <w:t>"הפקודה"</w:t>
      </w:r>
      <w:r>
        <w:rPr>
          <w:rFonts w:hint="cs"/>
          <w:rtl/>
        </w:rPr>
        <w:t>)</w:t>
      </w:r>
      <w:r w:rsidRPr="001616DD">
        <w:rPr>
          <w:rFonts w:eastAsia="Times New Roman" w:hint="cs"/>
          <w:b/>
          <w:bCs/>
          <w:rtl/>
        </w:rPr>
        <w:t xml:space="preserve">, </w:t>
      </w:r>
      <w:r w:rsidRPr="001616DD">
        <w:rPr>
          <w:rFonts w:hint="cs"/>
          <w:rtl/>
        </w:rPr>
        <w:t xml:space="preserve">בהתאם לכתב </w:t>
      </w:r>
      <w:r>
        <w:rPr>
          <w:rFonts w:hint="cs"/>
          <w:rtl/>
        </w:rPr>
        <w:t>ה</w:t>
      </w:r>
      <w:r w:rsidRPr="001616DD">
        <w:rPr>
          <w:rFonts w:hint="cs"/>
          <w:rtl/>
        </w:rPr>
        <w:t xml:space="preserve">אישום </w:t>
      </w:r>
      <w:r>
        <w:rPr>
          <w:rFonts w:hint="cs"/>
          <w:rtl/>
        </w:rPr>
        <w:t>ה</w:t>
      </w:r>
      <w:r w:rsidRPr="001616DD">
        <w:rPr>
          <w:rFonts w:hint="cs"/>
          <w:rtl/>
        </w:rPr>
        <w:t>מתוקן.</w:t>
      </w:r>
    </w:p>
    <w:p w14:paraId="39841A3F" w14:textId="77777777" w:rsidR="0030722B" w:rsidRPr="00995805" w:rsidRDefault="0030722B" w:rsidP="0030722B">
      <w:pPr>
        <w:pStyle w:val="a9"/>
        <w:ind w:left="468"/>
        <w:jc w:val="both"/>
      </w:pPr>
      <w:bookmarkStart w:id="7" w:name="ABSTRACT_END"/>
      <w:bookmarkEnd w:id="7"/>
    </w:p>
    <w:p w14:paraId="1BEFB696" w14:textId="77777777" w:rsidR="0030722B" w:rsidRDefault="0030722B" w:rsidP="0030722B">
      <w:pPr>
        <w:pStyle w:val="a9"/>
        <w:numPr>
          <w:ilvl w:val="0"/>
          <w:numId w:val="1"/>
        </w:numPr>
        <w:spacing w:line="360" w:lineRule="auto"/>
        <w:ind w:left="468" w:hanging="425"/>
        <w:jc w:val="both"/>
        <w:rPr>
          <w:rtl/>
        </w:rPr>
      </w:pPr>
      <w:r w:rsidRPr="001616DD">
        <w:rPr>
          <w:rtl/>
        </w:rPr>
        <w:t>על פי עובדות כתב האישום</w:t>
      </w:r>
      <w:r w:rsidRPr="001616DD">
        <w:rPr>
          <w:rFonts w:hint="cs"/>
          <w:rtl/>
        </w:rPr>
        <w:t xml:space="preserve"> המתוקן</w:t>
      </w:r>
      <w:r w:rsidRPr="001616DD">
        <w:rPr>
          <w:rtl/>
        </w:rPr>
        <w:t xml:space="preserve">, </w:t>
      </w:r>
      <w:r w:rsidRPr="001616DD">
        <w:rPr>
          <w:rFonts w:hint="cs"/>
          <w:rtl/>
        </w:rPr>
        <w:t>בתאריך</w:t>
      </w:r>
      <w:r>
        <w:rPr>
          <w:rFonts w:hint="cs"/>
          <w:rtl/>
        </w:rPr>
        <w:t xml:space="preserve"> 4.8.16 גידל הנאשם בדירתו 2 שתילי סם מסוכן מסוג קנבוס במשקל 412.8 גרם נטו, וזאת ללא רישיון. בנוסף, החזיק הנאשם בביתו אוהל, מנורת חימום מחוברת לשנאי חשמלי, מפוח עם צינורות אוורור, מאוורר ו"מקססה" חשמלית.</w:t>
      </w:r>
    </w:p>
    <w:p w14:paraId="563C47D9" w14:textId="77777777" w:rsidR="0030722B" w:rsidRPr="00E21E31" w:rsidRDefault="0030722B" w:rsidP="0030722B">
      <w:pPr>
        <w:pStyle w:val="a9"/>
        <w:rPr>
          <w:rtl/>
        </w:rPr>
      </w:pPr>
    </w:p>
    <w:p w14:paraId="619D21E0" w14:textId="77777777" w:rsidR="0030722B" w:rsidRDefault="0030722B" w:rsidP="0030722B">
      <w:pPr>
        <w:pStyle w:val="a9"/>
        <w:numPr>
          <w:ilvl w:val="0"/>
          <w:numId w:val="1"/>
        </w:numPr>
        <w:spacing w:line="360" w:lineRule="auto"/>
        <w:ind w:left="468" w:hanging="425"/>
        <w:jc w:val="both"/>
      </w:pPr>
      <w:r>
        <w:rPr>
          <w:rFonts w:hint="cs"/>
          <w:rtl/>
        </w:rPr>
        <w:t xml:space="preserve">מלכתחילה, כפר הנאשם במיוחס לו, אולם טרם שהחל שלב שמיעת הראיות, הגיעו הצדדים להסדר טיעון במסגרתו הודה הנאשם והורשע בכתב האישום המתוקן. הצדדים הסכימו כי הנאשם ישלח לקבלת תסקיר שירות המבחן, והצדדים יטענו באופן פתוח הן לעניין שאלת ההרשעה והן לעניין העונש. </w:t>
      </w:r>
    </w:p>
    <w:p w14:paraId="64298A9B" w14:textId="77777777" w:rsidR="0030722B" w:rsidRDefault="0030722B" w:rsidP="0030722B">
      <w:pPr>
        <w:pStyle w:val="a9"/>
        <w:rPr>
          <w:rtl/>
        </w:rPr>
      </w:pPr>
    </w:p>
    <w:p w14:paraId="28B73C4B" w14:textId="77777777" w:rsidR="0030722B" w:rsidRDefault="0030722B" w:rsidP="0030722B">
      <w:pPr>
        <w:pStyle w:val="a9"/>
        <w:spacing w:line="360" w:lineRule="auto"/>
        <w:ind w:left="468"/>
        <w:jc w:val="both"/>
      </w:pPr>
      <w:r>
        <w:rPr>
          <w:rFonts w:hint="cs"/>
          <w:rtl/>
        </w:rPr>
        <w:t xml:space="preserve">ביום 22.9.20 הוגש תסקיר שירות המבחן בעניינו של הנאשם, והצדדים טענו לאחר מכן. </w:t>
      </w:r>
    </w:p>
    <w:p w14:paraId="1890D6E0" w14:textId="77777777" w:rsidR="0030722B" w:rsidRPr="000B52B1" w:rsidRDefault="0030722B" w:rsidP="0030722B">
      <w:pPr>
        <w:pStyle w:val="a9"/>
        <w:rPr>
          <w:rtl/>
        </w:rPr>
      </w:pPr>
    </w:p>
    <w:p w14:paraId="079009BF" w14:textId="77777777" w:rsidR="0030722B" w:rsidRPr="008C2185" w:rsidRDefault="0030722B" w:rsidP="0030722B">
      <w:pPr>
        <w:spacing w:line="360" w:lineRule="auto"/>
        <w:jc w:val="both"/>
        <w:rPr>
          <w:rFonts w:ascii="David" w:hAnsi="David"/>
          <w:b/>
          <w:bCs/>
          <w:u w:val="single"/>
          <w:rtl/>
        </w:rPr>
      </w:pPr>
      <w:r w:rsidRPr="008C2185">
        <w:rPr>
          <w:rFonts w:ascii="David" w:hAnsi="David"/>
          <w:b/>
          <w:bCs/>
          <w:u w:val="single"/>
          <w:rtl/>
        </w:rPr>
        <w:t>תסקיר שירות המבחן</w:t>
      </w:r>
    </w:p>
    <w:p w14:paraId="3BD2AAF8" w14:textId="77777777" w:rsidR="0030722B" w:rsidRDefault="0030722B" w:rsidP="0030722B">
      <w:pPr>
        <w:pStyle w:val="a9"/>
        <w:numPr>
          <w:ilvl w:val="0"/>
          <w:numId w:val="1"/>
        </w:numPr>
        <w:spacing w:line="360" w:lineRule="auto"/>
        <w:ind w:left="469" w:hanging="425"/>
        <w:jc w:val="both"/>
        <w:rPr>
          <w:rFonts w:ascii="Arial" w:hAnsi="Arial"/>
        </w:rPr>
      </w:pPr>
      <w:r>
        <w:rPr>
          <w:rFonts w:ascii="Arial" w:hAnsi="Arial" w:hint="cs"/>
          <w:rtl/>
        </w:rPr>
        <w:t>מ</w:t>
      </w:r>
      <w:r w:rsidRPr="008C2185">
        <w:rPr>
          <w:rFonts w:ascii="Arial" w:hAnsi="Arial" w:hint="cs"/>
          <w:rtl/>
        </w:rPr>
        <w:t>תסקיר שירות המבחן עולה, כי הנאש</w:t>
      </w:r>
      <w:r>
        <w:rPr>
          <w:rFonts w:ascii="Arial" w:hAnsi="Arial" w:hint="cs"/>
          <w:rtl/>
        </w:rPr>
        <w:t xml:space="preserve">ם בן 33, נשוי, אב לילד ומצפה לילד שני. </w:t>
      </w:r>
    </w:p>
    <w:p w14:paraId="1BF5C9FB" w14:textId="77777777" w:rsidR="0030722B" w:rsidRDefault="0030722B" w:rsidP="0030722B">
      <w:pPr>
        <w:pStyle w:val="a9"/>
        <w:spacing w:line="360" w:lineRule="auto"/>
        <w:ind w:left="469"/>
        <w:jc w:val="both"/>
        <w:rPr>
          <w:rFonts w:ascii="Arial" w:hAnsi="Arial"/>
          <w:rtl/>
        </w:rPr>
      </w:pPr>
      <w:r>
        <w:rPr>
          <w:rFonts w:ascii="Arial" w:hAnsi="Arial" w:hint="cs"/>
          <w:rtl/>
        </w:rPr>
        <w:t xml:space="preserve">כשהיה הנאשם כבן 9, עלה ארצה עם משפחתו מארגנטינה, ועל רקע זה, חוותה המשפחה קשיים כלכליים, כך שהנאשם החל לעבוד בגיל 14 על מנת לסייע בפרנסת הבית. </w:t>
      </w:r>
    </w:p>
    <w:p w14:paraId="3F526C83" w14:textId="77777777" w:rsidR="0030722B" w:rsidRDefault="0030722B" w:rsidP="0030722B">
      <w:pPr>
        <w:pStyle w:val="a9"/>
        <w:ind w:left="469"/>
        <w:jc w:val="both"/>
        <w:rPr>
          <w:rFonts w:ascii="Arial" w:hAnsi="Arial"/>
          <w:rtl/>
        </w:rPr>
      </w:pPr>
    </w:p>
    <w:p w14:paraId="5819BE9F" w14:textId="77777777" w:rsidR="0030722B" w:rsidRDefault="0030722B" w:rsidP="0030722B">
      <w:pPr>
        <w:pStyle w:val="a9"/>
        <w:spacing w:line="360" w:lineRule="auto"/>
        <w:ind w:left="469"/>
        <w:jc w:val="both"/>
        <w:rPr>
          <w:rFonts w:ascii="Arial" w:hAnsi="Arial"/>
          <w:rtl/>
        </w:rPr>
      </w:pPr>
      <w:r>
        <w:rPr>
          <w:rFonts w:ascii="Arial" w:hAnsi="Arial" w:hint="cs"/>
          <w:rtl/>
        </w:rPr>
        <w:t xml:space="preserve">בהיותו בן 19, נפגעה שמיעתו כתוצאה מטיל שנפל בסמוך אליו. בעקבות הטראומה שחווה, התדרדר בלימודי העתודה, שוחרר מן הצבא עקב אי התאמה, ובאותה התקופה היה בדיכאון והתקשה לתפקד. </w:t>
      </w:r>
    </w:p>
    <w:p w14:paraId="6EB2BC37" w14:textId="77777777" w:rsidR="0030722B" w:rsidRDefault="0030722B" w:rsidP="0030722B">
      <w:pPr>
        <w:pStyle w:val="a9"/>
        <w:ind w:left="469"/>
        <w:jc w:val="both"/>
        <w:rPr>
          <w:rFonts w:ascii="Arial" w:hAnsi="Arial"/>
          <w:rtl/>
        </w:rPr>
      </w:pPr>
    </w:p>
    <w:p w14:paraId="59EB7DBE" w14:textId="77777777" w:rsidR="0030722B" w:rsidRDefault="0030722B" w:rsidP="0030722B">
      <w:pPr>
        <w:pStyle w:val="a9"/>
        <w:spacing w:line="360" w:lineRule="auto"/>
        <w:ind w:left="469"/>
        <w:jc w:val="both"/>
        <w:rPr>
          <w:rFonts w:ascii="Arial" w:hAnsi="Arial"/>
          <w:rtl/>
        </w:rPr>
      </w:pPr>
      <w:r>
        <w:rPr>
          <w:rFonts w:ascii="Arial" w:hAnsi="Arial" w:hint="cs"/>
          <w:rtl/>
        </w:rPr>
        <w:t xml:space="preserve">בשנת 2014 עבר תאונת אופנוע, במסגרתה נגרם לו קרע בגיד שמאל. מאז, החל מיום 1.3.15, מוכר כנכה בשיעור נכות של % 19.25 מטעם המל"ל. לאחר התאונה פוטר הנאשם ולא עבד במשך כחצי שנה, תוך שהוא נעזר בהוריו מבחינה כלכלית. </w:t>
      </w:r>
    </w:p>
    <w:p w14:paraId="3A43D44A" w14:textId="77777777" w:rsidR="0030722B" w:rsidRDefault="0030722B" w:rsidP="0030722B">
      <w:pPr>
        <w:pStyle w:val="a9"/>
        <w:ind w:left="469"/>
        <w:jc w:val="both"/>
        <w:rPr>
          <w:rFonts w:ascii="Arial" w:hAnsi="Arial"/>
        </w:rPr>
      </w:pPr>
    </w:p>
    <w:p w14:paraId="5733F4CC" w14:textId="77777777" w:rsidR="0030722B" w:rsidRDefault="0030722B" w:rsidP="0030722B">
      <w:pPr>
        <w:pStyle w:val="a9"/>
        <w:spacing w:line="360" w:lineRule="auto"/>
        <w:ind w:left="469"/>
        <w:jc w:val="both"/>
        <w:rPr>
          <w:rFonts w:ascii="Arial" w:hAnsi="Arial"/>
          <w:rtl/>
        </w:rPr>
      </w:pPr>
      <w:r>
        <w:rPr>
          <w:rFonts w:ascii="Arial" w:hAnsi="Arial" w:hint="cs"/>
          <w:rtl/>
        </w:rPr>
        <w:t xml:space="preserve">בתקופת ביצוע העבירה עבד הנאשם בפרויקט "נחשון" עם נוער בסיכון, ובהמשך עבד כעצמאי בתיווך מקרקעין. לאחר מכן, החל לעבוד כמוכר בחנות פרפקט ליין, שם עובד עד היום. </w:t>
      </w:r>
    </w:p>
    <w:p w14:paraId="7F430EBF" w14:textId="77777777" w:rsidR="0030722B" w:rsidRDefault="0030722B" w:rsidP="0030722B">
      <w:pPr>
        <w:pStyle w:val="a9"/>
        <w:ind w:left="469"/>
        <w:jc w:val="both"/>
        <w:rPr>
          <w:rFonts w:ascii="Arial" w:hAnsi="Arial"/>
        </w:rPr>
      </w:pPr>
    </w:p>
    <w:p w14:paraId="4A99B105" w14:textId="77777777" w:rsidR="0030722B" w:rsidRDefault="0030722B" w:rsidP="0030722B">
      <w:pPr>
        <w:pStyle w:val="a9"/>
        <w:spacing w:line="360" w:lineRule="auto"/>
        <w:ind w:left="469"/>
        <w:jc w:val="both"/>
        <w:rPr>
          <w:rFonts w:ascii="Arial" w:hAnsi="Arial"/>
          <w:rtl/>
        </w:rPr>
      </w:pPr>
      <w:r>
        <w:rPr>
          <w:rFonts w:ascii="Arial" w:hAnsi="Arial" w:hint="cs"/>
          <w:rtl/>
        </w:rPr>
        <w:t xml:space="preserve">עוד עלה מן התסקיר, כי הנאשם נעדר עבר פלילי. </w:t>
      </w:r>
    </w:p>
    <w:p w14:paraId="0528DB92" w14:textId="77777777" w:rsidR="0030722B" w:rsidRDefault="0030722B" w:rsidP="0030722B">
      <w:pPr>
        <w:pStyle w:val="a9"/>
        <w:ind w:left="469"/>
        <w:jc w:val="both"/>
        <w:rPr>
          <w:rFonts w:ascii="Arial" w:hAnsi="Arial"/>
          <w:rtl/>
        </w:rPr>
      </w:pPr>
    </w:p>
    <w:p w14:paraId="0B7C1FD9" w14:textId="77777777" w:rsidR="0030722B" w:rsidRDefault="0030722B" w:rsidP="0030722B">
      <w:pPr>
        <w:pStyle w:val="a9"/>
        <w:spacing w:line="360" w:lineRule="auto"/>
        <w:ind w:left="469"/>
        <w:jc w:val="both"/>
        <w:rPr>
          <w:rFonts w:ascii="Arial" w:hAnsi="Arial"/>
          <w:rtl/>
        </w:rPr>
      </w:pPr>
      <w:r>
        <w:rPr>
          <w:rFonts w:ascii="Arial" w:hAnsi="Arial" w:hint="cs"/>
          <w:rtl/>
        </w:rPr>
        <w:t xml:space="preserve">ברקע ביצוע העבירה בתיק שבפני - כאבים בלתי נסבלים ובעיות בשינה מהם סובל הנאשם מאז תאונת האופנוע שעבר, תוך שמשככי כאבים שנטל, לא הקלו את הכאבים. הנאשם טען בפני שירות המבחן כי גידל קנאביס בביתו לצרכיו האישיים, על מנת לצמצם מגע עם גורמים עבריינים, וכן טען כי נמנע מהשגת אישור לקנאביס רפואי, מאחר וחשש כי העניין יהיה מסובך וכרוך בבירוקרטיה רבה. </w:t>
      </w:r>
    </w:p>
    <w:p w14:paraId="33DE76F7" w14:textId="77777777" w:rsidR="0030722B" w:rsidRDefault="0030722B" w:rsidP="0030722B">
      <w:pPr>
        <w:pStyle w:val="a9"/>
        <w:ind w:left="469"/>
        <w:jc w:val="both"/>
        <w:rPr>
          <w:rFonts w:ascii="Arial" w:hAnsi="Arial"/>
          <w:rtl/>
        </w:rPr>
      </w:pPr>
    </w:p>
    <w:p w14:paraId="78869EDE" w14:textId="77777777" w:rsidR="0030722B" w:rsidRDefault="0030722B" w:rsidP="0030722B">
      <w:pPr>
        <w:pStyle w:val="a9"/>
        <w:spacing w:line="360" w:lineRule="auto"/>
        <w:ind w:left="469"/>
        <w:jc w:val="both"/>
        <w:rPr>
          <w:rFonts w:ascii="Arial" w:hAnsi="Arial"/>
          <w:rtl/>
        </w:rPr>
      </w:pPr>
      <w:r>
        <w:rPr>
          <w:rFonts w:ascii="Arial" w:hAnsi="Arial" w:hint="cs"/>
          <w:rtl/>
        </w:rPr>
        <w:t xml:space="preserve">שירות המבחן ציין כי הנאשם לקח אחריות על העבירה שביצע, הודה בטעות והבהיר כי כיום היה נוהג אחרת, כך שהיה פועל להשגת רישיון רפואי לשימוש בקנאביס. </w:t>
      </w:r>
    </w:p>
    <w:p w14:paraId="5F89B33E" w14:textId="77777777" w:rsidR="0030722B" w:rsidRDefault="0030722B" w:rsidP="0030722B">
      <w:pPr>
        <w:pStyle w:val="a9"/>
        <w:ind w:left="469"/>
        <w:jc w:val="both"/>
        <w:rPr>
          <w:rFonts w:ascii="Arial" w:hAnsi="Arial"/>
        </w:rPr>
      </w:pPr>
    </w:p>
    <w:p w14:paraId="40AE3075" w14:textId="77777777" w:rsidR="0030722B" w:rsidRDefault="0030722B" w:rsidP="0030722B">
      <w:pPr>
        <w:pStyle w:val="a9"/>
        <w:spacing w:line="360" w:lineRule="auto"/>
        <w:ind w:left="469"/>
        <w:jc w:val="both"/>
        <w:rPr>
          <w:rFonts w:ascii="Arial" w:hAnsi="Arial"/>
          <w:rtl/>
        </w:rPr>
      </w:pPr>
      <w:r>
        <w:rPr>
          <w:rFonts w:ascii="Arial" w:hAnsi="Arial" w:hint="cs"/>
          <w:rtl/>
        </w:rPr>
        <w:t xml:space="preserve">על פי התרשמות שירות המבחן  מדובר בנאשם המנהל אורח חיים נורמטיבי, עובד, נשוי ומסור למשפחתו. בעוד שמחד גיסא, עלה כי לנאשם קושי בהתמודדות יעילה בעתות מצוקה, הרי שמאידך גיסא צוין כי ההליך המשפטי היווה גורם מציב גבולות עבורו, ובמסגרתו אף הביע הנאשם חרטה על מעשיו. תוצאות בדיקה לאיתור שרידי סם, הצביעה על הימנעות של הנאשם משימוש בסמים, ומכאן הסיק שירות המבחן כי רמת הסיכון להישנות ביצוע עבירות דומות בעתיד הינה בינונית </w:t>
      </w:r>
      <w:r>
        <w:rPr>
          <w:rFonts w:ascii="Arial" w:hAnsi="Arial"/>
          <w:rtl/>
        </w:rPr>
        <w:t>–</w:t>
      </w:r>
      <w:r>
        <w:rPr>
          <w:rFonts w:ascii="Arial" w:hAnsi="Arial" w:hint="cs"/>
          <w:rtl/>
        </w:rPr>
        <w:t xml:space="preserve"> נמוכה. </w:t>
      </w:r>
    </w:p>
    <w:p w14:paraId="7585D7A9" w14:textId="77777777" w:rsidR="0030722B" w:rsidRDefault="0030722B" w:rsidP="0030722B">
      <w:pPr>
        <w:pStyle w:val="a9"/>
        <w:ind w:left="469"/>
        <w:jc w:val="both"/>
        <w:rPr>
          <w:rFonts w:ascii="Arial" w:hAnsi="Arial"/>
        </w:rPr>
      </w:pPr>
    </w:p>
    <w:p w14:paraId="2AAF6276" w14:textId="77777777" w:rsidR="0030722B" w:rsidRDefault="0030722B" w:rsidP="0030722B">
      <w:pPr>
        <w:pStyle w:val="a9"/>
        <w:spacing w:line="360" w:lineRule="auto"/>
        <w:ind w:left="469"/>
        <w:jc w:val="both"/>
        <w:rPr>
          <w:rFonts w:ascii="Arial" w:hAnsi="Arial"/>
        </w:rPr>
      </w:pPr>
      <w:r>
        <w:rPr>
          <w:rFonts w:ascii="Arial" w:hAnsi="Arial" w:hint="cs"/>
          <w:rtl/>
        </w:rPr>
        <w:t xml:space="preserve">בסופו של יום, המליץ שירות המבחן על ביטול הרשעתו של הנאשם, על רקע עברו הנקי, הבעת החרטה ועל מנת שלא לפגוע באפשרויות העסקתו בעתיד. כן הומלץ על הטלת עונש חינוכי בדמות צו שירות לתועלת הציבור בהיקף של 140 שעות, וצו מבחן למשך שנה. </w:t>
      </w:r>
    </w:p>
    <w:p w14:paraId="25610A48" w14:textId="77777777" w:rsidR="0030722B" w:rsidRPr="00091024" w:rsidRDefault="0030722B" w:rsidP="0030722B">
      <w:pPr>
        <w:pStyle w:val="a9"/>
        <w:ind w:left="1080"/>
        <w:rPr>
          <w:rtl/>
        </w:rPr>
      </w:pPr>
    </w:p>
    <w:p w14:paraId="16D43597" w14:textId="77777777" w:rsidR="0030722B" w:rsidRPr="001616DD" w:rsidRDefault="0030722B" w:rsidP="0030722B">
      <w:pPr>
        <w:spacing w:line="360" w:lineRule="auto"/>
        <w:ind w:firstLine="43"/>
        <w:jc w:val="both"/>
        <w:rPr>
          <w:rFonts w:ascii="David" w:hAnsi="David"/>
          <w:b/>
          <w:bCs/>
          <w:u w:val="single"/>
          <w:rtl/>
        </w:rPr>
      </w:pPr>
      <w:r w:rsidRPr="001616DD">
        <w:rPr>
          <w:rFonts w:ascii="David" w:hAnsi="David"/>
          <w:b/>
          <w:bCs/>
          <w:u w:val="single"/>
          <w:rtl/>
        </w:rPr>
        <w:t>טיעוני המאשימה</w:t>
      </w:r>
    </w:p>
    <w:p w14:paraId="661895A1" w14:textId="77777777" w:rsidR="0030722B" w:rsidRDefault="0030722B" w:rsidP="0030722B">
      <w:pPr>
        <w:pStyle w:val="a9"/>
        <w:numPr>
          <w:ilvl w:val="0"/>
          <w:numId w:val="1"/>
        </w:numPr>
        <w:spacing w:before="120" w:after="240" w:line="360" w:lineRule="auto"/>
        <w:ind w:left="468" w:hanging="425"/>
        <w:jc w:val="both"/>
      </w:pPr>
      <w:r>
        <w:rPr>
          <w:rFonts w:hint="cs"/>
          <w:rtl/>
        </w:rPr>
        <w:t xml:space="preserve">לטענת המאשימה, מדובר </w:t>
      </w:r>
      <w:r w:rsidRPr="00084CF6">
        <w:rPr>
          <w:rFonts w:hint="cs"/>
          <w:rtl/>
        </w:rPr>
        <w:t>בעבירת סמים חמורה,</w:t>
      </w:r>
      <w:r>
        <w:rPr>
          <w:rFonts w:hint="cs"/>
          <w:rtl/>
        </w:rPr>
        <w:t xml:space="preserve"> בגידול </w:t>
      </w:r>
      <w:r w:rsidRPr="00084CF6">
        <w:rPr>
          <w:rFonts w:hint="cs"/>
          <w:rtl/>
        </w:rPr>
        <w:t>כמות גדולה</w:t>
      </w:r>
      <w:r>
        <w:rPr>
          <w:rFonts w:hint="cs"/>
          <w:rtl/>
        </w:rPr>
        <w:t xml:space="preserve"> </w:t>
      </w:r>
      <w:r w:rsidRPr="00084CF6">
        <w:rPr>
          <w:rFonts w:hint="cs"/>
          <w:rtl/>
        </w:rPr>
        <w:t>ו</w:t>
      </w:r>
      <w:r>
        <w:rPr>
          <w:rFonts w:hint="cs"/>
          <w:rtl/>
        </w:rPr>
        <w:t>באחזקת הציוד נלווה.</w:t>
      </w:r>
    </w:p>
    <w:p w14:paraId="58312F08" w14:textId="77777777" w:rsidR="0030722B" w:rsidRDefault="0030722B" w:rsidP="0030722B">
      <w:pPr>
        <w:pStyle w:val="a9"/>
        <w:spacing w:before="120" w:after="240"/>
        <w:ind w:left="468"/>
        <w:jc w:val="both"/>
        <w:rPr>
          <w:rtl/>
        </w:rPr>
      </w:pPr>
    </w:p>
    <w:p w14:paraId="71E6352C" w14:textId="77777777" w:rsidR="0030722B" w:rsidRDefault="0030722B" w:rsidP="0030722B">
      <w:pPr>
        <w:pStyle w:val="a9"/>
        <w:spacing w:before="120" w:after="240" w:line="360" w:lineRule="auto"/>
        <w:ind w:left="468"/>
        <w:jc w:val="both"/>
        <w:rPr>
          <w:rtl/>
        </w:rPr>
      </w:pPr>
      <w:r>
        <w:rPr>
          <w:rFonts w:hint="cs"/>
          <w:rtl/>
        </w:rPr>
        <w:lastRenderedPageBreak/>
        <w:t xml:space="preserve">בטיעוניה, עמדה </w:t>
      </w:r>
      <w:r w:rsidRPr="00084CF6">
        <w:rPr>
          <w:rFonts w:hint="cs"/>
          <w:rtl/>
        </w:rPr>
        <w:t xml:space="preserve">ב"כ המאשימה </w:t>
      </w:r>
      <w:r>
        <w:rPr>
          <w:rFonts w:hint="cs"/>
          <w:rtl/>
        </w:rPr>
        <w:t xml:space="preserve">על </w:t>
      </w:r>
      <w:r w:rsidRPr="00084CF6">
        <w:rPr>
          <w:rFonts w:hint="cs"/>
          <w:rtl/>
        </w:rPr>
        <w:t xml:space="preserve">הנזקים הטמונים בעבירות הסמים, </w:t>
      </w:r>
      <w:r>
        <w:rPr>
          <w:rFonts w:hint="cs"/>
          <w:rtl/>
        </w:rPr>
        <w:t xml:space="preserve">כאשר הסמים המסוכנים </w:t>
      </w:r>
      <w:r w:rsidRPr="00084CF6">
        <w:rPr>
          <w:rtl/>
        </w:rPr>
        <w:t xml:space="preserve">מהווים את אחד </w:t>
      </w:r>
      <w:r>
        <w:rPr>
          <w:rFonts w:hint="cs"/>
          <w:rtl/>
        </w:rPr>
        <w:t xml:space="preserve">ממחוללי הפשיעה העיקריים </w:t>
      </w:r>
      <w:r w:rsidRPr="00084CF6">
        <w:rPr>
          <w:rtl/>
        </w:rPr>
        <w:t>במדינ</w:t>
      </w:r>
      <w:r>
        <w:rPr>
          <w:rFonts w:hint="cs"/>
          <w:rtl/>
        </w:rPr>
        <w:t>ה, באשר יש בהם כדי להביא לביצוע עבירות רכוש, אלימות ותעבורה.</w:t>
      </w:r>
    </w:p>
    <w:p w14:paraId="2792CF13" w14:textId="77777777" w:rsidR="0030722B" w:rsidRDefault="0030722B" w:rsidP="0030722B">
      <w:pPr>
        <w:pStyle w:val="a9"/>
        <w:spacing w:before="120" w:after="240"/>
        <w:ind w:left="468"/>
        <w:jc w:val="both"/>
        <w:rPr>
          <w:rtl/>
        </w:rPr>
      </w:pPr>
    </w:p>
    <w:p w14:paraId="461EC991" w14:textId="77777777" w:rsidR="0030722B" w:rsidRDefault="0030722B" w:rsidP="0030722B">
      <w:pPr>
        <w:pStyle w:val="a9"/>
        <w:spacing w:before="120" w:after="240" w:line="360" w:lineRule="auto"/>
        <w:ind w:left="468"/>
        <w:jc w:val="both"/>
        <w:rPr>
          <w:rtl/>
        </w:rPr>
      </w:pPr>
      <w:r>
        <w:rPr>
          <w:rFonts w:hint="cs"/>
          <w:rtl/>
        </w:rPr>
        <w:t>אשר לערכים המוגנים, נטען כי עבירות הסמים פוגעות בע</w:t>
      </w:r>
      <w:r w:rsidRPr="00084CF6">
        <w:rPr>
          <w:rFonts w:hint="cs"/>
          <w:rtl/>
        </w:rPr>
        <w:t xml:space="preserve">רכים המוגנים </w:t>
      </w:r>
      <w:r>
        <w:rPr>
          <w:rFonts w:hint="cs"/>
          <w:rtl/>
        </w:rPr>
        <w:t>של הגנה על שלום הציבור ו</w:t>
      </w:r>
      <w:r w:rsidRPr="00084CF6">
        <w:rPr>
          <w:rFonts w:hint="cs"/>
          <w:rtl/>
        </w:rPr>
        <w:t xml:space="preserve">שמירה על </w:t>
      </w:r>
      <w:r>
        <w:rPr>
          <w:rFonts w:hint="cs"/>
          <w:rtl/>
        </w:rPr>
        <w:t>ה</w:t>
      </w:r>
      <w:r w:rsidRPr="00084CF6">
        <w:rPr>
          <w:rFonts w:hint="cs"/>
          <w:rtl/>
        </w:rPr>
        <w:t>חברה מפני נגע הסמים המתפשט</w:t>
      </w:r>
      <w:r>
        <w:rPr>
          <w:rFonts w:hint="cs"/>
          <w:rtl/>
        </w:rPr>
        <w:t xml:space="preserve">. בעניינו של הנאשם מדובר בפגיעה ממשית, נוכח סוג הסם וכמותו. </w:t>
      </w:r>
    </w:p>
    <w:p w14:paraId="2627AC53" w14:textId="77777777" w:rsidR="0030722B" w:rsidRDefault="0030722B" w:rsidP="0030722B">
      <w:pPr>
        <w:pStyle w:val="a9"/>
        <w:spacing w:before="120" w:after="240"/>
        <w:ind w:left="468"/>
        <w:jc w:val="both"/>
      </w:pPr>
    </w:p>
    <w:p w14:paraId="5B0AAE2A" w14:textId="77777777" w:rsidR="0030722B" w:rsidRDefault="0030722B" w:rsidP="0030722B">
      <w:pPr>
        <w:pStyle w:val="a9"/>
        <w:numPr>
          <w:ilvl w:val="0"/>
          <w:numId w:val="1"/>
        </w:numPr>
        <w:spacing w:before="120" w:after="240" w:line="360" w:lineRule="auto"/>
        <w:ind w:left="468" w:hanging="425"/>
        <w:jc w:val="both"/>
      </w:pPr>
      <w:r>
        <w:rPr>
          <w:rFonts w:hint="cs"/>
          <w:rtl/>
        </w:rPr>
        <w:t xml:space="preserve">אשר לשאלת ההרשעה, טענה המאשימה כי עניינו של הנאשם אינו ממלא אחר </w:t>
      </w:r>
      <w:r w:rsidRPr="00084CF6">
        <w:rPr>
          <w:rFonts w:hint="cs"/>
          <w:rtl/>
        </w:rPr>
        <w:t>שני התנאים המצטברים ל</w:t>
      </w:r>
      <w:r>
        <w:rPr>
          <w:rFonts w:hint="cs"/>
          <w:rtl/>
        </w:rPr>
        <w:t>שם ביטולה:</w:t>
      </w:r>
    </w:p>
    <w:p w14:paraId="43C85C12" w14:textId="77777777" w:rsidR="0030722B" w:rsidRDefault="0030722B" w:rsidP="0030722B">
      <w:pPr>
        <w:pStyle w:val="a9"/>
        <w:spacing w:before="120" w:after="240"/>
        <w:ind w:left="468"/>
        <w:jc w:val="both"/>
        <w:rPr>
          <w:rtl/>
        </w:rPr>
      </w:pPr>
    </w:p>
    <w:p w14:paraId="7880FE12" w14:textId="77777777" w:rsidR="0030722B" w:rsidRDefault="0030722B" w:rsidP="0030722B">
      <w:pPr>
        <w:pStyle w:val="a9"/>
        <w:spacing w:before="120" w:after="240" w:line="360" w:lineRule="auto"/>
        <w:ind w:left="468"/>
        <w:jc w:val="both"/>
        <w:rPr>
          <w:rtl/>
        </w:rPr>
      </w:pPr>
      <w:r>
        <w:rPr>
          <w:rFonts w:hint="cs"/>
          <w:rtl/>
        </w:rPr>
        <w:t>מדובר בעבירה חמורה, אשר הע</w:t>
      </w:r>
      <w:r w:rsidRPr="00084CF6">
        <w:rPr>
          <w:rtl/>
        </w:rPr>
        <w:t xml:space="preserve">ונש </w:t>
      </w:r>
      <w:r>
        <w:rPr>
          <w:rFonts w:hint="cs"/>
          <w:rtl/>
        </w:rPr>
        <w:t xml:space="preserve">הקבוע </w:t>
      </w:r>
      <w:r w:rsidRPr="00084CF6">
        <w:rPr>
          <w:rtl/>
        </w:rPr>
        <w:t>בצידה</w:t>
      </w:r>
      <w:r>
        <w:rPr>
          <w:rFonts w:hint="cs"/>
          <w:rtl/>
        </w:rPr>
        <w:t xml:space="preserve"> הינו </w:t>
      </w:r>
      <w:r w:rsidRPr="00084CF6">
        <w:rPr>
          <w:rtl/>
        </w:rPr>
        <w:t xml:space="preserve"> 20 שנות מהמאסר</w:t>
      </w:r>
      <w:r>
        <w:rPr>
          <w:rFonts w:hint="cs"/>
          <w:rtl/>
        </w:rPr>
        <w:t xml:space="preserve">. </w:t>
      </w:r>
    </w:p>
    <w:p w14:paraId="079FE916" w14:textId="77777777" w:rsidR="0030722B" w:rsidRDefault="0030722B" w:rsidP="0030722B">
      <w:pPr>
        <w:pStyle w:val="a9"/>
        <w:spacing w:before="120" w:after="240"/>
        <w:ind w:left="468"/>
        <w:jc w:val="both"/>
        <w:rPr>
          <w:rtl/>
        </w:rPr>
      </w:pPr>
    </w:p>
    <w:p w14:paraId="1CBD9DE0" w14:textId="77777777" w:rsidR="0030722B" w:rsidRDefault="0030722B" w:rsidP="0030722B">
      <w:pPr>
        <w:pStyle w:val="a9"/>
        <w:spacing w:before="120" w:after="240" w:line="360" w:lineRule="auto"/>
        <w:ind w:left="468"/>
        <w:jc w:val="both"/>
        <w:rPr>
          <w:rtl/>
        </w:rPr>
      </w:pPr>
      <w:r>
        <w:rPr>
          <w:rFonts w:hint="cs"/>
          <w:rtl/>
        </w:rPr>
        <w:t xml:space="preserve">כמו כן, לא הוכח נזק קונקרטי לנאשם, אשר </w:t>
      </w:r>
      <w:r w:rsidRPr="00084CF6">
        <w:rPr>
          <w:rFonts w:hint="cs"/>
          <w:rtl/>
        </w:rPr>
        <w:t>עובד</w:t>
      </w:r>
      <w:r>
        <w:rPr>
          <w:rFonts w:hint="cs"/>
          <w:rtl/>
        </w:rPr>
        <w:t xml:space="preserve"> כיום</w:t>
      </w:r>
      <w:r w:rsidRPr="00084CF6">
        <w:rPr>
          <w:rFonts w:hint="cs"/>
          <w:rtl/>
        </w:rPr>
        <w:t xml:space="preserve"> בחנות פרפקט ליין</w:t>
      </w:r>
      <w:r>
        <w:rPr>
          <w:rFonts w:hint="cs"/>
          <w:rtl/>
        </w:rPr>
        <w:t xml:space="preserve"> ואינו עוסק בתיווך מקרקעין, ואין די באפשרות פגיעה עתידית שכזו. מה גם, שלא כל הרשעה בפלילים מביאה בהכרח לפסילת רישיון התיווך, ועניין זה מסור לשיקול דעתה של הועדה ה</w:t>
      </w:r>
      <w:r w:rsidRPr="00084CF6">
        <w:rPr>
          <w:rtl/>
        </w:rPr>
        <w:t>רגולטורית</w:t>
      </w:r>
      <w:r>
        <w:rPr>
          <w:rFonts w:hint="cs"/>
          <w:rtl/>
        </w:rPr>
        <w:t>.</w:t>
      </w:r>
    </w:p>
    <w:p w14:paraId="315E6CA6" w14:textId="77777777" w:rsidR="0030722B" w:rsidRPr="00400DF5" w:rsidRDefault="0030722B" w:rsidP="0030722B">
      <w:pPr>
        <w:pStyle w:val="a9"/>
        <w:numPr>
          <w:ilvl w:val="0"/>
          <w:numId w:val="1"/>
        </w:numPr>
        <w:spacing w:before="120" w:after="240" w:line="360" w:lineRule="auto"/>
        <w:ind w:left="468" w:hanging="425"/>
        <w:jc w:val="both"/>
        <w:rPr>
          <w:b/>
          <w:bCs/>
        </w:rPr>
      </w:pPr>
      <w:r w:rsidRPr="00AB3763">
        <w:rPr>
          <w:rFonts w:hint="cs"/>
          <w:rtl/>
        </w:rPr>
        <w:t xml:space="preserve">לטענת המאשימה, מתחם הענישה </w:t>
      </w:r>
      <w:r>
        <w:rPr>
          <w:rFonts w:hint="cs"/>
          <w:rtl/>
        </w:rPr>
        <w:t xml:space="preserve">ההולם ביחס לעבירה המיוחסת לנאשם, בנסיבות ביצועה, </w:t>
      </w:r>
      <w:r w:rsidRPr="00AB3763">
        <w:rPr>
          <w:rFonts w:hint="cs"/>
          <w:rtl/>
        </w:rPr>
        <w:t xml:space="preserve">נע בין </w:t>
      </w:r>
      <w:r>
        <w:rPr>
          <w:rtl/>
        </w:rPr>
        <w:t>6 ל  9 חודשי מאסר</w:t>
      </w:r>
      <w:r>
        <w:rPr>
          <w:rFonts w:hint="cs"/>
          <w:rtl/>
        </w:rPr>
        <w:t xml:space="preserve">, אשר </w:t>
      </w:r>
      <w:r w:rsidRPr="00AB3763">
        <w:rPr>
          <w:rtl/>
        </w:rPr>
        <w:t>יכול וירוצה בעבודות שירות.</w:t>
      </w:r>
      <w:r>
        <w:rPr>
          <w:rFonts w:hint="cs"/>
          <w:rtl/>
        </w:rPr>
        <w:t xml:space="preserve"> המאשימה טענה כי בענייננו לא מתקיימים טעמים של שיקום, המצדיקים סטייה ממתחם הענישה ההולם, לקולא. משכך, </w:t>
      </w:r>
      <w:r w:rsidRPr="00AB3763">
        <w:rPr>
          <w:rFonts w:hint="cs"/>
          <w:rtl/>
        </w:rPr>
        <w:t xml:space="preserve">עתרה לגזור על הנאשם </w:t>
      </w:r>
      <w:r w:rsidRPr="00AB3763">
        <w:rPr>
          <w:rtl/>
        </w:rPr>
        <w:t xml:space="preserve">מאסר בפועל, </w:t>
      </w:r>
      <w:r>
        <w:rPr>
          <w:rFonts w:hint="cs"/>
          <w:rtl/>
        </w:rPr>
        <w:t xml:space="preserve">אשר </w:t>
      </w:r>
      <w:r w:rsidRPr="00AB3763">
        <w:rPr>
          <w:rtl/>
        </w:rPr>
        <w:t>יכול וירוצה בעבודות שירות</w:t>
      </w:r>
      <w:r>
        <w:rPr>
          <w:rFonts w:hint="cs"/>
          <w:rtl/>
        </w:rPr>
        <w:t>,</w:t>
      </w:r>
      <w:r w:rsidRPr="00AB3763">
        <w:rPr>
          <w:rtl/>
        </w:rPr>
        <w:t xml:space="preserve"> ברף הבינוני גבוה של המתחם, </w:t>
      </w:r>
      <w:r>
        <w:rPr>
          <w:rFonts w:hint="cs"/>
          <w:rtl/>
        </w:rPr>
        <w:t xml:space="preserve">בצירוף מאסר מותנה מרתיע, </w:t>
      </w:r>
      <w:r w:rsidRPr="00AB3763">
        <w:rPr>
          <w:rtl/>
        </w:rPr>
        <w:t xml:space="preserve">פסילת רישיון נהיגה בפועל, פסילה על תנאי, קנס והתחייבות. </w:t>
      </w:r>
    </w:p>
    <w:p w14:paraId="0E7AE0B8" w14:textId="77777777" w:rsidR="0030722B" w:rsidRPr="001616DD" w:rsidRDefault="0030722B" w:rsidP="0030722B">
      <w:pPr>
        <w:spacing w:line="360" w:lineRule="auto"/>
        <w:ind w:left="468" w:hanging="425"/>
        <w:jc w:val="both"/>
        <w:rPr>
          <w:rFonts w:ascii="David" w:hAnsi="David"/>
          <w:b/>
          <w:bCs/>
          <w:u w:val="single"/>
          <w:rtl/>
        </w:rPr>
      </w:pPr>
      <w:r w:rsidRPr="001616DD">
        <w:rPr>
          <w:rFonts w:ascii="David" w:hAnsi="David"/>
          <w:b/>
          <w:bCs/>
          <w:u w:val="single"/>
          <w:rtl/>
        </w:rPr>
        <w:t>טיעוני ההגנה</w:t>
      </w:r>
    </w:p>
    <w:p w14:paraId="1B0BA01A" w14:textId="77777777" w:rsidR="0030722B" w:rsidRDefault="0030722B" w:rsidP="0030722B">
      <w:pPr>
        <w:pStyle w:val="12"/>
        <w:numPr>
          <w:ilvl w:val="0"/>
          <w:numId w:val="1"/>
        </w:numPr>
        <w:spacing w:line="360" w:lineRule="auto"/>
        <w:ind w:left="469" w:hanging="425"/>
        <w:jc w:val="both"/>
        <w:rPr>
          <w:b w:val="0"/>
          <w:bCs w:val="0"/>
          <w:u w:val="none"/>
        </w:rPr>
      </w:pPr>
      <w:r>
        <w:rPr>
          <w:rFonts w:hint="cs"/>
          <w:b w:val="0"/>
          <w:bCs w:val="0"/>
          <w:u w:val="none"/>
          <w:rtl/>
        </w:rPr>
        <w:t>ב"כ הנאשם טען כי מדובר בעבירה של גידול סמים מסוג קנאביס, אשר נמנה עם הסמים הקלים,  וזאת לצריכה עצמית. אומנם עבירת הגידול לא מבחינה בין צריכה עצמית לכזו שאינה, אולם במקרה דנן קיימות אינדיקציות רבות לפיהם המדובר אך בצריכה עצמית: כמות השתילים שנתפסו וכמות הסמים שניתן היה להפיק מהם וכן המניע של הנאשם (שיכוך כאבים כתוצאה מתאונה קשה שהותירה בו נכות הגורמת לו לכאבים קשים, קשיי הירדמות וטיפול תרופתי שלא הועיל). כמו כן הזכיר ב"כ הנאשם את העובדה כי עבירה נוספת שיוחסה לנאשם - החזקת סמים שלא לצריכה עצמית, נמחקה.</w:t>
      </w:r>
      <w:r w:rsidRPr="006230AF">
        <w:rPr>
          <w:rFonts w:hint="cs"/>
          <w:b w:val="0"/>
          <w:bCs w:val="0"/>
          <w:u w:val="none"/>
          <w:rtl/>
        </w:rPr>
        <w:t xml:space="preserve"> </w:t>
      </w:r>
      <w:r>
        <w:rPr>
          <w:rFonts w:hint="cs"/>
          <w:b w:val="0"/>
          <w:bCs w:val="0"/>
          <w:u w:val="none"/>
          <w:rtl/>
        </w:rPr>
        <w:t xml:space="preserve">משאלה הם פני הדברים סבר </w:t>
      </w:r>
      <w:r w:rsidRPr="008A677A">
        <w:rPr>
          <w:rFonts w:hint="cs"/>
          <w:b w:val="0"/>
          <w:bCs w:val="0"/>
          <w:u w:val="none"/>
          <w:rtl/>
        </w:rPr>
        <w:t>ב"כ הנאשם</w:t>
      </w:r>
      <w:r>
        <w:rPr>
          <w:rFonts w:hint="cs"/>
          <w:b w:val="0"/>
          <w:bCs w:val="0"/>
          <w:u w:val="none"/>
          <w:rtl/>
        </w:rPr>
        <w:t xml:space="preserve"> כי</w:t>
      </w:r>
      <w:r w:rsidRPr="008A677A">
        <w:rPr>
          <w:rFonts w:hint="cs"/>
          <w:b w:val="0"/>
          <w:bCs w:val="0"/>
          <w:u w:val="none"/>
          <w:rtl/>
        </w:rPr>
        <w:t xml:space="preserve"> מידת הפגיעה בערכים המוגנים היתה מועטה. </w:t>
      </w:r>
    </w:p>
    <w:p w14:paraId="2809D432" w14:textId="77777777" w:rsidR="0030722B" w:rsidRPr="00823DD1" w:rsidRDefault="0030722B" w:rsidP="0030722B">
      <w:pPr>
        <w:pStyle w:val="12"/>
        <w:ind w:left="469"/>
        <w:jc w:val="both"/>
        <w:rPr>
          <w:b w:val="0"/>
          <w:bCs w:val="0"/>
          <w:u w:val="none"/>
          <w:rtl/>
        </w:rPr>
      </w:pPr>
    </w:p>
    <w:p w14:paraId="1C1E5856" w14:textId="77777777" w:rsidR="0030722B" w:rsidRDefault="0030722B" w:rsidP="0030722B">
      <w:pPr>
        <w:pStyle w:val="12"/>
        <w:spacing w:line="360" w:lineRule="auto"/>
        <w:ind w:left="469"/>
        <w:jc w:val="both"/>
        <w:rPr>
          <w:b w:val="0"/>
          <w:bCs w:val="0"/>
          <w:u w:val="none"/>
        </w:rPr>
      </w:pPr>
      <w:r>
        <w:rPr>
          <w:rFonts w:hint="cs"/>
          <w:b w:val="0"/>
          <w:bCs w:val="0"/>
          <w:u w:val="none"/>
          <w:rtl/>
        </w:rPr>
        <w:t xml:space="preserve">ב"כ הנאשם אף ציין כי מחומר החקירה עלה שהמידע המודיעיני בעניינו של הנאשם הגיע לידיעת המשטרה כבר ביום 27.6.16, בעוד שצו החיפוש התבקש ביום 6.7.16, והחיפוש עצמו בוצע רק ביום 3.8.16. לטענתו, אין המדובר בשיהוי מקרי, ולמעשה המשטרה העדיפה להמתין עד שהשתיל יגדל, כדי להצדיק את כמות התפיסה והגשת כתב האישום, ולא למנוע את העבירה קודם לכן, בסמוך לקבלת הידיעה על כך. </w:t>
      </w:r>
    </w:p>
    <w:p w14:paraId="532F8A5F" w14:textId="77777777" w:rsidR="0030722B" w:rsidRDefault="0030722B" w:rsidP="0030722B">
      <w:pPr>
        <w:pStyle w:val="a9"/>
        <w:rPr>
          <w:b/>
          <w:bCs/>
          <w:rtl/>
        </w:rPr>
      </w:pPr>
    </w:p>
    <w:p w14:paraId="61DC4204" w14:textId="77777777" w:rsidR="0030722B" w:rsidRDefault="0030722B" w:rsidP="0030722B">
      <w:pPr>
        <w:pStyle w:val="12"/>
        <w:spacing w:line="360" w:lineRule="auto"/>
        <w:ind w:left="469"/>
        <w:jc w:val="both"/>
        <w:rPr>
          <w:b w:val="0"/>
          <w:bCs w:val="0"/>
          <w:u w:val="none"/>
        </w:rPr>
      </w:pPr>
      <w:r>
        <w:rPr>
          <w:rFonts w:ascii="David" w:hAnsi="David" w:hint="cs"/>
          <w:b w:val="0"/>
          <w:bCs w:val="0"/>
          <w:u w:val="none"/>
          <w:rtl/>
        </w:rPr>
        <w:t xml:space="preserve">לטענתו, משניתן </w:t>
      </w:r>
      <w:r w:rsidRPr="008A677A">
        <w:rPr>
          <w:rFonts w:ascii="David" w:hAnsi="David" w:hint="cs"/>
          <w:b w:val="0"/>
          <w:bCs w:val="0"/>
          <w:u w:val="none"/>
          <w:rtl/>
        </w:rPr>
        <w:t>להניח כי ה</w:t>
      </w:r>
      <w:r w:rsidRPr="008A677A">
        <w:rPr>
          <w:rFonts w:ascii="David" w:hAnsi="David"/>
          <w:b w:val="0"/>
          <w:bCs w:val="0"/>
          <w:u w:val="none"/>
          <w:rtl/>
        </w:rPr>
        <w:t xml:space="preserve">סמים שגידל </w:t>
      </w:r>
      <w:r w:rsidRPr="008A677A">
        <w:rPr>
          <w:rFonts w:ascii="David" w:hAnsi="David" w:hint="cs"/>
          <w:b w:val="0"/>
          <w:bCs w:val="0"/>
          <w:u w:val="none"/>
          <w:rtl/>
        </w:rPr>
        <w:t xml:space="preserve">הנאשם </w:t>
      </w:r>
      <w:r w:rsidRPr="008A677A">
        <w:rPr>
          <w:rFonts w:ascii="David" w:hAnsi="David"/>
          <w:b w:val="0"/>
          <w:bCs w:val="0"/>
          <w:u w:val="none"/>
          <w:rtl/>
        </w:rPr>
        <w:t>נועדו לשימוש</w:t>
      </w:r>
      <w:r w:rsidRPr="008A677A">
        <w:rPr>
          <w:rFonts w:ascii="David" w:hAnsi="David" w:hint="cs"/>
          <w:b w:val="0"/>
          <w:bCs w:val="0"/>
          <w:u w:val="none"/>
          <w:rtl/>
        </w:rPr>
        <w:t>ו</w:t>
      </w:r>
      <w:r w:rsidRPr="008A677A">
        <w:rPr>
          <w:rFonts w:ascii="David" w:hAnsi="David"/>
          <w:b w:val="0"/>
          <w:bCs w:val="0"/>
          <w:u w:val="none"/>
          <w:rtl/>
        </w:rPr>
        <w:t xml:space="preserve"> </w:t>
      </w:r>
      <w:r w:rsidRPr="008A677A">
        <w:rPr>
          <w:rFonts w:ascii="David" w:hAnsi="David" w:hint="cs"/>
          <w:b w:val="0"/>
          <w:bCs w:val="0"/>
          <w:u w:val="none"/>
          <w:rtl/>
        </w:rPr>
        <w:t>ה</w:t>
      </w:r>
      <w:r w:rsidRPr="008A677A">
        <w:rPr>
          <w:rFonts w:ascii="David" w:hAnsi="David"/>
          <w:b w:val="0"/>
          <w:bCs w:val="0"/>
          <w:u w:val="none"/>
          <w:rtl/>
        </w:rPr>
        <w:t>עצמי בלבד</w:t>
      </w:r>
      <w:r w:rsidRPr="008A677A">
        <w:rPr>
          <w:rFonts w:ascii="David" w:hAnsi="David" w:hint="cs"/>
          <w:b w:val="0"/>
          <w:bCs w:val="0"/>
          <w:u w:val="none"/>
          <w:rtl/>
        </w:rPr>
        <w:t>, ו</w:t>
      </w:r>
      <w:r w:rsidRPr="008A677A">
        <w:rPr>
          <w:rFonts w:ascii="David" w:hAnsi="David"/>
          <w:b w:val="0"/>
          <w:bCs w:val="0"/>
          <w:u w:val="none"/>
          <w:rtl/>
        </w:rPr>
        <w:t>לאור מדיניות אי ההפללה על שימוש בקנאביס לצריכה עצמית, יתכן שלו היה נתפס אצל הנאשם סם ולא שתיל</w:t>
      </w:r>
      <w:r w:rsidRPr="008A677A">
        <w:rPr>
          <w:rFonts w:ascii="David" w:hAnsi="David" w:hint="cs"/>
          <w:b w:val="0"/>
          <w:bCs w:val="0"/>
          <w:u w:val="none"/>
          <w:rtl/>
        </w:rPr>
        <w:t>, לא היה מוגש נגדו כתב אישום כלל.</w:t>
      </w:r>
    </w:p>
    <w:p w14:paraId="59DD75AF" w14:textId="77777777" w:rsidR="0030722B" w:rsidRPr="0018548D" w:rsidRDefault="0030722B" w:rsidP="0030722B">
      <w:pPr>
        <w:pStyle w:val="a9"/>
        <w:rPr>
          <w:b/>
          <w:bCs/>
          <w:rtl/>
        </w:rPr>
      </w:pPr>
    </w:p>
    <w:p w14:paraId="1FF89970" w14:textId="77777777" w:rsidR="0030722B" w:rsidRPr="00687A8E" w:rsidRDefault="0030722B" w:rsidP="0030722B">
      <w:pPr>
        <w:pStyle w:val="12"/>
        <w:numPr>
          <w:ilvl w:val="0"/>
          <w:numId w:val="1"/>
        </w:numPr>
        <w:spacing w:line="360" w:lineRule="auto"/>
        <w:ind w:left="469" w:hanging="425"/>
        <w:jc w:val="both"/>
        <w:rPr>
          <w:rFonts w:ascii="David" w:hAnsi="David"/>
          <w:b w:val="0"/>
          <w:bCs w:val="0"/>
          <w:u w:val="none"/>
          <w:rtl/>
        </w:rPr>
      </w:pPr>
      <w:r>
        <w:rPr>
          <w:rFonts w:ascii="David" w:hAnsi="David" w:hint="cs"/>
          <w:b w:val="0"/>
          <w:bCs w:val="0"/>
          <w:u w:val="none"/>
          <w:rtl/>
        </w:rPr>
        <w:t xml:space="preserve">אשר למתחם </w:t>
      </w:r>
      <w:r w:rsidRPr="00687A8E">
        <w:rPr>
          <w:rFonts w:ascii="David" w:hAnsi="David"/>
          <w:b w:val="0"/>
          <w:bCs w:val="0"/>
          <w:u w:val="none"/>
          <w:rtl/>
        </w:rPr>
        <w:t>הענישה</w:t>
      </w:r>
      <w:r w:rsidRPr="00687A8E">
        <w:rPr>
          <w:rFonts w:ascii="David" w:hAnsi="David" w:hint="cs"/>
          <w:b w:val="0"/>
          <w:bCs w:val="0"/>
          <w:u w:val="none"/>
          <w:rtl/>
        </w:rPr>
        <w:t xml:space="preserve">, טען ב"כ הנאשם כי </w:t>
      </w:r>
      <w:r>
        <w:rPr>
          <w:rFonts w:ascii="David" w:hAnsi="David" w:hint="cs"/>
          <w:b w:val="0"/>
          <w:bCs w:val="0"/>
          <w:u w:val="none"/>
          <w:rtl/>
        </w:rPr>
        <w:t xml:space="preserve">בנסיבותיו של הנאשם </w:t>
      </w:r>
      <w:r w:rsidRPr="00687A8E">
        <w:rPr>
          <w:rFonts w:ascii="David" w:hAnsi="David"/>
          <w:b w:val="0"/>
          <w:bCs w:val="0"/>
          <w:u w:val="none"/>
          <w:rtl/>
        </w:rPr>
        <w:t xml:space="preserve">נע </w:t>
      </w:r>
      <w:r>
        <w:rPr>
          <w:rFonts w:ascii="David" w:hAnsi="David" w:hint="cs"/>
          <w:b w:val="0"/>
          <w:bCs w:val="0"/>
          <w:u w:val="none"/>
          <w:rtl/>
        </w:rPr>
        <w:t xml:space="preserve">המתחם בין אי הרשעה ושל"צ עד </w:t>
      </w:r>
      <w:r w:rsidRPr="00687A8E">
        <w:rPr>
          <w:rFonts w:ascii="David" w:hAnsi="David"/>
          <w:b w:val="0"/>
          <w:bCs w:val="0"/>
          <w:u w:val="none"/>
          <w:rtl/>
        </w:rPr>
        <w:t xml:space="preserve">6 חודשי מאסר בפועל </w:t>
      </w:r>
      <w:r>
        <w:rPr>
          <w:rFonts w:ascii="David" w:hAnsi="David" w:hint="cs"/>
          <w:b w:val="0"/>
          <w:bCs w:val="0"/>
          <w:u w:val="none"/>
          <w:rtl/>
        </w:rPr>
        <w:t>אשר יכול ו</w:t>
      </w:r>
      <w:r w:rsidRPr="00687A8E">
        <w:rPr>
          <w:rFonts w:ascii="David" w:hAnsi="David"/>
          <w:b w:val="0"/>
          <w:bCs w:val="0"/>
          <w:u w:val="none"/>
          <w:rtl/>
        </w:rPr>
        <w:t>ירוצו בעבודות שירות</w:t>
      </w:r>
      <w:r w:rsidRPr="00687A8E">
        <w:rPr>
          <w:rFonts w:ascii="David" w:hAnsi="David" w:hint="cs"/>
          <w:b w:val="0"/>
          <w:bCs w:val="0"/>
          <w:u w:val="none"/>
          <w:rtl/>
        </w:rPr>
        <w:t xml:space="preserve">, כאשר </w:t>
      </w:r>
      <w:r w:rsidRPr="00687A8E">
        <w:rPr>
          <w:rFonts w:ascii="David" w:hAnsi="David"/>
          <w:b w:val="0"/>
          <w:bCs w:val="0"/>
          <w:u w:val="none"/>
          <w:rtl/>
        </w:rPr>
        <w:t>במקרים בהם הוטלו על נאשמים עונשי מאסר בפועל, מדובר היה בגידול סמים בהיקף גדול יותר</w:t>
      </w:r>
      <w:r w:rsidRPr="00687A8E">
        <w:rPr>
          <w:rFonts w:ascii="David" w:hAnsi="David" w:hint="cs"/>
          <w:b w:val="0"/>
          <w:bCs w:val="0"/>
          <w:u w:val="none"/>
          <w:rtl/>
        </w:rPr>
        <w:t>,</w:t>
      </w:r>
      <w:r w:rsidRPr="00687A8E">
        <w:rPr>
          <w:rFonts w:ascii="David" w:hAnsi="David"/>
          <w:b w:val="0"/>
          <w:bCs w:val="0"/>
          <w:u w:val="none"/>
          <w:rtl/>
        </w:rPr>
        <w:t xml:space="preserve"> באמצעים מתקדמים</w:t>
      </w:r>
      <w:r w:rsidRPr="00687A8E">
        <w:rPr>
          <w:rFonts w:ascii="David" w:hAnsi="David" w:hint="cs"/>
          <w:b w:val="0"/>
          <w:bCs w:val="0"/>
          <w:u w:val="none"/>
          <w:rtl/>
        </w:rPr>
        <w:t xml:space="preserve">. ב"כ הנאשם </w:t>
      </w:r>
      <w:r>
        <w:rPr>
          <w:rFonts w:ascii="David" w:hAnsi="David" w:hint="cs"/>
          <w:b w:val="0"/>
          <w:bCs w:val="0"/>
          <w:u w:val="none"/>
          <w:rtl/>
        </w:rPr>
        <w:t>היפנה ל</w:t>
      </w:r>
      <w:r w:rsidRPr="00687A8E">
        <w:rPr>
          <w:rFonts w:ascii="David" w:hAnsi="David" w:hint="cs"/>
          <w:b w:val="0"/>
          <w:bCs w:val="0"/>
          <w:u w:val="none"/>
          <w:rtl/>
        </w:rPr>
        <w:t xml:space="preserve">פסיקה בדבר אי הרשעה במקרים דומים ואף חמורים </w:t>
      </w:r>
      <w:r>
        <w:rPr>
          <w:rFonts w:ascii="David" w:hAnsi="David" w:hint="cs"/>
          <w:b w:val="0"/>
          <w:bCs w:val="0"/>
          <w:u w:val="none"/>
          <w:rtl/>
        </w:rPr>
        <w:t xml:space="preserve">יותר: </w:t>
      </w:r>
      <w:hyperlink r:id="rId14" w:history="1">
        <w:r w:rsidR="0094334C" w:rsidRPr="0094334C">
          <w:rPr>
            <w:rFonts w:ascii="David" w:hAnsi="David"/>
            <w:b w:val="0"/>
            <w:bCs w:val="0"/>
            <w:color w:val="0000FF"/>
            <w:rtl/>
          </w:rPr>
          <w:t>ת"פ (שלום ק"ג) 5341-07-19</w:t>
        </w:r>
      </w:hyperlink>
      <w:r w:rsidRPr="00687A8E">
        <w:rPr>
          <w:rFonts w:ascii="David" w:hAnsi="David" w:hint="cs"/>
          <w:b w:val="0"/>
          <w:bCs w:val="0"/>
          <w:u w:val="none"/>
          <w:rtl/>
        </w:rPr>
        <w:t xml:space="preserve"> </w:t>
      </w:r>
      <w:r w:rsidRPr="00687A8E">
        <w:rPr>
          <w:rFonts w:ascii="David" w:hAnsi="David" w:hint="cs"/>
          <w:u w:val="none"/>
          <w:rtl/>
        </w:rPr>
        <w:t>מ"י נ' דהאן</w:t>
      </w:r>
      <w:r w:rsidRPr="00687A8E">
        <w:rPr>
          <w:rFonts w:ascii="David" w:hAnsi="David" w:hint="cs"/>
          <w:b w:val="0"/>
          <w:bCs w:val="0"/>
          <w:u w:val="none"/>
          <w:rtl/>
        </w:rPr>
        <w:t xml:space="preserve"> (17.2.20);</w:t>
      </w:r>
      <w:r>
        <w:rPr>
          <w:rFonts w:ascii="David" w:hAnsi="David" w:hint="cs"/>
          <w:b w:val="0"/>
          <w:bCs w:val="0"/>
          <w:u w:val="none"/>
          <w:rtl/>
        </w:rPr>
        <w:t xml:space="preserve"> </w:t>
      </w:r>
      <w:hyperlink r:id="rId15" w:history="1">
        <w:r w:rsidR="0094334C" w:rsidRPr="0094334C">
          <w:rPr>
            <w:rFonts w:ascii="David" w:hAnsi="David"/>
            <w:b w:val="0"/>
            <w:bCs w:val="0"/>
            <w:color w:val="0000FF"/>
            <w:rtl/>
          </w:rPr>
          <w:t>ת"פ (שלום חיפה) 74-11-13</w:t>
        </w:r>
      </w:hyperlink>
      <w:r w:rsidRPr="00687A8E">
        <w:rPr>
          <w:rFonts w:ascii="David" w:hAnsi="David" w:hint="cs"/>
          <w:b w:val="0"/>
          <w:bCs w:val="0"/>
          <w:u w:val="none"/>
          <w:rtl/>
        </w:rPr>
        <w:t xml:space="preserve"> </w:t>
      </w:r>
      <w:r w:rsidRPr="00687A8E">
        <w:rPr>
          <w:rFonts w:ascii="David" w:hAnsi="David" w:hint="cs"/>
          <w:u w:val="none"/>
          <w:rtl/>
        </w:rPr>
        <w:t>מ"י נ' דוד ואח'</w:t>
      </w:r>
      <w:r w:rsidRPr="00687A8E">
        <w:rPr>
          <w:rFonts w:ascii="David" w:hAnsi="David" w:hint="cs"/>
          <w:b w:val="0"/>
          <w:bCs w:val="0"/>
          <w:u w:val="none"/>
          <w:rtl/>
        </w:rPr>
        <w:t xml:space="preserve"> (7.9.15); </w:t>
      </w:r>
      <w:hyperlink r:id="rId16" w:history="1">
        <w:r w:rsidR="0094334C" w:rsidRPr="0094334C">
          <w:rPr>
            <w:rFonts w:ascii="David" w:hAnsi="David"/>
            <w:b w:val="0"/>
            <w:bCs w:val="0"/>
            <w:color w:val="0000FF"/>
            <w:rtl/>
          </w:rPr>
          <w:t>ת"פ (שלום קריות) 62475-06-16</w:t>
        </w:r>
      </w:hyperlink>
      <w:r w:rsidRPr="00687A8E">
        <w:rPr>
          <w:rFonts w:ascii="David" w:hAnsi="David"/>
          <w:b w:val="0"/>
          <w:bCs w:val="0"/>
          <w:u w:val="none"/>
          <w:rtl/>
        </w:rPr>
        <w:t xml:space="preserve"> </w:t>
      </w:r>
      <w:r w:rsidRPr="00687A8E">
        <w:rPr>
          <w:rFonts w:ascii="David" w:hAnsi="David" w:hint="cs"/>
          <w:u w:val="none"/>
          <w:rtl/>
        </w:rPr>
        <w:t>מ"י נ' אדרי</w:t>
      </w:r>
      <w:r w:rsidRPr="00687A8E">
        <w:rPr>
          <w:rFonts w:ascii="David" w:hAnsi="David" w:hint="cs"/>
          <w:b w:val="0"/>
          <w:bCs w:val="0"/>
          <w:u w:val="none"/>
          <w:rtl/>
        </w:rPr>
        <w:t xml:space="preserve"> (16.7.18).</w:t>
      </w:r>
    </w:p>
    <w:p w14:paraId="1F230F84" w14:textId="77777777" w:rsidR="0030722B" w:rsidRDefault="0030722B" w:rsidP="0030722B">
      <w:pPr>
        <w:pStyle w:val="12"/>
        <w:ind w:left="469" w:hanging="425"/>
        <w:jc w:val="both"/>
        <w:rPr>
          <w:rFonts w:ascii="David" w:hAnsi="David"/>
          <w:b w:val="0"/>
          <w:bCs w:val="0"/>
          <w:u w:val="none"/>
          <w:rtl/>
        </w:rPr>
      </w:pPr>
    </w:p>
    <w:p w14:paraId="1F170CC7" w14:textId="77777777" w:rsidR="0030722B" w:rsidRPr="00A43807" w:rsidRDefault="0030722B" w:rsidP="0030722B">
      <w:pPr>
        <w:pStyle w:val="a9"/>
        <w:numPr>
          <w:ilvl w:val="0"/>
          <w:numId w:val="1"/>
        </w:numPr>
        <w:spacing w:line="360" w:lineRule="auto"/>
        <w:ind w:left="469" w:hanging="425"/>
        <w:jc w:val="both"/>
      </w:pPr>
      <w:r>
        <w:rPr>
          <w:rFonts w:eastAsia="Times New Roman" w:hint="cs"/>
          <w:rtl/>
        </w:rPr>
        <w:t xml:space="preserve">בנוסף, עתר הסנגור </w:t>
      </w:r>
      <w:r w:rsidRPr="002E1573">
        <w:rPr>
          <w:rFonts w:eastAsia="Times New Roman" w:hint="cs"/>
          <w:rtl/>
        </w:rPr>
        <w:t>ל</w:t>
      </w:r>
      <w:r>
        <w:rPr>
          <w:rFonts w:eastAsia="Times New Roman" w:hint="cs"/>
          <w:rtl/>
        </w:rPr>
        <w:t xml:space="preserve">הורות על ביטול הרשעת הנאשם, שכן לטענתו עומד עניינו של הנאשם במבחנים שנקבעו בפסיקה לעניין אי הרשעה, הן מבחינת חומרת המעשה - </w:t>
      </w:r>
      <w:r w:rsidRPr="002E1573">
        <w:rPr>
          <w:rFonts w:eastAsia="Times New Roman" w:hint="cs"/>
          <w:rtl/>
        </w:rPr>
        <w:t>כמות קטנה לשימוש עצמי, של סמים הנחשבים קלים</w:t>
      </w:r>
      <w:r>
        <w:rPr>
          <w:rFonts w:eastAsia="Times New Roman" w:hint="cs"/>
          <w:rtl/>
        </w:rPr>
        <w:t xml:space="preserve">, </w:t>
      </w:r>
      <w:r w:rsidRPr="002E1573">
        <w:rPr>
          <w:rFonts w:eastAsia="Times New Roman" w:hint="cs"/>
          <w:rtl/>
        </w:rPr>
        <w:t>לצורך הקלה במכאוביו של הנאשם</w:t>
      </w:r>
      <w:r>
        <w:rPr>
          <w:rFonts w:eastAsia="Times New Roman" w:hint="cs"/>
          <w:rtl/>
        </w:rPr>
        <w:t xml:space="preserve">, והן מבחינת הנזק אשר צפוי להיגרם לנאשם כתוצאה מהותרת ההרשעה על כנה. </w:t>
      </w:r>
    </w:p>
    <w:p w14:paraId="5251EF41" w14:textId="77777777" w:rsidR="0030722B" w:rsidRPr="00A43807" w:rsidRDefault="0030722B" w:rsidP="0030722B">
      <w:pPr>
        <w:pStyle w:val="a9"/>
        <w:rPr>
          <w:rFonts w:eastAsia="Times New Roman"/>
          <w:rtl/>
        </w:rPr>
      </w:pPr>
    </w:p>
    <w:p w14:paraId="2C547CF6" w14:textId="77777777" w:rsidR="0030722B" w:rsidRDefault="0030722B" w:rsidP="0030722B">
      <w:pPr>
        <w:pStyle w:val="a9"/>
        <w:spacing w:line="360" w:lineRule="auto"/>
        <w:ind w:left="469"/>
        <w:jc w:val="both"/>
        <w:rPr>
          <w:rtl/>
        </w:rPr>
      </w:pPr>
      <w:r>
        <w:rPr>
          <w:rFonts w:eastAsia="Times New Roman" w:hint="cs"/>
          <w:rtl/>
        </w:rPr>
        <w:t xml:space="preserve">ב"כ הנאשם ציין כי מדובר בעבירה ראשונה לנאשם, אשר חלף זמן רב מאז ביצועה. כמו כן, העבירה לא הסבה נזק לאחרים. </w:t>
      </w:r>
      <w:r w:rsidRPr="002E1573">
        <w:rPr>
          <w:rFonts w:eastAsia="Times New Roman" w:hint="cs"/>
          <w:rtl/>
        </w:rPr>
        <w:t>עוד ציין</w:t>
      </w:r>
      <w:r>
        <w:rPr>
          <w:rFonts w:eastAsia="Times New Roman" w:hint="cs"/>
          <w:rtl/>
        </w:rPr>
        <w:t>,</w:t>
      </w:r>
      <w:r w:rsidRPr="002E1573">
        <w:rPr>
          <w:rFonts w:eastAsia="Times New Roman" w:hint="cs"/>
          <w:rtl/>
        </w:rPr>
        <w:t xml:space="preserve"> כי </w:t>
      </w:r>
      <w:r w:rsidRPr="002E1573">
        <w:rPr>
          <w:rtl/>
        </w:rPr>
        <w:t xml:space="preserve">מאז ביצוע העבירה נמנע </w:t>
      </w:r>
      <w:r w:rsidRPr="002E1573">
        <w:rPr>
          <w:rFonts w:hint="cs"/>
          <w:rtl/>
        </w:rPr>
        <w:t>הנאשם מ</w:t>
      </w:r>
      <w:r w:rsidRPr="002E1573">
        <w:rPr>
          <w:rtl/>
        </w:rPr>
        <w:t xml:space="preserve">שימוש בסם </w:t>
      </w:r>
      <w:r w:rsidRPr="002E1573">
        <w:rPr>
          <w:rFonts w:hint="cs"/>
          <w:rtl/>
        </w:rPr>
        <w:t>על אף ש</w:t>
      </w:r>
      <w:r>
        <w:rPr>
          <w:rFonts w:hint="cs"/>
          <w:rtl/>
        </w:rPr>
        <w:t>המשיך לסבול כאבים, ו</w:t>
      </w:r>
      <w:r w:rsidRPr="002E1573">
        <w:rPr>
          <w:rFonts w:hint="cs"/>
          <w:rtl/>
        </w:rPr>
        <w:t xml:space="preserve">הנאשם </w:t>
      </w:r>
      <w:r w:rsidRPr="002E1573">
        <w:rPr>
          <w:rtl/>
        </w:rPr>
        <w:t>נטל אחריות על מעשיו, הביע חרטה כנה ועמוקה</w:t>
      </w:r>
      <w:r w:rsidRPr="002E1573">
        <w:rPr>
          <w:rFonts w:hint="cs"/>
          <w:rtl/>
        </w:rPr>
        <w:t>.</w:t>
      </w:r>
    </w:p>
    <w:p w14:paraId="404AB5DF" w14:textId="77777777" w:rsidR="0030722B" w:rsidRPr="002E1573" w:rsidRDefault="0030722B" w:rsidP="0030722B">
      <w:pPr>
        <w:pStyle w:val="a9"/>
        <w:ind w:left="469"/>
        <w:jc w:val="both"/>
      </w:pPr>
    </w:p>
    <w:p w14:paraId="0D2FF0F3" w14:textId="77777777" w:rsidR="0030722B" w:rsidRDefault="0030722B" w:rsidP="0030722B">
      <w:pPr>
        <w:pStyle w:val="a9"/>
        <w:spacing w:line="360" w:lineRule="auto"/>
        <w:ind w:left="469"/>
        <w:jc w:val="both"/>
        <w:rPr>
          <w:rtl/>
        </w:rPr>
      </w:pPr>
      <w:r w:rsidRPr="002E1573">
        <w:rPr>
          <w:rFonts w:hint="cs"/>
          <w:rtl/>
        </w:rPr>
        <w:t xml:space="preserve">באשר להשפעת </w:t>
      </w:r>
      <w:r w:rsidRPr="002E1573">
        <w:rPr>
          <w:rtl/>
        </w:rPr>
        <w:t xml:space="preserve">ההרשעה על הנאשם, </w:t>
      </w:r>
      <w:r>
        <w:rPr>
          <w:rFonts w:hint="cs"/>
          <w:rtl/>
        </w:rPr>
        <w:t>הרי ש</w:t>
      </w:r>
      <w:r w:rsidRPr="002E1573">
        <w:rPr>
          <w:rtl/>
        </w:rPr>
        <w:t>הנאשם הינו בעל רישיון תיווך,</w:t>
      </w:r>
      <w:r w:rsidRPr="002E1573">
        <w:rPr>
          <w:rFonts w:hint="cs"/>
          <w:rtl/>
        </w:rPr>
        <w:t xml:space="preserve"> </w:t>
      </w:r>
      <w:r>
        <w:rPr>
          <w:rFonts w:hint="cs"/>
          <w:rtl/>
        </w:rPr>
        <w:t xml:space="preserve">וזה היה עיסוקו העיקרי בעבר. </w:t>
      </w:r>
      <w:r w:rsidRPr="002E1573">
        <w:rPr>
          <w:rtl/>
        </w:rPr>
        <w:t>עקב נגיף הקורונה והמצב הכלכלי</w:t>
      </w:r>
      <w:r w:rsidRPr="002E1573">
        <w:rPr>
          <w:rFonts w:hint="cs"/>
          <w:rtl/>
        </w:rPr>
        <w:t>, עובד כיום הנאשם כסוכן מכירות, אולם במקביל ממשיך לעסוק בתיווך לעיתים רחוקות</w:t>
      </w:r>
      <w:r>
        <w:rPr>
          <w:rFonts w:hint="cs"/>
          <w:rtl/>
        </w:rPr>
        <w:t>,</w:t>
      </w:r>
      <w:r w:rsidRPr="002E1573">
        <w:rPr>
          <w:rFonts w:hint="cs"/>
          <w:rtl/>
        </w:rPr>
        <w:t xml:space="preserve"> ובכוונתו לחזור ולעסוק בתחום </w:t>
      </w:r>
      <w:r>
        <w:rPr>
          <w:rFonts w:hint="cs"/>
          <w:rtl/>
        </w:rPr>
        <w:t xml:space="preserve">זה בעתיד. בפני ביהמ"ש הוצג </w:t>
      </w:r>
      <w:r w:rsidRPr="002E1573">
        <w:rPr>
          <w:rFonts w:hint="cs"/>
          <w:rtl/>
        </w:rPr>
        <w:t xml:space="preserve"> רישיון תיווך במקרקעין מטעם משרד המשפטים.</w:t>
      </w:r>
    </w:p>
    <w:p w14:paraId="033B51F4" w14:textId="77777777" w:rsidR="0030722B" w:rsidRPr="002E1573" w:rsidRDefault="0030722B" w:rsidP="0030722B">
      <w:pPr>
        <w:pStyle w:val="a9"/>
        <w:ind w:left="469"/>
        <w:jc w:val="both"/>
        <w:rPr>
          <w:rtl/>
        </w:rPr>
      </w:pPr>
    </w:p>
    <w:p w14:paraId="15C3AF8C" w14:textId="77777777" w:rsidR="0030722B" w:rsidRPr="002E1573" w:rsidRDefault="0030722B" w:rsidP="0030722B">
      <w:pPr>
        <w:pStyle w:val="12"/>
        <w:spacing w:line="360" w:lineRule="auto"/>
        <w:ind w:left="469"/>
        <w:jc w:val="both"/>
        <w:rPr>
          <w:rFonts w:ascii="David" w:hAnsi="David"/>
          <w:b w:val="0"/>
          <w:bCs w:val="0"/>
          <w:u w:val="none"/>
          <w:rtl/>
        </w:rPr>
      </w:pPr>
      <w:r w:rsidRPr="002E1573">
        <w:rPr>
          <w:rFonts w:ascii="David" w:hAnsi="David" w:hint="cs"/>
          <w:b w:val="0"/>
          <w:bCs w:val="0"/>
          <w:u w:val="none"/>
          <w:rtl/>
        </w:rPr>
        <w:t xml:space="preserve">לטענת </w:t>
      </w:r>
      <w:r w:rsidRPr="002E1573">
        <w:rPr>
          <w:rFonts w:ascii="David" w:hAnsi="David"/>
          <w:b w:val="0"/>
          <w:bCs w:val="0"/>
          <w:u w:val="none"/>
          <w:rtl/>
        </w:rPr>
        <w:t>ב"כ הנאשם</w:t>
      </w:r>
      <w:r w:rsidRPr="002E1573">
        <w:rPr>
          <w:rFonts w:ascii="David" w:hAnsi="David" w:hint="cs"/>
          <w:b w:val="0"/>
          <w:bCs w:val="0"/>
          <w:u w:val="none"/>
          <w:rtl/>
        </w:rPr>
        <w:t xml:space="preserve">, בהתאם </w:t>
      </w:r>
      <w:hyperlink r:id="rId17" w:history="1">
        <w:r w:rsidR="00D87ECC" w:rsidRPr="00D87ECC">
          <w:rPr>
            <w:rStyle w:val="Hyperlink"/>
            <w:rFonts w:ascii="David" w:hAnsi="David" w:hint="eastAsia"/>
            <w:b w:val="0"/>
            <w:bCs w:val="0"/>
            <w:rtl/>
          </w:rPr>
          <w:t>לסעיף</w:t>
        </w:r>
        <w:r w:rsidR="00D87ECC" w:rsidRPr="00D87ECC">
          <w:rPr>
            <w:rStyle w:val="Hyperlink"/>
            <w:rFonts w:ascii="David" w:hAnsi="David"/>
            <w:b w:val="0"/>
            <w:bCs w:val="0"/>
            <w:rtl/>
          </w:rPr>
          <w:t xml:space="preserve"> 5(א)(4)</w:t>
        </w:r>
      </w:hyperlink>
      <w:r w:rsidRPr="002E1573">
        <w:rPr>
          <w:rFonts w:ascii="David" w:hAnsi="David"/>
          <w:b w:val="0"/>
          <w:bCs w:val="0"/>
          <w:u w:val="none"/>
          <w:rtl/>
        </w:rPr>
        <w:t xml:space="preserve"> ל</w:t>
      </w:r>
      <w:hyperlink r:id="rId18" w:history="1">
        <w:r w:rsidR="0094334C" w:rsidRPr="0094334C">
          <w:rPr>
            <w:rFonts w:ascii="David" w:hAnsi="David"/>
            <w:b w:val="0"/>
            <w:bCs w:val="0"/>
            <w:color w:val="0000FF"/>
            <w:rtl/>
          </w:rPr>
          <w:t>חוק המתווכים במקרקעין</w:t>
        </w:r>
      </w:hyperlink>
      <w:r>
        <w:rPr>
          <w:rFonts w:ascii="David" w:hAnsi="David" w:hint="cs"/>
          <w:b w:val="0"/>
          <w:bCs w:val="0"/>
          <w:u w:val="none"/>
          <w:rtl/>
        </w:rPr>
        <w:t xml:space="preserve"> תשנ"ו - 1996</w:t>
      </w:r>
      <w:r w:rsidRPr="002E1573">
        <w:rPr>
          <w:rFonts w:ascii="David" w:hAnsi="David" w:hint="cs"/>
          <w:b w:val="0"/>
          <w:bCs w:val="0"/>
          <w:u w:val="none"/>
          <w:rtl/>
        </w:rPr>
        <w:t xml:space="preserve">, </w:t>
      </w:r>
      <w:r w:rsidRPr="002E1573">
        <w:rPr>
          <w:rFonts w:ascii="David" w:hAnsi="David"/>
          <w:b w:val="0"/>
          <w:bCs w:val="0"/>
          <w:u w:val="none"/>
          <w:rtl/>
        </w:rPr>
        <w:t>במידה ו</w:t>
      </w:r>
      <w:r>
        <w:rPr>
          <w:rFonts w:ascii="David" w:hAnsi="David" w:hint="cs"/>
          <w:b w:val="0"/>
          <w:bCs w:val="0"/>
          <w:u w:val="none"/>
          <w:rtl/>
        </w:rPr>
        <w:t>תיוותר ה</w:t>
      </w:r>
      <w:r w:rsidRPr="002E1573">
        <w:rPr>
          <w:rFonts w:ascii="David" w:hAnsi="David"/>
          <w:b w:val="0"/>
          <w:bCs w:val="0"/>
          <w:u w:val="none"/>
          <w:rtl/>
        </w:rPr>
        <w:t xml:space="preserve">הרשעה על כנה, לא יוכל הנאשם להמשיך להחזיק ברישיון תיווך </w:t>
      </w:r>
      <w:r w:rsidRPr="002E1573">
        <w:rPr>
          <w:rFonts w:ascii="David" w:hAnsi="David" w:hint="cs"/>
          <w:b w:val="0"/>
          <w:bCs w:val="0"/>
          <w:u w:val="none"/>
          <w:rtl/>
        </w:rPr>
        <w:t>ו</w:t>
      </w:r>
      <w:r w:rsidRPr="002E1573">
        <w:rPr>
          <w:rFonts w:ascii="David" w:hAnsi="David"/>
          <w:b w:val="0"/>
          <w:bCs w:val="0"/>
          <w:u w:val="none"/>
          <w:rtl/>
        </w:rPr>
        <w:t>לעסוק במקצוע אותו פיתח במהלך השנים</w:t>
      </w:r>
      <w:r>
        <w:rPr>
          <w:rFonts w:ascii="David" w:hAnsi="David" w:hint="cs"/>
          <w:b w:val="0"/>
          <w:bCs w:val="0"/>
          <w:u w:val="none"/>
          <w:rtl/>
        </w:rPr>
        <w:t>,</w:t>
      </w:r>
      <w:r>
        <w:rPr>
          <w:rFonts w:ascii="David" w:hAnsi="David"/>
          <w:b w:val="0"/>
          <w:bCs w:val="0"/>
          <w:u w:val="none"/>
          <w:rtl/>
        </w:rPr>
        <w:t xml:space="preserve"> וצבר בו ניסיון</w:t>
      </w:r>
      <w:r>
        <w:rPr>
          <w:rFonts w:ascii="David" w:hAnsi="David" w:hint="cs"/>
          <w:b w:val="0"/>
          <w:bCs w:val="0"/>
          <w:u w:val="none"/>
          <w:rtl/>
        </w:rPr>
        <w:t>, כך שתיגרם</w:t>
      </w:r>
      <w:r w:rsidRPr="002E1573">
        <w:rPr>
          <w:rFonts w:ascii="David" w:hAnsi="David"/>
          <w:b w:val="0"/>
          <w:bCs w:val="0"/>
          <w:u w:val="none"/>
          <w:rtl/>
        </w:rPr>
        <w:t xml:space="preserve"> פגיעה קשה בפרנסתו ופרנסת המשפחה. </w:t>
      </w:r>
    </w:p>
    <w:p w14:paraId="0F32404B" w14:textId="77777777" w:rsidR="0030722B" w:rsidRPr="002E1573" w:rsidRDefault="0030722B" w:rsidP="0030722B">
      <w:pPr>
        <w:pStyle w:val="12"/>
        <w:ind w:left="469" w:hanging="425"/>
        <w:jc w:val="both"/>
        <w:rPr>
          <w:rFonts w:ascii="David" w:hAnsi="David"/>
          <w:b w:val="0"/>
          <w:bCs w:val="0"/>
          <w:u w:val="none"/>
          <w:rtl/>
        </w:rPr>
      </w:pPr>
    </w:p>
    <w:p w14:paraId="15D92ABB" w14:textId="77777777" w:rsidR="0030722B" w:rsidRPr="002E1573" w:rsidRDefault="0030722B" w:rsidP="0030722B">
      <w:pPr>
        <w:pStyle w:val="12"/>
        <w:spacing w:line="360" w:lineRule="auto"/>
        <w:ind w:left="469"/>
        <w:jc w:val="both"/>
        <w:rPr>
          <w:rFonts w:ascii="David" w:hAnsi="David"/>
          <w:b w:val="0"/>
          <w:bCs w:val="0"/>
          <w:u w:val="none"/>
          <w:rtl/>
        </w:rPr>
      </w:pPr>
      <w:r>
        <w:rPr>
          <w:rFonts w:ascii="David" w:hAnsi="David" w:hint="cs"/>
          <w:b w:val="0"/>
          <w:bCs w:val="0"/>
          <w:u w:val="none"/>
          <w:rtl/>
        </w:rPr>
        <w:t>עוד ציין ב"כ הנאשם כי מרשו</w:t>
      </w:r>
      <w:r>
        <w:rPr>
          <w:rFonts w:ascii="David" w:hAnsi="David"/>
          <w:b w:val="0"/>
          <w:bCs w:val="0"/>
          <w:u w:val="none"/>
          <w:rtl/>
        </w:rPr>
        <w:t xml:space="preserve"> מתנדב במשך מספר שנים בעמות</w:t>
      </w:r>
      <w:r>
        <w:rPr>
          <w:rFonts w:ascii="David" w:hAnsi="David" w:hint="cs"/>
          <w:b w:val="0"/>
          <w:bCs w:val="0"/>
          <w:u w:val="none"/>
          <w:rtl/>
        </w:rPr>
        <w:t xml:space="preserve">ת </w:t>
      </w:r>
      <w:r w:rsidRPr="002E1573">
        <w:rPr>
          <w:rFonts w:ascii="David" w:hAnsi="David"/>
          <w:b w:val="0"/>
          <w:bCs w:val="0"/>
          <w:u w:val="none"/>
          <w:rtl/>
        </w:rPr>
        <w:t xml:space="preserve">אהרון גרוס קהילה ורווחה, </w:t>
      </w:r>
      <w:r>
        <w:rPr>
          <w:rFonts w:ascii="David" w:hAnsi="David" w:hint="cs"/>
          <w:b w:val="0"/>
          <w:bCs w:val="0"/>
          <w:u w:val="none"/>
          <w:rtl/>
        </w:rPr>
        <w:t>העוסקת ב</w:t>
      </w:r>
      <w:r w:rsidRPr="002E1573">
        <w:rPr>
          <w:rFonts w:ascii="David" w:hAnsi="David"/>
          <w:b w:val="0"/>
          <w:bCs w:val="0"/>
          <w:u w:val="none"/>
          <w:rtl/>
        </w:rPr>
        <w:t xml:space="preserve">הכרת </w:t>
      </w:r>
      <w:r>
        <w:rPr>
          <w:rFonts w:ascii="David" w:hAnsi="David" w:hint="cs"/>
          <w:b w:val="0"/>
          <w:bCs w:val="0"/>
          <w:u w:val="none"/>
          <w:rtl/>
        </w:rPr>
        <w:t>תודה</w:t>
      </w:r>
      <w:r w:rsidRPr="002E1573">
        <w:rPr>
          <w:rFonts w:ascii="David" w:hAnsi="David"/>
          <w:b w:val="0"/>
          <w:bCs w:val="0"/>
          <w:u w:val="none"/>
          <w:rtl/>
        </w:rPr>
        <w:t xml:space="preserve"> לחיילים</w:t>
      </w:r>
      <w:r>
        <w:rPr>
          <w:rFonts w:ascii="David" w:hAnsi="David" w:hint="cs"/>
          <w:b w:val="0"/>
          <w:bCs w:val="0"/>
          <w:u w:val="none"/>
          <w:rtl/>
        </w:rPr>
        <w:t xml:space="preserve">, ובעניין זה הוצגו </w:t>
      </w:r>
      <w:r w:rsidRPr="002E1573">
        <w:rPr>
          <w:rFonts w:ascii="David" w:hAnsi="David"/>
          <w:b w:val="0"/>
          <w:bCs w:val="0"/>
          <w:u w:val="none"/>
          <w:rtl/>
        </w:rPr>
        <w:t>תעודות הו</w:t>
      </w:r>
      <w:r w:rsidRPr="002E1573">
        <w:rPr>
          <w:rFonts w:ascii="David" w:hAnsi="David" w:hint="cs"/>
          <w:b w:val="0"/>
          <w:bCs w:val="0"/>
          <w:u w:val="none"/>
          <w:rtl/>
        </w:rPr>
        <w:t>ק</w:t>
      </w:r>
      <w:r w:rsidRPr="002E1573">
        <w:rPr>
          <w:rFonts w:ascii="David" w:hAnsi="David"/>
          <w:b w:val="0"/>
          <w:bCs w:val="0"/>
          <w:u w:val="none"/>
          <w:rtl/>
        </w:rPr>
        <w:t xml:space="preserve">רה. </w:t>
      </w:r>
    </w:p>
    <w:p w14:paraId="4749053A" w14:textId="77777777" w:rsidR="0030722B" w:rsidRPr="002E1573" w:rsidRDefault="0030722B" w:rsidP="0030722B">
      <w:pPr>
        <w:pStyle w:val="a9"/>
        <w:ind w:left="469" w:hanging="425"/>
        <w:rPr>
          <w:rtl/>
        </w:rPr>
      </w:pPr>
    </w:p>
    <w:p w14:paraId="575A4BE0" w14:textId="77777777" w:rsidR="0030722B" w:rsidRDefault="0030722B" w:rsidP="0030722B">
      <w:pPr>
        <w:pStyle w:val="a9"/>
        <w:numPr>
          <w:ilvl w:val="0"/>
          <w:numId w:val="1"/>
        </w:numPr>
        <w:spacing w:line="360" w:lineRule="auto"/>
        <w:ind w:left="469" w:hanging="425"/>
        <w:jc w:val="both"/>
      </w:pPr>
      <w:r>
        <w:rPr>
          <w:rFonts w:hint="cs"/>
          <w:rtl/>
        </w:rPr>
        <w:t>בהתחשב בכל המפורט עד כה, עתר</w:t>
      </w:r>
      <w:r w:rsidRPr="002E1573">
        <w:rPr>
          <w:rFonts w:hint="cs"/>
          <w:rtl/>
        </w:rPr>
        <w:t xml:space="preserve"> ב"כ הנאשם לאמץ את המלצת שירות המבחן </w:t>
      </w:r>
      <w:r>
        <w:rPr>
          <w:rFonts w:hint="cs"/>
          <w:rtl/>
        </w:rPr>
        <w:t>במלואה, ו</w:t>
      </w:r>
      <w:r w:rsidRPr="002E1573">
        <w:rPr>
          <w:rFonts w:hint="cs"/>
          <w:rtl/>
        </w:rPr>
        <w:t xml:space="preserve">לבטל את הרשעתו של הנאשם בדין. כמו כן ביקש להימנע מפסילת רישיונו של הנאשם, ולהסתפק בפסילה מותנית, לאור העובדה כי מדובר בעבירה יחידה של הנאשם, בשל חלוף הזמן מאז ביצועה והעובדה כי לא נמצאו שרידי סם בבדיקות שנערכו לנאשם, </w:t>
      </w:r>
      <w:r>
        <w:rPr>
          <w:rFonts w:hint="cs"/>
          <w:rtl/>
        </w:rPr>
        <w:t xml:space="preserve">תוך שצוין כי </w:t>
      </w:r>
      <w:r w:rsidRPr="002E1573">
        <w:rPr>
          <w:rFonts w:hint="cs"/>
          <w:rtl/>
        </w:rPr>
        <w:t xml:space="preserve">רכבו של הנאשם משמש אותו לעבודתו, </w:t>
      </w:r>
      <w:r>
        <w:rPr>
          <w:rFonts w:hint="cs"/>
          <w:rtl/>
        </w:rPr>
        <w:t xml:space="preserve">כך שפסילת רישיונו עלולה להביא לאיבוד מקור פרנסתו של הנאשם ופגיעה במשפחתו. </w:t>
      </w:r>
    </w:p>
    <w:p w14:paraId="3E1DA6FE" w14:textId="77777777" w:rsidR="0030722B" w:rsidRDefault="0030722B" w:rsidP="0030722B">
      <w:pPr>
        <w:pStyle w:val="a9"/>
        <w:rPr>
          <w:rtl/>
        </w:rPr>
      </w:pPr>
    </w:p>
    <w:p w14:paraId="129C3737" w14:textId="77777777" w:rsidR="0030722B" w:rsidRDefault="0030722B" w:rsidP="0030722B">
      <w:pPr>
        <w:pStyle w:val="12"/>
        <w:spacing w:line="360" w:lineRule="auto"/>
        <w:ind w:left="469"/>
        <w:jc w:val="both"/>
        <w:rPr>
          <w:rFonts w:ascii="David" w:hAnsi="David"/>
          <w:b w:val="0"/>
          <w:bCs w:val="0"/>
          <w:u w:val="none"/>
        </w:rPr>
      </w:pPr>
      <w:r>
        <w:rPr>
          <w:rFonts w:ascii="David" w:hAnsi="David" w:hint="cs"/>
          <w:b w:val="0"/>
          <w:bCs w:val="0"/>
          <w:u w:val="none"/>
          <w:rtl/>
        </w:rPr>
        <w:t>בנוסף, ביקש ב"כ הנאשם להימנע מהטלת רכיב</w:t>
      </w:r>
      <w:r w:rsidRPr="002E1573">
        <w:rPr>
          <w:rFonts w:ascii="David" w:hAnsi="David" w:hint="cs"/>
          <w:b w:val="0"/>
          <w:bCs w:val="0"/>
          <w:u w:val="none"/>
          <w:rtl/>
        </w:rPr>
        <w:t xml:space="preserve"> כלכלי לענישה, </w:t>
      </w:r>
      <w:r w:rsidRPr="002E1573">
        <w:rPr>
          <w:rFonts w:ascii="David" w:hAnsi="David"/>
          <w:b w:val="0"/>
          <w:bCs w:val="0"/>
          <w:u w:val="none"/>
          <w:rtl/>
        </w:rPr>
        <w:t>ולהסתפק בחתימה על התחייבות להימנע מעבירה, נוכח המצב הכלכלי הקשה</w:t>
      </w:r>
      <w:r w:rsidRPr="002E1573">
        <w:rPr>
          <w:rFonts w:ascii="David" w:hAnsi="David" w:hint="cs"/>
          <w:b w:val="0"/>
          <w:bCs w:val="0"/>
          <w:u w:val="none"/>
          <w:rtl/>
        </w:rPr>
        <w:t xml:space="preserve"> של הנאשם</w:t>
      </w:r>
      <w:r w:rsidRPr="002E1573">
        <w:rPr>
          <w:rFonts w:ascii="David" w:hAnsi="David"/>
          <w:b w:val="0"/>
          <w:bCs w:val="0"/>
          <w:u w:val="none"/>
          <w:rtl/>
        </w:rPr>
        <w:t>, ב</w:t>
      </w:r>
      <w:r>
        <w:rPr>
          <w:rFonts w:ascii="David" w:hAnsi="David" w:hint="cs"/>
          <w:b w:val="0"/>
          <w:bCs w:val="0"/>
          <w:u w:val="none"/>
          <w:rtl/>
        </w:rPr>
        <w:t xml:space="preserve">היותו </w:t>
      </w:r>
      <w:r w:rsidRPr="002E1573">
        <w:rPr>
          <w:rFonts w:ascii="David" w:hAnsi="David"/>
          <w:b w:val="0"/>
          <w:bCs w:val="0"/>
          <w:u w:val="none"/>
          <w:rtl/>
        </w:rPr>
        <w:t xml:space="preserve"> מפרנס </w:t>
      </w:r>
      <w:r>
        <w:rPr>
          <w:rFonts w:ascii="David" w:hAnsi="David" w:hint="cs"/>
          <w:b w:val="0"/>
          <w:bCs w:val="0"/>
          <w:u w:val="none"/>
          <w:rtl/>
        </w:rPr>
        <w:t>המשפחה היחיד. בפני ביהמ"ש הוצג מסמך לפיו ל</w:t>
      </w:r>
      <w:r w:rsidRPr="002E1573">
        <w:rPr>
          <w:rFonts w:ascii="David" w:hAnsi="David"/>
          <w:b w:val="0"/>
          <w:bCs w:val="0"/>
          <w:u w:val="none"/>
          <w:rtl/>
        </w:rPr>
        <w:t xml:space="preserve">נאשם </w:t>
      </w:r>
      <w:r>
        <w:rPr>
          <w:rFonts w:ascii="David" w:hAnsi="David" w:hint="cs"/>
          <w:b w:val="0"/>
          <w:bCs w:val="0"/>
          <w:u w:val="none"/>
          <w:rtl/>
        </w:rPr>
        <w:t xml:space="preserve">חובות בהיקף של </w:t>
      </w:r>
      <w:r w:rsidRPr="002E1573">
        <w:rPr>
          <w:rFonts w:ascii="David" w:hAnsi="David"/>
          <w:b w:val="0"/>
          <w:bCs w:val="0"/>
          <w:u w:val="none"/>
          <w:rtl/>
        </w:rPr>
        <w:t xml:space="preserve">כ – 110,000 ₪. </w:t>
      </w:r>
    </w:p>
    <w:p w14:paraId="0DFF03C3" w14:textId="77777777" w:rsidR="0030722B" w:rsidRDefault="0030722B" w:rsidP="0030722B">
      <w:pPr>
        <w:pStyle w:val="a9"/>
        <w:rPr>
          <w:b/>
          <w:bCs/>
          <w:rtl/>
        </w:rPr>
      </w:pPr>
    </w:p>
    <w:p w14:paraId="0B400DF5" w14:textId="77777777" w:rsidR="0030722B" w:rsidRPr="002E1573" w:rsidRDefault="0030722B" w:rsidP="0030722B">
      <w:pPr>
        <w:pStyle w:val="12"/>
        <w:numPr>
          <w:ilvl w:val="0"/>
          <w:numId w:val="1"/>
        </w:numPr>
        <w:spacing w:line="360" w:lineRule="auto"/>
        <w:ind w:left="469" w:hanging="425"/>
        <w:jc w:val="both"/>
        <w:rPr>
          <w:rFonts w:ascii="David" w:hAnsi="David"/>
          <w:b w:val="0"/>
          <w:bCs w:val="0"/>
          <w:u w:val="none"/>
          <w:rtl/>
        </w:rPr>
      </w:pPr>
      <w:r>
        <w:rPr>
          <w:rFonts w:ascii="David" w:hAnsi="David" w:hint="cs"/>
          <w:b w:val="0"/>
          <w:bCs w:val="0"/>
          <w:u w:val="none"/>
          <w:rtl/>
        </w:rPr>
        <w:t>במסגרת הטיעונים לעונש הוגשו מכתבי הוקרה, תודה ועדות אופי בכתב מאת מעסיקו של הנאשם והעמותה בה מתנדב.</w:t>
      </w:r>
    </w:p>
    <w:p w14:paraId="336439BC" w14:textId="77777777" w:rsidR="0030722B" w:rsidRDefault="0030722B" w:rsidP="0030722B">
      <w:pPr>
        <w:pStyle w:val="12"/>
        <w:ind w:left="469" w:hanging="567"/>
        <w:jc w:val="both"/>
        <w:rPr>
          <w:rFonts w:ascii="David" w:hAnsi="David"/>
          <w:b w:val="0"/>
          <w:bCs w:val="0"/>
          <w:u w:val="none"/>
          <w:rtl/>
        </w:rPr>
      </w:pPr>
    </w:p>
    <w:p w14:paraId="2707B0F3" w14:textId="77777777" w:rsidR="0030722B" w:rsidRPr="00F03D04" w:rsidRDefault="0030722B" w:rsidP="0030722B">
      <w:pPr>
        <w:pStyle w:val="12"/>
        <w:numPr>
          <w:ilvl w:val="0"/>
          <w:numId w:val="1"/>
        </w:numPr>
        <w:spacing w:line="360" w:lineRule="auto"/>
        <w:ind w:left="469" w:hanging="567"/>
        <w:jc w:val="both"/>
        <w:rPr>
          <w:rFonts w:ascii="David" w:hAnsi="David"/>
          <w:b w:val="0"/>
          <w:bCs w:val="0"/>
          <w:u w:val="none"/>
          <w:rtl/>
        </w:rPr>
      </w:pPr>
      <w:r w:rsidRPr="00F03D04">
        <w:rPr>
          <w:rFonts w:ascii="David" w:hAnsi="David" w:hint="cs"/>
          <w:b w:val="0"/>
          <w:bCs w:val="0"/>
          <w:u w:val="none"/>
          <w:rtl/>
        </w:rPr>
        <w:t xml:space="preserve">בדבריו האחרונים מסר הנאשם כי </w:t>
      </w:r>
      <w:r>
        <w:rPr>
          <w:rFonts w:ascii="David" w:hAnsi="David" w:hint="cs"/>
          <w:b w:val="0"/>
          <w:bCs w:val="0"/>
          <w:u w:val="none"/>
          <w:rtl/>
        </w:rPr>
        <w:t xml:space="preserve">הוא </w:t>
      </w:r>
      <w:r w:rsidRPr="00F03D04">
        <w:rPr>
          <w:rFonts w:ascii="David" w:hAnsi="David" w:hint="cs"/>
          <w:b w:val="0"/>
          <w:bCs w:val="0"/>
          <w:u w:val="none"/>
          <w:rtl/>
        </w:rPr>
        <w:t>מצר על מעשיו</w:t>
      </w:r>
      <w:r>
        <w:rPr>
          <w:rFonts w:ascii="David" w:hAnsi="David" w:hint="cs"/>
          <w:b w:val="0"/>
          <w:bCs w:val="0"/>
          <w:u w:val="none"/>
          <w:rtl/>
        </w:rPr>
        <w:t xml:space="preserve">, וציין כי </w:t>
      </w:r>
      <w:r w:rsidRPr="00F03D04">
        <w:rPr>
          <w:rFonts w:ascii="David" w:hAnsi="David" w:hint="cs"/>
          <w:b w:val="0"/>
          <w:bCs w:val="0"/>
          <w:u w:val="none"/>
          <w:rtl/>
        </w:rPr>
        <w:t xml:space="preserve">מדובר בעבירה אשר בוצעה </w:t>
      </w:r>
      <w:r w:rsidRPr="00F03D04">
        <w:rPr>
          <w:rFonts w:ascii="David" w:hAnsi="David"/>
          <w:b w:val="0"/>
          <w:bCs w:val="0"/>
          <w:u w:val="none"/>
          <w:rtl/>
        </w:rPr>
        <w:t>לפני למעלה מ – 4 שנים.</w:t>
      </w:r>
      <w:r w:rsidRPr="00F03D04">
        <w:rPr>
          <w:rFonts w:ascii="David" w:hAnsi="David" w:hint="cs"/>
          <w:b w:val="0"/>
          <w:bCs w:val="0"/>
          <w:u w:val="none"/>
          <w:rtl/>
        </w:rPr>
        <w:t xml:space="preserve"> עוד ציין</w:t>
      </w:r>
      <w:r>
        <w:rPr>
          <w:rFonts w:ascii="David" w:hAnsi="David" w:hint="cs"/>
          <w:b w:val="0"/>
          <w:bCs w:val="0"/>
          <w:u w:val="none"/>
          <w:rtl/>
        </w:rPr>
        <w:t>,</w:t>
      </w:r>
      <w:r w:rsidRPr="00F03D04">
        <w:rPr>
          <w:rFonts w:ascii="David" w:hAnsi="David" w:hint="cs"/>
          <w:b w:val="0"/>
          <w:bCs w:val="0"/>
          <w:u w:val="none"/>
          <w:rtl/>
        </w:rPr>
        <w:t xml:space="preserve"> כי כיום מתמודד עם כאביו באמצעות תרופות מרשם ואינו צורך שום סוג של סם, וכי למרות שעדיין סובל מכאבים, לומד לחיות עמם. </w:t>
      </w:r>
      <w:r>
        <w:rPr>
          <w:rFonts w:ascii="David" w:hAnsi="David" w:hint="cs"/>
          <w:b w:val="0"/>
          <w:bCs w:val="0"/>
          <w:u w:val="none"/>
          <w:rtl/>
        </w:rPr>
        <w:t xml:space="preserve">הנאשם </w:t>
      </w:r>
      <w:r w:rsidRPr="00F03D04">
        <w:rPr>
          <w:rFonts w:ascii="David" w:hAnsi="David" w:hint="cs"/>
          <w:b w:val="0"/>
          <w:bCs w:val="0"/>
          <w:u w:val="none"/>
          <w:rtl/>
        </w:rPr>
        <w:t>ביקש לאמץ את המלצת שירות המבחן בעניינו</w:t>
      </w:r>
      <w:r>
        <w:rPr>
          <w:rFonts w:ascii="David" w:hAnsi="David" w:hint="cs"/>
          <w:b w:val="0"/>
          <w:bCs w:val="0"/>
          <w:u w:val="none"/>
          <w:rtl/>
        </w:rPr>
        <w:t>,</w:t>
      </w:r>
      <w:r w:rsidRPr="00F03D04">
        <w:rPr>
          <w:rFonts w:ascii="David" w:hAnsi="David" w:hint="cs"/>
          <w:b w:val="0"/>
          <w:bCs w:val="0"/>
          <w:u w:val="none"/>
          <w:rtl/>
        </w:rPr>
        <w:t xml:space="preserve"> על מנת שיוכל להמשיך לנהל חיים תקינים. </w:t>
      </w:r>
    </w:p>
    <w:p w14:paraId="6D1C10F9" w14:textId="77777777" w:rsidR="0030722B" w:rsidRPr="004E5EF4" w:rsidRDefault="0030722B" w:rsidP="0030722B">
      <w:pPr>
        <w:pStyle w:val="a9"/>
        <w:ind w:left="468"/>
        <w:jc w:val="both"/>
        <w:rPr>
          <w:rtl/>
        </w:rPr>
      </w:pPr>
    </w:p>
    <w:p w14:paraId="68C41139" w14:textId="77777777" w:rsidR="0030722B" w:rsidRDefault="0030722B" w:rsidP="0030722B">
      <w:pPr>
        <w:spacing w:line="360" w:lineRule="auto"/>
        <w:ind w:firstLine="43"/>
        <w:jc w:val="both"/>
        <w:rPr>
          <w:rFonts w:ascii="David" w:hAnsi="David"/>
          <w:b/>
          <w:bCs/>
          <w:u w:val="single"/>
          <w:rtl/>
        </w:rPr>
      </w:pPr>
      <w:r w:rsidRPr="001616DD">
        <w:rPr>
          <w:rFonts w:ascii="David" w:hAnsi="David"/>
          <w:b/>
          <w:bCs/>
          <w:u w:val="single"/>
          <w:rtl/>
        </w:rPr>
        <w:t>דיון והכרעה</w:t>
      </w:r>
    </w:p>
    <w:p w14:paraId="44D59FC8" w14:textId="77777777" w:rsidR="0030722B" w:rsidRPr="001616DD" w:rsidRDefault="0030722B" w:rsidP="0030722B">
      <w:pPr>
        <w:spacing w:line="360" w:lineRule="auto"/>
        <w:ind w:firstLine="43"/>
        <w:jc w:val="both"/>
        <w:rPr>
          <w:rFonts w:ascii="David" w:hAnsi="David"/>
          <w:b/>
          <w:bCs/>
          <w:u w:val="single"/>
          <w:rtl/>
        </w:rPr>
      </w:pPr>
      <w:r w:rsidRPr="001616DD">
        <w:rPr>
          <w:rFonts w:ascii="David" w:hAnsi="David"/>
          <w:b/>
          <w:bCs/>
          <w:u w:val="single"/>
          <w:rtl/>
        </w:rPr>
        <w:t>שאלת ההרשעה</w:t>
      </w:r>
    </w:p>
    <w:p w14:paraId="525FA0F5" w14:textId="77777777" w:rsidR="0030722B" w:rsidRPr="001616DD" w:rsidRDefault="0030722B" w:rsidP="0030722B">
      <w:pPr>
        <w:pStyle w:val="a9"/>
        <w:numPr>
          <w:ilvl w:val="0"/>
          <w:numId w:val="1"/>
        </w:numPr>
        <w:spacing w:line="360" w:lineRule="auto"/>
        <w:ind w:left="468" w:hanging="425"/>
        <w:jc w:val="both"/>
      </w:pPr>
      <w:r w:rsidRPr="001616DD">
        <w:rPr>
          <w:rtl/>
        </w:rPr>
        <w:t>הלכה היא, כי הימנעות מהרשעתו של נאשם בדין, הינה חריג לכלל לפיו, מקום שבו נקבע כי הנאשם ביצע עבירה, יש להרשיעו בביצועה. ראוי להימנע מהרשעה רק במקרים יוצאי דופן שבהם אין יחס סביר בין הנזק הצפוי לנאשם מן ההרשעה לבין חומרת</w:t>
      </w:r>
      <w:r>
        <w:rPr>
          <w:rtl/>
        </w:rPr>
        <w:t xml:space="preserve"> </w:t>
      </w:r>
      <w:r w:rsidRPr="001616DD">
        <w:rPr>
          <w:rtl/>
        </w:rPr>
        <w:t>העבירה (</w:t>
      </w:r>
      <w:hyperlink r:id="rId19" w:history="1">
        <w:r w:rsidR="0094334C" w:rsidRPr="0094334C">
          <w:rPr>
            <w:color w:val="0000FF"/>
            <w:u w:val="single"/>
            <w:rtl/>
          </w:rPr>
          <w:t>ר"ע 432/85</w:t>
        </w:r>
      </w:hyperlink>
      <w:r w:rsidRPr="001616DD">
        <w:rPr>
          <w:rtl/>
        </w:rPr>
        <w:t xml:space="preserve"> </w:t>
      </w:r>
      <w:r w:rsidRPr="00C65C2D">
        <w:rPr>
          <w:b/>
          <w:bCs/>
          <w:rtl/>
        </w:rPr>
        <w:t>גדעון רומנו נ' מדינת ישראל</w:t>
      </w:r>
      <w:r w:rsidRPr="001616DD">
        <w:rPr>
          <w:rtl/>
        </w:rPr>
        <w:t xml:space="preserve"> (21.8.85); </w:t>
      </w:r>
      <w:hyperlink r:id="rId20" w:history="1">
        <w:r w:rsidR="0094334C" w:rsidRPr="0094334C">
          <w:rPr>
            <w:color w:val="0000FF"/>
            <w:u w:val="single"/>
            <w:rtl/>
          </w:rPr>
          <w:t>ע"פ 2083/96</w:t>
        </w:r>
      </w:hyperlink>
      <w:r w:rsidRPr="001616DD">
        <w:rPr>
          <w:rtl/>
        </w:rPr>
        <w:t xml:space="preserve"> </w:t>
      </w:r>
      <w:r w:rsidRPr="00C65C2D">
        <w:rPr>
          <w:b/>
          <w:bCs/>
          <w:rtl/>
        </w:rPr>
        <w:t>תמר כתב נ' מדינת ישראל</w:t>
      </w:r>
      <w:r w:rsidRPr="001616DD">
        <w:rPr>
          <w:rtl/>
        </w:rPr>
        <w:t xml:space="preserve"> (21.8.97) (להלן: </w:t>
      </w:r>
      <w:r w:rsidRPr="0021031D">
        <w:rPr>
          <w:b/>
          <w:bCs/>
          <w:rtl/>
        </w:rPr>
        <w:t>"הלכת כתב</w:t>
      </w:r>
      <w:r w:rsidRPr="0021031D">
        <w:rPr>
          <w:rtl/>
        </w:rPr>
        <w:t>")</w:t>
      </w:r>
      <w:r>
        <w:rPr>
          <w:rFonts w:hint="cs"/>
          <w:rtl/>
        </w:rPr>
        <w:t>)</w:t>
      </w:r>
      <w:r w:rsidRPr="0021031D">
        <w:rPr>
          <w:rtl/>
        </w:rPr>
        <w:t>.</w:t>
      </w:r>
    </w:p>
    <w:p w14:paraId="39AEC706" w14:textId="77777777" w:rsidR="0030722B" w:rsidRPr="001616DD" w:rsidRDefault="0030722B" w:rsidP="0030722B">
      <w:pPr>
        <w:pStyle w:val="a9"/>
        <w:ind w:left="468"/>
        <w:jc w:val="both"/>
        <w:rPr>
          <w:rtl/>
        </w:rPr>
      </w:pPr>
    </w:p>
    <w:p w14:paraId="0115F9DD" w14:textId="77777777" w:rsidR="0030722B" w:rsidRDefault="0030722B" w:rsidP="0030722B">
      <w:pPr>
        <w:pStyle w:val="a9"/>
        <w:numPr>
          <w:ilvl w:val="0"/>
          <w:numId w:val="1"/>
        </w:numPr>
        <w:spacing w:line="360" w:lineRule="auto"/>
        <w:ind w:left="468" w:hanging="425"/>
        <w:jc w:val="both"/>
      </w:pPr>
      <w:r>
        <w:rPr>
          <w:rFonts w:hint="cs"/>
          <w:rtl/>
        </w:rPr>
        <w:t xml:space="preserve">על פי הלכת כתב, תיתכן הימנעות </w:t>
      </w:r>
      <w:r w:rsidRPr="001616DD">
        <w:rPr>
          <w:rtl/>
        </w:rPr>
        <w:t xml:space="preserve">מהרשעת נאשם מקום שבו מתקיימים שני תנאים מצטברים: הראשון - סוג העבירה מאפשר, בנסיבות העניין, לוותר על הרשעה בלי לפגוע באופן מהותי בשיקולי הענישה האחרים, והשני -  הרשעת הנאשם עשויה לפגוע פגיעה חמורה בשיקומו, באופן שיווצר פער בלתי נסבל, בין עוצמת הפגיעה הצפויה לנאשם האינדיבידואלי, לבין התועלת שתצמח מן ההרשעה, נוכח קיומו של האינטרס המוגן, הציבורי – חברתי, על ידי העבירה שנעברה (ראה גם: </w:t>
      </w:r>
      <w:hyperlink r:id="rId21" w:history="1">
        <w:r w:rsidR="0094334C" w:rsidRPr="0094334C">
          <w:rPr>
            <w:color w:val="0000FF"/>
            <w:u w:val="single"/>
            <w:rtl/>
          </w:rPr>
          <w:t>ע"פ 9893/06</w:t>
        </w:r>
      </w:hyperlink>
      <w:r w:rsidRPr="001616DD">
        <w:rPr>
          <w:rtl/>
        </w:rPr>
        <w:t xml:space="preserve">, </w:t>
      </w:r>
      <w:r w:rsidRPr="00C65C2D">
        <w:rPr>
          <w:b/>
          <w:bCs/>
          <w:rtl/>
        </w:rPr>
        <w:t>לאופר נ' מ"י</w:t>
      </w:r>
      <w:r w:rsidRPr="001616DD">
        <w:rPr>
          <w:rtl/>
        </w:rPr>
        <w:t xml:space="preserve"> (31.12.07), </w:t>
      </w:r>
      <w:hyperlink r:id="rId22" w:history="1">
        <w:r w:rsidR="0094334C" w:rsidRPr="0094334C">
          <w:rPr>
            <w:color w:val="0000FF"/>
            <w:u w:val="single"/>
            <w:rtl/>
          </w:rPr>
          <w:t>ע"פ 2669/00</w:t>
        </w:r>
      </w:hyperlink>
      <w:r w:rsidRPr="001616DD">
        <w:rPr>
          <w:rtl/>
        </w:rPr>
        <w:t xml:space="preserve"> </w:t>
      </w:r>
      <w:r w:rsidRPr="00C65C2D">
        <w:rPr>
          <w:b/>
          <w:bCs/>
          <w:rtl/>
        </w:rPr>
        <w:t>מ"י נ' פלוני</w:t>
      </w:r>
      <w:r w:rsidRPr="001616DD">
        <w:rPr>
          <w:rtl/>
        </w:rPr>
        <w:t xml:space="preserve"> (17.8.00)</w:t>
      </w:r>
      <w:r w:rsidRPr="001616DD">
        <w:rPr>
          <w:rFonts w:hint="cs"/>
          <w:rtl/>
        </w:rPr>
        <w:t xml:space="preserve">, </w:t>
      </w:r>
      <w:hyperlink r:id="rId23" w:history="1">
        <w:r w:rsidR="0094334C" w:rsidRPr="0094334C">
          <w:rPr>
            <w:color w:val="0000FF"/>
            <w:u w:val="single"/>
            <w:rtl/>
          </w:rPr>
          <w:t>רע"פ 5100/14</w:t>
        </w:r>
      </w:hyperlink>
      <w:r w:rsidRPr="001616DD">
        <w:rPr>
          <w:rFonts w:hint="cs"/>
          <w:rtl/>
        </w:rPr>
        <w:t xml:space="preserve"> </w:t>
      </w:r>
      <w:r w:rsidRPr="00C65C2D">
        <w:rPr>
          <w:rFonts w:hint="cs"/>
          <w:b/>
          <w:bCs/>
          <w:rtl/>
        </w:rPr>
        <w:t>מסארווה נ' מ"י</w:t>
      </w:r>
      <w:r w:rsidRPr="001616DD">
        <w:rPr>
          <w:rFonts w:hint="cs"/>
          <w:rtl/>
        </w:rPr>
        <w:t xml:space="preserve"> (28.7.14) </w:t>
      </w:r>
      <w:r w:rsidRPr="0094334C">
        <w:rPr>
          <w:color w:val="000000"/>
          <w:rtl/>
        </w:rPr>
        <w:t xml:space="preserve">רע"פ </w:t>
      </w:r>
      <w:hyperlink r:id="rId24" w:history="1">
        <w:r w:rsidR="00082CB2" w:rsidRPr="00082CB2">
          <w:rPr>
            <w:color w:val="0000FF"/>
            <w:u w:val="single"/>
            <w:rtl/>
          </w:rPr>
          <w:t xml:space="preserve">54/15 </w:t>
        </w:r>
      </w:hyperlink>
      <w:r w:rsidRPr="001616DD">
        <w:rPr>
          <w:rtl/>
        </w:rPr>
        <w:t xml:space="preserve"> </w:t>
      </w:r>
      <w:r w:rsidRPr="00C65C2D">
        <w:rPr>
          <w:b/>
          <w:bCs/>
          <w:rtl/>
        </w:rPr>
        <w:t>פלוני נ' מ"י</w:t>
      </w:r>
      <w:r w:rsidRPr="001616DD">
        <w:rPr>
          <w:rtl/>
        </w:rPr>
        <w:t xml:space="preserve"> (26.1.15)</w:t>
      </w:r>
      <w:r w:rsidRPr="001616DD">
        <w:rPr>
          <w:rFonts w:hint="cs"/>
          <w:rtl/>
        </w:rPr>
        <w:t xml:space="preserve"> ו</w:t>
      </w:r>
      <w:hyperlink r:id="rId25" w:history="1">
        <w:r w:rsidR="0094334C" w:rsidRPr="0094334C">
          <w:rPr>
            <w:color w:val="0000FF"/>
            <w:u w:val="single"/>
            <w:rtl/>
          </w:rPr>
          <w:t>רע"פ 10232/17</w:t>
        </w:r>
      </w:hyperlink>
      <w:r w:rsidRPr="001616DD">
        <w:rPr>
          <w:rFonts w:hint="cs"/>
          <w:rtl/>
        </w:rPr>
        <w:t xml:space="preserve"> </w:t>
      </w:r>
      <w:r w:rsidRPr="00C65C2D">
        <w:rPr>
          <w:rFonts w:hint="cs"/>
          <w:b/>
          <w:bCs/>
          <w:rtl/>
        </w:rPr>
        <w:t>עובד נ' מ"י</w:t>
      </w:r>
      <w:r w:rsidRPr="001616DD">
        <w:rPr>
          <w:rFonts w:hint="cs"/>
          <w:rtl/>
        </w:rPr>
        <w:t xml:space="preserve"> (14.3.18))</w:t>
      </w:r>
      <w:r>
        <w:rPr>
          <w:rFonts w:hint="cs"/>
          <w:rtl/>
        </w:rPr>
        <w:t>.</w:t>
      </w:r>
    </w:p>
    <w:p w14:paraId="431F4E1B" w14:textId="77777777" w:rsidR="0030722B" w:rsidRDefault="0030722B" w:rsidP="0030722B">
      <w:pPr>
        <w:pStyle w:val="a9"/>
        <w:rPr>
          <w:rtl/>
        </w:rPr>
      </w:pPr>
    </w:p>
    <w:p w14:paraId="23042BD7" w14:textId="77777777" w:rsidR="0030722B" w:rsidRPr="001616DD" w:rsidRDefault="0030722B" w:rsidP="0030722B">
      <w:pPr>
        <w:pStyle w:val="a9"/>
        <w:numPr>
          <w:ilvl w:val="0"/>
          <w:numId w:val="1"/>
        </w:numPr>
        <w:spacing w:line="360" w:lineRule="auto"/>
        <w:ind w:left="468" w:hanging="425"/>
        <w:jc w:val="both"/>
        <w:rPr>
          <w:rtl/>
        </w:rPr>
      </w:pPr>
      <w:r w:rsidRPr="001616DD">
        <w:rPr>
          <w:rtl/>
        </w:rPr>
        <w:t xml:space="preserve">מן הכלל אל הפרט. </w:t>
      </w:r>
    </w:p>
    <w:p w14:paraId="7212A7BA" w14:textId="77777777" w:rsidR="0030722B" w:rsidRDefault="0030722B" w:rsidP="0030722B">
      <w:pPr>
        <w:pStyle w:val="a9"/>
        <w:spacing w:line="360" w:lineRule="auto"/>
        <w:ind w:left="468"/>
        <w:jc w:val="both"/>
        <w:rPr>
          <w:rtl/>
        </w:rPr>
      </w:pPr>
      <w:r>
        <w:rPr>
          <w:rtl/>
        </w:rPr>
        <w:t>אשר לתנאי הראשון</w:t>
      </w:r>
      <w:r w:rsidRPr="001616DD">
        <w:rPr>
          <w:rtl/>
        </w:rPr>
        <w:t xml:space="preserve"> </w:t>
      </w:r>
      <w:r>
        <w:rPr>
          <w:rtl/>
        </w:rPr>
        <w:t>–</w:t>
      </w:r>
      <w:r w:rsidRPr="001616DD">
        <w:rPr>
          <w:rtl/>
        </w:rPr>
        <w:t xml:space="preserve"> </w:t>
      </w:r>
      <w:r>
        <w:rPr>
          <w:rFonts w:hint="cs"/>
          <w:rtl/>
        </w:rPr>
        <w:t xml:space="preserve">המדובר בעבירה של גידול סמים מסוג קנאביס, הנחשבים לסמים קלים, לצריכה עצמית. הנאשם, נעדר עבר פלילי, טען כי הרקע לעבירה נעוץ בפציעה שחווה, קשיי שינה וכאבים קשים מהם סובל, בעקבות תאונה שהותירה בו נכות. הנאשם גידל שני שתילים בביתו. </w:t>
      </w:r>
    </w:p>
    <w:p w14:paraId="50B9757E" w14:textId="77777777" w:rsidR="0030722B" w:rsidRDefault="0030722B" w:rsidP="0030722B">
      <w:pPr>
        <w:pStyle w:val="a9"/>
        <w:ind w:left="468"/>
        <w:jc w:val="both"/>
        <w:rPr>
          <w:rtl/>
        </w:rPr>
      </w:pPr>
    </w:p>
    <w:p w14:paraId="75DD4467" w14:textId="77777777" w:rsidR="0030722B" w:rsidRDefault="0030722B" w:rsidP="0030722B">
      <w:pPr>
        <w:pStyle w:val="a9"/>
        <w:spacing w:line="360" w:lineRule="auto"/>
        <w:ind w:left="468"/>
        <w:jc w:val="both"/>
        <w:rPr>
          <w:rtl/>
        </w:rPr>
      </w:pPr>
      <w:r>
        <w:rPr>
          <w:rFonts w:hint="cs"/>
          <w:rtl/>
        </w:rPr>
        <w:t xml:space="preserve">לא ניתן לומר כי מדובר בגידול מקצועי או במעבדת סמים, ומקובלת עלי הטענה כי הדבר נעשה לצרכיו אישיים של הנאשם בלבד, כאשר הנאשם טען, כי עשה זאת על מנת שלא לבוא במגע עם גורמים עבריינים. </w:t>
      </w:r>
    </w:p>
    <w:p w14:paraId="44961742" w14:textId="77777777" w:rsidR="0030722B" w:rsidRDefault="0030722B" w:rsidP="0030722B">
      <w:pPr>
        <w:pStyle w:val="a9"/>
        <w:ind w:left="468"/>
        <w:jc w:val="both"/>
        <w:rPr>
          <w:rtl/>
        </w:rPr>
      </w:pPr>
    </w:p>
    <w:p w14:paraId="4D0711EC" w14:textId="77777777" w:rsidR="0030722B" w:rsidRDefault="0030722B" w:rsidP="0030722B">
      <w:pPr>
        <w:pStyle w:val="a9"/>
        <w:spacing w:line="360" w:lineRule="auto"/>
        <w:ind w:left="468"/>
        <w:jc w:val="both"/>
        <w:rPr>
          <w:rtl/>
        </w:rPr>
      </w:pPr>
      <w:r w:rsidRPr="001616DD">
        <w:rPr>
          <w:rtl/>
        </w:rPr>
        <w:t>מבלי להקל ראש</w:t>
      </w:r>
      <w:r>
        <w:rPr>
          <w:rFonts w:hint="cs"/>
          <w:rtl/>
        </w:rPr>
        <w:t xml:space="preserve"> בעבירות הסמים בכלל, ובעבירת גידול הסמים בפרט, ואף מתוך הנחה כי עבירת הסמים אינה מבחינה בשאלה האם מדובר בסם לצריכה עצמית אם לאו, הרי שלאור נסיבותיו של הנאשם שעניינו מונח בפני, יש לקבוע כי מדובר בעבירה שאינה מצויה ברף החומרה הגבוה. </w:t>
      </w:r>
    </w:p>
    <w:p w14:paraId="2347677F" w14:textId="77777777" w:rsidR="0030722B" w:rsidRDefault="0030722B" w:rsidP="0030722B">
      <w:pPr>
        <w:pStyle w:val="a9"/>
        <w:ind w:left="468"/>
        <w:jc w:val="both"/>
        <w:rPr>
          <w:rtl/>
        </w:rPr>
      </w:pPr>
    </w:p>
    <w:p w14:paraId="055A4809" w14:textId="77777777" w:rsidR="0030722B" w:rsidRDefault="0030722B" w:rsidP="0030722B">
      <w:pPr>
        <w:pStyle w:val="a9"/>
        <w:spacing w:line="360" w:lineRule="auto"/>
        <w:ind w:left="468"/>
        <w:jc w:val="both"/>
        <w:rPr>
          <w:rtl/>
        </w:rPr>
      </w:pPr>
      <w:r>
        <w:rPr>
          <w:rFonts w:hint="cs"/>
          <w:rtl/>
        </w:rPr>
        <w:t xml:space="preserve">כאמור, מדובר בעבירה ראשונה ויחידה של הנאשם, בסמים מסוג קנאביס. בעניין זה יש להפנות לחוק הסמים המסוכנים (עבירת קנס מיוחדת </w:t>
      </w:r>
      <w:r>
        <w:rPr>
          <w:rtl/>
        </w:rPr>
        <w:t>–</w:t>
      </w:r>
      <w:r>
        <w:rPr>
          <w:rFonts w:hint="cs"/>
          <w:rtl/>
        </w:rPr>
        <w:t xml:space="preserve"> הוראת שעה) התשע"ח-2018, המהווה תיקון ל</w:t>
      </w:r>
      <w:hyperlink r:id="rId26" w:history="1">
        <w:r w:rsidR="0094334C" w:rsidRPr="0094334C">
          <w:rPr>
            <w:color w:val="0000FF"/>
            <w:u w:val="single"/>
            <w:rtl/>
          </w:rPr>
          <w:t>פקודת הסמים המסוכנים</w:t>
        </w:r>
      </w:hyperlink>
      <w:r>
        <w:rPr>
          <w:rFonts w:hint="cs"/>
          <w:rtl/>
        </w:rPr>
        <w:t xml:space="preserve">, שתחילתו ביום 1.4.19, ולפיו על עבירות של שימוש עצמי בקנאביס בפעם הראשונה והשניה יוטלו קנסות, ורק בעבירה שלישית יוגש כתב אישום. אומנם תיקון זה אינו חל על המקרה המונח בפני, שעניינו עבירת גידול, אולם ניתן ללמוד מן התיקון על גישתו של המחוקק ביחס לעבירות הסמים בכל הנוגע לסם מסוג קנאביס, כאשר בענייננו מדובר בסוג סם זה, ובגידול בכמות מצומצמת, שיש להניח כי הינה לשימוש עצמי. </w:t>
      </w:r>
    </w:p>
    <w:p w14:paraId="738A2D06" w14:textId="77777777" w:rsidR="0030722B" w:rsidRDefault="0030722B" w:rsidP="0030722B">
      <w:pPr>
        <w:pStyle w:val="a9"/>
        <w:ind w:left="468"/>
        <w:jc w:val="both"/>
        <w:rPr>
          <w:rtl/>
        </w:rPr>
      </w:pPr>
    </w:p>
    <w:p w14:paraId="16EE4262" w14:textId="77777777" w:rsidR="0030722B" w:rsidRPr="001616DD" w:rsidRDefault="0030722B" w:rsidP="0030722B">
      <w:pPr>
        <w:pStyle w:val="a9"/>
        <w:spacing w:line="360" w:lineRule="auto"/>
        <w:ind w:left="468"/>
        <w:jc w:val="both"/>
        <w:rPr>
          <w:rtl/>
        </w:rPr>
      </w:pPr>
      <w:r>
        <w:rPr>
          <w:rFonts w:hint="cs"/>
          <w:rtl/>
        </w:rPr>
        <w:t xml:space="preserve">שקלול עניינים אלה יחד עם </w:t>
      </w:r>
      <w:r w:rsidRPr="001616DD">
        <w:rPr>
          <w:rtl/>
        </w:rPr>
        <w:t>מאפיינ</w:t>
      </w:r>
      <w:r w:rsidRPr="001616DD">
        <w:rPr>
          <w:rFonts w:hint="cs"/>
          <w:rtl/>
        </w:rPr>
        <w:t>יו</w:t>
      </w:r>
      <w:r w:rsidRPr="001616DD">
        <w:rPr>
          <w:rtl/>
        </w:rPr>
        <w:t xml:space="preserve"> האישיים</w:t>
      </w:r>
      <w:r>
        <w:rPr>
          <w:rFonts w:hint="cs"/>
          <w:rtl/>
        </w:rPr>
        <w:t xml:space="preserve"> של הנאשם</w:t>
      </w:r>
      <w:r w:rsidRPr="001616DD">
        <w:rPr>
          <w:rtl/>
        </w:rPr>
        <w:t xml:space="preserve">, </w:t>
      </w:r>
      <w:r>
        <w:rPr>
          <w:rFonts w:hint="cs"/>
          <w:rtl/>
        </w:rPr>
        <w:t xml:space="preserve">גילו, </w:t>
      </w:r>
      <w:r w:rsidRPr="001616DD">
        <w:rPr>
          <w:rtl/>
        </w:rPr>
        <w:t>אופי העביר</w:t>
      </w:r>
      <w:r w:rsidRPr="001616DD">
        <w:rPr>
          <w:rFonts w:hint="cs"/>
          <w:rtl/>
        </w:rPr>
        <w:t xml:space="preserve">ה </w:t>
      </w:r>
      <w:r>
        <w:rPr>
          <w:rFonts w:hint="cs"/>
          <w:rtl/>
        </w:rPr>
        <w:t>ו</w:t>
      </w:r>
      <w:r w:rsidRPr="001616DD">
        <w:rPr>
          <w:rFonts w:hint="cs"/>
          <w:rtl/>
        </w:rPr>
        <w:t>נסיבותיה</w:t>
      </w:r>
      <w:r w:rsidRPr="001616DD">
        <w:rPr>
          <w:rtl/>
        </w:rPr>
        <w:t xml:space="preserve"> </w:t>
      </w:r>
      <w:r>
        <w:rPr>
          <w:rFonts w:hint="cs"/>
          <w:rtl/>
        </w:rPr>
        <w:t xml:space="preserve">מביאים כאמור למסקנה כי אין המדובר בעבירה המצויה ברף החומרה הגבוה, ועל כן ניתן לשקול בחיוב הימנעות מהרשעה. </w:t>
      </w:r>
      <w:r w:rsidRPr="001616DD">
        <w:rPr>
          <w:rtl/>
        </w:rPr>
        <w:t xml:space="preserve"> </w:t>
      </w:r>
    </w:p>
    <w:p w14:paraId="4D755F2D" w14:textId="77777777" w:rsidR="0030722B" w:rsidRPr="00841ED7" w:rsidRDefault="0030722B" w:rsidP="0030722B">
      <w:pPr>
        <w:pStyle w:val="a9"/>
        <w:ind w:left="468"/>
        <w:jc w:val="both"/>
        <w:rPr>
          <w:rtl/>
        </w:rPr>
      </w:pPr>
    </w:p>
    <w:p w14:paraId="2AD11651" w14:textId="77777777" w:rsidR="0030722B" w:rsidRDefault="0030722B" w:rsidP="0030722B">
      <w:pPr>
        <w:pStyle w:val="a9"/>
        <w:numPr>
          <w:ilvl w:val="0"/>
          <w:numId w:val="1"/>
        </w:numPr>
        <w:spacing w:line="360" w:lineRule="auto"/>
        <w:ind w:left="468" w:hanging="425"/>
        <w:jc w:val="both"/>
      </w:pPr>
      <w:r>
        <w:rPr>
          <w:rFonts w:hint="cs"/>
          <w:rtl/>
        </w:rPr>
        <w:t>ב</w:t>
      </w:r>
      <w:r w:rsidRPr="001616DD">
        <w:rPr>
          <w:rtl/>
        </w:rPr>
        <w:t>אשר לתנאי השני, עוצמת פגיעת ההרשעה בנאש</w:t>
      </w:r>
      <w:r w:rsidRPr="001616DD">
        <w:rPr>
          <w:rFonts w:hint="cs"/>
          <w:rtl/>
        </w:rPr>
        <w:t>ם</w:t>
      </w:r>
      <w:r w:rsidRPr="001616DD">
        <w:rPr>
          <w:rtl/>
        </w:rPr>
        <w:t xml:space="preserve"> –</w:t>
      </w:r>
      <w:r>
        <w:rPr>
          <w:rFonts w:hint="cs"/>
          <w:rtl/>
        </w:rPr>
        <w:t xml:space="preserve"> שוכנעתי</w:t>
      </w:r>
      <w:r w:rsidRPr="001616DD">
        <w:rPr>
          <w:rtl/>
        </w:rPr>
        <w:t xml:space="preserve"> כי </w:t>
      </w:r>
      <w:r>
        <w:rPr>
          <w:rFonts w:hint="cs"/>
          <w:rtl/>
        </w:rPr>
        <w:t xml:space="preserve">גם ביחס לתנאי זה עונה עניינו של הנאשם על הקריטריונים הקבועים בהלכת כתב, כך שקיים יחס בלתי מידתי בין מידת הפגיעה הצפויה בנאשם כתוצאה מהרשעתו בדין, לבין התועלת שתצמח ממנה, כך שמידת הפגיעה בו מצדיקה </w:t>
      </w:r>
      <w:r>
        <w:rPr>
          <w:rtl/>
        </w:rPr>
        <w:t>הימנעות מהרשע</w:t>
      </w:r>
      <w:r>
        <w:rPr>
          <w:rFonts w:hint="cs"/>
          <w:rtl/>
        </w:rPr>
        <w:t>תו</w:t>
      </w:r>
      <w:r w:rsidRPr="001616DD">
        <w:rPr>
          <w:rFonts w:hint="cs"/>
          <w:rtl/>
        </w:rPr>
        <w:t xml:space="preserve">. </w:t>
      </w:r>
    </w:p>
    <w:p w14:paraId="3251FA84" w14:textId="77777777" w:rsidR="0030722B" w:rsidRPr="00823DD1" w:rsidRDefault="0030722B" w:rsidP="0030722B">
      <w:pPr>
        <w:pStyle w:val="a9"/>
        <w:ind w:left="468"/>
        <w:jc w:val="both"/>
        <w:rPr>
          <w:rtl/>
        </w:rPr>
      </w:pPr>
    </w:p>
    <w:p w14:paraId="0E0472AC" w14:textId="77777777" w:rsidR="0030722B" w:rsidRDefault="0030722B" w:rsidP="0030722B">
      <w:pPr>
        <w:pStyle w:val="a9"/>
        <w:spacing w:line="360" w:lineRule="auto"/>
        <w:ind w:left="468"/>
        <w:jc w:val="both"/>
        <w:rPr>
          <w:rtl/>
        </w:rPr>
      </w:pPr>
      <w:r>
        <w:rPr>
          <w:rFonts w:hint="cs"/>
          <w:rtl/>
        </w:rPr>
        <w:t xml:space="preserve">בהתאם לעולה מתסקיר שירות המבחן, הנאשם הינו אדם נורמטיבי, נעדר עבר פלילי, המנהל חיי משפחה, נשוי, אב לילד ומצפה לילד נוסף, מתווך בהכשרתו. </w:t>
      </w:r>
    </w:p>
    <w:p w14:paraId="5BAFE65B" w14:textId="77777777" w:rsidR="0030722B" w:rsidRDefault="0030722B" w:rsidP="0030722B">
      <w:pPr>
        <w:pStyle w:val="a9"/>
        <w:ind w:left="468"/>
        <w:jc w:val="both"/>
        <w:rPr>
          <w:rtl/>
        </w:rPr>
      </w:pPr>
    </w:p>
    <w:p w14:paraId="062521E8" w14:textId="77777777" w:rsidR="0030722B" w:rsidRDefault="0030722B" w:rsidP="0030722B">
      <w:pPr>
        <w:pStyle w:val="a9"/>
        <w:spacing w:line="360" w:lineRule="auto"/>
        <w:ind w:left="468"/>
        <w:jc w:val="both"/>
        <w:rPr>
          <w:rtl/>
        </w:rPr>
      </w:pPr>
      <w:r>
        <w:rPr>
          <w:rFonts w:hint="cs"/>
          <w:rtl/>
        </w:rPr>
        <w:t xml:space="preserve">הגם שבימים אלו הנאשם אינו עוסק בתיווך מקרקעין באופן בלעדי, בידו רישיון לעסוק בכך, והרשעתו של הנאשם בפלילים עשויה לסכן את הרישיון, ולגרום לו נזק תעסוקתי. הדברים מתחדדים דווקא על רקע תקופת משבר הקורונה בה אנו מצויים, אשר גרמה בין היתר לעליה בהיקף האבטלה, כך שפגיעה באפשרותו של הנאשם להחזיק ברישיון התיווך עשויה לחסום את דרכו להתפרנס בדרכים שונות. </w:t>
      </w:r>
    </w:p>
    <w:p w14:paraId="59926386" w14:textId="77777777" w:rsidR="0030722B" w:rsidRDefault="0030722B" w:rsidP="0030722B">
      <w:pPr>
        <w:pStyle w:val="a9"/>
        <w:spacing w:line="360" w:lineRule="auto"/>
        <w:ind w:left="468"/>
        <w:jc w:val="both"/>
        <w:rPr>
          <w:rtl/>
        </w:rPr>
      </w:pPr>
    </w:p>
    <w:p w14:paraId="6000E5E4" w14:textId="77777777" w:rsidR="0030722B" w:rsidRDefault="0030722B" w:rsidP="0030722B">
      <w:pPr>
        <w:pStyle w:val="a9"/>
        <w:numPr>
          <w:ilvl w:val="0"/>
          <w:numId w:val="1"/>
        </w:numPr>
        <w:spacing w:line="360" w:lineRule="auto"/>
        <w:ind w:left="468" w:hanging="425"/>
        <w:jc w:val="both"/>
      </w:pPr>
      <w:r>
        <w:rPr>
          <w:rFonts w:hint="cs"/>
          <w:rtl/>
        </w:rPr>
        <w:t xml:space="preserve">להשלמת התמונה, אפנה </w:t>
      </w:r>
      <w:r w:rsidRPr="004602F2">
        <w:rPr>
          <w:rtl/>
        </w:rPr>
        <w:t>למקרים דומים שהסתיימו ללא הרשעה</w:t>
      </w:r>
      <w:r>
        <w:rPr>
          <w:rFonts w:hint="cs"/>
          <w:rtl/>
        </w:rPr>
        <w:t>:</w:t>
      </w:r>
    </w:p>
    <w:p w14:paraId="1D805058" w14:textId="77777777" w:rsidR="0030722B" w:rsidRPr="00823DD1" w:rsidRDefault="0030722B" w:rsidP="0030722B">
      <w:pPr>
        <w:pStyle w:val="a9"/>
        <w:rPr>
          <w:rtl/>
        </w:rPr>
      </w:pPr>
    </w:p>
    <w:p w14:paraId="5E9704C0" w14:textId="77777777" w:rsidR="0030722B" w:rsidRDefault="0094334C" w:rsidP="0030722B">
      <w:pPr>
        <w:pStyle w:val="a9"/>
        <w:numPr>
          <w:ilvl w:val="0"/>
          <w:numId w:val="3"/>
        </w:numPr>
        <w:shd w:val="clear" w:color="auto" w:fill="FFFFFF"/>
        <w:spacing w:line="360" w:lineRule="auto"/>
        <w:ind w:left="894"/>
        <w:jc w:val="both"/>
      </w:pPr>
      <w:hyperlink r:id="rId27" w:history="1">
        <w:r w:rsidRPr="0094334C">
          <w:rPr>
            <w:color w:val="0000FF"/>
            <w:u w:val="single"/>
            <w:rtl/>
          </w:rPr>
          <w:t>עפ"ג (חיפה) 28110-10-15</w:t>
        </w:r>
      </w:hyperlink>
      <w:r w:rsidR="0030722B" w:rsidRPr="004602F2">
        <w:rPr>
          <w:rtl/>
        </w:rPr>
        <w:t xml:space="preserve"> </w:t>
      </w:r>
      <w:r w:rsidR="0030722B" w:rsidRPr="004602F2">
        <w:rPr>
          <w:rFonts w:hint="eastAsia"/>
          <w:b/>
          <w:bCs/>
          <w:rtl/>
        </w:rPr>
        <w:t>מדינת</w:t>
      </w:r>
      <w:r w:rsidR="0030722B" w:rsidRPr="004602F2">
        <w:rPr>
          <w:b/>
          <w:bCs/>
          <w:rtl/>
        </w:rPr>
        <w:t xml:space="preserve"> </w:t>
      </w:r>
      <w:r w:rsidR="0030722B" w:rsidRPr="004602F2">
        <w:rPr>
          <w:rFonts w:hint="eastAsia"/>
          <w:b/>
          <w:bCs/>
          <w:rtl/>
        </w:rPr>
        <w:t>ישראל</w:t>
      </w:r>
      <w:r w:rsidR="0030722B" w:rsidRPr="004602F2">
        <w:rPr>
          <w:b/>
          <w:bCs/>
          <w:rtl/>
        </w:rPr>
        <w:t xml:space="preserve"> </w:t>
      </w:r>
      <w:r w:rsidR="0030722B" w:rsidRPr="004602F2">
        <w:rPr>
          <w:rFonts w:hint="eastAsia"/>
          <w:b/>
          <w:bCs/>
          <w:rtl/>
        </w:rPr>
        <w:t>נ</w:t>
      </w:r>
      <w:r w:rsidR="0030722B" w:rsidRPr="004602F2">
        <w:rPr>
          <w:b/>
          <w:bCs/>
          <w:rtl/>
        </w:rPr>
        <w:t xml:space="preserve">' </w:t>
      </w:r>
      <w:r w:rsidR="0030722B" w:rsidRPr="004602F2">
        <w:rPr>
          <w:rFonts w:hint="eastAsia"/>
          <w:b/>
          <w:bCs/>
          <w:rtl/>
        </w:rPr>
        <w:t>עידן</w:t>
      </w:r>
      <w:r w:rsidR="0030722B" w:rsidRPr="004602F2">
        <w:rPr>
          <w:b/>
          <w:bCs/>
          <w:rtl/>
        </w:rPr>
        <w:t xml:space="preserve"> </w:t>
      </w:r>
      <w:r w:rsidR="0030722B" w:rsidRPr="004602F2">
        <w:rPr>
          <w:rFonts w:hint="eastAsia"/>
          <w:b/>
          <w:bCs/>
          <w:rtl/>
        </w:rPr>
        <w:t>דוד</w:t>
      </w:r>
      <w:r w:rsidR="0030722B" w:rsidRPr="004602F2">
        <w:rPr>
          <w:rtl/>
        </w:rPr>
        <w:t xml:space="preserve"> (17.12.15),</w:t>
      </w:r>
      <w:r w:rsidR="0030722B">
        <w:rPr>
          <w:rFonts w:hint="cs"/>
          <w:rtl/>
        </w:rPr>
        <w:t xml:space="preserve"> עבירה של</w:t>
      </w:r>
      <w:r w:rsidR="0030722B" w:rsidRPr="004602F2">
        <w:rPr>
          <w:rtl/>
        </w:rPr>
        <w:t xml:space="preserve"> </w:t>
      </w:r>
      <w:r w:rsidR="0030722B" w:rsidRPr="007F0CF2">
        <w:rPr>
          <w:rtl/>
        </w:rPr>
        <w:t xml:space="preserve">גידול, יצור והכנת סם. המשיב גידל בדירה </w:t>
      </w:r>
      <w:r w:rsidR="0030722B" w:rsidRPr="004602F2">
        <w:rPr>
          <w:rtl/>
        </w:rPr>
        <w:t>קנבוס</w:t>
      </w:r>
      <w:r w:rsidR="0030722B" w:rsidRPr="007F0CF2">
        <w:rPr>
          <w:rtl/>
        </w:rPr>
        <w:t xml:space="preserve"> במשקל 3.6 ק"ג, 21 שתילים ב-3 חדרים מאולתרים ובהם ציוד מעבדה. </w:t>
      </w:r>
      <w:r w:rsidR="0030722B" w:rsidRPr="004602F2">
        <w:rPr>
          <w:rtl/>
        </w:rPr>
        <w:t xml:space="preserve">בית משפט קמא נמנע </w:t>
      </w:r>
      <w:r w:rsidR="0030722B">
        <w:rPr>
          <w:rFonts w:hint="cs"/>
          <w:rtl/>
        </w:rPr>
        <w:t>מה</w:t>
      </w:r>
      <w:r w:rsidR="0030722B" w:rsidRPr="004602F2">
        <w:rPr>
          <w:rFonts w:hint="cs"/>
          <w:rtl/>
        </w:rPr>
        <w:t>רשע</w:t>
      </w:r>
      <w:r w:rsidR="0030722B">
        <w:rPr>
          <w:rFonts w:hint="cs"/>
          <w:rtl/>
        </w:rPr>
        <w:t>ת</w:t>
      </w:r>
      <w:r w:rsidR="0030722B" w:rsidRPr="004602F2">
        <w:rPr>
          <w:rFonts w:hint="cs"/>
          <w:rtl/>
        </w:rPr>
        <w:t>ו</w:t>
      </w:r>
      <w:r w:rsidR="0030722B">
        <w:rPr>
          <w:rFonts w:hint="cs"/>
          <w:rtl/>
        </w:rPr>
        <w:t xml:space="preserve">, והשית עליו </w:t>
      </w:r>
      <w:r w:rsidR="0030722B" w:rsidRPr="004602F2">
        <w:rPr>
          <w:rtl/>
        </w:rPr>
        <w:t>של"צ</w:t>
      </w:r>
      <w:r w:rsidR="0030722B">
        <w:rPr>
          <w:rFonts w:hint="cs"/>
          <w:rtl/>
        </w:rPr>
        <w:t>,</w:t>
      </w:r>
      <w:r w:rsidR="0030722B" w:rsidRPr="007F0CF2">
        <w:rPr>
          <w:rtl/>
        </w:rPr>
        <w:t xml:space="preserve"> מבחן וענישה נלווית. </w:t>
      </w:r>
    </w:p>
    <w:p w14:paraId="629E3036" w14:textId="77777777" w:rsidR="0030722B" w:rsidRDefault="0030722B" w:rsidP="0030722B">
      <w:pPr>
        <w:pStyle w:val="a9"/>
        <w:shd w:val="clear" w:color="auto" w:fill="FFFFFF"/>
        <w:spacing w:line="360" w:lineRule="auto"/>
        <w:ind w:left="894"/>
        <w:jc w:val="both"/>
        <w:rPr>
          <w:rtl/>
        </w:rPr>
      </w:pPr>
      <w:r w:rsidRPr="007F0CF2">
        <w:rPr>
          <w:rtl/>
        </w:rPr>
        <w:t>ערעור המדינה נדחה.</w:t>
      </w:r>
    </w:p>
    <w:p w14:paraId="69AC681F" w14:textId="77777777" w:rsidR="0030722B" w:rsidRPr="007F0CF2" w:rsidRDefault="0030722B" w:rsidP="0030722B">
      <w:pPr>
        <w:pStyle w:val="a9"/>
        <w:shd w:val="clear" w:color="auto" w:fill="FFFFFF"/>
        <w:ind w:left="894"/>
        <w:jc w:val="both"/>
        <w:rPr>
          <w:rtl/>
        </w:rPr>
      </w:pPr>
    </w:p>
    <w:p w14:paraId="16236BAB" w14:textId="77777777" w:rsidR="0030722B" w:rsidRDefault="0094334C" w:rsidP="0030722B">
      <w:pPr>
        <w:pStyle w:val="a9"/>
        <w:numPr>
          <w:ilvl w:val="0"/>
          <w:numId w:val="3"/>
        </w:numPr>
        <w:shd w:val="clear" w:color="auto" w:fill="FFFFFF"/>
        <w:spacing w:line="360" w:lineRule="auto"/>
        <w:ind w:left="894"/>
        <w:jc w:val="both"/>
      </w:pPr>
      <w:hyperlink r:id="rId28" w:history="1">
        <w:r w:rsidRPr="0094334C">
          <w:rPr>
            <w:color w:val="0000FF"/>
            <w:u w:val="single"/>
            <w:rtl/>
          </w:rPr>
          <w:t>ת"פ (י-ם) 48512-04-15</w:t>
        </w:r>
      </w:hyperlink>
      <w:r w:rsidR="0030722B" w:rsidRPr="007F0CF2">
        <w:rPr>
          <w:rtl/>
        </w:rPr>
        <w:t xml:space="preserve"> </w:t>
      </w:r>
      <w:r w:rsidR="0030722B" w:rsidRPr="004602F2">
        <w:rPr>
          <w:b/>
          <w:bCs/>
          <w:rtl/>
        </w:rPr>
        <w:t>מדינת ישראל נ' קלנר ליבל</w:t>
      </w:r>
      <w:r w:rsidR="0030722B" w:rsidRPr="007F0CF2">
        <w:rPr>
          <w:rtl/>
        </w:rPr>
        <w:t xml:space="preserve"> (7.3.18). הנאשם גידל 12 שתילי קנבוס במשקל 2234.93 גרם. לשם הגידול בנה </w:t>
      </w:r>
      <w:r w:rsidR="0030722B">
        <w:rPr>
          <w:rFonts w:hint="cs"/>
          <w:rtl/>
        </w:rPr>
        <w:t xml:space="preserve">הנאשם </w:t>
      </w:r>
      <w:r w:rsidR="0030722B" w:rsidRPr="007F0CF2">
        <w:rPr>
          <w:rtl/>
        </w:rPr>
        <w:t xml:space="preserve">מעבדה שכללה אוהל, מאווררים,  מנורה גדולה, כבלי חשמל, מחשב נייד, שעון שבת, מנועים חשמליים, חומרים כימיים מד חום דיגיטלי ועוד. כמו כן החזיק בסם מסוכן מסוג קנבוס במשקל 5.51 גר נטו. </w:t>
      </w:r>
      <w:r w:rsidR="0030722B">
        <w:rPr>
          <w:rtl/>
        </w:rPr>
        <w:t xml:space="preserve">בית </w:t>
      </w:r>
      <w:r w:rsidR="0030722B">
        <w:rPr>
          <w:rFonts w:hint="cs"/>
          <w:rtl/>
        </w:rPr>
        <w:t>ה</w:t>
      </w:r>
      <w:r w:rsidR="0030722B">
        <w:rPr>
          <w:rtl/>
        </w:rPr>
        <w:t>משפט נמנע מ</w:t>
      </w:r>
      <w:r w:rsidR="0030722B">
        <w:rPr>
          <w:rFonts w:hint="cs"/>
          <w:rtl/>
        </w:rPr>
        <w:t>הרשעתו</w:t>
      </w:r>
      <w:r w:rsidR="0030722B" w:rsidRPr="004602F2">
        <w:rPr>
          <w:rtl/>
        </w:rPr>
        <w:t xml:space="preserve">, </w:t>
      </w:r>
      <w:r w:rsidR="0030722B">
        <w:rPr>
          <w:rFonts w:hint="cs"/>
          <w:rtl/>
        </w:rPr>
        <w:t xml:space="preserve">הטיל עליו צו </w:t>
      </w:r>
      <w:r w:rsidR="0030722B" w:rsidRPr="004602F2">
        <w:rPr>
          <w:rtl/>
        </w:rPr>
        <w:t>מבחן</w:t>
      </w:r>
      <w:r w:rsidR="0030722B">
        <w:rPr>
          <w:rFonts w:hint="cs"/>
          <w:rtl/>
        </w:rPr>
        <w:t>,</w:t>
      </w:r>
      <w:r w:rsidR="0030722B" w:rsidRPr="007F0CF2">
        <w:rPr>
          <w:rtl/>
        </w:rPr>
        <w:t xml:space="preserve"> צו של"צ בהיקף 250 שעות והתחייבות כספית.</w:t>
      </w:r>
    </w:p>
    <w:p w14:paraId="67E64301" w14:textId="77777777" w:rsidR="0030722B" w:rsidRPr="004602F2" w:rsidRDefault="0030722B" w:rsidP="0030722B">
      <w:pPr>
        <w:pStyle w:val="a9"/>
        <w:shd w:val="clear" w:color="auto" w:fill="FFFFFF"/>
        <w:ind w:left="894"/>
        <w:jc w:val="both"/>
        <w:rPr>
          <w:rtl/>
        </w:rPr>
      </w:pPr>
    </w:p>
    <w:p w14:paraId="07A56CEF" w14:textId="77777777" w:rsidR="0030722B" w:rsidRDefault="0094334C" w:rsidP="0030722B">
      <w:pPr>
        <w:pStyle w:val="a9"/>
        <w:numPr>
          <w:ilvl w:val="0"/>
          <w:numId w:val="3"/>
        </w:numPr>
        <w:shd w:val="clear" w:color="auto" w:fill="FFFFFF"/>
        <w:spacing w:line="360" w:lineRule="auto"/>
        <w:ind w:left="894"/>
        <w:jc w:val="both"/>
      </w:pPr>
      <w:hyperlink r:id="rId29" w:history="1">
        <w:r w:rsidRPr="0094334C">
          <w:rPr>
            <w:color w:val="0000FF"/>
            <w:u w:val="single"/>
            <w:rtl/>
          </w:rPr>
          <w:t>ת"פ (ק"ג) 53716-03-15</w:t>
        </w:r>
      </w:hyperlink>
      <w:r w:rsidR="0030722B" w:rsidRPr="004602F2">
        <w:rPr>
          <w:rtl/>
        </w:rPr>
        <w:t xml:space="preserve"> </w:t>
      </w:r>
      <w:r w:rsidR="0030722B" w:rsidRPr="004602F2">
        <w:rPr>
          <w:rFonts w:hint="eastAsia"/>
          <w:b/>
          <w:bCs/>
          <w:rtl/>
        </w:rPr>
        <w:t>מדינת</w:t>
      </w:r>
      <w:r w:rsidR="0030722B" w:rsidRPr="004602F2">
        <w:rPr>
          <w:b/>
          <w:bCs/>
          <w:rtl/>
        </w:rPr>
        <w:t xml:space="preserve"> </w:t>
      </w:r>
      <w:r w:rsidR="0030722B" w:rsidRPr="004602F2">
        <w:rPr>
          <w:rFonts w:hint="eastAsia"/>
          <w:b/>
          <w:bCs/>
          <w:rtl/>
        </w:rPr>
        <w:t>ישראל</w:t>
      </w:r>
      <w:r w:rsidR="0030722B" w:rsidRPr="004602F2">
        <w:rPr>
          <w:b/>
          <w:bCs/>
          <w:rtl/>
        </w:rPr>
        <w:t xml:space="preserve">  </w:t>
      </w:r>
      <w:r w:rsidR="0030722B" w:rsidRPr="004602F2">
        <w:rPr>
          <w:rFonts w:hint="eastAsia"/>
          <w:b/>
          <w:bCs/>
          <w:rtl/>
        </w:rPr>
        <w:t>נ</w:t>
      </w:r>
      <w:r w:rsidR="0030722B" w:rsidRPr="004602F2">
        <w:rPr>
          <w:b/>
          <w:bCs/>
          <w:rtl/>
        </w:rPr>
        <w:t xml:space="preserve">' </w:t>
      </w:r>
      <w:r w:rsidR="0030722B" w:rsidRPr="004602F2">
        <w:rPr>
          <w:rFonts w:hint="eastAsia"/>
          <w:b/>
          <w:bCs/>
          <w:rtl/>
        </w:rPr>
        <w:t>ירון</w:t>
      </w:r>
      <w:r w:rsidR="0030722B" w:rsidRPr="004602F2">
        <w:rPr>
          <w:b/>
          <w:bCs/>
          <w:rtl/>
        </w:rPr>
        <w:t xml:space="preserve"> </w:t>
      </w:r>
      <w:r w:rsidR="0030722B" w:rsidRPr="004602F2">
        <w:rPr>
          <w:rFonts w:hint="eastAsia"/>
          <w:b/>
          <w:bCs/>
          <w:rtl/>
        </w:rPr>
        <w:t>זגורי</w:t>
      </w:r>
      <w:r w:rsidR="0030722B" w:rsidRPr="004602F2">
        <w:rPr>
          <w:rtl/>
        </w:rPr>
        <w:t xml:space="preserve"> (05.04.16)</w:t>
      </w:r>
      <w:r w:rsidR="0030722B">
        <w:rPr>
          <w:rFonts w:hint="cs"/>
          <w:rtl/>
        </w:rPr>
        <w:t xml:space="preserve">, עבירות של </w:t>
      </w:r>
      <w:r w:rsidR="0030722B" w:rsidRPr="004602F2">
        <w:rPr>
          <w:rFonts w:hint="eastAsia"/>
          <w:rtl/>
        </w:rPr>
        <w:t>גידול</w:t>
      </w:r>
      <w:r w:rsidR="0030722B" w:rsidRPr="004602F2">
        <w:rPr>
          <w:rtl/>
        </w:rPr>
        <w:t xml:space="preserve">, </w:t>
      </w:r>
      <w:r w:rsidR="0030722B" w:rsidRPr="004602F2">
        <w:rPr>
          <w:rFonts w:hint="eastAsia"/>
          <w:rtl/>
        </w:rPr>
        <w:t>ייצור</w:t>
      </w:r>
      <w:r w:rsidR="0030722B" w:rsidRPr="004602F2">
        <w:rPr>
          <w:rtl/>
        </w:rPr>
        <w:t xml:space="preserve">, </w:t>
      </w:r>
      <w:r w:rsidR="0030722B" w:rsidRPr="004602F2">
        <w:rPr>
          <w:rFonts w:hint="eastAsia"/>
          <w:rtl/>
        </w:rPr>
        <w:t>הכנת</w:t>
      </w:r>
      <w:r w:rsidR="0030722B" w:rsidRPr="004602F2">
        <w:rPr>
          <w:rtl/>
        </w:rPr>
        <w:t xml:space="preserve"> </w:t>
      </w:r>
      <w:r w:rsidR="0030722B" w:rsidRPr="004602F2">
        <w:rPr>
          <w:rFonts w:hint="eastAsia"/>
          <w:rtl/>
        </w:rPr>
        <w:t>סמים</w:t>
      </w:r>
      <w:r w:rsidR="0030722B" w:rsidRPr="004602F2">
        <w:rPr>
          <w:rtl/>
        </w:rPr>
        <w:t xml:space="preserve"> </w:t>
      </w:r>
      <w:r w:rsidR="0030722B" w:rsidRPr="004602F2">
        <w:rPr>
          <w:rFonts w:hint="eastAsia"/>
          <w:rtl/>
        </w:rPr>
        <w:t>והחזקת</w:t>
      </w:r>
      <w:r w:rsidR="0030722B" w:rsidRPr="004602F2">
        <w:rPr>
          <w:rtl/>
        </w:rPr>
        <w:t xml:space="preserve"> </w:t>
      </w:r>
      <w:r w:rsidR="0030722B" w:rsidRPr="004602F2">
        <w:rPr>
          <w:rFonts w:hint="eastAsia"/>
          <w:rtl/>
        </w:rPr>
        <w:t>כלים</w:t>
      </w:r>
      <w:r w:rsidR="0030722B" w:rsidRPr="004602F2">
        <w:rPr>
          <w:rtl/>
        </w:rPr>
        <w:t xml:space="preserve">. </w:t>
      </w:r>
      <w:r w:rsidR="0030722B" w:rsidRPr="004602F2">
        <w:rPr>
          <w:rFonts w:hint="eastAsia"/>
          <w:rtl/>
        </w:rPr>
        <w:t>הנאשם</w:t>
      </w:r>
      <w:r w:rsidR="0030722B" w:rsidRPr="004602F2">
        <w:rPr>
          <w:rtl/>
        </w:rPr>
        <w:t xml:space="preserve">, </w:t>
      </w:r>
      <w:r w:rsidR="0030722B" w:rsidRPr="004602F2">
        <w:rPr>
          <w:rFonts w:hint="eastAsia"/>
          <w:rtl/>
        </w:rPr>
        <w:t>גידל</w:t>
      </w:r>
      <w:r w:rsidR="0030722B" w:rsidRPr="004602F2">
        <w:rPr>
          <w:rtl/>
        </w:rPr>
        <w:t xml:space="preserve"> </w:t>
      </w:r>
      <w:r w:rsidR="0030722B" w:rsidRPr="004602F2">
        <w:rPr>
          <w:rFonts w:hint="eastAsia"/>
          <w:rtl/>
        </w:rPr>
        <w:t>בביתו</w:t>
      </w:r>
      <w:r w:rsidR="0030722B" w:rsidRPr="004602F2">
        <w:rPr>
          <w:rtl/>
        </w:rPr>
        <w:t xml:space="preserve"> </w:t>
      </w:r>
      <w:r w:rsidR="0030722B" w:rsidRPr="004602F2">
        <w:rPr>
          <w:rFonts w:hint="eastAsia"/>
          <w:rtl/>
        </w:rPr>
        <w:t>קנבוס</w:t>
      </w:r>
      <w:r w:rsidR="0030722B" w:rsidRPr="004602F2">
        <w:rPr>
          <w:rtl/>
        </w:rPr>
        <w:t xml:space="preserve"> </w:t>
      </w:r>
      <w:r w:rsidR="0030722B" w:rsidRPr="004602F2">
        <w:rPr>
          <w:rFonts w:hint="eastAsia"/>
          <w:rtl/>
        </w:rPr>
        <w:t>במשקל</w:t>
      </w:r>
      <w:r w:rsidR="0030722B" w:rsidRPr="004602F2">
        <w:rPr>
          <w:rtl/>
        </w:rPr>
        <w:t xml:space="preserve"> 355.4 </w:t>
      </w:r>
      <w:r w:rsidR="0030722B" w:rsidRPr="004602F2">
        <w:rPr>
          <w:rFonts w:hint="eastAsia"/>
          <w:rtl/>
        </w:rPr>
        <w:t>גר</w:t>
      </w:r>
      <w:r w:rsidR="0030722B" w:rsidRPr="004602F2">
        <w:rPr>
          <w:rtl/>
        </w:rPr>
        <w:t xml:space="preserve">' </w:t>
      </w:r>
      <w:r w:rsidR="0030722B" w:rsidRPr="004602F2">
        <w:rPr>
          <w:rFonts w:hint="eastAsia"/>
          <w:rtl/>
        </w:rPr>
        <w:t>בתוך</w:t>
      </w:r>
      <w:r w:rsidR="0030722B" w:rsidRPr="004602F2">
        <w:rPr>
          <w:rtl/>
        </w:rPr>
        <w:t xml:space="preserve"> 21 </w:t>
      </w:r>
      <w:r w:rsidR="0030722B" w:rsidRPr="004602F2">
        <w:rPr>
          <w:rFonts w:hint="eastAsia"/>
          <w:rtl/>
        </w:rPr>
        <w:t>שתילים</w:t>
      </w:r>
      <w:r w:rsidR="0030722B" w:rsidRPr="004602F2">
        <w:rPr>
          <w:rtl/>
        </w:rPr>
        <w:t xml:space="preserve"> </w:t>
      </w:r>
      <w:r w:rsidR="0030722B" w:rsidRPr="004602F2">
        <w:rPr>
          <w:rFonts w:hint="eastAsia"/>
          <w:rtl/>
        </w:rPr>
        <w:t>והחזיק</w:t>
      </w:r>
      <w:r w:rsidR="0030722B" w:rsidRPr="004602F2">
        <w:rPr>
          <w:rtl/>
        </w:rPr>
        <w:t xml:space="preserve"> </w:t>
      </w:r>
      <w:r w:rsidR="0030722B" w:rsidRPr="004602F2">
        <w:rPr>
          <w:rFonts w:hint="eastAsia"/>
          <w:rtl/>
        </w:rPr>
        <w:t>קנבוס</w:t>
      </w:r>
      <w:r w:rsidR="0030722B" w:rsidRPr="004602F2">
        <w:rPr>
          <w:rtl/>
        </w:rPr>
        <w:t xml:space="preserve"> </w:t>
      </w:r>
      <w:r w:rsidR="0030722B" w:rsidRPr="004602F2">
        <w:rPr>
          <w:rFonts w:hint="eastAsia"/>
          <w:rtl/>
        </w:rPr>
        <w:t>במשקל</w:t>
      </w:r>
      <w:r w:rsidR="0030722B" w:rsidRPr="004602F2">
        <w:rPr>
          <w:rtl/>
        </w:rPr>
        <w:t xml:space="preserve"> 236.85 </w:t>
      </w:r>
      <w:r w:rsidR="0030722B" w:rsidRPr="004602F2">
        <w:rPr>
          <w:rFonts w:hint="eastAsia"/>
          <w:rtl/>
        </w:rPr>
        <w:t>גר</w:t>
      </w:r>
      <w:r w:rsidR="0030722B" w:rsidRPr="004602F2">
        <w:rPr>
          <w:rtl/>
        </w:rPr>
        <w:t xml:space="preserve">' </w:t>
      </w:r>
      <w:r w:rsidR="0030722B" w:rsidRPr="004602F2">
        <w:rPr>
          <w:rFonts w:hint="eastAsia"/>
          <w:rtl/>
        </w:rPr>
        <w:t>שלא</w:t>
      </w:r>
      <w:r w:rsidR="0030722B" w:rsidRPr="004602F2">
        <w:rPr>
          <w:rtl/>
        </w:rPr>
        <w:t xml:space="preserve"> </w:t>
      </w:r>
      <w:r w:rsidR="0030722B" w:rsidRPr="004602F2">
        <w:rPr>
          <w:rFonts w:hint="eastAsia"/>
          <w:rtl/>
        </w:rPr>
        <w:t>לצריכה</w:t>
      </w:r>
      <w:r w:rsidR="0030722B" w:rsidRPr="004602F2">
        <w:rPr>
          <w:rtl/>
        </w:rPr>
        <w:t xml:space="preserve"> </w:t>
      </w:r>
      <w:r w:rsidR="0030722B" w:rsidRPr="004602F2">
        <w:rPr>
          <w:rFonts w:hint="eastAsia"/>
          <w:rtl/>
        </w:rPr>
        <w:t>עצמית</w:t>
      </w:r>
      <w:r w:rsidR="0030722B" w:rsidRPr="004602F2">
        <w:rPr>
          <w:rtl/>
        </w:rPr>
        <w:t xml:space="preserve">. </w:t>
      </w:r>
      <w:r w:rsidR="0030722B" w:rsidRPr="004602F2">
        <w:rPr>
          <w:rFonts w:hint="eastAsia"/>
          <w:rtl/>
        </w:rPr>
        <w:t>כן</w:t>
      </w:r>
      <w:r w:rsidR="0030722B" w:rsidRPr="004602F2">
        <w:rPr>
          <w:rtl/>
        </w:rPr>
        <w:t xml:space="preserve"> </w:t>
      </w:r>
      <w:r w:rsidR="0030722B" w:rsidRPr="004602F2">
        <w:rPr>
          <w:rFonts w:hint="eastAsia"/>
          <w:rtl/>
        </w:rPr>
        <w:t>נמצאו</w:t>
      </w:r>
      <w:r w:rsidR="0030722B" w:rsidRPr="004602F2">
        <w:rPr>
          <w:rtl/>
        </w:rPr>
        <w:t xml:space="preserve"> </w:t>
      </w:r>
      <w:r w:rsidR="0030722B" w:rsidRPr="004602F2">
        <w:rPr>
          <w:rFonts w:hint="eastAsia"/>
          <w:rtl/>
        </w:rPr>
        <w:t>כלים</w:t>
      </w:r>
      <w:r w:rsidR="0030722B" w:rsidRPr="004602F2">
        <w:rPr>
          <w:rtl/>
        </w:rPr>
        <w:t xml:space="preserve"> </w:t>
      </w:r>
      <w:r w:rsidR="0030722B" w:rsidRPr="004602F2">
        <w:rPr>
          <w:rFonts w:hint="eastAsia"/>
          <w:rtl/>
        </w:rPr>
        <w:t>להכנת</w:t>
      </w:r>
      <w:r w:rsidR="0030722B" w:rsidRPr="004602F2">
        <w:rPr>
          <w:rtl/>
        </w:rPr>
        <w:t xml:space="preserve"> </w:t>
      </w:r>
      <w:r w:rsidR="0030722B" w:rsidRPr="004602F2">
        <w:rPr>
          <w:rFonts w:hint="eastAsia"/>
          <w:rtl/>
        </w:rPr>
        <w:t>סם</w:t>
      </w:r>
      <w:r w:rsidR="0030722B" w:rsidRPr="004602F2">
        <w:rPr>
          <w:rtl/>
        </w:rPr>
        <w:t xml:space="preserve">. </w:t>
      </w:r>
      <w:r w:rsidR="0030722B" w:rsidRPr="007F0CF2">
        <w:rPr>
          <w:rtl/>
        </w:rPr>
        <w:t xml:space="preserve">בית </w:t>
      </w:r>
      <w:r w:rsidR="0030722B">
        <w:rPr>
          <w:rFonts w:hint="cs"/>
          <w:rtl/>
        </w:rPr>
        <w:t>ה</w:t>
      </w:r>
      <w:r w:rsidR="0030722B" w:rsidRPr="007F0CF2">
        <w:rPr>
          <w:rtl/>
        </w:rPr>
        <w:t>משפט</w:t>
      </w:r>
      <w:r w:rsidR="0030722B" w:rsidRPr="004602F2">
        <w:rPr>
          <w:rtl/>
        </w:rPr>
        <w:t xml:space="preserve"> נמנע </w:t>
      </w:r>
      <w:r w:rsidR="0030722B">
        <w:rPr>
          <w:rFonts w:hint="cs"/>
          <w:rtl/>
        </w:rPr>
        <w:t xml:space="preserve">מהרשעתו והטיל על הנאשם </w:t>
      </w:r>
      <w:r w:rsidR="0030722B" w:rsidRPr="004602F2">
        <w:rPr>
          <w:rtl/>
        </w:rPr>
        <w:t xml:space="preserve">של"צ, </w:t>
      </w:r>
      <w:r w:rsidR="0030722B" w:rsidRPr="004602F2">
        <w:rPr>
          <w:rFonts w:hint="eastAsia"/>
          <w:rtl/>
        </w:rPr>
        <w:t>צו</w:t>
      </w:r>
      <w:r w:rsidR="0030722B" w:rsidRPr="004602F2">
        <w:rPr>
          <w:rtl/>
        </w:rPr>
        <w:t xml:space="preserve"> </w:t>
      </w:r>
      <w:r w:rsidR="0030722B" w:rsidRPr="004602F2">
        <w:rPr>
          <w:rFonts w:hint="eastAsia"/>
          <w:rtl/>
        </w:rPr>
        <w:t>מבחן</w:t>
      </w:r>
      <w:r w:rsidR="0030722B" w:rsidRPr="004602F2">
        <w:rPr>
          <w:rtl/>
        </w:rPr>
        <w:t xml:space="preserve"> </w:t>
      </w:r>
      <w:r w:rsidR="0030722B" w:rsidRPr="004602F2">
        <w:rPr>
          <w:rFonts w:hint="eastAsia"/>
          <w:rtl/>
        </w:rPr>
        <w:t>וענישה</w:t>
      </w:r>
      <w:r w:rsidR="0030722B" w:rsidRPr="004602F2">
        <w:rPr>
          <w:rtl/>
        </w:rPr>
        <w:t xml:space="preserve"> </w:t>
      </w:r>
      <w:r w:rsidR="0030722B" w:rsidRPr="004602F2">
        <w:rPr>
          <w:rFonts w:hint="eastAsia"/>
          <w:rtl/>
        </w:rPr>
        <w:t>נלווית</w:t>
      </w:r>
      <w:r w:rsidR="0030722B" w:rsidRPr="004602F2">
        <w:rPr>
          <w:rtl/>
        </w:rPr>
        <w:t xml:space="preserve">. </w:t>
      </w:r>
    </w:p>
    <w:p w14:paraId="7050D20E" w14:textId="77777777" w:rsidR="0030722B" w:rsidRPr="00823DD1" w:rsidRDefault="0030722B" w:rsidP="0030722B">
      <w:pPr>
        <w:pStyle w:val="a9"/>
        <w:rPr>
          <w:rtl/>
        </w:rPr>
      </w:pPr>
    </w:p>
    <w:p w14:paraId="67975CFE" w14:textId="77777777" w:rsidR="0030722B" w:rsidRDefault="0094334C" w:rsidP="0030722B">
      <w:pPr>
        <w:pStyle w:val="a9"/>
        <w:numPr>
          <w:ilvl w:val="0"/>
          <w:numId w:val="3"/>
        </w:numPr>
        <w:shd w:val="clear" w:color="auto" w:fill="FFFFFF"/>
        <w:spacing w:line="360" w:lineRule="auto"/>
        <w:ind w:left="894"/>
        <w:jc w:val="both"/>
      </w:pPr>
      <w:hyperlink r:id="rId30" w:history="1">
        <w:r w:rsidRPr="0094334C">
          <w:rPr>
            <w:color w:val="0000FF"/>
            <w:u w:val="single"/>
            <w:rtl/>
          </w:rPr>
          <w:t>ת"פ (ת"א) 23797-03-14</w:t>
        </w:r>
      </w:hyperlink>
      <w:r w:rsidR="0030722B" w:rsidRPr="007F0CF2">
        <w:rPr>
          <w:rtl/>
        </w:rPr>
        <w:t xml:space="preserve"> </w:t>
      </w:r>
      <w:r w:rsidR="0030722B" w:rsidRPr="004602F2">
        <w:rPr>
          <w:rFonts w:hint="eastAsia"/>
          <w:b/>
          <w:bCs/>
          <w:rtl/>
        </w:rPr>
        <w:t>מדינת</w:t>
      </w:r>
      <w:r w:rsidR="0030722B" w:rsidRPr="004602F2">
        <w:rPr>
          <w:b/>
          <w:bCs/>
          <w:rtl/>
        </w:rPr>
        <w:t xml:space="preserve"> </w:t>
      </w:r>
      <w:r w:rsidR="0030722B" w:rsidRPr="004602F2">
        <w:rPr>
          <w:rFonts w:hint="eastAsia"/>
          <w:b/>
          <w:bCs/>
          <w:rtl/>
        </w:rPr>
        <w:t>ישראל</w:t>
      </w:r>
      <w:r w:rsidR="0030722B" w:rsidRPr="004602F2">
        <w:rPr>
          <w:b/>
          <w:bCs/>
          <w:rtl/>
        </w:rPr>
        <w:t xml:space="preserve"> </w:t>
      </w:r>
      <w:r w:rsidR="0030722B" w:rsidRPr="004602F2">
        <w:rPr>
          <w:rFonts w:hint="eastAsia"/>
          <w:b/>
          <w:bCs/>
          <w:rtl/>
        </w:rPr>
        <w:t>נ</w:t>
      </w:r>
      <w:r w:rsidR="0030722B" w:rsidRPr="004602F2">
        <w:rPr>
          <w:b/>
          <w:bCs/>
          <w:rtl/>
        </w:rPr>
        <w:t xml:space="preserve">' </w:t>
      </w:r>
      <w:r w:rsidR="0030722B" w:rsidRPr="004602F2">
        <w:rPr>
          <w:rFonts w:hint="eastAsia"/>
          <w:b/>
          <w:bCs/>
          <w:rtl/>
        </w:rPr>
        <w:t>רן</w:t>
      </w:r>
      <w:r w:rsidR="0030722B" w:rsidRPr="004602F2">
        <w:rPr>
          <w:b/>
          <w:bCs/>
          <w:rtl/>
        </w:rPr>
        <w:t xml:space="preserve"> </w:t>
      </w:r>
      <w:r w:rsidR="0030722B" w:rsidRPr="004602F2">
        <w:rPr>
          <w:rFonts w:hint="eastAsia"/>
          <w:b/>
          <w:bCs/>
          <w:rtl/>
        </w:rPr>
        <w:t>אביב</w:t>
      </w:r>
      <w:r w:rsidR="0030722B" w:rsidRPr="004602F2">
        <w:rPr>
          <w:rtl/>
        </w:rPr>
        <w:t xml:space="preserve"> (01.12.15), </w:t>
      </w:r>
      <w:r w:rsidR="0030722B">
        <w:rPr>
          <w:rFonts w:hint="cs"/>
          <w:rtl/>
        </w:rPr>
        <w:t xml:space="preserve">עבירה של </w:t>
      </w:r>
      <w:r w:rsidR="0030722B" w:rsidRPr="004602F2">
        <w:rPr>
          <w:rFonts w:hint="eastAsia"/>
          <w:rtl/>
        </w:rPr>
        <w:t>גידול</w:t>
      </w:r>
      <w:r w:rsidR="0030722B" w:rsidRPr="004602F2">
        <w:rPr>
          <w:rtl/>
        </w:rPr>
        <w:t xml:space="preserve"> </w:t>
      </w:r>
      <w:r w:rsidR="0030722B" w:rsidRPr="004602F2">
        <w:rPr>
          <w:rFonts w:hint="eastAsia"/>
          <w:rtl/>
        </w:rPr>
        <w:t>סם</w:t>
      </w:r>
      <w:r w:rsidR="0030722B" w:rsidRPr="004602F2">
        <w:rPr>
          <w:rtl/>
        </w:rPr>
        <w:t xml:space="preserve"> </w:t>
      </w:r>
      <w:r w:rsidR="0030722B" w:rsidRPr="004602F2">
        <w:rPr>
          <w:rFonts w:hint="eastAsia"/>
          <w:rtl/>
        </w:rPr>
        <w:t>והחזקת</w:t>
      </w:r>
      <w:r w:rsidR="0030722B" w:rsidRPr="004602F2">
        <w:rPr>
          <w:rtl/>
        </w:rPr>
        <w:t xml:space="preserve"> </w:t>
      </w:r>
      <w:r w:rsidR="0030722B" w:rsidRPr="004602F2">
        <w:rPr>
          <w:rFonts w:hint="eastAsia"/>
          <w:rtl/>
        </w:rPr>
        <w:t>כלים</w:t>
      </w:r>
      <w:r w:rsidR="0030722B" w:rsidRPr="004602F2">
        <w:rPr>
          <w:rtl/>
        </w:rPr>
        <w:t xml:space="preserve"> </w:t>
      </w:r>
      <w:r w:rsidR="0030722B" w:rsidRPr="004602F2">
        <w:rPr>
          <w:rFonts w:hint="eastAsia"/>
          <w:rtl/>
        </w:rPr>
        <w:t>שלא</w:t>
      </w:r>
      <w:r w:rsidR="0030722B" w:rsidRPr="004602F2">
        <w:rPr>
          <w:rtl/>
        </w:rPr>
        <w:t xml:space="preserve"> </w:t>
      </w:r>
      <w:r w:rsidR="0030722B" w:rsidRPr="004602F2">
        <w:rPr>
          <w:rFonts w:hint="eastAsia"/>
          <w:rtl/>
        </w:rPr>
        <w:t>לצריכה</w:t>
      </w:r>
      <w:r w:rsidR="0030722B" w:rsidRPr="004602F2">
        <w:rPr>
          <w:rtl/>
        </w:rPr>
        <w:t xml:space="preserve"> </w:t>
      </w:r>
      <w:r w:rsidR="0030722B" w:rsidRPr="004602F2">
        <w:rPr>
          <w:rFonts w:hint="eastAsia"/>
          <w:rtl/>
        </w:rPr>
        <w:t>עצמית</w:t>
      </w:r>
      <w:r w:rsidR="0030722B" w:rsidRPr="004602F2">
        <w:rPr>
          <w:rtl/>
        </w:rPr>
        <w:t xml:space="preserve">. </w:t>
      </w:r>
      <w:r w:rsidR="0030722B" w:rsidRPr="004602F2">
        <w:rPr>
          <w:rFonts w:hint="eastAsia"/>
          <w:rtl/>
        </w:rPr>
        <w:t>הנאשם</w:t>
      </w:r>
      <w:r w:rsidR="0030722B" w:rsidRPr="004602F2">
        <w:rPr>
          <w:rtl/>
        </w:rPr>
        <w:t xml:space="preserve"> </w:t>
      </w:r>
      <w:r w:rsidR="0030722B" w:rsidRPr="004602F2">
        <w:rPr>
          <w:rFonts w:hint="eastAsia"/>
          <w:rtl/>
        </w:rPr>
        <w:t>החזיק</w:t>
      </w:r>
      <w:r w:rsidR="0030722B" w:rsidRPr="004602F2">
        <w:rPr>
          <w:rtl/>
        </w:rPr>
        <w:t xml:space="preserve"> </w:t>
      </w:r>
      <w:r w:rsidR="0030722B" w:rsidRPr="004602F2">
        <w:rPr>
          <w:rFonts w:hint="eastAsia"/>
          <w:rtl/>
        </w:rPr>
        <w:t>בדירתו</w:t>
      </w:r>
      <w:r w:rsidR="0030722B" w:rsidRPr="004602F2">
        <w:rPr>
          <w:rtl/>
        </w:rPr>
        <w:t xml:space="preserve"> </w:t>
      </w:r>
      <w:r w:rsidR="0030722B" w:rsidRPr="004602F2">
        <w:rPr>
          <w:rFonts w:hint="eastAsia"/>
          <w:rtl/>
        </w:rPr>
        <w:t>קנבוס</w:t>
      </w:r>
      <w:r w:rsidR="0030722B" w:rsidRPr="004602F2">
        <w:rPr>
          <w:rtl/>
        </w:rPr>
        <w:t xml:space="preserve"> </w:t>
      </w:r>
      <w:r w:rsidR="0030722B" w:rsidRPr="004602F2">
        <w:rPr>
          <w:rFonts w:hint="eastAsia"/>
          <w:rtl/>
        </w:rPr>
        <w:t>במשקל</w:t>
      </w:r>
      <w:r w:rsidR="0030722B" w:rsidRPr="004602F2">
        <w:rPr>
          <w:rtl/>
        </w:rPr>
        <w:t xml:space="preserve"> 48.31 </w:t>
      </w:r>
      <w:r w:rsidR="0030722B" w:rsidRPr="004602F2">
        <w:rPr>
          <w:rFonts w:hint="eastAsia"/>
          <w:rtl/>
        </w:rPr>
        <w:t>גר</w:t>
      </w:r>
      <w:r w:rsidR="0030722B" w:rsidRPr="004602F2">
        <w:rPr>
          <w:rtl/>
        </w:rPr>
        <w:t xml:space="preserve">' </w:t>
      </w:r>
      <w:r w:rsidR="0030722B" w:rsidRPr="004602F2">
        <w:rPr>
          <w:rFonts w:hint="eastAsia"/>
          <w:rtl/>
        </w:rPr>
        <w:t>נטו</w:t>
      </w:r>
      <w:r w:rsidR="0030722B" w:rsidRPr="004602F2">
        <w:rPr>
          <w:rtl/>
        </w:rPr>
        <w:t xml:space="preserve">, </w:t>
      </w:r>
      <w:r w:rsidR="0030722B" w:rsidRPr="004602F2">
        <w:rPr>
          <w:rFonts w:hint="eastAsia"/>
          <w:rtl/>
        </w:rPr>
        <w:t>חשיש</w:t>
      </w:r>
      <w:r w:rsidR="0030722B" w:rsidRPr="004602F2">
        <w:rPr>
          <w:rtl/>
        </w:rPr>
        <w:t xml:space="preserve"> </w:t>
      </w:r>
      <w:r w:rsidR="0030722B" w:rsidRPr="004602F2">
        <w:rPr>
          <w:rFonts w:hint="eastAsia"/>
          <w:rtl/>
        </w:rPr>
        <w:t>במשקל</w:t>
      </w:r>
      <w:r w:rsidR="0030722B" w:rsidRPr="004602F2">
        <w:rPr>
          <w:rtl/>
        </w:rPr>
        <w:t xml:space="preserve"> 9.1 </w:t>
      </w:r>
      <w:r w:rsidR="0030722B" w:rsidRPr="004602F2">
        <w:rPr>
          <w:rFonts w:hint="eastAsia"/>
          <w:rtl/>
        </w:rPr>
        <w:t>גר</w:t>
      </w:r>
      <w:r w:rsidR="0030722B" w:rsidRPr="004602F2">
        <w:rPr>
          <w:rtl/>
        </w:rPr>
        <w:t xml:space="preserve">' </w:t>
      </w:r>
      <w:r w:rsidR="0030722B" w:rsidRPr="004602F2">
        <w:rPr>
          <w:rFonts w:hint="eastAsia"/>
          <w:rtl/>
        </w:rPr>
        <w:t>נטו</w:t>
      </w:r>
      <w:r w:rsidR="0030722B" w:rsidRPr="004602F2">
        <w:rPr>
          <w:rtl/>
        </w:rPr>
        <w:t xml:space="preserve"> </w:t>
      </w:r>
      <w:r w:rsidR="0030722B" w:rsidRPr="004602F2">
        <w:rPr>
          <w:rFonts w:hint="eastAsia"/>
          <w:rtl/>
        </w:rPr>
        <w:t>ושתילי</w:t>
      </w:r>
      <w:r w:rsidR="0030722B" w:rsidRPr="004602F2">
        <w:rPr>
          <w:rtl/>
        </w:rPr>
        <w:t xml:space="preserve"> </w:t>
      </w:r>
      <w:r w:rsidR="0030722B" w:rsidRPr="004602F2">
        <w:rPr>
          <w:rFonts w:hint="eastAsia"/>
          <w:rtl/>
        </w:rPr>
        <w:t>קנבוס</w:t>
      </w:r>
      <w:r w:rsidR="0030722B" w:rsidRPr="004602F2">
        <w:rPr>
          <w:rtl/>
        </w:rPr>
        <w:t xml:space="preserve"> (</w:t>
      </w:r>
      <w:r w:rsidR="0030722B" w:rsidRPr="004602F2">
        <w:rPr>
          <w:rFonts w:hint="eastAsia"/>
          <w:rtl/>
        </w:rPr>
        <w:t>לא</w:t>
      </w:r>
      <w:r w:rsidR="0030722B" w:rsidRPr="004602F2">
        <w:rPr>
          <w:rtl/>
        </w:rPr>
        <w:t xml:space="preserve"> </w:t>
      </w:r>
      <w:r w:rsidR="0030722B" w:rsidRPr="004602F2">
        <w:rPr>
          <w:rFonts w:hint="eastAsia"/>
          <w:rtl/>
        </w:rPr>
        <w:t>מצוינת</w:t>
      </w:r>
      <w:r w:rsidR="0030722B" w:rsidRPr="004602F2">
        <w:rPr>
          <w:rtl/>
        </w:rPr>
        <w:t xml:space="preserve"> </w:t>
      </w:r>
      <w:r w:rsidR="0030722B" w:rsidRPr="004602F2">
        <w:rPr>
          <w:rFonts w:hint="eastAsia"/>
          <w:rtl/>
        </w:rPr>
        <w:t>כמות</w:t>
      </w:r>
      <w:r w:rsidR="0030722B" w:rsidRPr="004602F2">
        <w:rPr>
          <w:rtl/>
        </w:rPr>
        <w:t xml:space="preserve">) </w:t>
      </w:r>
      <w:r w:rsidR="0030722B" w:rsidRPr="004602F2">
        <w:rPr>
          <w:rFonts w:hint="eastAsia"/>
          <w:rtl/>
        </w:rPr>
        <w:t>שסך</w:t>
      </w:r>
      <w:r w:rsidR="0030722B" w:rsidRPr="004602F2">
        <w:rPr>
          <w:rtl/>
        </w:rPr>
        <w:t xml:space="preserve"> </w:t>
      </w:r>
      <w:r w:rsidR="0030722B" w:rsidRPr="004602F2">
        <w:rPr>
          <w:rFonts w:hint="eastAsia"/>
          <w:rtl/>
        </w:rPr>
        <w:t>משקלם</w:t>
      </w:r>
      <w:r w:rsidR="0030722B" w:rsidRPr="004602F2">
        <w:rPr>
          <w:rtl/>
        </w:rPr>
        <w:t xml:space="preserve"> 923.62 </w:t>
      </w:r>
      <w:r w:rsidR="0030722B" w:rsidRPr="004602F2">
        <w:rPr>
          <w:rFonts w:hint="eastAsia"/>
          <w:rtl/>
        </w:rPr>
        <w:t>גר</w:t>
      </w:r>
      <w:r w:rsidR="0030722B" w:rsidRPr="004602F2">
        <w:rPr>
          <w:rtl/>
        </w:rPr>
        <w:t xml:space="preserve">' </w:t>
      </w:r>
      <w:r w:rsidR="0030722B" w:rsidRPr="004602F2">
        <w:rPr>
          <w:rFonts w:hint="eastAsia"/>
          <w:rtl/>
        </w:rPr>
        <w:t>נטו</w:t>
      </w:r>
      <w:r w:rsidR="0030722B" w:rsidRPr="004602F2">
        <w:rPr>
          <w:rtl/>
        </w:rPr>
        <w:t xml:space="preserve"> </w:t>
      </w:r>
      <w:r w:rsidR="0030722B" w:rsidRPr="004602F2">
        <w:rPr>
          <w:rFonts w:hint="eastAsia"/>
          <w:rtl/>
        </w:rPr>
        <w:t>וכן</w:t>
      </w:r>
      <w:r w:rsidR="0030722B" w:rsidRPr="004602F2">
        <w:rPr>
          <w:rtl/>
        </w:rPr>
        <w:t xml:space="preserve"> </w:t>
      </w:r>
      <w:r w:rsidR="0030722B" w:rsidRPr="004602F2">
        <w:rPr>
          <w:rFonts w:hint="eastAsia"/>
          <w:rtl/>
        </w:rPr>
        <w:t>כלי</w:t>
      </w:r>
      <w:r w:rsidR="0030722B" w:rsidRPr="004602F2">
        <w:rPr>
          <w:rtl/>
        </w:rPr>
        <w:t xml:space="preserve"> </w:t>
      </w:r>
      <w:r w:rsidR="0030722B" w:rsidRPr="004602F2">
        <w:rPr>
          <w:rFonts w:hint="eastAsia"/>
          <w:rtl/>
        </w:rPr>
        <w:t>מעבדה</w:t>
      </w:r>
      <w:r w:rsidR="0030722B" w:rsidRPr="004602F2">
        <w:rPr>
          <w:rtl/>
        </w:rPr>
        <w:t xml:space="preserve">. בית </w:t>
      </w:r>
      <w:r w:rsidR="0030722B">
        <w:rPr>
          <w:rFonts w:hint="cs"/>
          <w:rtl/>
        </w:rPr>
        <w:t>ה</w:t>
      </w:r>
      <w:r w:rsidR="0030722B" w:rsidRPr="004602F2">
        <w:rPr>
          <w:rtl/>
        </w:rPr>
        <w:t xml:space="preserve">משפט נמנע </w:t>
      </w:r>
      <w:r w:rsidR="0030722B">
        <w:rPr>
          <w:rFonts w:hint="cs"/>
          <w:rtl/>
        </w:rPr>
        <w:t xml:space="preserve">מהרשעת הנאשם, והטיל עליו </w:t>
      </w:r>
      <w:r w:rsidR="0030722B" w:rsidRPr="004602F2">
        <w:rPr>
          <w:rFonts w:hint="eastAsia"/>
          <w:rtl/>
        </w:rPr>
        <w:t>של</w:t>
      </w:r>
      <w:r w:rsidR="0030722B" w:rsidRPr="004602F2">
        <w:rPr>
          <w:rtl/>
        </w:rPr>
        <w:t>"</w:t>
      </w:r>
      <w:r w:rsidR="0030722B" w:rsidRPr="004602F2">
        <w:rPr>
          <w:rFonts w:hint="eastAsia"/>
          <w:rtl/>
        </w:rPr>
        <w:t>צ</w:t>
      </w:r>
      <w:r w:rsidR="0030722B" w:rsidRPr="004602F2">
        <w:rPr>
          <w:rtl/>
        </w:rPr>
        <w:t xml:space="preserve"> </w:t>
      </w:r>
      <w:r w:rsidR="0030722B" w:rsidRPr="004602F2">
        <w:rPr>
          <w:rFonts w:hint="eastAsia"/>
          <w:rtl/>
        </w:rPr>
        <w:t>וענישה</w:t>
      </w:r>
      <w:r w:rsidR="0030722B" w:rsidRPr="004602F2">
        <w:rPr>
          <w:rtl/>
        </w:rPr>
        <w:t xml:space="preserve"> </w:t>
      </w:r>
      <w:r w:rsidR="0030722B" w:rsidRPr="004602F2">
        <w:rPr>
          <w:rFonts w:hint="eastAsia"/>
          <w:rtl/>
        </w:rPr>
        <w:t>נלווית</w:t>
      </w:r>
      <w:r w:rsidR="0030722B" w:rsidRPr="004602F2">
        <w:rPr>
          <w:rtl/>
        </w:rPr>
        <w:t>.</w:t>
      </w:r>
    </w:p>
    <w:p w14:paraId="34D76A7E" w14:textId="77777777" w:rsidR="0030722B" w:rsidRPr="00823DD1" w:rsidRDefault="0030722B" w:rsidP="0030722B">
      <w:pPr>
        <w:pStyle w:val="a9"/>
        <w:rPr>
          <w:rtl/>
        </w:rPr>
      </w:pPr>
    </w:p>
    <w:p w14:paraId="471D4508" w14:textId="77777777" w:rsidR="0030722B" w:rsidRDefault="0094334C" w:rsidP="0030722B">
      <w:pPr>
        <w:pStyle w:val="a9"/>
        <w:numPr>
          <w:ilvl w:val="0"/>
          <w:numId w:val="3"/>
        </w:numPr>
        <w:shd w:val="clear" w:color="auto" w:fill="FFFFFF"/>
        <w:spacing w:line="360" w:lineRule="auto"/>
        <w:ind w:left="894"/>
        <w:jc w:val="both"/>
      </w:pPr>
      <w:hyperlink r:id="rId31" w:history="1">
        <w:r w:rsidRPr="0094334C">
          <w:rPr>
            <w:color w:val="0000FF"/>
            <w:u w:val="single"/>
            <w:rtl/>
          </w:rPr>
          <w:t>ת"פ (ק"ג) 35384-05-14</w:t>
        </w:r>
      </w:hyperlink>
      <w:r w:rsidR="0030722B" w:rsidRPr="0094334C">
        <w:rPr>
          <w:color w:val="000000"/>
          <w:rtl/>
        </w:rPr>
        <w:t xml:space="preserve"> </w:t>
      </w:r>
      <w:r w:rsidR="0030722B" w:rsidRPr="007F0CF2">
        <w:rPr>
          <w:rtl/>
        </w:rPr>
        <w:t xml:space="preserve"> </w:t>
      </w:r>
      <w:r w:rsidR="0030722B" w:rsidRPr="004602F2">
        <w:rPr>
          <w:rFonts w:hint="eastAsia"/>
          <w:b/>
          <w:bCs/>
          <w:rtl/>
        </w:rPr>
        <w:t>מדינת</w:t>
      </w:r>
      <w:r w:rsidR="0030722B" w:rsidRPr="004602F2">
        <w:rPr>
          <w:b/>
          <w:bCs/>
          <w:rtl/>
        </w:rPr>
        <w:t xml:space="preserve"> </w:t>
      </w:r>
      <w:r w:rsidR="0030722B" w:rsidRPr="004602F2">
        <w:rPr>
          <w:rFonts w:hint="eastAsia"/>
          <w:b/>
          <w:bCs/>
          <w:rtl/>
        </w:rPr>
        <w:t>ישראל</w:t>
      </w:r>
      <w:r w:rsidR="0030722B" w:rsidRPr="004602F2">
        <w:rPr>
          <w:b/>
          <w:bCs/>
          <w:rtl/>
        </w:rPr>
        <w:t xml:space="preserve"> </w:t>
      </w:r>
      <w:r w:rsidR="0030722B" w:rsidRPr="004602F2">
        <w:rPr>
          <w:rFonts w:hint="eastAsia"/>
          <w:b/>
          <w:bCs/>
          <w:rtl/>
        </w:rPr>
        <w:t>נ</w:t>
      </w:r>
      <w:r w:rsidR="0030722B" w:rsidRPr="004602F2">
        <w:rPr>
          <w:b/>
          <w:bCs/>
          <w:rtl/>
        </w:rPr>
        <w:t xml:space="preserve">' </w:t>
      </w:r>
      <w:r w:rsidR="0030722B" w:rsidRPr="004602F2">
        <w:rPr>
          <w:rFonts w:hint="eastAsia"/>
          <w:b/>
          <w:bCs/>
          <w:rtl/>
        </w:rPr>
        <w:t>אסף</w:t>
      </w:r>
      <w:r w:rsidR="0030722B" w:rsidRPr="004602F2">
        <w:rPr>
          <w:b/>
          <w:bCs/>
          <w:rtl/>
        </w:rPr>
        <w:t xml:space="preserve"> </w:t>
      </w:r>
      <w:r w:rsidR="0030722B" w:rsidRPr="004602F2">
        <w:rPr>
          <w:rFonts w:hint="eastAsia"/>
          <w:b/>
          <w:bCs/>
          <w:rtl/>
        </w:rPr>
        <w:t>עטיה</w:t>
      </w:r>
      <w:r w:rsidR="0030722B" w:rsidRPr="004602F2">
        <w:rPr>
          <w:b/>
          <w:bCs/>
          <w:rtl/>
        </w:rPr>
        <w:t xml:space="preserve"> ואח'</w:t>
      </w:r>
      <w:r w:rsidR="0030722B" w:rsidRPr="007F0CF2">
        <w:rPr>
          <w:rtl/>
        </w:rPr>
        <w:t xml:space="preserve"> (30.03.16), </w:t>
      </w:r>
      <w:r w:rsidR="0030722B">
        <w:rPr>
          <w:rFonts w:hint="cs"/>
          <w:rtl/>
        </w:rPr>
        <w:t xml:space="preserve">עבירה של </w:t>
      </w:r>
      <w:r w:rsidR="0030722B" w:rsidRPr="004602F2">
        <w:rPr>
          <w:rFonts w:hint="eastAsia"/>
          <w:rtl/>
        </w:rPr>
        <w:t>גידול</w:t>
      </w:r>
      <w:r w:rsidR="0030722B" w:rsidRPr="004602F2">
        <w:rPr>
          <w:rtl/>
        </w:rPr>
        <w:t xml:space="preserve"> </w:t>
      </w:r>
      <w:r w:rsidR="0030722B" w:rsidRPr="004602F2">
        <w:rPr>
          <w:rFonts w:hint="eastAsia"/>
          <w:rtl/>
        </w:rPr>
        <w:t>סם</w:t>
      </w:r>
      <w:r w:rsidR="0030722B" w:rsidRPr="004602F2">
        <w:rPr>
          <w:rtl/>
        </w:rPr>
        <w:t xml:space="preserve"> </w:t>
      </w:r>
      <w:r w:rsidR="0030722B" w:rsidRPr="004602F2">
        <w:rPr>
          <w:rFonts w:hint="eastAsia"/>
          <w:rtl/>
        </w:rPr>
        <w:t>והחזקת</w:t>
      </w:r>
      <w:r w:rsidR="0030722B" w:rsidRPr="004602F2">
        <w:rPr>
          <w:rtl/>
        </w:rPr>
        <w:t xml:space="preserve"> </w:t>
      </w:r>
      <w:r w:rsidR="0030722B" w:rsidRPr="004602F2">
        <w:rPr>
          <w:rFonts w:hint="eastAsia"/>
          <w:rtl/>
        </w:rPr>
        <w:t>כלים</w:t>
      </w:r>
      <w:r w:rsidR="0030722B" w:rsidRPr="004602F2">
        <w:rPr>
          <w:rtl/>
        </w:rPr>
        <w:t xml:space="preserve"> </w:t>
      </w:r>
      <w:r w:rsidR="0030722B" w:rsidRPr="004602F2">
        <w:rPr>
          <w:rFonts w:hint="eastAsia"/>
          <w:rtl/>
        </w:rPr>
        <w:t>להכנת</w:t>
      </w:r>
      <w:r w:rsidR="0030722B" w:rsidRPr="004602F2">
        <w:rPr>
          <w:rtl/>
        </w:rPr>
        <w:t xml:space="preserve"> </w:t>
      </w:r>
      <w:r w:rsidR="0030722B" w:rsidRPr="004602F2">
        <w:rPr>
          <w:rFonts w:hint="eastAsia"/>
          <w:rtl/>
        </w:rPr>
        <w:t>סם</w:t>
      </w:r>
      <w:r w:rsidR="0030722B" w:rsidRPr="004602F2">
        <w:rPr>
          <w:rtl/>
        </w:rPr>
        <w:t xml:space="preserve"> </w:t>
      </w:r>
      <w:r w:rsidR="0030722B" w:rsidRPr="004602F2">
        <w:rPr>
          <w:rFonts w:hint="eastAsia"/>
          <w:rtl/>
        </w:rPr>
        <w:t>שלא</w:t>
      </w:r>
      <w:r w:rsidR="0030722B" w:rsidRPr="004602F2">
        <w:rPr>
          <w:rtl/>
        </w:rPr>
        <w:t xml:space="preserve"> </w:t>
      </w:r>
      <w:r w:rsidR="0030722B" w:rsidRPr="004602F2">
        <w:rPr>
          <w:rFonts w:hint="eastAsia"/>
          <w:rtl/>
        </w:rPr>
        <w:t>לצריכה</w:t>
      </w:r>
      <w:r w:rsidR="0030722B" w:rsidRPr="004602F2">
        <w:rPr>
          <w:rtl/>
        </w:rPr>
        <w:t xml:space="preserve"> </w:t>
      </w:r>
      <w:r w:rsidR="0030722B" w:rsidRPr="004602F2">
        <w:rPr>
          <w:rFonts w:hint="eastAsia"/>
          <w:rtl/>
        </w:rPr>
        <w:t>עצמית</w:t>
      </w:r>
      <w:r w:rsidR="0030722B" w:rsidRPr="004602F2">
        <w:rPr>
          <w:rtl/>
        </w:rPr>
        <w:t xml:space="preserve">. </w:t>
      </w:r>
      <w:r w:rsidR="0030722B" w:rsidRPr="004602F2">
        <w:rPr>
          <w:rFonts w:hint="eastAsia"/>
          <w:rtl/>
        </w:rPr>
        <w:t>הנאשמים</w:t>
      </w:r>
      <w:r w:rsidR="0030722B" w:rsidRPr="004602F2">
        <w:rPr>
          <w:rtl/>
        </w:rPr>
        <w:t xml:space="preserve"> </w:t>
      </w:r>
      <w:r w:rsidR="0030722B" w:rsidRPr="004602F2">
        <w:rPr>
          <w:rFonts w:hint="eastAsia"/>
          <w:rtl/>
        </w:rPr>
        <w:t>גידלו</w:t>
      </w:r>
      <w:r w:rsidR="0030722B" w:rsidRPr="004602F2">
        <w:rPr>
          <w:rtl/>
        </w:rPr>
        <w:t xml:space="preserve"> </w:t>
      </w:r>
      <w:r w:rsidR="0030722B" w:rsidRPr="004602F2">
        <w:rPr>
          <w:rFonts w:hint="eastAsia"/>
          <w:rtl/>
        </w:rPr>
        <w:t>בדירה</w:t>
      </w:r>
      <w:r w:rsidR="0030722B" w:rsidRPr="004602F2">
        <w:rPr>
          <w:rtl/>
        </w:rPr>
        <w:t xml:space="preserve"> 4 </w:t>
      </w:r>
      <w:r w:rsidR="0030722B" w:rsidRPr="004602F2">
        <w:rPr>
          <w:rFonts w:hint="eastAsia"/>
          <w:rtl/>
        </w:rPr>
        <w:t>עציצים</w:t>
      </w:r>
      <w:r w:rsidR="0030722B" w:rsidRPr="004602F2">
        <w:rPr>
          <w:rtl/>
        </w:rPr>
        <w:t xml:space="preserve"> </w:t>
      </w:r>
      <w:r w:rsidR="0030722B" w:rsidRPr="004602F2">
        <w:rPr>
          <w:rFonts w:hint="eastAsia"/>
          <w:rtl/>
        </w:rPr>
        <w:t>שמשקלם</w:t>
      </w:r>
      <w:r w:rsidR="0030722B" w:rsidRPr="004602F2">
        <w:rPr>
          <w:rtl/>
        </w:rPr>
        <w:t xml:space="preserve"> 394 </w:t>
      </w:r>
      <w:r w:rsidR="0030722B" w:rsidRPr="004602F2">
        <w:rPr>
          <w:rFonts w:hint="eastAsia"/>
          <w:rtl/>
        </w:rPr>
        <w:t>גר</w:t>
      </w:r>
      <w:r w:rsidR="0030722B" w:rsidRPr="004602F2">
        <w:rPr>
          <w:rtl/>
        </w:rPr>
        <w:t xml:space="preserve">' </w:t>
      </w:r>
      <w:r w:rsidR="0030722B" w:rsidRPr="004602F2">
        <w:rPr>
          <w:rFonts w:hint="eastAsia"/>
          <w:rtl/>
        </w:rPr>
        <w:t>נטו</w:t>
      </w:r>
      <w:r w:rsidR="0030722B" w:rsidRPr="004602F2">
        <w:rPr>
          <w:rtl/>
        </w:rPr>
        <w:t xml:space="preserve">, </w:t>
      </w:r>
      <w:r w:rsidR="0030722B" w:rsidRPr="004602F2">
        <w:rPr>
          <w:rFonts w:hint="eastAsia"/>
          <w:rtl/>
        </w:rPr>
        <w:t>וכן</w:t>
      </w:r>
      <w:r w:rsidR="0030722B" w:rsidRPr="004602F2">
        <w:rPr>
          <w:rtl/>
        </w:rPr>
        <w:t xml:space="preserve"> </w:t>
      </w:r>
      <w:r w:rsidR="0030722B" w:rsidRPr="004602F2">
        <w:rPr>
          <w:rFonts w:hint="eastAsia"/>
          <w:rtl/>
        </w:rPr>
        <w:t>נמצאו</w:t>
      </w:r>
      <w:r w:rsidR="0030722B" w:rsidRPr="004602F2">
        <w:rPr>
          <w:rtl/>
        </w:rPr>
        <w:t xml:space="preserve"> </w:t>
      </w:r>
      <w:r w:rsidR="0030722B" w:rsidRPr="004602F2">
        <w:rPr>
          <w:rFonts w:hint="eastAsia"/>
          <w:rtl/>
        </w:rPr>
        <w:t>כלים</w:t>
      </w:r>
      <w:r w:rsidR="0030722B" w:rsidRPr="004602F2">
        <w:rPr>
          <w:rtl/>
        </w:rPr>
        <w:t xml:space="preserve"> </w:t>
      </w:r>
      <w:r w:rsidR="0030722B" w:rsidRPr="004602F2">
        <w:rPr>
          <w:rFonts w:hint="eastAsia"/>
          <w:rtl/>
        </w:rPr>
        <w:t>לגידול</w:t>
      </w:r>
      <w:r w:rsidR="0030722B" w:rsidRPr="004602F2">
        <w:rPr>
          <w:rtl/>
        </w:rPr>
        <w:t xml:space="preserve">. בית </w:t>
      </w:r>
      <w:r w:rsidR="0030722B">
        <w:rPr>
          <w:rFonts w:hint="cs"/>
          <w:rtl/>
        </w:rPr>
        <w:t>ה</w:t>
      </w:r>
      <w:r w:rsidR="0030722B" w:rsidRPr="004602F2">
        <w:rPr>
          <w:rtl/>
        </w:rPr>
        <w:t xml:space="preserve">משפט נמנע </w:t>
      </w:r>
      <w:r w:rsidR="0030722B">
        <w:rPr>
          <w:rFonts w:hint="cs"/>
          <w:rtl/>
        </w:rPr>
        <w:t xml:space="preserve">מהרשעת הנאשמים, והטיל עליהם </w:t>
      </w:r>
      <w:r w:rsidR="0030722B" w:rsidRPr="004602F2">
        <w:rPr>
          <w:rtl/>
        </w:rPr>
        <w:t xml:space="preserve">של"צ, </w:t>
      </w:r>
      <w:r w:rsidR="0030722B">
        <w:rPr>
          <w:rFonts w:hint="cs"/>
          <w:rtl/>
        </w:rPr>
        <w:t xml:space="preserve">צו </w:t>
      </w:r>
      <w:r w:rsidR="0030722B" w:rsidRPr="004602F2">
        <w:rPr>
          <w:rFonts w:hint="eastAsia"/>
          <w:rtl/>
        </w:rPr>
        <w:t>מבחן</w:t>
      </w:r>
      <w:r w:rsidR="0030722B" w:rsidRPr="004602F2">
        <w:rPr>
          <w:rtl/>
        </w:rPr>
        <w:t xml:space="preserve"> </w:t>
      </w:r>
      <w:r w:rsidR="0030722B" w:rsidRPr="004602F2">
        <w:rPr>
          <w:rFonts w:hint="eastAsia"/>
          <w:rtl/>
        </w:rPr>
        <w:t>וענישה</w:t>
      </w:r>
      <w:r w:rsidR="0030722B" w:rsidRPr="004602F2">
        <w:rPr>
          <w:rtl/>
        </w:rPr>
        <w:t xml:space="preserve"> </w:t>
      </w:r>
      <w:r w:rsidR="0030722B" w:rsidRPr="004602F2">
        <w:rPr>
          <w:rFonts w:hint="eastAsia"/>
          <w:rtl/>
        </w:rPr>
        <w:t>נלווית</w:t>
      </w:r>
      <w:r w:rsidR="0030722B" w:rsidRPr="004602F2">
        <w:rPr>
          <w:rtl/>
        </w:rPr>
        <w:t>.</w:t>
      </w:r>
    </w:p>
    <w:p w14:paraId="48EE14E7" w14:textId="77777777" w:rsidR="0030722B" w:rsidRDefault="0030722B" w:rsidP="0030722B">
      <w:pPr>
        <w:pStyle w:val="a9"/>
        <w:rPr>
          <w:rtl/>
        </w:rPr>
      </w:pPr>
    </w:p>
    <w:p w14:paraId="70A4C951" w14:textId="77777777" w:rsidR="0030722B" w:rsidRDefault="0094334C" w:rsidP="0030722B">
      <w:pPr>
        <w:pStyle w:val="a9"/>
        <w:numPr>
          <w:ilvl w:val="0"/>
          <w:numId w:val="3"/>
        </w:numPr>
        <w:shd w:val="clear" w:color="auto" w:fill="FFFFFF"/>
        <w:spacing w:line="360" w:lineRule="auto"/>
        <w:ind w:left="894"/>
        <w:jc w:val="both"/>
      </w:pPr>
      <w:hyperlink r:id="rId32" w:history="1">
        <w:r w:rsidRPr="0094334C">
          <w:rPr>
            <w:color w:val="0000FF"/>
            <w:u w:val="single"/>
            <w:rtl/>
          </w:rPr>
          <w:t>ת"פ (ק"ג) 16759-07-17</w:t>
        </w:r>
      </w:hyperlink>
      <w:r w:rsidR="0030722B">
        <w:rPr>
          <w:rFonts w:hint="cs"/>
          <w:rtl/>
        </w:rPr>
        <w:t xml:space="preserve"> </w:t>
      </w:r>
      <w:r w:rsidR="0030722B" w:rsidRPr="004602F2">
        <w:rPr>
          <w:rFonts w:hint="cs"/>
          <w:b/>
          <w:bCs/>
          <w:rtl/>
        </w:rPr>
        <w:t>מדינת ישראל נ' דוד ביסמוט</w:t>
      </w:r>
      <w:r w:rsidR="0030722B">
        <w:rPr>
          <w:rFonts w:hint="cs"/>
          <w:rtl/>
        </w:rPr>
        <w:t xml:space="preserve"> (15.10.18), כתב האישום ייחס לנאשם גידול </w:t>
      </w:r>
      <w:r w:rsidR="0030722B" w:rsidRPr="002826C8">
        <w:rPr>
          <w:rtl/>
        </w:rPr>
        <w:t>3 שתילי קנבוס בעציצים קטנים והחזקת סם מסוכן לצריכה עצמית במשקל כולל של 2.3  גרם</w:t>
      </w:r>
      <w:r w:rsidR="0030722B">
        <w:rPr>
          <w:rFonts w:hint="cs"/>
          <w:rtl/>
        </w:rPr>
        <w:t xml:space="preserve">. </w:t>
      </w:r>
      <w:r w:rsidR="0030722B" w:rsidRPr="004602F2">
        <w:rPr>
          <w:rtl/>
        </w:rPr>
        <w:t xml:space="preserve">בית </w:t>
      </w:r>
      <w:r w:rsidR="0030722B">
        <w:rPr>
          <w:rFonts w:hint="cs"/>
          <w:rtl/>
        </w:rPr>
        <w:t>ה</w:t>
      </w:r>
      <w:r w:rsidR="0030722B" w:rsidRPr="004602F2">
        <w:rPr>
          <w:rtl/>
        </w:rPr>
        <w:t xml:space="preserve">משפט נמנע </w:t>
      </w:r>
      <w:r w:rsidR="0030722B">
        <w:rPr>
          <w:rFonts w:hint="cs"/>
          <w:rtl/>
        </w:rPr>
        <w:t xml:space="preserve">מהרשעה, והטיל על הנאשמים </w:t>
      </w:r>
      <w:r w:rsidR="0030722B" w:rsidRPr="004602F2">
        <w:rPr>
          <w:rtl/>
        </w:rPr>
        <w:t xml:space="preserve">של"צ, </w:t>
      </w:r>
      <w:r w:rsidR="0030722B">
        <w:rPr>
          <w:rFonts w:hint="cs"/>
          <w:rtl/>
        </w:rPr>
        <w:t xml:space="preserve">צו </w:t>
      </w:r>
      <w:r w:rsidR="0030722B" w:rsidRPr="004602F2">
        <w:rPr>
          <w:rFonts w:hint="eastAsia"/>
          <w:rtl/>
        </w:rPr>
        <w:t>מבחן</w:t>
      </w:r>
      <w:r w:rsidR="0030722B" w:rsidRPr="004602F2">
        <w:rPr>
          <w:rtl/>
        </w:rPr>
        <w:t xml:space="preserve"> </w:t>
      </w:r>
      <w:r w:rsidR="0030722B" w:rsidRPr="004602F2">
        <w:rPr>
          <w:rFonts w:hint="eastAsia"/>
          <w:rtl/>
        </w:rPr>
        <w:t>וענישה</w:t>
      </w:r>
      <w:r w:rsidR="0030722B" w:rsidRPr="004602F2">
        <w:rPr>
          <w:rtl/>
        </w:rPr>
        <w:t xml:space="preserve"> </w:t>
      </w:r>
      <w:r w:rsidR="0030722B" w:rsidRPr="004602F2">
        <w:rPr>
          <w:rFonts w:hint="eastAsia"/>
          <w:rtl/>
        </w:rPr>
        <w:t>נלווית</w:t>
      </w:r>
      <w:r w:rsidR="0030722B" w:rsidRPr="004602F2">
        <w:rPr>
          <w:rtl/>
        </w:rPr>
        <w:t>.</w:t>
      </w:r>
    </w:p>
    <w:p w14:paraId="7CCC1BBD" w14:textId="77777777" w:rsidR="0030722B" w:rsidRDefault="0030722B" w:rsidP="0030722B">
      <w:pPr>
        <w:pStyle w:val="a9"/>
        <w:ind w:left="468" w:hanging="425"/>
        <w:jc w:val="both"/>
        <w:rPr>
          <w:rFonts w:ascii="Arial" w:hAnsi="Arial"/>
        </w:rPr>
      </w:pPr>
    </w:p>
    <w:p w14:paraId="3D51107B" w14:textId="77777777" w:rsidR="0030722B" w:rsidRDefault="0030722B" w:rsidP="0030722B">
      <w:pPr>
        <w:pStyle w:val="a9"/>
        <w:numPr>
          <w:ilvl w:val="0"/>
          <w:numId w:val="1"/>
        </w:numPr>
        <w:spacing w:line="360" w:lineRule="auto"/>
        <w:ind w:left="468" w:hanging="425"/>
        <w:jc w:val="both"/>
        <w:rPr>
          <w:rFonts w:ascii="Arial" w:hAnsi="Arial"/>
        </w:rPr>
      </w:pPr>
      <w:r>
        <w:rPr>
          <w:rFonts w:ascii="Arial" w:hAnsi="Arial" w:hint="cs"/>
          <w:rtl/>
        </w:rPr>
        <w:t xml:space="preserve">לסיכום, בעניינו מדובר בנאשם צעיר, אב למשפחה צעירה, נעדר עבר פלילי שזו לו ההסתבכות הראשונה והיחידה עם רשויות החוק, תוך שמדובר בעבירה שבוצעה לפני מספר שנים </w:t>
      </w:r>
      <w:r>
        <w:rPr>
          <w:rFonts w:ascii="Arial" w:hAnsi="Arial"/>
          <w:rtl/>
        </w:rPr>
        <w:t>–</w:t>
      </w:r>
      <w:r>
        <w:rPr>
          <w:rFonts w:ascii="Arial" w:hAnsi="Arial" w:hint="cs"/>
          <w:rtl/>
        </w:rPr>
        <w:t xml:space="preserve"> בשנת 2016. כמו כן, בעניינו של הנאשם </w:t>
      </w:r>
      <w:r w:rsidRPr="00D8105F">
        <w:rPr>
          <w:rFonts w:ascii="Arial" w:hAnsi="Arial" w:hint="cs"/>
          <w:rtl/>
        </w:rPr>
        <w:t>קיים אינטרס שיקומי ברור</w:t>
      </w:r>
      <w:r>
        <w:rPr>
          <w:rFonts w:ascii="Arial" w:hAnsi="Arial" w:hint="cs"/>
          <w:rtl/>
        </w:rPr>
        <w:t>.</w:t>
      </w:r>
    </w:p>
    <w:p w14:paraId="69F20B09" w14:textId="77777777" w:rsidR="0030722B" w:rsidRDefault="0030722B" w:rsidP="0030722B">
      <w:pPr>
        <w:pStyle w:val="a9"/>
        <w:ind w:left="468"/>
        <w:jc w:val="both"/>
        <w:rPr>
          <w:rFonts w:ascii="Arial" w:hAnsi="Arial"/>
          <w:rtl/>
        </w:rPr>
      </w:pPr>
    </w:p>
    <w:p w14:paraId="059E35A2" w14:textId="77777777" w:rsidR="0030722B" w:rsidRDefault="0030722B" w:rsidP="0030722B">
      <w:pPr>
        <w:pStyle w:val="a9"/>
        <w:spacing w:line="360" w:lineRule="auto"/>
        <w:ind w:left="468"/>
        <w:jc w:val="both"/>
        <w:rPr>
          <w:rFonts w:ascii="Arial" w:hAnsi="Arial"/>
          <w:rtl/>
        </w:rPr>
      </w:pPr>
      <w:r>
        <w:rPr>
          <w:rFonts w:ascii="Arial" w:hAnsi="Arial" w:hint="cs"/>
          <w:rtl/>
        </w:rPr>
        <w:t xml:space="preserve">לדידי, </w:t>
      </w:r>
      <w:r w:rsidRPr="00D8105F">
        <w:rPr>
          <w:rFonts w:ascii="Arial" w:hAnsi="Arial" w:hint="cs"/>
          <w:rtl/>
        </w:rPr>
        <w:t xml:space="preserve">התועלת שתצמח, הן לנאשם והן לחברה, </w:t>
      </w:r>
      <w:r>
        <w:rPr>
          <w:rFonts w:ascii="Arial" w:hAnsi="Arial" w:hint="cs"/>
          <w:rtl/>
        </w:rPr>
        <w:t xml:space="preserve">משיקומו, באופן שתימנע הרשעתו, </w:t>
      </w:r>
      <w:r w:rsidRPr="00D8105F">
        <w:rPr>
          <w:rFonts w:ascii="Arial" w:hAnsi="Arial" w:hint="cs"/>
          <w:rtl/>
        </w:rPr>
        <w:t xml:space="preserve">עולה על  משקלו של האינטרס הציבורי הגלום במיצוי הדין עם עברייני הסמים. </w:t>
      </w:r>
      <w:r>
        <w:rPr>
          <w:rFonts w:ascii="Arial" w:hAnsi="Arial" w:hint="cs"/>
          <w:rtl/>
        </w:rPr>
        <w:t xml:space="preserve">שכן, </w:t>
      </w:r>
      <w:r w:rsidRPr="00D8105F">
        <w:rPr>
          <w:rFonts w:ascii="Arial" w:hAnsi="Arial" w:hint="cs"/>
          <w:rtl/>
        </w:rPr>
        <w:t>הרשעת</w:t>
      </w:r>
      <w:r>
        <w:rPr>
          <w:rFonts w:ascii="Arial" w:hAnsi="Arial" w:hint="cs"/>
          <w:rtl/>
        </w:rPr>
        <w:t xml:space="preserve"> </w:t>
      </w:r>
      <w:r w:rsidRPr="00D8105F">
        <w:rPr>
          <w:rFonts w:ascii="Arial" w:hAnsi="Arial" w:hint="cs"/>
          <w:rtl/>
        </w:rPr>
        <w:t xml:space="preserve">הנאשם </w:t>
      </w:r>
      <w:r>
        <w:rPr>
          <w:rFonts w:ascii="Arial" w:hAnsi="Arial" w:hint="cs"/>
          <w:rtl/>
        </w:rPr>
        <w:t xml:space="preserve">שבפני </w:t>
      </w:r>
      <w:r w:rsidRPr="00D8105F">
        <w:rPr>
          <w:rFonts w:ascii="Arial" w:hAnsi="Arial" w:hint="cs"/>
          <w:rtl/>
        </w:rPr>
        <w:t>עלולה לגרום לנזק ממשי</w:t>
      </w:r>
      <w:r>
        <w:rPr>
          <w:rFonts w:ascii="Arial" w:hAnsi="Arial" w:hint="cs"/>
          <w:rtl/>
        </w:rPr>
        <w:t>,</w:t>
      </w:r>
      <w:r w:rsidRPr="00D8105F">
        <w:rPr>
          <w:rFonts w:ascii="Arial" w:hAnsi="Arial" w:hint="cs"/>
          <w:rtl/>
        </w:rPr>
        <w:t xml:space="preserve"> ולסכל את יכולתו לעסוק </w:t>
      </w:r>
      <w:r>
        <w:rPr>
          <w:rFonts w:ascii="Arial" w:hAnsi="Arial" w:hint="cs"/>
          <w:rtl/>
        </w:rPr>
        <w:t xml:space="preserve">במקצועו כמתווך </w:t>
      </w:r>
      <w:r w:rsidRPr="00D8105F">
        <w:rPr>
          <w:rFonts w:ascii="Arial" w:hAnsi="Arial" w:hint="cs"/>
          <w:rtl/>
        </w:rPr>
        <w:t xml:space="preserve">מקרקעין. פגיעה שכזו, בשים לב לעברו הנקי של הנאשם, עתידו הפרוש לפניו, הנורמטיביות המאפיינת את חייו, אורחות חייו מביצוע העבירה ועד עתה, נטילת האחריות המלאה על ידו, ההודאה טרם ניהול ההליך, חרטתו המלאה והכנה, </w:t>
      </w:r>
      <w:r>
        <w:rPr>
          <w:rFonts w:ascii="Arial" w:hAnsi="Arial" w:hint="cs"/>
          <w:rtl/>
        </w:rPr>
        <w:t xml:space="preserve">העובדה כי על פי התרשמות שירות המבחן ההליך המשפטי היווה גורם מציב גבולות לנאשם </w:t>
      </w:r>
      <w:r w:rsidRPr="00D8105F">
        <w:rPr>
          <w:rFonts w:ascii="Arial" w:hAnsi="Arial" w:hint="cs"/>
          <w:rtl/>
        </w:rPr>
        <w:t>וכן הסיכוי הבינוני</w:t>
      </w:r>
      <w:r>
        <w:rPr>
          <w:rFonts w:ascii="Arial" w:hAnsi="Arial" w:hint="cs"/>
          <w:rtl/>
        </w:rPr>
        <w:t xml:space="preserve"> -</w:t>
      </w:r>
      <w:r w:rsidRPr="00D8105F">
        <w:rPr>
          <w:rFonts w:ascii="Arial" w:hAnsi="Arial" w:hint="cs"/>
          <w:rtl/>
        </w:rPr>
        <w:t xml:space="preserve"> נמוך להישנות העבירה כמתואר בתסקיר שירות המבחן, הינה בלתי מידתית, </w:t>
      </w:r>
      <w:r>
        <w:rPr>
          <w:rFonts w:ascii="Arial" w:hAnsi="Arial" w:hint="cs"/>
          <w:rtl/>
        </w:rPr>
        <w:t>גם כשמנגד קיים</w:t>
      </w:r>
      <w:r w:rsidRPr="00D8105F">
        <w:rPr>
          <w:rFonts w:ascii="Arial" w:hAnsi="Arial" w:hint="cs"/>
          <w:rtl/>
        </w:rPr>
        <w:t xml:space="preserve"> אינטרס ההגנה על שלום הציבור ובטחונו</w:t>
      </w:r>
      <w:r>
        <w:rPr>
          <w:rFonts w:ascii="Arial" w:hAnsi="Arial" w:hint="cs"/>
          <w:rtl/>
        </w:rPr>
        <w:t>, המוגן על ידי פקודת הסמים</w:t>
      </w:r>
      <w:r w:rsidRPr="00D8105F">
        <w:rPr>
          <w:rFonts w:ascii="Arial" w:hAnsi="Arial" w:hint="cs"/>
          <w:rtl/>
        </w:rPr>
        <w:t>.</w:t>
      </w:r>
      <w:r>
        <w:rPr>
          <w:rFonts w:ascii="Arial" w:hAnsi="Arial" w:hint="cs"/>
          <w:rtl/>
        </w:rPr>
        <w:t xml:space="preserve"> ודאי מקום שבו יש לקבוע כי העבירה שבוצעה אינה מצויה ברף החומרה הגבוה. </w:t>
      </w:r>
    </w:p>
    <w:p w14:paraId="217C47C5" w14:textId="77777777" w:rsidR="0030722B" w:rsidRDefault="0030722B" w:rsidP="0030722B">
      <w:pPr>
        <w:pStyle w:val="a9"/>
        <w:ind w:left="468"/>
        <w:jc w:val="both"/>
        <w:rPr>
          <w:rFonts w:ascii="Arial" w:hAnsi="Arial"/>
          <w:rtl/>
        </w:rPr>
      </w:pPr>
    </w:p>
    <w:p w14:paraId="37DA01B8" w14:textId="77777777" w:rsidR="0030722B" w:rsidRDefault="0030722B" w:rsidP="0030722B">
      <w:pPr>
        <w:pStyle w:val="a9"/>
        <w:spacing w:line="360" w:lineRule="auto"/>
        <w:ind w:left="468"/>
        <w:jc w:val="both"/>
        <w:rPr>
          <w:rFonts w:ascii="Arial" w:hAnsi="Arial"/>
          <w:rtl/>
        </w:rPr>
      </w:pPr>
      <w:r>
        <w:rPr>
          <w:rFonts w:ascii="Arial" w:hAnsi="Arial" w:hint="cs"/>
          <w:rtl/>
        </w:rPr>
        <w:t xml:space="preserve">במקרה זה, יש להעדיף </w:t>
      </w:r>
      <w:r w:rsidRPr="00140F82">
        <w:rPr>
          <w:rFonts w:ascii="Arial" w:hAnsi="Arial" w:hint="cs"/>
          <w:rtl/>
        </w:rPr>
        <w:t xml:space="preserve">את שיקולי השיקום, </w:t>
      </w:r>
      <w:r>
        <w:rPr>
          <w:rFonts w:ascii="Arial" w:hAnsi="Arial" w:hint="cs"/>
          <w:rtl/>
        </w:rPr>
        <w:t xml:space="preserve">ואין נימוק ממשי המצדיק סטיה מהמלצות שירות המבחן באשר לנאשם. </w:t>
      </w:r>
      <w:r w:rsidRPr="00140F82">
        <w:rPr>
          <w:rFonts w:ascii="Arial" w:hAnsi="Arial" w:hint="cs"/>
          <w:rtl/>
        </w:rPr>
        <w:t xml:space="preserve"> </w:t>
      </w:r>
    </w:p>
    <w:p w14:paraId="4180CFAD" w14:textId="77777777" w:rsidR="0030722B" w:rsidRDefault="0030722B" w:rsidP="0030722B">
      <w:pPr>
        <w:pStyle w:val="a9"/>
        <w:ind w:left="610"/>
        <w:jc w:val="both"/>
        <w:rPr>
          <w:rFonts w:ascii="Arial" w:hAnsi="Arial"/>
        </w:rPr>
      </w:pPr>
    </w:p>
    <w:p w14:paraId="05AC05E7" w14:textId="77777777" w:rsidR="0030722B" w:rsidRDefault="0030722B" w:rsidP="0030722B">
      <w:pPr>
        <w:pStyle w:val="a9"/>
        <w:numPr>
          <w:ilvl w:val="0"/>
          <w:numId w:val="1"/>
        </w:numPr>
        <w:spacing w:line="360" w:lineRule="auto"/>
        <w:ind w:left="468" w:hanging="425"/>
        <w:jc w:val="both"/>
        <w:rPr>
          <w:rFonts w:ascii="Arial" w:hAnsi="Arial"/>
        </w:rPr>
      </w:pPr>
      <w:r>
        <w:rPr>
          <w:rFonts w:ascii="Arial" w:hAnsi="Arial" w:hint="cs"/>
          <w:rtl/>
        </w:rPr>
        <w:t>משכך, הנני מורה על ביטול הרשעת הנאשם.</w:t>
      </w:r>
    </w:p>
    <w:p w14:paraId="336B3188" w14:textId="77777777" w:rsidR="0030722B" w:rsidRDefault="0030722B" w:rsidP="0030722B">
      <w:pPr>
        <w:pStyle w:val="a9"/>
        <w:ind w:left="468"/>
        <w:jc w:val="both"/>
        <w:rPr>
          <w:rFonts w:ascii="Arial" w:hAnsi="Arial"/>
        </w:rPr>
      </w:pPr>
    </w:p>
    <w:p w14:paraId="3257F43E" w14:textId="77777777" w:rsidR="0030722B" w:rsidRPr="00920CF9" w:rsidRDefault="0030722B" w:rsidP="0030722B">
      <w:pPr>
        <w:pStyle w:val="a9"/>
        <w:spacing w:line="360" w:lineRule="auto"/>
        <w:ind w:left="468"/>
        <w:jc w:val="both"/>
        <w:rPr>
          <w:rFonts w:ascii="Arial" w:hAnsi="Arial"/>
          <w:rtl/>
        </w:rPr>
      </w:pPr>
      <w:r w:rsidRPr="00920CF9">
        <w:rPr>
          <w:rFonts w:ascii="Arial" w:hAnsi="Arial" w:hint="cs"/>
          <w:rtl/>
        </w:rPr>
        <w:t xml:space="preserve">אני </w:t>
      </w:r>
      <w:r>
        <w:rPr>
          <w:rFonts w:ascii="Arial" w:hAnsi="Arial" w:hint="cs"/>
          <w:rtl/>
        </w:rPr>
        <w:t>מטילה</w:t>
      </w:r>
      <w:r w:rsidRPr="00920CF9">
        <w:rPr>
          <w:rFonts w:ascii="Arial" w:hAnsi="Arial" w:hint="cs"/>
          <w:rtl/>
        </w:rPr>
        <w:t xml:space="preserve"> על הנאשם את העונשים הבאים: </w:t>
      </w:r>
    </w:p>
    <w:p w14:paraId="7341AD16" w14:textId="77777777" w:rsidR="0030722B" w:rsidRPr="00D8105F" w:rsidRDefault="0030722B" w:rsidP="0030722B">
      <w:pPr>
        <w:pStyle w:val="a9"/>
        <w:numPr>
          <w:ilvl w:val="0"/>
          <w:numId w:val="2"/>
        </w:numPr>
        <w:spacing w:line="360" w:lineRule="auto"/>
        <w:jc w:val="both"/>
        <w:rPr>
          <w:rFonts w:ascii="Arial" w:hAnsi="Arial"/>
          <w:rtl/>
        </w:rPr>
      </w:pPr>
      <w:r w:rsidRPr="00D8105F">
        <w:rPr>
          <w:rFonts w:ascii="Arial" w:hAnsi="Arial" w:hint="cs"/>
          <w:rtl/>
        </w:rPr>
        <w:t xml:space="preserve">צו שירות לתועלת הציבור בהיקף של </w:t>
      </w:r>
      <w:r>
        <w:rPr>
          <w:rFonts w:ascii="Arial" w:hAnsi="Arial" w:hint="cs"/>
          <w:rtl/>
        </w:rPr>
        <w:t>200</w:t>
      </w:r>
      <w:r w:rsidRPr="00D8105F">
        <w:rPr>
          <w:rFonts w:ascii="Arial" w:hAnsi="Arial" w:hint="cs"/>
          <w:rtl/>
        </w:rPr>
        <w:t xml:space="preserve"> שעות, במועדון התעסוקתי בעמותת אנוש באשדוד, בהתאם לתוכנית שתגובש על-ידי שירות המבחן. </w:t>
      </w:r>
    </w:p>
    <w:p w14:paraId="399A1888" w14:textId="77777777" w:rsidR="0030722B" w:rsidRDefault="0030722B" w:rsidP="0030722B">
      <w:pPr>
        <w:pStyle w:val="a9"/>
        <w:numPr>
          <w:ilvl w:val="0"/>
          <w:numId w:val="2"/>
        </w:numPr>
        <w:spacing w:line="360" w:lineRule="auto"/>
        <w:jc w:val="both"/>
        <w:rPr>
          <w:rFonts w:ascii="Arial" w:hAnsi="Arial"/>
        </w:rPr>
      </w:pPr>
      <w:r>
        <w:rPr>
          <w:rFonts w:ascii="Arial" w:hAnsi="Arial" w:hint="cs"/>
          <w:rtl/>
        </w:rPr>
        <w:t>צו מבחן לשנה, בפיקוח שירות המבחן.</w:t>
      </w:r>
    </w:p>
    <w:p w14:paraId="67ABF6D7" w14:textId="77777777" w:rsidR="0030722B" w:rsidRDefault="0030722B" w:rsidP="0030722B">
      <w:pPr>
        <w:pStyle w:val="a9"/>
        <w:numPr>
          <w:ilvl w:val="0"/>
          <w:numId w:val="2"/>
        </w:numPr>
        <w:spacing w:line="360" w:lineRule="auto"/>
        <w:jc w:val="both"/>
        <w:rPr>
          <w:rFonts w:ascii="Arial" w:hAnsi="Arial"/>
        </w:rPr>
      </w:pPr>
      <w:r w:rsidRPr="00D8105F">
        <w:rPr>
          <w:rFonts w:ascii="Arial" w:hAnsi="Arial" w:hint="cs"/>
          <w:rtl/>
        </w:rPr>
        <w:t xml:space="preserve">הנאשם יחתום על התחייבות כספית בסך 5,000 ₪, למשך שנה, להימנע מביצוע עבירה לפי </w:t>
      </w:r>
      <w:hyperlink r:id="rId33" w:history="1">
        <w:r w:rsidR="0094334C" w:rsidRPr="0094334C">
          <w:rPr>
            <w:rFonts w:ascii="Arial" w:hAnsi="Arial"/>
            <w:color w:val="0000FF"/>
            <w:u w:val="single"/>
            <w:rtl/>
          </w:rPr>
          <w:t>פקודת הסמים המסוכנים</w:t>
        </w:r>
      </w:hyperlink>
      <w:r>
        <w:rPr>
          <w:rFonts w:ascii="Arial" w:hAnsi="Arial" w:hint="cs"/>
          <w:rtl/>
        </w:rPr>
        <w:t>.</w:t>
      </w:r>
      <w:r w:rsidRPr="00D8105F">
        <w:rPr>
          <w:rFonts w:ascii="Arial" w:hAnsi="Arial" w:hint="cs"/>
          <w:rtl/>
        </w:rPr>
        <w:t xml:space="preserve"> </w:t>
      </w:r>
    </w:p>
    <w:p w14:paraId="4B29835A" w14:textId="77777777" w:rsidR="0030722B" w:rsidRDefault="0030722B" w:rsidP="0030722B">
      <w:pPr>
        <w:pStyle w:val="a9"/>
        <w:numPr>
          <w:ilvl w:val="0"/>
          <w:numId w:val="2"/>
        </w:numPr>
        <w:spacing w:line="360" w:lineRule="auto"/>
        <w:jc w:val="both"/>
        <w:rPr>
          <w:rFonts w:ascii="Arial" w:hAnsi="Arial"/>
        </w:rPr>
      </w:pPr>
      <w:r w:rsidRPr="00D8105F">
        <w:rPr>
          <w:rFonts w:ascii="Arial" w:hAnsi="Arial" w:hint="cs"/>
          <w:rtl/>
        </w:rPr>
        <w:t>פסילה על תנאי, למשך שנתיים, מלקבל או להחזיק רישיון נהיגה למשך 60 יום, והתנאי הוא שלא לעבור עבירה המנויה ב</w:t>
      </w:r>
      <w:hyperlink r:id="rId34" w:history="1">
        <w:r w:rsidR="0094334C" w:rsidRPr="0094334C">
          <w:rPr>
            <w:rFonts w:ascii="Arial" w:hAnsi="Arial"/>
            <w:color w:val="0000FF"/>
            <w:u w:val="single"/>
            <w:rtl/>
          </w:rPr>
          <w:t>פקודת הסמים המסוכנים</w:t>
        </w:r>
      </w:hyperlink>
      <w:r w:rsidRPr="00D8105F">
        <w:rPr>
          <w:rFonts w:ascii="Arial" w:hAnsi="Arial" w:hint="cs"/>
          <w:rtl/>
        </w:rPr>
        <w:t>.</w:t>
      </w:r>
    </w:p>
    <w:p w14:paraId="12A0E718" w14:textId="77777777" w:rsidR="0030722B" w:rsidRDefault="0030722B" w:rsidP="0030722B">
      <w:pPr>
        <w:pStyle w:val="a9"/>
        <w:numPr>
          <w:ilvl w:val="0"/>
          <w:numId w:val="2"/>
        </w:numPr>
        <w:spacing w:line="360" w:lineRule="auto"/>
        <w:jc w:val="both"/>
        <w:rPr>
          <w:rFonts w:ascii="Arial" w:hAnsi="Arial"/>
        </w:rPr>
      </w:pPr>
      <w:r w:rsidRPr="00B63EF9">
        <w:rPr>
          <w:rFonts w:ascii="Arial" w:hAnsi="Arial" w:hint="cs"/>
          <w:rtl/>
        </w:rPr>
        <w:t xml:space="preserve">מורה על השמדת הסמים שנתפסו והמוצגים בתיק. </w:t>
      </w:r>
    </w:p>
    <w:p w14:paraId="41CE3D90" w14:textId="77777777" w:rsidR="0030722B" w:rsidRDefault="0030722B" w:rsidP="0030722B">
      <w:pPr>
        <w:spacing w:line="360" w:lineRule="auto"/>
        <w:ind w:firstLine="720"/>
        <w:jc w:val="both"/>
        <w:rPr>
          <w:rFonts w:ascii="Arial" w:hAnsi="Arial"/>
          <w:rtl/>
        </w:rPr>
      </w:pPr>
    </w:p>
    <w:p w14:paraId="201C9FD8" w14:textId="77777777" w:rsidR="0030722B" w:rsidRDefault="0030722B" w:rsidP="0030722B">
      <w:pPr>
        <w:spacing w:line="360" w:lineRule="auto"/>
        <w:ind w:left="720"/>
        <w:jc w:val="both"/>
        <w:rPr>
          <w:rFonts w:ascii="Arial" w:hAnsi="Arial"/>
          <w:rtl/>
        </w:rPr>
      </w:pPr>
      <w:r>
        <w:rPr>
          <w:rFonts w:ascii="Arial" w:hAnsi="Arial" w:hint="cs"/>
          <w:rtl/>
        </w:rPr>
        <w:t xml:space="preserve">בהסכמת הצדדים ניתן גזר הדין שלא בנוכחותם. </w:t>
      </w:r>
    </w:p>
    <w:p w14:paraId="052CF5D8" w14:textId="77777777" w:rsidR="0030722B" w:rsidRPr="002876FE" w:rsidRDefault="0030722B" w:rsidP="0030722B">
      <w:pPr>
        <w:spacing w:line="360" w:lineRule="auto"/>
        <w:ind w:left="720"/>
        <w:jc w:val="both"/>
        <w:rPr>
          <w:rFonts w:ascii="Arial" w:hAnsi="Arial"/>
        </w:rPr>
      </w:pPr>
      <w:r>
        <w:rPr>
          <w:rFonts w:ascii="Arial" w:hAnsi="Arial" w:hint="cs"/>
          <w:rtl/>
        </w:rPr>
        <w:t xml:space="preserve">המזכירות תעביר העתק מגזר הדין לב"כ הצדדים ולנאשם, וכן לשירות המבחן למבוגרים באשדוד.  </w:t>
      </w:r>
    </w:p>
    <w:p w14:paraId="28E000D0" w14:textId="77777777" w:rsidR="0030722B" w:rsidRPr="00DE1505" w:rsidRDefault="0030722B" w:rsidP="0030722B">
      <w:pPr>
        <w:rPr>
          <w:rtl/>
        </w:rPr>
      </w:pPr>
    </w:p>
    <w:p w14:paraId="348BFEE2" w14:textId="77777777" w:rsidR="0030722B" w:rsidRPr="0094334C" w:rsidRDefault="0094334C" w:rsidP="0030722B">
      <w:pPr>
        <w:rPr>
          <w:color w:val="FFFFFF"/>
          <w:sz w:val="2"/>
          <w:szCs w:val="2"/>
          <w:rtl/>
        </w:rPr>
      </w:pPr>
      <w:r w:rsidRPr="0094334C">
        <w:rPr>
          <w:color w:val="FFFFFF"/>
          <w:sz w:val="2"/>
          <w:szCs w:val="2"/>
          <w:rtl/>
        </w:rPr>
        <w:t>5129371</w:t>
      </w:r>
    </w:p>
    <w:p w14:paraId="79BDFD57" w14:textId="77777777" w:rsidR="0030722B" w:rsidRDefault="0094334C" w:rsidP="0030722B">
      <w:pPr>
        <w:rPr>
          <w:rFonts w:cs="FrankRuehl"/>
          <w:sz w:val="28"/>
          <w:szCs w:val="28"/>
          <w:rtl/>
        </w:rPr>
      </w:pPr>
      <w:bookmarkStart w:id="8" w:name="Nitan"/>
      <w:r w:rsidRPr="0094334C">
        <w:rPr>
          <w:rFonts w:ascii="Arial" w:hAnsi="Arial"/>
          <w:color w:val="FFFFFF"/>
          <w:sz w:val="2"/>
          <w:szCs w:val="2"/>
          <w:rtl/>
        </w:rPr>
        <w:t>54678313</w:t>
      </w:r>
      <w:r>
        <w:rPr>
          <w:rFonts w:ascii="Arial" w:hAnsi="Arial"/>
          <w:rtl/>
        </w:rPr>
        <w:t xml:space="preserve">ניתן היום,  ו' אדר תשפ"א, 18 פברואר 2021, בהעדר הצדדים. </w:t>
      </w:r>
      <w:bookmarkEnd w:id="8"/>
    </w:p>
    <w:p w14:paraId="08ACD943" w14:textId="77777777" w:rsidR="0030722B" w:rsidRDefault="0030722B" w:rsidP="0094334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A178D1E" w14:textId="77777777" w:rsidR="0030722B" w:rsidRDefault="0030722B" w:rsidP="0030722B">
      <w:pPr>
        <w:jc w:val="center"/>
        <w:rPr>
          <w:rFonts w:ascii="Arial" w:hAnsi="Arial" w:cs="FrankRuehl"/>
          <w:sz w:val="28"/>
          <w:szCs w:val="28"/>
          <w:rtl/>
        </w:rPr>
      </w:pPr>
    </w:p>
    <w:p w14:paraId="248DB76E" w14:textId="77777777" w:rsidR="0030722B" w:rsidRDefault="0030722B" w:rsidP="0030722B">
      <w:pPr>
        <w:rPr>
          <w:rFonts w:cs="FrankRuehl"/>
          <w:sz w:val="28"/>
          <w:szCs w:val="28"/>
          <w:rtl/>
        </w:rPr>
      </w:pPr>
    </w:p>
    <w:p w14:paraId="6BC2B047" w14:textId="77777777" w:rsidR="0030722B" w:rsidRDefault="0030722B" w:rsidP="0030722B">
      <w:pPr>
        <w:pStyle w:val="a3"/>
        <w:jc w:val="center"/>
        <w:rPr>
          <w:rtl/>
        </w:rPr>
      </w:pPr>
    </w:p>
    <w:p w14:paraId="26F19246" w14:textId="77777777" w:rsidR="00244698" w:rsidRPr="0094334C" w:rsidRDefault="00244698" w:rsidP="0094334C">
      <w:pPr>
        <w:keepNext/>
        <w:rPr>
          <w:rFonts w:ascii="David" w:hAnsi="David"/>
          <w:color w:val="000000"/>
          <w:sz w:val="22"/>
          <w:szCs w:val="22"/>
          <w:rtl/>
        </w:rPr>
      </w:pPr>
    </w:p>
    <w:p w14:paraId="1C855249" w14:textId="77777777" w:rsidR="0094334C" w:rsidRPr="0094334C" w:rsidRDefault="0094334C" w:rsidP="0094334C">
      <w:pPr>
        <w:keepNext/>
        <w:rPr>
          <w:rFonts w:ascii="David" w:hAnsi="David"/>
          <w:color w:val="000000"/>
          <w:sz w:val="22"/>
          <w:szCs w:val="22"/>
          <w:rtl/>
        </w:rPr>
      </w:pPr>
      <w:r w:rsidRPr="0094334C">
        <w:rPr>
          <w:rFonts w:ascii="David" w:hAnsi="David"/>
          <w:color w:val="000000"/>
          <w:sz w:val="22"/>
          <w:szCs w:val="22"/>
          <w:rtl/>
        </w:rPr>
        <w:t>עדי אייזדורפר 54678313</w:t>
      </w:r>
    </w:p>
    <w:p w14:paraId="41B27F9B" w14:textId="77777777" w:rsidR="0094334C" w:rsidRDefault="0094334C" w:rsidP="0094334C">
      <w:r w:rsidRPr="0094334C">
        <w:rPr>
          <w:color w:val="000000"/>
          <w:rtl/>
        </w:rPr>
        <w:t>נוסח מסמך זה כפוף לשינויי ניסוח ועריכה</w:t>
      </w:r>
    </w:p>
    <w:p w14:paraId="77D622EA" w14:textId="77777777" w:rsidR="0094334C" w:rsidRDefault="0094334C" w:rsidP="0094334C">
      <w:pPr>
        <w:rPr>
          <w:rtl/>
        </w:rPr>
      </w:pPr>
    </w:p>
    <w:p w14:paraId="6D066164" w14:textId="77777777" w:rsidR="0094334C" w:rsidRDefault="0094334C" w:rsidP="0094334C">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28D3393C" w14:textId="77777777" w:rsidR="0094334C" w:rsidRPr="0094334C" w:rsidRDefault="0094334C" w:rsidP="0094334C">
      <w:pPr>
        <w:jc w:val="center"/>
        <w:rPr>
          <w:color w:val="0000FF"/>
          <w:u w:val="single"/>
        </w:rPr>
      </w:pPr>
    </w:p>
    <w:sectPr w:rsidR="0094334C" w:rsidRPr="0094334C" w:rsidSect="0094334C">
      <w:headerReference w:type="even" r:id="rId36"/>
      <w:headerReference w:type="default" r:id="rId37"/>
      <w:footerReference w:type="even" r:id="rId38"/>
      <w:footerReference w:type="default" r:id="rId39"/>
      <w:pgSz w:w="11907" w:h="16840" w:code="9"/>
      <w:pgMar w:top="1701" w:right="1080" w:bottom="1440" w:left="1080"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D68D0" w14:textId="77777777" w:rsidR="00C079A9" w:rsidRDefault="00C079A9" w:rsidP="004E2C6B">
      <w:r>
        <w:separator/>
      </w:r>
    </w:p>
  </w:endnote>
  <w:endnote w:type="continuationSeparator" w:id="0">
    <w:p w14:paraId="3550C8B0" w14:textId="77777777" w:rsidR="00C079A9" w:rsidRDefault="00C079A9" w:rsidP="004E2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4F130" w14:textId="77777777" w:rsidR="0094334C" w:rsidRDefault="0094334C" w:rsidP="0094334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9156C24" w14:textId="77777777" w:rsidR="00B51DE8" w:rsidRPr="0094334C" w:rsidRDefault="0094334C" w:rsidP="0094334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CE606" w14:textId="77777777" w:rsidR="0094334C" w:rsidRDefault="0094334C" w:rsidP="0094334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90886">
      <w:rPr>
        <w:rFonts w:ascii="FrankRuehl" w:hAnsi="FrankRuehl" w:cs="FrankRuehl"/>
        <w:noProof/>
        <w:rtl/>
      </w:rPr>
      <w:t>1</w:t>
    </w:r>
    <w:r>
      <w:rPr>
        <w:rFonts w:ascii="FrankRuehl" w:hAnsi="FrankRuehl" w:cs="FrankRuehl"/>
        <w:rtl/>
      </w:rPr>
      <w:fldChar w:fldCharType="end"/>
    </w:r>
  </w:p>
  <w:p w14:paraId="3281258F" w14:textId="77777777" w:rsidR="00B51DE8" w:rsidRPr="0094334C" w:rsidRDefault="0094334C" w:rsidP="0094334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E86B8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758F7" w14:textId="77777777" w:rsidR="00C079A9" w:rsidRDefault="00C079A9" w:rsidP="004E2C6B">
      <w:r>
        <w:separator/>
      </w:r>
    </w:p>
  </w:footnote>
  <w:footnote w:type="continuationSeparator" w:id="0">
    <w:p w14:paraId="0EB4F176" w14:textId="77777777" w:rsidR="00C079A9" w:rsidRDefault="00C079A9" w:rsidP="004E2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06413" w14:textId="77777777" w:rsidR="0094334C" w:rsidRPr="0094334C" w:rsidRDefault="0094334C" w:rsidP="0094334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(אשד') 11072-03-18</w:t>
    </w:r>
    <w:r>
      <w:rPr>
        <w:rFonts w:ascii="David" w:hAnsi="David"/>
        <w:color w:val="000000"/>
        <w:sz w:val="22"/>
        <w:szCs w:val="22"/>
        <w:rtl/>
      </w:rPr>
      <w:tab/>
      <w:t xml:space="preserve"> מדינת ישראל נ' דמיאן מרטין סאול מכר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3575E" w14:textId="77777777" w:rsidR="0094334C" w:rsidRPr="0094334C" w:rsidRDefault="0094334C" w:rsidP="0094334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(אשד') 11072-03-18</w:t>
    </w:r>
    <w:r>
      <w:rPr>
        <w:rFonts w:ascii="David" w:hAnsi="David"/>
        <w:color w:val="000000"/>
        <w:sz w:val="22"/>
        <w:szCs w:val="22"/>
        <w:rtl/>
      </w:rPr>
      <w:tab/>
      <w:t xml:space="preserve"> מדינת ישראל נ' דמיאן מרטין סאול מכר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65571"/>
    <w:multiLevelType w:val="hybridMultilevel"/>
    <w:tmpl w:val="3B1E7BC8"/>
    <w:lvl w:ilvl="0" w:tplc="436019AC">
      <w:start w:val="1"/>
      <w:numFmt w:val="decimal"/>
      <w:lvlText w:val="%1."/>
      <w:lvlJc w:val="left"/>
      <w:pPr>
        <w:ind w:left="1080" w:hanging="72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F22BB"/>
    <w:multiLevelType w:val="hybridMultilevel"/>
    <w:tmpl w:val="9DDEED66"/>
    <w:lvl w:ilvl="0" w:tplc="ED7C5BB8">
      <w:start w:val="1"/>
      <w:numFmt w:val="hebrew1"/>
      <w:lvlText w:val="%1."/>
      <w:lvlJc w:val="left"/>
      <w:pPr>
        <w:ind w:left="1440" w:hanging="360"/>
      </w:pPr>
      <w:rPr>
        <w:rFonts w:ascii="David" w:eastAsia="Calibri" w:hAnsi="David" w:cs="David"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B5654B1"/>
    <w:multiLevelType w:val="hybridMultilevel"/>
    <w:tmpl w:val="7C601394"/>
    <w:lvl w:ilvl="0" w:tplc="88D4C718">
      <w:start w:val="1"/>
      <w:numFmt w:val="hebrew1"/>
      <w:lvlText w:val="%1."/>
      <w:lvlJc w:val="left"/>
      <w:pPr>
        <w:ind w:left="1440" w:hanging="360"/>
      </w:pPr>
      <w:rPr>
        <w:rFonts w:hint="default"/>
        <w:lang w:val="en-U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31025612">
    <w:abstractNumId w:val="0"/>
  </w:num>
  <w:num w:numId="2" w16cid:durableId="1909877223">
    <w:abstractNumId w:val="1"/>
  </w:num>
  <w:num w:numId="3" w16cid:durableId="48577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0722B"/>
    <w:rsid w:val="00082CB2"/>
    <w:rsid w:val="001B5A3B"/>
    <w:rsid w:val="002145D9"/>
    <w:rsid w:val="00244698"/>
    <w:rsid w:val="0030722B"/>
    <w:rsid w:val="004D373E"/>
    <w:rsid w:val="004E2C6B"/>
    <w:rsid w:val="00590886"/>
    <w:rsid w:val="00662C8F"/>
    <w:rsid w:val="0089730A"/>
    <w:rsid w:val="008D5C33"/>
    <w:rsid w:val="0094334C"/>
    <w:rsid w:val="00A95F8E"/>
    <w:rsid w:val="00B51DE8"/>
    <w:rsid w:val="00C079A9"/>
    <w:rsid w:val="00D87ECC"/>
    <w:rsid w:val="00F20E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4FD164"/>
  <w15:chartTrackingRefBased/>
  <w15:docId w15:val="{D6EB7D08-39E2-4165-8E68-3E3A0461A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722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0722B"/>
    <w:pPr>
      <w:tabs>
        <w:tab w:val="center" w:pos="4153"/>
        <w:tab w:val="right" w:pos="8306"/>
      </w:tabs>
    </w:pPr>
  </w:style>
  <w:style w:type="character" w:customStyle="1" w:styleId="a4">
    <w:name w:val="כותרת עליונה תו"/>
    <w:link w:val="a3"/>
    <w:rsid w:val="0030722B"/>
    <w:rPr>
      <w:rFonts w:ascii="Times New Roman" w:eastAsia="Times New Roman" w:hAnsi="Times New Roman" w:cs="David"/>
      <w:sz w:val="24"/>
      <w:szCs w:val="24"/>
    </w:rPr>
  </w:style>
  <w:style w:type="paragraph" w:styleId="a5">
    <w:name w:val="footer"/>
    <w:basedOn w:val="a"/>
    <w:link w:val="a6"/>
    <w:rsid w:val="0030722B"/>
    <w:pPr>
      <w:tabs>
        <w:tab w:val="center" w:pos="4153"/>
        <w:tab w:val="right" w:pos="8306"/>
      </w:tabs>
    </w:pPr>
  </w:style>
  <w:style w:type="character" w:customStyle="1" w:styleId="a6">
    <w:name w:val="כותרת תחתונה תו"/>
    <w:link w:val="a5"/>
    <w:rsid w:val="0030722B"/>
    <w:rPr>
      <w:rFonts w:ascii="Times New Roman" w:eastAsia="Times New Roman" w:hAnsi="Times New Roman" w:cs="David"/>
      <w:sz w:val="24"/>
      <w:szCs w:val="24"/>
    </w:rPr>
  </w:style>
  <w:style w:type="table" w:styleId="a7">
    <w:name w:val="Table Grid"/>
    <w:basedOn w:val="a1"/>
    <w:rsid w:val="0030722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0722B"/>
  </w:style>
  <w:style w:type="paragraph" w:styleId="a9">
    <w:name w:val="List Paragraph"/>
    <w:basedOn w:val="a"/>
    <w:qFormat/>
    <w:rsid w:val="0030722B"/>
    <w:pPr>
      <w:ind w:left="720"/>
      <w:contextualSpacing/>
    </w:pPr>
    <w:rPr>
      <w:rFonts w:ascii="David" w:eastAsia="David" w:hAnsi="David"/>
    </w:rPr>
  </w:style>
  <w:style w:type="paragraph" w:customStyle="1" w:styleId="12">
    <w:name w:val="רגיל + ‏12 נק'"/>
    <w:aliases w:val="מיושר לשני הצדדים,מרווח בין שורות:  שורה וחצי"/>
    <w:basedOn w:val="a"/>
    <w:rsid w:val="0030722B"/>
    <w:rPr>
      <w:b/>
      <w:bCs/>
      <w:u w:val="single"/>
    </w:rPr>
  </w:style>
  <w:style w:type="character" w:styleId="aa">
    <w:name w:val="line number"/>
    <w:rsid w:val="0030722B"/>
  </w:style>
  <w:style w:type="character" w:styleId="Hyperlink">
    <w:name w:val="Hyperlink"/>
    <w:rsid w:val="009433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2991" TargetMode="External"/><Relationship Id="rId26" Type="http://schemas.openxmlformats.org/officeDocument/2006/relationships/hyperlink" Target="http://www.nevo.co.il/law/4216" TargetMode="External"/><Relationship Id="rId39" Type="http://schemas.openxmlformats.org/officeDocument/2006/relationships/footer" Target="footer2.xml"/><Relationship Id="rId21" Type="http://schemas.openxmlformats.org/officeDocument/2006/relationships/hyperlink" Target="http://www.nevo.co.il/case/6161385" TargetMode="External"/><Relationship Id="rId34" Type="http://schemas.openxmlformats.org/officeDocument/2006/relationships/hyperlink" Target="http://www.nevo.co.il/law/4216" TargetMode="External"/><Relationship Id="rId7" Type="http://schemas.openxmlformats.org/officeDocument/2006/relationships/hyperlink" Target="http://www.nevo.co.il/case/23764679" TargetMode="External"/><Relationship Id="rId2" Type="http://schemas.openxmlformats.org/officeDocument/2006/relationships/styles" Target="styles.xml"/><Relationship Id="rId16" Type="http://schemas.openxmlformats.org/officeDocument/2006/relationships/hyperlink" Target="http://www.nevo.co.il/case/21896580" TargetMode="External"/><Relationship Id="rId20" Type="http://schemas.openxmlformats.org/officeDocument/2006/relationships/hyperlink" Target="http://www.nevo.co.il/case/5810781" TargetMode="External"/><Relationship Id="rId29" Type="http://schemas.openxmlformats.org/officeDocument/2006/relationships/hyperlink" Target="http://www.nevo.co.il/case/20145219"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2991/5.a.4" TargetMode="External"/><Relationship Id="rId24" Type="http://schemas.openxmlformats.org/officeDocument/2006/relationships/hyperlink" Target="http://www.nevo.co.il/case/19994809%09" TargetMode="External"/><Relationship Id="rId32" Type="http://schemas.openxmlformats.org/officeDocument/2006/relationships/hyperlink" Target="http://www.nevo.co.il/case/22815849"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8478043" TargetMode="External"/><Relationship Id="rId23" Type="http://schemas.openxmlformats.org/officeDocument/2006/relationships/hyperlink" Target="http://www.nevo.co.il/case/17075628" TargetMode="External"/><Relationship Id="rId28" Type="http://schemas.openxmlformats.org/officeDocument/2006/relationships/hyperlink" Target="http://www.nevo.co.il/case/20236668" TargetMode="External"/><Relationship Id="rId36" Type="http://schemas.openxmlformats.org/officeDocument/2006/relationships/header" Target="header1.xml"/><Relationship Id="rId10" Type="http://schemas.openxmlformats.org/officeDocument/2006/relationships/hyperlink" Target="http://www.nevo.co.il/law/72991" TargetMode="External"/><Relationship Id="rId19" Type="http://schemas.openxmlformats.org/officeDocument/2006/relationships/hyperlink" Target="http://www.nevo.co.il/case/17943750" TargetMode="External"/><Relationship Id="rId31" Type="http://schemas.openxmlformats.org/officeDocument/2006/relationships/hyperlink" Target="http://www.nevo.co.il/case/16943469" TargetMode="Externa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case/25830726" TargetMode="External"/><Relationship Id="rId22" Type="http://schemas.openxmlformats.org/officeDocument/2006/relationships/hyperlink" Target="http://www.nevo.co.il/case/5849797" TargetMode="External"/><Relationship Id="rId27" Type="http://schemas.openxmlformats.org/officeDocument/2006/relationships/hyperlink" Target="http://www.nevo.co.il/case/20632055" TargetMode="External"/><Relationship Id="rId30" Type="http://schemas.openxmlformats.org/officeDocument/2006/relationships/hyperlink" Target="http://www.nevo.co.il/case/13049328"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4216/6" TargetMode="External"/><Relationship Id="rId17" Type="http://schemas.openxmlformats.org/officeDocument/2006/relationships/hyperlink" Target="http://www.nevo.co.il/law/72991/5.a.4" TargetMode="External"/><Relationship Id="rId25" Type="http://schemas.openxmlformats.org/officeDocument/2006/relationships/hyperlink" Target="http://www.nevo.co.il/case/23751314" TargetMode="External"/><Relationship Id="rId33" Type="http://schemas.openxmlformats.org/officeDocument/2006/relationships/hyperlink" Target="http://www.nevo.co.il/law/4216"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2770</Words>
  <Characters>13852</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16589</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8257637</vt:i4>
      </vt:variant>
      <vt:variant>
        <vt:i4>81</vt:i4>
      </vt:variant>
      <vt:variant>
        <vt:i4>0</vt:i4>
      </vt:variant>
      <vt:variant>
        <vt:i4>5</vt:i4>
      </vt:variant>
      <vt:variant>
        <vt:lpwstr>http://www.nevo.co.il/law/4216</vt:lpwstr>
      </vt:variant>
      <vt:variant>
        <vt:lpwstr/>
      </vt:variant>
      <vt:variant>
        <vt:i4>8257637</vt:i4>
      </vt:variant>
      <vt:variant>
        <vt:i4>78</vt:i4>
      </vt:variant>
      <vt:variant>
        <vt:i4>0</vt:i4>
      </vt:variant>
      <vt:variant>
        <vt:i4>5</vt:i4>
      </vt:variant>
      <vt:variant>
        <vt:lpwstr>http://www.nevo.co.il/law/4216</vt:lpwstr>
      </vt:variant>
      <vt:variant>
        <vt:lpwstr/>
      </vt:variant>
      <vt:variant>
        <vt:i4>3866751</vt:i4>
      </vt:variant>
      <vt:variant>
        <vt:i4>75</vt:i4>
      </vt:variant>
      <vt:variant>
        <vt:i4>0</vt:i4>
      </vt:variant>
      <vt:variant>
        <vt:i4>5</vt:i4>
      </vt:variant>
      <vt:variant>
        <vt:lpwstr>http://www.nevo.co.il/case/22815849</vt:lpwstr>
      </vt:variant>
      <vt:variant>
        <vt:lpwstr/>
      </vt:variant>
      <vt:variant>
        <vt:i4>3997810</vt:i4>
      </vt:variant>
      <vt:variant>
        <vt:i4>72</vt:i4>
      </vt:variant>
      <vt:variant>
        <vt:i4>0</vt:i4>
      </vt:variant>
      <vt:variant>
        <vt:i4>5</vt:i4>
      </vt:variant>
      <vt:variant>
        <vt:lpwstr>http://www.nevo.co.il/case/16943469</vt:lpwstr>
      </vt:variant>
      <vt:variant>
        <vt:lpwstr/>
      </vt:variant>
      <vt:variant>
        <vt:i4>3801200</vt:i4>
      </vt:variant>
      <vt:variant>
        <vt:i4>69</vt:i4>
      </vt:variant>
      <vt:variant>
        <vt:i4>0</vt:i4>
      </vt:variant>
      <vt:variant>
        <vt:i4>5</vt:i4>
      </vt:variant>
      <vt:variant>
        <vt:lpwstr>http://www.nevo.co.il/case/13049328</vt:lpwstr>
      </vt:variant>
      <vt:variant>
        <vt:lpwstr/>
      </vt:variant>
      <vt:variant>
        <vt:i4>3604594</vt:i4>
      </vt:variant>
      <vt:variant>
        <vt:i4>66</vt:i4>
      </vt:variant>
      <vt:variant>
        <vt:i4>0</vt:i4>
      </vt:variant>
      <vt:variant>
        <vt:i4>5</vt:i4>
      </vt:variant>
      <vt:variant>
        <vt:lpwstr>http://www.nevo.co.il/case/20145219</vt:lpwstr>
      </vt:variant>
      <vt:variant>
        <vt:lpwstr/>
      </vt:variant>
      <vt:variant>
        <vt:i4>3145841</vt:i4>
      </vt:variant>
      <vt:variant>
        <vt:i4>63</vt:i4>
      </vt:variant>
      <vt:variant>
        <vt:i4>0</vt:i4>
      </vt:variant>
      <vt:variant>
        <vt:i4>5</vt:i4>
      </vt:variant>
      <vt:variant>
        <vt:lpwstr>http://www.nevo.co.il/case/20236668</vt:lpwstr>
      </vt:variant>
      <vt:variant>
        <vt:lpwstr/>
      </vt:variant>
      <vt:variant>
        <vt:i4>3342455</vt:i4>
      </vt:variant>
      <vt:variant>
        <vt:i4>60</vt:i4>
      </vt:variant>
      <vt:variant>
        <vt:i4>0</vt:i4>
      </vt:variant>
      <vt:variant>
        <vt:i4>5</vt:i4>
      </vt:variant>
      <vt:variant>
        <vt:lpwstr>http://www.nevo.co.il/case/20632055</vt:lpwstr>
      </vt:variant>
      <vt:variant>
        <vt:lpwstr/>
      </vt:variant>
      <vt:variant>
        <vt:i4>8257637</vt:i4>
      </vt:variant>
      <vt:variant>
        <vt:i4>57</vt:i4>
      </vt:variant>
      <vt:variant>
        <vt:i4>0</vt:i4>
      </vt:variant>
      <vt:variant>
        <vt:i4>5</vt:i4>
      </vt:variant>
      <vt:variant>
        <vt:lpwstr>http://www.nevo.co.il/law/4216</vt:lpwstr>
      </vt:variant>
      <vt:variant>
        <vt:lpwstr/>
      </vt:variant>
      <vt:variant>
        <vt:i4>3473521</vt:i4>
      </vt:variant>
      <vt:variant>
        <vt:i4>54</vt:i4>
      </vt:variant>
      <vt:variant>
        <vt:i4>0</vt:i4>
      </vt:variant>
      <vt:variant>
        <vt:i4>5</vt:i4>
      </vt:variant>
      <vt:variant>
        <vt:lpwstr>http://www.nevo.co.il/case/23751314</vt:lpwstr>
      </vt:variant>
      <vt:variant>
        <vt:lpwstr/>
      </vt:variant>
      <vt:variant>
        <vt:i4>3932284</vt:i4>
      </vt:variant>
      <vt:variant>
        <vt:i4>51</vt:i4>
      </vt:variant>
      <vt:variant>
        <vt:i4>0</vt:i4>
      </vt:variant>
      <vt:variant>
        <vt:i4>5</vt:i4>
      </vt:variant>
      <vt:variant>
        <vt:lpwstr>http://www.nevo.co.il/case/19994809</vt:lpwstr>
      </vt:variant>
      <vt:variant>
        <vt:lpwstr/>
      </vt:variant>
      <vt:variant>
        <vt:i4>3539058</vt:i4>
      </vt:variant>
      <vt:variant>
        <vt:i4>48</vt:i4>
      </vt:variant>
      <vt:variant>
        <vt:i4>0</vt:i4>
      </vt:variant>
      <vt:variant>
        <vt:i4>5</vt:i4>
      </vt:variant>
      <vt:variant>
        <vt:lpwstr>http://www.nevo.co.il/case/17075628</vt:lpwstr>
      </vt:variant>
      <vt:variant>
        <vt:lpwstr/>
      </vt:variant>
      <vt:variant>
        <vt:i4>3211388</vt:i4>
      </vt:variant>
      <vt:variant>
        <vt:i4>45</vt:i4>
      </vt:variant>
      <vt:variant>
        <vt:i4>0</vt:i4>
      </vt:variant>
      <vt:variant>
        <vt:i4>5</vt:i4>
      </vt:variant>
      <vt:variant>
        <vt:lpwstr>http://www.nevo.co.il/case/5849797</vt:lpwstr>
      </vt:variant>
      <vt:variant>
        <vt:lpwstr/>
      </vt:variant>
      <vt:variant>
        <vt:i4>3539068</vt:i4>
      </vt:variant>
      <vt:variant>
        <vt:i4>42</vt:i4>
      </vt:variant>
      <vt:variant>
        <vt:i4>0</vt:i4>
      </vt:variant>
      <vt:variant>
        <vt:i4>5</vt:i4>
      </vt:variant>
      <vt:variant>
        <vt:lpwstr>http://www.nevo.co.il/case/6161385</vt:lpwstr>
      </vt:variant>
      <vt:variant>
        <vt:lpwstr/>
      </vt:variant>
      <vt:variant>
        <vt:i4>3276916</vt:i4>
      </vt:variant>
      <vt:variant>
        <vt:i4>39</vt:i4>
      </vt:variant>
      <vt:variant>
        <vt:i4>0</vt:i4>
      </vt:variant>
      <vt:variant>
        <vt:i4>5</vt:i4>
      </vt:variant>
      <vt:variant>
        <vt:lpwstr>http://www.nevo.co.il/case/5810781</vt:lpwstr>
      </vt:variant>
      <vt:variant>
        <vt:lpwstr/>
      </vt:variant>
      <vt:variant>
        <vt:i4>4063344</vt:i4>
      </vt:variant>
      <vt:variant>
        <vt:i4>36</vt:i4>
      </vt:variant>
      <vt:variant>
        <vt:i4>0</vt:i4>
      </vt:variant>
      <vt:variant>
        <vt:i4>5</vt:i4>
      </vt:variant>
      <vt:variant>
        <vt:lpwstr>http://www.nevo.co.il/case/17943750</vt:lpwstr>
      </vt:variant>
      <vt:variant>
        <vt:lpwstr/>
      </vt:variant>
      <vt:variant>
        <vt:i4>7405678</vt:i4>
      </vt:variant>
      <vt:variant>
        <vt:i4>33</vt:i4>
      </vt:variant>
      <vt:variant>
        <vt:i4>0</vt:i4>
      </vt:variant>
      <vt:variant>
        <vt:i4>5</vt:i4>
      </vt:variant>
      <vt:variant>
        <vt:lpwstr>http://www.nevo.co.il/law/72991</vt:lpwstr>
      </vt:variant>
      <vt:variant>
        <vt:lpwstr/>
      </vt:variant>
      <vt:variant>
        <vt:i4>6160395</vt:i4>
      </vt:variant>
      <vt:variant>
        <vt:i4>30</vt:i4>
      </vt:variant>
      <vt:variant>
        <vt:i4>0</vt:i4>
      </vt:variant>
      <vt:variant>
        <vt:i4>5</vt:i4>
      </vt:variant>
      <vt:variant>
        <vt:lpwstr>http://www.nevo.co.il/law/72991/5.a.4</vt:lpwstr>
      </vt:variant>
      <vt:variant>
        <vt:lpwstr/>
      </vt:variant>
      <vt:variant>
        <vt:i4>3407993</vt:i4>
      </vt:variant>
      <vt:variant>
        <vt:i4>27</vt:i4>
      </vt:variant>
      <vt:variant>
        <vt:i4>0</vt:i4>
      </vt:variant>
      <vt:variant>
        <vt:i4>5</vt:i4>
      </vt:variant>
      <vt:variant>
        <vt:lpwstr>http://www.nevo.co.il/case/21896580</vt:lpwstr>
      </vt:variant>
      <vt:variant>
        <vt:lpwstr/>
      </vt:variant>
      <vt:variant>
        <vt:i4>3932284</vt:i4>
      </vt:variant>
      <vt:variant>
        <vt:i4>24</vt:i4>
      </vt:variant>
      <vt:variant>
        <vt:i4>0</vt:i4>
      </vt:variant>
      <vt:variant>
        <vt:i4>5</vt:i4>
      </vt:variant>
      <vt:variant>
        <vt:lpwstr>http://www.nevo.co.il/case/8478043</vt:lpwstr>
      </vt:variant>
      <vt:variant>
        <vt:lpwstr/>
      </vt:variant>
      <vt:variant>
        <vt:i4>3670133</vt:i4>
      </vt:variant>
      <vt:variant>
        <vt:i4>21</vt:i4>
      </vt:variant>
      <vt:variant>
        <vt:i4>0</vt:i4>
      </vt:variant>
      <vt:variant>
        <vt:i4>5</vt:i4>
      </vt:variant>
      <vt:variant>
        <vt:lpwstr>http://www.nevo.co.il/case/25830726</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6160395</vt:i4>
      </vt:variant>
      <vt:variant>
        <vt:i4>12</vt:i4>
      </vt:variant>
      <vt:variant>
        <vt:i4>0</vt:i4>
      </vt:variant>
      <vt:variant>
        <vt:i4>5</vt:i4>
      </vt:variant>
      <vt:variant>
        <vt:lpwstr>http://www.nevo.co.il/law/72991/5.a.4</vt:lpwstr>
      </vt:variant>
      <vt:variant>
        <vt:lpwstr/>
      </vt:variant>
      <vt:variant>
        <vt:i4>7405678</vt:i4>
      </vt:variant>
      <vt:variant>
        <vt:i4>9</vt:i4>
      </vt:variant>
      <vt:variant>
        <vt:i4>0</vt:i4>
      </vt:variant>
      <vt:variant>
        <vt:i4>5</vt:i4>
      </vt:variant>
      <vt:variant>
        <vt:lpwstr>http://www.nevo.co.il/law/72991</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3539063</vt:i4>
      </vt:variant>
      <vt:variant>
        <vt:i4>0</vt:i4>
      </vt:variant>
      <vt:variant>
        <vt:i4>0</vt:i4>
      </vt:variant>
      <vt:variant>
        <vt:i4>5</vt:i4>
      </vt:variant>
      <vt:variant>
        <vt:lpwstr>http://www.nevo.co.il/case/23764679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2025-04-22T23:42:00Z</dcterms:created>
  <dcterms:modified xsi:type="dcterms:W3CDTF">2025-04-22T23:42:00Z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11072</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דמיאן מרטין סאול מכר</vt:lpwstr>
  </property>
  <property fmtid="{D5CDD505-2E9C-101B-9397-08002B2CF9AE}" pid="10" name="LAWYER">
    <vt:lpwstr>רסקין</vt:lpwstr>
  </property>
  <property fmtid="{D5CDD505-2E9C-101B-9397-08002B2CF9AE}" pid="11" name="JUDGE">
    <vt:lpwstr>עדי אייזדורפר</vt:lpwstr>
  </property>
  <property fmtid="{D5CDD505-2E9C-101B-9397-08002B2CF9AE}" pid="12" name="CITY">
    <vt:lpwstr>אשד'</vt:lpwstr>
  </property>
  <property fmtid="{D5CDD505-2E9C-101B-9397-08002B2CF9AE}" pid="13" name="DATE">
    <vt:lpwstr>20210218</vt:lpwstr>
  </property>
  <property fmtid="{D5CDD505-2E9C-101B-9397-08002B2CF9AE}" pid="14" name="TYPE_N_DATE">
    <vt:lpwstr>38020210218</vt:lpwstr>
  </property>
  <property fmtid="{D5CDD505-2E9C-101B-9397-08002B2CF9AE}" pid="15" name="WORDNUMPAGES">
    <vt:lpwstr>7</vt:lpwstr>
  </property>
  <property fmtid="{D5CDD505-2E9C-101B-9397-08002B2CF9AE}" pid="16" name="TYPE_ABS_DATE">
    <vt:lpwstr>380020210218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23764679;25830726;8478043;21896580;17943750;5810781;6161385;5849797;17075628;19994809;23751314;20632055;20236668;20145219;13049328;16943469;22815849</vt:lpwstr>
  </property>
  <property fmtid="{D5CDD505-2E9C-101B-9397-08002B2CF9AE}" pid="36" name="LAWLISTTMP1">
    <vt:lpwstr>4216/006</vt:lpwstr>
  </property>
  <property fmtid="{D5CDD505-2E9C-101B-9397-08002B2CF9AE}" pid="37" name="LAWLISTTMP2">
    <vt:lpwstr>72991/005.a.4</vt:lpwstr>
  </property>
</Properties>
</file>