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8"/>
        <w:gridCol w:w="3575"/>
      </w:tblGrid>
      <w:tr w:rsidR="00C20162" w:rsidRPr="00F920F3" w14:paraId="44E1AC43" w14:textId="77777777" w:rsidTr="000472C7">
        <w:trPr>
          <w:trHeight w:hRule="exact" w:val="418"/>
          <w:jc w:val="center"/>
        </w:trPr>
        <w:tc>
          <w:tcPr>
            <w:tcW w:w="8523" w:type="dxa"/>
            <w:gridSpan w:val="2"/>
          </w:tcPr>
          <w:p w14:paraId="43FFBC25" w14:textId="77777777" w:rsidR="00C20162" w:rsidRPr="00F920F3" w:rsidRDefault="00C20162" w:rsidP="00FA44AE">
            <w:pPr>
              <w:pStyle w:val="a3"/>
              <w:jc w:val="center"/>
              <w:rPr>
                <w:rFonts w:ascii="Tahoma" w:hAnsi="Tahoma"/>
                <w:color w:val="000080"/>
                <w:sz w:val="32"/>
                <w:szCs w:val="32"/>
                <w:rtl/>
              </w:rPr>
            </w:pPr>
            <w:bookmarkStart w:id="0" w:name="LastJudge"/>
            <w:r w:rsidRPr="00F920F3">
              <w:rPr>
                <w:rFonts w:ascii="Tahoma" w:hAnsi="Tahoma"/>
                <w:b/>
                <w:bCs/>
                <w:color w:val="000080"/>
                <w:sz w:val="32"/>
                <w:szCs w:val="32"/>
                <w:rtl/>
              </w:rPr>
              <w:t>בית משפט השלום בתל אביב - יפו</w:t>
            </w:r>
          </w:p>
        </w:tc>
      </w:tr>
      <w:tr w:rsidR="00C20162" w:rsidRPr="00F920F3" w14:paraId="2274F46C" w14:textId="77777777" w:rsidTr="000472C7">
        <w:trPr>
          <w:trHeight w:val="337"/>
          <w:jc w:val="center"/>
        </w:trPr>
        <w:tc>
          <w:tcPr>
            <w:tcW w:w="4948" w:type="dxa"/>
          </w:tcPr>
          <w:p w14:paraId="209A517F" w14:textId="77777777" w:rsidR="00C20162" w:rsidRPr="00F920F3" w:rsidRDefault="00C20162" w:rsidP="00FA44AE">
            <w:pPr>
              <w:rPr>
                <w:sz w:val="26"/>
                <w:szCs w:val="26"/>
                <w:rtl/>
              </w:rPr>
            </w:pPr>
            <w:r w:rsidRPr="00F920F3">
              <w:rPr>
                <w:sz w:val="26"/>
                <w:szCs w:val="26"/>
                <w:rtl/>
              </w:rPr>
              <w:t>ת"פ</w:t>
            </w:r>
            <w:r w:rsidRPr="00F920F3">
              <w:rPr>
                <w:rFonts w:hint="cs"/>
                <w:sz w:val="26"/>
                <w:szCs w:val="26"/>
                <w:rtl/>
              </w:rPr>
              <w:t xml:space="preserve"> </w:t>
            </w:r>
            <w:r w:rsidRPr="00F920F3">
              <w:rPr>
                <w:sz w:val="26"/>
                <w:szCs w:val="26"/>
                <w:rtl/>
              </w:rPr>
              <w:t>21678-03-18</w:t>
            </w:r>
            <w:r w:rsidRPr="00F920F3">
              <w:rPr>
                <w:rFonts w:hint="cs"/>
                <w:sz w:val="26"/>
                <w:szCs w:val="26"/>
                <w:rtl/>
              </w:rPr>
              <w:t xml:space="preserve"> </w:t>
            </w:r>
            <w:r w:rsidRPr="00F920F3">
              <w:rPr>
                <w:b/>
                <w:bCs/>
                <w:sz w:val="26"/>
                <w:szCs w:val="26"/>
                <w:rtl/>
              </w:rPr>
              <w:t>מדינת ישראל נ' גוסיינוב</w:t>
            </w:r>
          </w:p>
        </w:tc>
        <w:tc>
          <w:tcPr>
            <w:tcW w:w="3575" w:type="dxa"/>
          </w:tcPr>
          <w:p w14:paraId="5B352FBB" w14:textId="77777777" w:rsidR="00C20162" w:rsidRPr="00F920F3" w:rsidRDefault="00C20162" w:rsidP="00FA44AE">
            <w:pPr>
              <w:pStyle w:val="a3"/>
              <w:jc w:val="right"/>
              <w:rPr>
                <w:rFonts w:cs="FrankRuehl"/>
                <w:sz w:val="28"/>
                <w:szCs w:val="28"/>
                <w:rtl/>
              </w:rPr>
            </w:pPr>
          </w:p>
        </w:tc>
      </w:tr>
    </w:tbl>
    <w:p w14:paraId="7BD1A4C1" w14:textId="77777777" w:rsidR="00C20162" w:rsidRPr="00F920F3" w:rsidRDefault="00C20162" w:rsidP="00C20162">
      <w:pPr>
        <w:pStyle w:val="a3"/>
        <w:rPr>
          <w:rtl/>
        </w:rPr>
      </w:pPr>
      <w:r w:rsidRPr="00F920F3">
        <w:rPr>
          <w:rFonts w:hint="cs"/>
          <w:rtl/>
        </w:rPr>
        <w:t xml:space="preserve"> </w:t>
      </w:r>
    </w:p>
    <w:p w14:paraId="34AA71EE" w14:textId="77777777" w:rsidR="00C20162" w:rsidRPr="00F920F3" w:rsidRDefault="00C20162" w:rsidP="00C20162">
      <w:pPr>
        <w:spacing w:line="360" w:lineRule="auto"/>
        <w:rPr>
          <w:b/>
          <w:bCs/>
          <w:rtl/>
        </w:rPr>
      </w:pPr>
    </w:p>
    <w:p w14:paraId="09E18E02" w14:textId="77777777" w:rsidR="00C20162" w:rsidRPr="00F920F3" w:rsidRDefault="00C20162" w:rsidP="00C20162">
      <w:pPr>
        <w:spacing w:line="360" w:lineRule="auto"/>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2"/>
        <w:gridCol w:w="4158"/>
        <w:gridCol w:w="3330"/>
      </w:tblGrid>
      <w:tr w:rsidR="00C20162" w:rsidRPr="00F920F3" w14:paraId="0E727130" w14:textId="77777777" w:rsidTr="00C20162">
        <w:trPr>
          <w:trHeight w:val="295"/>
          <w:jc w:val="center"/>
        </w:trPr>
        <w:tc>
          <w:tcPr>
            <w:tcW w:w="8820" w:type="dxa"/>
            <w:gridSpan w:val="3"/>
            <w:tcBorders>
              <w:top w:val="nil"/>
              <w:left w:val="nil"/>
              <w:bottom w:val="nil"/>
              <w:right w:val="nil"/>
            </w:tcBorders>
            <w:shd w:val="clear" w:color="auto" w:fill="auto"/>
          </w:tcPr>
          <w:p w14:paraId="2D118E56" w14:textId="77777777" w:rsidR="00C20162" w:rsidRPr="00F920F3" w:rsidRDefault="00C20162" w:rsidP="00C20162">
            <w:pPr>
              <w:spacing w:line="360" w:lineRule="auto"/>
              <w:jc w:val="both"/>
              <w:rPr>
                <w:b/>
                <w:bCs/>
                <w:sz w:val="26"/>
                <w:szCs w:val="26"/>
                <w:rtl/>
              </w:rPr>
            </w:pPr>
            <w:r w:rsidRPr="00F920F3">
              <w:rPr>
                <w:rFonts w:ascii="Arial" w:hAnsi="Arial" w:hint="cs"/>
                <w:b/>
                <w:bCs/>
                <w:sz w:val="26"/>
                <w:szCs w:val="26"/>
                <w:rtl/>
              </w:rPr>
              <w:t>ל</w:t>
            </w:r>
            <w:r w:rsidRPr="00F920F3">
              <w:rPr>
                <w:rFonts w:ascii="Arial" w:hAnsi="Arial"/>
                <w:b/>
                <w:bCs/>
                <w:sz w:val="26"/>
                <w:szCs w:val="26"/>
                <w:rtl/>
              </w:rPr>
              <w:t xml:space="preserve">פני </w:t>
            </w:r>
            <w:r w:rsidRPr="00F920F3">
              <w:rPr>
                <w:rFonts w:ascii="Arial" w:hAnsi="Arial" w:hint="cs"/>
                <w:b/>
                <w:bCs/>
                <w:sz w:val="26"/>
                <w:szCs w:val="26"/>
                <w:rtl/>
              </w:rPr>
              <w:t>כבוד ה</w:t>
            </w:r>
            <w:r w:rsidRPr="00F920F3">
              <w:rPr>
                <w:rFonts w:ascii="Arial" w:hAnsi="Arial"/>
                <w:b/>
                <w:bCs/>
                <w:sz w:val="26"/>
                <w:szCs w:val="26"/>
                <w:rtl/>
              </w:rPr>
              <w:t>שופט</w:t>
            </w:r>
            <w:r w:rsidRPr="00F920F3">
              <w:rPr>
                <w:rFonts w:ascii="Arial" w:hAnsi="Arial" w:hint="cs"/>
                <w:b/>
                <w:bCs/>
                <w:sz w:val="26"/>
                <w:szCs w:val="26"/>
                <w:rtl/>
              </w:rPr>
              <w:t xml:space="preserve"> </w:t>
            </w:r>
            <w:r w:rsidRPr="00F920F3">
              <w:rPr>
                <w:rFonts w:ascii="Arial" w:hAnsi="Arial"/>
                <w:b/>
                <w:bCs/>
                <w:sz w:val="26"/>
                <w:szCs w:val="26"/>
                <w:rtl/>
              </w:rPr>
              <w:t>שאול אבינור</w:t>
            </w:r>
          </w:p>
          <w:p w14:paraId="158E4825" w14:textId="77777777" w:rsidR="00C20162" w:rsidRPr="00F920F3" w:rsidRDefault="00C20162" w:rsidP="00C20162">
            <w:pPr>
              <w:spacing w:line="360" w:lineRule="auto"/>
              <w:jc w:val="both"/>
              <w:rPr>
                <w:rFonts w:ascii="Arial" w:hAnsi="Arial"/>
                <w:b/>
                <w:bCs/>
                <w:sz w:val="26"/>
                <w:szCs w:val="26"/>
              </w:rPr>
            </w:pPr>
          </w:p>
        </w:tc>
      </w:tr>
      <w:tr w:rsidR="00C20162" w:rsidRPr="00F920F3" w14:paraId="1E4D9EBF" w14:textId="77777777" w:rsidTr="00C20162">
        <w:trPr>
          <w:trHeight w:val="355"/>
          <w:jc w:val="center"/>
        </w:trPr>
        <w:tc>
          <w:tcPr>
            <w:tcW w:w="885" w:type="dxa"/>
            <w:tcBorders>
              <w:top w:val="nil"/>
              <w:left w:val="nil"/>
              <w:bottom w:val="nil"/>
              <w:right w:val="nil"/>
            </w:tcBorders>
            <w:shd w:val="clear" w:color="auto" w:fill="auto"/>
          </w:tcPr>
          <w:p w14:paraId="576CE553" w14:textId="77777777" w:rsidR="00C20162" w:rsidRPr="00F920F3" w:rsidRDefault="00C20162" w:rsidP="00C20162">
            <w:pPr>
              <w:spacing w:line="360" w:lineRule="auto"/>
              <w:jc w:val="both"/>
              <w:rPr>
                <w:rFonts w:ascii="Arial" w:hAnsi="Arial"/>
                <w:b/>
                <w:bCs/>
                <w:sz w:val="26"/>
                <w:szCs w:val="26"/>
              </w:rPr>
            </w:pPr>
            <w:bookmarkStart w:id="1" w:name="FirstAppellant"/>
            <w:bookmarkStart w:id="2" w:name="FirstLawyer"/>
            <w:r w:rsidRPr="00F920F3">
              <w:rPr>
                <w:rFonts w:ascii="Arial" w:hAnsi="Arial" w:hint="cs"/>
                <w:b/>
                <w:bCs/>
                <w:sz w:val="26"/>
                <w:szCs w:val="26"/>
                <w:rtl/>
              </w:rPr>
              <w:t>ה</w:t>
            </w:r>
            <w:r w:rsidRPr="00F920F3">
              <w:rPr>
                <w:rFonts w:ascii="Arial" w:hAnsi="Arial"/>
                <w:b/>
                <w:bCs/>
                <w:sz w:val="26"/>
                <w:szCs w:val="26"/>
                <w:rtl/>
              </w:rPr>
              <w:t>מאשימה</w:t>
            </w:r>
            <w:r w:rsidRPr="00F920F3">
              <w:rPr>
                <w:rFonts w:ascii="Arial" w:hAnsi="Arial" w:hint="cs"/>
                <w:b/>
                <w:bCs/>
                <w:sz w:val="26"/>
                <w:szCs w:val="26"/>
                <w:rtl/>
              </w:rPr>
              <w:t>:</w:t>
            </w:r>
          </w:p>
        </w:tc>
        <w:tc>
          <w:tcPr>
            <w:tcW w:w="4384" w:type="dxa"/>
            <w:tcBorders>
              <w:top w:val="nil"/>
              <w:left w:val="nil"/>
              <w:bottom w:val="nil"/>
              <w:right w:val="nil"/>
            </w:tcBorders>
            <w:shd w:val="clear" w:color="auto" w:fill="auto"/>
          </w:tcPr>
          <w:p w14:paraId="07A68569" w14:textId="77777777" w:rsidR="00C20162" w:rsidRPr="00F920F3" w:rsidRDefault="00C20162" w:rsidP="00C20162">
            <w:pPr>
              <w:spacing w:line="360" w:lineRule="auto"/>
              <w:rPr>
                <w:b/>
                <w:bCs/>
                <w:sz w:val="26"/>
                <w:szCs w:val="26"/>
                <w:rtl/>
              </w:rPr>
            </w:pPr>
            <w:r w:rsidRPr="00F920F3">
              <w:rPr>
                <w:rFonts w:ascii="Arial" w:hAnsi="Arial"/>
                <w:b/>
                <w:bCs/>
                <w:sz w:val="26"/>
                <w:szCs w:val="26"/>
                <w:rtl/>
              </w:rPr>
              <w:t>מדינת ישראל</w:t>
            </w:r>
          </w:p>
          <w:p w14:paraId="1A58C1F9" w14:textId="77777777" w:rsidR="00C20162" w:rsidRPr="00F920F3" w:rsidRDefault="00C20162" w:rsidP="00C20162">
            <w:pPr>
              <w:spacing w:line="360" w:lineRule="auto"/>
              <w:rPr>
                <w:sz w:val="26"/>
                <w:szCs w:val="26"/>
              </w:rPr>
            </w:pPr>
            <w:r w:rsidRPr="00F920F3">
              <w:rPr>
                <w:rFonts w:hint="cs"/>
                <w:rtl/>
              </w:rPr>
              <w:t>ע"י ב"כ עו"ד אברהם ישי</w:t>
            </w:r>
          </w:p>
        </w:tc>
        <w:tc>
          <w:tcPr>
            <w:tcW w:w="3551" w:type="dxa"/>
            <w:tcBorders>
              <w:top w:val="nil"/>
              <w:left w:val="nil"/>
              <w:bottom w:val="nil"/>
              <w:right w:val="nil"/>
            </w:tcBorders>
            <w:shd w:val="clear" w:color="auto" w:fill="auto"/>
          </w:tcPr>
          <w:p w14:paraId="5A16231B" w14:textId="77777777" w:rsidR="00C20162" w:rsidRPr="00F920F3" w:rsidRDefault="00C20162" w:rsidP="00C20162">
            <w:pPr>
              <w:spacing w:line="360" w:lineRule="auto"/>
              <w:jc w:val="both"/>
              <w:rPr>
                <w:rFonts w:ascii="Arial" w:hAnsi="Arial"/>
                <w:b/>
                <w:bCs/>
                <w:sz w:val="26"/>
                <w:szCs w:val="26"/>
              </w:rPr>
            </w:pPr>
          </w:p>
        </w:tc>
      </w:tr>
      <w:bookmarkEnd w:id="1"/>
      <w:bookmarkEnd w:id="2"/>
      <w:tr w:rsidR="00C20162" w:rsidRPr="00F920F3" w14:paraId="685C2AF1" w14:textId="77777777" w:rsidTr="00C20162">
        <w:trPr>
          <w:trHeight w:val="373"/>
          <w:jc w:val="center"/>
        </w:trPr>
        <w:tc>
          <w:tcPr>
            <w:tcW w:w="885" w:type="dxa"/>
            <w:tcBorders>
              <w:top w:val="nil"/>
              <w:left w:val="nil"/>
              <w:bottom w:val="nil"/>
              <w:right w:val="nil"/>
            </w:tcBorders>
            <w:shd w:val="clear" w:color="auto" w:fill="auto"/>
          </w:tcPr>
          <w:p w14:paraId="22CFDA5C" w14:textId="77777777" w:rsidR="00C20162" w:rsidRPr="00F920F3" w:rsidRDefault="00C20162" w:rsidP="00C20162">
            <w:pPr>
              <w:spacing w:line="360" w:lineRule="auto"/>
              <w:jc w:val="both"/>
              <w:rPr>
                <w:rFonts w:ascii="Arial" w:hAnsi="Arial"/>
                <w:b/>
                <w:bCs/>
                <w:sz w:val="26"/>
                <w:szCs w:val="26"/>
                <w:rtl/>
              </w:rPr>
            </w:pPr>
          </w:p>
        </w:tc>
        <w:tc>
          <w:tcPr>
            <w:tcW w:w="7935" w:type="dxa"/>
            <w:gridSpan w:val="2"/>
            <w:tcBorders>
              <w:top w:val="nil"/>
              <w:left w:val="nil"/>
              <w:bottom w:val="nil"/>
              <w:right w:val="nil"/>
            </w:tcBorders>
            <w:shd w:val="clear" w:color="auto" w:fill="auto"/>
          </w:tcPr>
          <w:p w14:paraId="1AF8AE27" w14:textId="77777777" w:rsidR="00C20162" w:rsidRPr="00F920F3" w:rsidRDefault="00C20162" w:rsidP="00C20162">
            <w:pPr>
              <w:spacing w:line="360" w:lineRule="auto"/>
              <w:jc w:val="center"/>
              <w:rPr>
                <w:rFonts w:ascii="Arial" w:hAnsi="Arial"/>
                <w:b/>
                <w:bCs/>
                <w:sz w:val="26"/>
                <w:szCs w:val="26"/>
                <w:rtl/>
              </w:rPr>
            </w:pPr>
          </w:p>
          <w:p w14:paraId="513DC085" w14:textId="77777777" w:rsidR="00C20162" w:rsidRPr="00F920F3" w:rsidRDefault="00C20162" w:rsidP="00C20162">
            <w:pPr>
              <w:spacing w:line="360" w:lineRule="auto"/>
              <w:jc w:val="center"/>
              <w:rPr>
                <w:rFonts w:ascii="Arial" w:hAnsi="Arial"/>
                <w:b/>
                <w:bCs/>
                <w:sz w:val="26"/>
                <w:szCs w:val="26"/>
                <w:rtl/>
              </w:rPr>
            </w:pPr>
          </w:p>
          <w:p w14:paraId="490F8A8E" w14:textId="77777777" w:rsidR="00C20162" w:rsidRPr="00F920F3" w:rsidRDefault="00C20162" w:rsidP="00C20162">
            <w:pPr>
              <w:spacing w:line="360" w:lineRule="auto"/>
              <w:jc w:val="center"/>
              <w:rPr>
                <w:rFonts w:ascii="Arial" w:hAnsi="Arial"/>
                <w:b/>
                <w:bCs/>
                <w:sz w:val="26"/>
                <w:szCs w:val="26"/>
                <w:rtl/>
              </w:rPr>
            </w:pPr>
            <w:r w:rsidRPr="00F920F3">
              <w:rPr>
                <w:rFonts w:ascii="Arial" w:hAnsi="Arial"/>
                <w:b/>
                <w:bCs/>
                <w:sz w:val="26"/>
                <w:szCs w:val="26"/>
                <w:rtl/>
              </w:rPr>
              <w:t>נגד</w:t>
            </w:r>
          </w:p>
          <w:p w14:paraId="74433410" w14:textId="77777777" w:rsidR="00C20162" w:rsidRPr="00F920F3" w:rsidRDefault="00C20162" w:rsidP="00C20162">
            <w:pPr>
              <w:spacing w:line="360" w:lineRule="auto"/>
              <w:jc w:val="both"/>
              <w:rPr>
                <w:rFonts w:ascii="Arial" w:hAnsi="Arial"/>
                <w:b/>
                <w:bCs/>
                <w:sz w:val="26"/>
                <w:szCs w:val="26"/>
                <w:rtl/>
              </w:rPr>
            </w:pPr>
          </w:p>
          <w:p w14:paraId="513138C8" w14:textId="77777777" w:rsidR="00C20162" w:rsidRPr="00F920F3" w:rsidRDefault="00C20162" w:rsidP="00C20162">
            <w:pPr>
              <w:spacing w:line="360" w:lineRule="auto"/>
              <w:jc w:val="both"/>
              <w:rPr>
                <w:rFonts w:ascii="Arial" w:hAnsi="Arial"/>
                <w:b/>
                <w:bCs/>
                <w:sz w:val="26"/>
                <w:szCs w:val="26"/>
              </w:rPr>
            </w:pPr>
          </w:p>
        </w:tc>
      </w:tr>
      <w:tr w:rsidR="00C20162" w:rsidRPr="00F920F3" w14:paraId="7D9C2217" w14:textId="77777777" w:rsidTr="00C20162">
        <w:trPr>
          <w:trHeight w:val="355"/>
          <w:jc w:val="center"/>
        </w:trPr>
        <w:tc>
          <w:tcPr>
            <w:tcW w:w="885" w:type="dxa"/>
            <w:tcBorders>
              <w:top w:val="nil"/>
              <w:left w:val="nil"/>
              <w:bottom w:val="nil"/>
              <w:right w:val="nil"/>
            </w:tcBorders>
            <w:shd w:val="clear" w:color="auto" w:fill="auto"/>
          </w:tcPr>
          <w:p w14:paraId="32E85B09" w14:textId="77777777" w:rsidR="00C20162" w:rsidRPr="00F920F3" w:rsidRDefault="00C20162" w:rsidP="00C20162">
            <w:pPr>
              <w:spacing w:line="360" w:lineRule="auto"/>
              <w:rPr>
                <w:rFonts w:ascii="Arial" w:hAnsi="Arial"/>
                <w:b/>
                <w:bCs/>
                <w:sz w:val="26"/>
                <w:szCs w:val="26"/>
                <w:rtl/>
              </w:rPr>
            </w:pPr>
            <w:r w:rsidRPr="00F920F3">
              <w:rPr>
                <w:rFonts w:ascii="Arial" w:hAnsi="Arial" w:hint="cs"/>
                <w:b/>
                <w:bCs/>
                <w:sz w:val="26"/>
                <w:szCs w:val="26"/>
                <w:rtl/>
              </w:rPr>
              <w:t>ה</w:t>
            </w:r>
            <w:r w:rsidRPr="00F920F3">
              <w:rPr>
                <w:rFonts w:ascii="Arial" w:hAnsi="Arial"/>
                <w:b/>
                <w:bCs/>
                <w:sz w:val="26"/>
                <w:szCs w:val="26"/>
                <w:rtl/>
              </w:rPr>
              <w:t>נאשם</w:t>
            </w:r>
            <w:r w:rsidRPr="00F920F3">
              <w:rPr>
                <w:rFonts w:ascii="Arial" w:hAnsi="Arial" w:hint="cs"/>
                <w:b/>
                <w:bCs/>
                <w:sz w:val="26"/>
                <w:szCs w:val="26"/>
                <w:rtl/>
              </w:rPr>
              <w:t>:</w:t>
            </w:r>
          </w:p>
        </w:tc>
        <w:tc>
          <w:tcPr>
            <w:tcW w:w="4384" w:type="dxa"/>
            <w:tcBorders>
              <w:top w:val="nil"/>
              <w:left w:val="nil"/>
              <w:bottom w:val="nil"/>
              <w:right w:val="nil"/>
            </w:tcBorders>
            <w:shd w:val="clear" w:color="auto" w:fill="auto"/>
          </w:tcPr>
          <w:p w14:paraId="16F928EF" w14:textId="77777777" w:rsidR="00C20162" w:rsidRPr="00F920F3" w:rsidRDefault="00C20162" w:rsidP="00C20162">
            <w:pPr>
              <w:spacing w:line="360" w:lineRule="auto"/>
              <w:rPr>
                <w:b/>
                <w:bCs/>
                <w:sz w:val="26"/>
                <w:szCs w:val="26"/>
                <w:rtl/>
              </w:rPr>
            </w:pPr>
            <w:r w:rsidRPr="00F920F3">
              <w:rPr>
                <w:rFonts w:ascii="Arial" w:hAnsi="Arial"/>
                <w:b/>
                <w:bCs/>
                <w:sz w:val="26"/>
                <w:szCs w:val="26"/>
                <w:rtl/>
              </w:rPr>
              <w:t>מייקל גוסיינוב</w:t>
            </w:r>
          </w:p>
          <w:p w14:paraId="6FA4294B" w14:textId="77777777" w:rsidR="00C20162" w:rsidRPr="00F920F3" w:rsidRDefault="00C20162" w:rsidP="00C20162">
            <w:pPr>
              <w:spacing w:line="360" w:lineRule="auto"/>
              <w:rPr>
                <w:sz w:val="26"/>
                <w:szCs w:val="26"/>
                <w:rtl/>
              </w:rPr>
            </w:pPr>
            <w:r w:rsidRPr="00F920F3">
              <w:rPr>
                <w:rFonts w:hint="cs"/>
                <w:rtl/>
              </w:rPr>
              <w:t>ע"י ב"כ עו"ד סנדי ליפשיץ</w:t>
            </w:r>
          </w:p>
        </w:tc>
        <w:tc>
          <w:tcPr>
            <w:tcW w:w="3551" w:type="dxa"/>
            <w:tcBorders>
              <w:top w:val="nil"/>
              <w:left w:val="nil"/>
              <w:bottom w:val="nil"/>
              <w:right w:val="nil"/>
            </w:tcBorders>
            <w:shd w:val="clear" w:color="auto" w:fill="auto"/>
          </w:tcPr>
          <w:p w14:paraId="07D12599" w14:textId="77777777" w:rsidR="00C20162" w:rsidRPr="00F920F3" w:rsidRDefault="00C20162" w:rsidP="00C20162">
            <w:pPr>
              <w:spacing w:line="360" w:lineRule="auto"/>
              <w:jc w:val="right"/>
              <w:rPr>
                <w:rFonts w:ascii="Arial" w:hAnsi="Arial"/>
                <w:b/>
                <w:bCs/>
                <w:sz w:val="26"/>
                <w:szCs w:val="26"/>
              </w:rPr>
            </w:pPr>
          </w:p>
        </w:tc>
      </w:tr>
    </w:tbl>
    <w:p w14:paraId="69D4BF71" w14:textId="77777777" w:rsidR="000472C7" w:rsidRPr="000472C7" w:rsidRDefault="000472C7" w:rsidP="000472C7">
      <w:pPr>
        <w:spacing w:before="120" w:after="120" w:line="240" w:lineRule="exact"/>
        <w:ind w:left="283" w:hanging="283"/>
        <w:jc w:val="both"/>
        <w:rPr>
          <w:rFonts w:ascii="FrankRuehl" w:hAnsi="FrankRuehl" w:cs="FrankRuehl"/>
          <w:rtl/>
        </w:rPr>
      </w:pPr>
      <w:bookmarkStart w:id="3" w:name="LawTable"/>
      <w:bookmarkEnd w:id="3"/>
    </w:p>
    <w:p w14:paraId="21C15241" w14:textId="77777777" w:rsidR="000472C7" w:rsidRPr="000472C7" w:rsidRDefault="000472C7" w:rsidP="000472C7">
      <w:pPr>
        <w:spacing w:before="120" w:after="120" w:line="240" w:lineRule="exact"/>
        <w:ind w:left="283" w:hanging="283"/>
        <w:jc w:val="both"/>
        <w:rPr>
          <w:rFonts w:ascii="FrankRuehl" w:hAnsi="FrankRuehl" w:cs="FrankRuehl"/>
          <w:rtl/>
        </w:rPr>
      </w:pPr>
      <w:r w:rsidRPr="000472C7">
        <w:rPr>
          <w:rFonts w:ascii="FrankRuehl" w:hAnsi="FrankRuehl" w:cs="FrankRuehl"/>
          <w:rtl/>
        </w:rPr>
        <w:t xml:space="preserve">חקיקה שאוזכרה: </w:t>
      </w:r>
    </w:p>
    <w:p w14:paraId="107D594A" w14:textId="77777777" w:rsidR="000472C7" w:rsidRPr="000472C7" w:rsidRDefault="000472C7" w:rsidP="000472C7">
      <w:pPr>
        <w:spacing w:before="120" w:after="120" w:line="240" w:lineRule="exact"/>
        <w:ind w:left="283" w:hanging="283"/>
        <w:jc w:val="both"/>
        <w:rPr>
          <w:rFonts w:ascii="FrankRuehl" w:hAnsi="FrankRuehl" w:cs="FrankRuehl"/>
          <w:color w:val="0000FF"/>
          <w:rtl/>
        </w:rPr>
      </w:pPr>
      <w:hyperlink r:id="rId7" w:history="1">
        <w:r w:rsidRPr="000472C7">
          <w:rPr>
            <w:rStyle w:val="Hyperlink"/>
            <w:rFonts w:ascii="FrankRuehl" w:hAnsi="FrankRuehl" w:cs="FrankRuehl"/>
            <w:rtl/>
          </w:rPr>
          <w:t>פקודת הסמים המסוכנים [נוסח חדש], תשל"ג-1973</w:t>
        </w:r>
      </w:hyperlink>
      <w:r w:rsidRPr="000472C7">
        <w:rPr>
          <w:rFonts w:ascii="FrankRuehl" w:hAnsi="FrankRuehl" w:cs="FrankRuehl"/>
          <w:color w:val="0000FF"/>
          <w:u w:val="single"/>
          <w:rtl/>
        </w:rPr>
        <w:t xml:space="preserve">: סע'  </w:t>
      </w:r>
      <w:hyperlink r:id="rId8" w:history="1">
        <w:r w:rsidRPr="000472C7">
          <w:rPr>
            <w:rStyle w:val="Hyperlink"/>
            <w:rFonts w:ascii="FrankRuehl" w:hAnsi="FrankRuehl" w:cs="FrankRuehl"/>
          </w:rPr>
          <w:t>7</w:t>
        </w:r>
      </w:hyperlink>
      <w:r w:rsidRPr="000472C7">
        <w:rPr>
          <w:rFonts w:ascii="FrankRuehl" w:hAnsi="FrankRuehl" w:cs="FrankRuehl"/>
          <w:color w:val="0000FF"/>
          <w:rtl/>
        </w:rPr>
        <w:t xml:space="preserve">(א), </w:t>
      </w:r>
      <w:hyperlink r:id="rId9" w:history="1">
        <w:r w:rsidRPr="000472C7">
          <w:rPr>
            <w:rStyle w:val="Hyperlink"/>
            <w:rFonts w:ascii="FrankRuehl" w:hAnsi="FrankRuehl" w:cs="FrankRuehl"/>
          </w:rPr>
          <w:t>7</w:t>
        </w:r>
      </w:hyperlink>
      <w:r w:rsidRPr="000472C7">
        <w:rPr>
          <w:rFonts w:ascii="FrankRuehl" w:hAnsi="FrankRuehl" w:cs="FrankRuehl"/>
          <w:color w:val="0000FF"/>
          <w:rtl/>
        </w:rPr>
        <w:t xml:space="preserve">(ג), </w:t>
      </w:r>
      <w:hyperlink r:id="rId10" w:history="1">
        <w:r w:rsidRPr="000472C7">
          <w:rPr>
            <w:rStyle w:val="Hyperlink"/>
            <w:rFonts w:ascii="FrankRuehl" w:hAnsi="FrankRuehl" w:cs="FrankRuehl"/>
          </w:rPr>
          <w:t>36</w:t>
        </w:r>
        <w:r w:rsidRPr="000472C7">
          <w:rPr>
            <w:rStyle w:val="Hyperlink"/>
            <w:rFonts w:ascii="FrankRuehl" w:hAnsi="FrankRuehl" w:cs="FrankRuehl"/>
            <w:rtl/>
          </w:rPr>
          <w:t>א</w:t>
        </w:r>
      </w:hyperlink>
      <w:r w:rsidRPr="000472C7">
        <w:rPr>
          <w:rFonts w:ascii="FrankRuehl" w:hAnsi="FrankRuehl" w:cs="FrankRuehl"/>
          <w:color w:val="0000FF"/>
          <w:rtl/>
        </w:rPr>
        <w:t xml:space="preserve">(א), </w:t>
      </w:r>
      <w:hyperlink r:id="rId11" w:history="1">
        <w:r w:rsidRPr="000472C7">
          <w:rPr>
            <w:rStyle w:val="Hyperlink"/>
            <w:rFonts w:ascii="FrankRuehl" w:hAnsi="FrankRuehl" w:cs="FrankRuehl"/>
          </w:rPr>
          <w:t>36</w:t>
        </w:r>
        <w:r w:rsidRPr="000472C7">
          <w:rPr>
            <w:rStyle w:val="Hyperlink"/>
            <w:rFonts w:ascii="FrankRuehl" w:hAnsi="FrankRuehl" w:cs="FrankRuehl"/>
            <w:rtl/>
          </w:rPr>
          <w:t>א</w:t>
        </w:r>
      </w:hyperlink>
      <w:r w:rsidRPr="000472C7">
        <w:rPr>
          <w:rFonts w:ascii="FrankRuehl" w:hAnsi="FrankRuehl" w:cs="FrankRuehl"/>
          <w:color w:val="0000FF"/>
          <w:rtl/>
        </w:rPr>
        <w:t>(ב)</w:t>
      </w:r>
    </w:p>
    <w:p w14:paraId="33D71EE9" w14:textId="77777777" w:rsidR="00C20162" w:rsidRPr="000472C7" w:rsidRDefault="00C20162" w:rsidP="000472C7">
      <w:pPr>
        <w:spacing w:line="360" w:lineRule="auto"/>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20162" w:rsidRPr="00795570" w14:paraId="7EEAD72D" w14:textId="77777777" w:rsidTr="00C20162">
        <w:trPr>
          <w:trHeight w:val="355"/>
          <w:jc w:val="center"/>
        </w:trPr>
        <w:tc>
          <w:tcPr>
            <w:tcW w:w="8820" w:type="dxa"/>
            <w:tcBorders>
              <w:top w:val="nil"/>
              <w:left w:val="nil"/>
              <w:bottom w:val="nil"/>
              <w:right w:val="nil"/>
            </w:tcBorders>
            <w:shd w:val="clear" w:color="auto" w:fill="auto"/>
          </w:tcPr>
          <w:p w14:paraId="5EC99EDE" w14:textId="77777777" w:rsidR="00F920F3" w:rsidRPr="00F920F3" w:rsidRDefault="00F920F3" w:rsidP="00F920F3">
            <w:pPr>
              <w:spacing w:after="120" w:line="360" w:lineRule="auto"/>
              <w:jc w:val="center"/>
              <w:rPr>
                <w:rFonts w:ascii="Arial" w:hAnsi="Arial"/>
                <w:b/>
                <w:bCs/>
                <w:sz w:val="36"/>
                <w:szCs w:val="36"/>
                <w:u w:val="single"/>
                <w:rtl/>
              </w:rPr>
            </w:pPr>
            <w:bookmarkStart w:id="5" w:name="PsakDin" w:colFirst="0" w:colLast="0"/>
            <w:bookmarkEnd w:id="0"/>
            <w:r w:rsidRPr="00F920F3">
              <w:rPr>
                <w:rFonts w:ascii="Arial" w:hAnsi="Arial"/>
                <w:b/>
                <w:bCs/>
                <w:sz w:val="36"/>
                <w:szCs w:val="36"/>
                <w:u w:val="single"/>
                <w:rtl/>
              </w:rPr>
              <w:t>גזר דין</w:t>
            </w:r>
          </w:p>
          <w:p w14:paraId="77E09CC3" w14:textId="77777777" w:rsidR="00C20162" w:rsidRPr="00F920F3" w:rsidRDefault="00C20162" w:rsidP="00F920F3">
            <w:pPr>
              <w:spacing w:after="120" w:line="360" w:lineRule="auto"/>
              <w:jc w:val="center"/>
              <w:rPr>
                <w:rFonts w:ascii="Arial" w:hAnsi="Arial"/>
                <w:b/>
                <w:bCs/>
                <w:sz w:val="36"/>
                <w:szCs w:val="36"/>
                <w:u w:val="single"/>
                <w:rtl/>
              </w:rPr>
            </w:pPr>
          </w:p>
        </w:tc>
      </w:tr>
    </w:tbl>
    <w:bookmarkEnd w:id="5"/>
    <w:p w14:paraId="124DE0BF" w14:textId="77777777" w:rsidR="00C20162" w:rsidRDefault="00C20162" w:rsidP="00C20162">
      <w:pPr>
        <w:spacing w:after="120" w:line="360" w:lineRule="auto"/>
        <w:jc w:val="both"/>
        <w:rPr>
          <w:rFonts w:ascii="Tahoma" w:hAnsi="Tahoma"/>
          <w:b/>
          <w:bCs/>
          <w:u w:val="single"/>
          <w:rtl/>
        </w:rPr>
      </w:pPr>
      <w:r>
        <w:rPr>
          <w:rFonts w:ascii="Tahoma" w:hAnsi="Tahoma"/>
          <w:b/>
          <w:bCs/>
          <w:rtl/>
        </w:rPr>
        <w:t>א.</w:t>
      </w:r>
      <w:r>
        <w:rPr>
          <w:rFonts w:ascii="Tahoma" w:hAnsi="Tahoma"/>
          <w:b/>
          <w:bCs/>
          <w:rtl/>
        </w:rPr>
        <w:tab/>
      </w:r>
      <w:r>
        <w:rPr>
          <w:rFonts w:ascii="Tahoma" w:hAnsi="Tahoma"/>
          <w:b/>
          <w:bCs/>
          <w:u w:val="single"/>
          <w:rtl/>
        </w:rPr>
        <w:t>רקע כללי והסדר הטיעון :</w:t>
      </w:r>
    </w:p>
    <w:p w14:paraId="50B3BB8E" w14:textId="77777777" w:rsidR="00C20162" w:rsidRDefault="00C20162" w:rsidP="00C20162">
      <w:pPr>
        <w:numPr>
          <w:ilvl w:val="0"/>
          <w:numId w:val="1"/>
        </w:numPr>
        <w:tabs>
          <w:tab w:val="num" w:pos="720"/>
        </w:tabs>
        <w:spacing w:after="120" w:line="360" w:lineRule="auto"/>
        <w:ind w:left="720"/>
        <w:jc w:val="both"/>
        <w:rPr>
          <w:rFonts w:ascii="David" w:eastAsia="David" w:hAnsi="David"/>
          <w:rtl/>
        </w:rPr>
      </w:pPr>
      <w:bookmarkStart w:id="6" w:name="ABSTRACT_START"/>
      <w:bookmarkEnd w:id="6"/>
      <w:r>
        <w:rPr>
          <w:rFonts w:ascii="Tahoma" w:hAnsi="Tahoma"/>
          <w:rtl/>
        </w:rPr>
        <w:t xml:space="preserve">הנאשם הורשע לפניי על יסוד הודאתו בעובדות כתב האישום המתוקן – שניתנה במסגרת הסדר טיעון, ללא הסכמות לעניין העונש – בביצוע עבירה של </w:t>
      </w:r>
      <w:r>
        <w:rPr>
          <w:rFonts w:ascii="Tahoma" w:hAnsi="Tahoma"/>
          <w:b/>
          <w:bCs/>
          <w:rtl/>
        </w:rPr>
        <w:t>החזקת סמים מסוכנים שלא לצריכה עצמית</w:t>
      </w:r>
      <w:r>
        <w:rPr>
          <w:rFonts w:ascii="Tahoma" w:hAnsi="Tahoma"/>
          <w:rtl/>
        </w:rPr>
        <w:t xml:space="preserve">, לפי הוראות </w:t>
      </w:r>
      <w:hyperlink r:id="rId12" w:history="1">
        <w:r w:rsidR="000472C7" w:rsidRPr="000472C7">
          <w:rPr>
            <w:rStyle w:val="Hyperlink"/>
            <w:rFonts w:ascii="Tahoma" w:hAnsi="Tahoma"/>
            <w:color w:val="0000FF"/>
            <w:rtl/>
          </w:rPr>
          <w:t>סעיף 7(א)</w:t>
        </w:r>
      </w:hyperlink>
      <w:r>
        <w:rPr>
          <w:rFonts w:ascii="Tahoma" w:hAnsi="Tahoma"/>
          <w:rtl/>
        </w:rPr>
        <w:t xml:space="preserve"> יחד עם </w:t>
      </w:r>
      <w:hyperlink r:id="rId13" w:history="1">
        <w:r w:rsidR="000472C7" w:rsidRPr="000472C7">
          <w:rPr>
            <w:rStyle w:val="Hyperlink"/>
            <w:rFonts w:ascii="Tahoma" w:hAnsi="Tahoma"/>
            <w:color w:val="0000FF"/>
            <w:rtl/>
          </w:rPr>
          <w:t>סעיף 7(ג)</w:t>
        </w:r>
      </w:hyperlink>
      <w:r>
        <w:rPr>
          <w:rFonts w:ascii="Tahoma" w:hAnsi="Tahoma"/>
          <w:rtl/>
        </w:rPr>
        <w:t xml:space="preserve"> רישא ל</w:t>
      </w:r>
      <w:hyperlink r:id="rId14" w:history="1">
        <w:r w:rsidR="00F920F3" w:rsidRPr="00F920F3">
          <w:rPr>
            <w:rFonts w:ascii="Tahoma" w:hAnsi="Tahoma"/>
            <w:color w:val="0000FF"/>
            <w:u w:val="single"/>
            <w:rtl/>
          </w:rPr>
          <w:t>פקודת הסמים המסוכנים</w:t>
        </w:r>
      </w:hyperlink>
      <w:r>
        <w:rPr>
          <w:rFonts w:ascii="Tahoma" w:hAnsi="Tahoma"/>
          <w:rtl/>
        </w:rPr>
        <w:t xml:space="preserve"> [נוסח חדש], תשל"ג-1973 (</w:t>
      </w:r>
      <w:bookmarkStart w:id="7" w:name="ABSTRACT_END"/>
      <w:bookmarkEnd w:id="7"/>
      <w:r>
        <w:rPr>
          <w:rFonts w:ascii="Tahoma" w:hAnsi="Tahoma"/>
          <w:rtl/>
        </w:rPr>
        <w:t>להלן – פקודת הסמים המסוכנים).</w:t>
      </w:r>
    </w:p>
    <w:p w14:paraId="1A2F0AF5" w14:textId="77777777" w:rsidR="00C20162" w:rsidRPr="00227EC5" w:rsidRDefault="00C20162" w:rsidP="00C20162">
      <w:pPr>
        <w:numPr>
          <w:ilvl w:val="0"/>
          <w:numId w:val="1"/>
        </w:numPr>
        <w:tabs>
          <w:tab w:val="num" w:pos="720"/>
        </w:tabs>
        <w:spacing w:after="120" w:line="360" w:lineRule="auto"/>
        <w:ind w:left="720"/>
        <w:jc w:val="both"/>
        <w:rPr>
          <w:rFonts w:ascii="David" w:eastAsia="David" w:hAnsi="David"/>
        </w:rPr>
      </w:pPr>
      <w:r w:rsidRPr="00227EC5">
        <w:rPr>
          <w:rFonts w:ascii="Tahoma" w:hAnsi="Tahoma"/>
          <w:rtl/>
        </w:rPr>
        <w:t>על פי האמור בעובדות כתב האישום המתוקן, ביום 28.06.17 החזיק הנאשם</w:t>
      </w:r>
      <w:r w:rsidRPr="00227EC5">
        <w:rPr>
          <w:rFonts w:ascii="Tahoma" w:hAnsi="Tahoma" w:hint="cs"/>
          <w:rtl/>
        </w:rPr>
        <w:t>,</w:t>
      </w:r>
      <w:r w:rsidRPr="00227EC5">
        <w:rPr>
          <w:rFonts w:ascii="Tahoma" w:hAnsi="Tahoma"/>
          <w:rtl/>
        </w:rPr>
        <w:t xml:space="preserve"> בדירתו בתל-אביב</w:t>
      </w:r>
      <w:r w:rsidRPr="00227EC5">
        <w:rPr>
          <w:rFonts w:ascii="Tahoma" w:hAnsi="Tahoma" w:hint="cs"/>
          <w:rtl/>
        </w:rPr>
        <w:t>,</w:t>
      </w:r>
      <w:r w:rsidRPr="00227EC5">
        <w:rPr>
          <w:rFonts w:ascii="Tahoma" w:hAnsi="Tahoma"/>
          <w:rtl/>
        </w:rPr>
        <w:t xml:space="preserve"> סמים מסוכנים מסוג </w:t>
      </w:r>
      <w:r w:rsidRPr="00227EC5">
        <w:rPr>
          <w:rFonts w:ascii="Tahoma" w:hAnsi="Tahoma"/>
          <w:b/>
          <w:bCs/>
          <w:rtl/>
        </w:rPr>
        <w:t>קנבוס</w:t>
      </w:r>
      <w:r w:rsidRPr="00227EC5">
        <w:rPr>
          <w:rFonts w:ascii="Tahoma" w:hAnsi="Tahoma"/>
          <w:rtl/>
        </w:rPr>
        <w:t xml:space="preserve"> במשקל כולל של </w:t>
      </w:r>
      <w:r w:rsidRPr="00227EC5">
        <w:rPr>
          <w:rFonts w:ascii="Tahoma" w:hAnsi="Tahoma"/>
          <w:b/>
          <w:bCs/>
          <w:rtl/>
        </w:rPr>
        <w:t>500 גרם נטו</w:t>
      </w:r>
      <w:r w:rsidRPr="00227EC5">
        <w:rPr>
          <w:rFonts w:ascii="Tahoma" w:hAnsi="Tahoma"/>
          <w:rtl/>
        </w:rPr>
        <w:t xml:space="preserve">. הסמים </w:t>
      </w:r>
      <w:r w:rsidRPr="00227EC5">
        <w:rPr>
          <w:rFonts w:ascii="Tahoma" w:hAnsi="Tahoma" w:hint="cs"/>
          <w:rtl/>
        </w:rPr>
        <w:t xml:space="preserve">האמורים </w:t>
      </w:r>
      <w:r w:rsidRPr="00227EC5">
        <w:rPr>
          <w:rFonts w:ascii="Tahoma" w:hAnsi="Tahoma"/>
          <w:rtl/>
        </w:rPr>
        <w:t>הוחזקו כלהלן: (א) במגירה בשידת הטלוויזיה בתוך צנצנת שחורה ושקית שחורה (260.38 גרם נטו); (ב) במגירה על שידת הטלוויזיה בתוך קופסת קרטון (43.51 גרם נטו); ו-(ג) בחדר המקלחת בתוך דלי בצבע ירוק (196.11 גרם נטו).</w:t>
      </w:r>
      <w:r>
        <w:rPr>
          <w:rFonts w:ascii="Tahoma" w:hAnsi="Tahoma" w:hint="cs"/>
          <w:rtl/>
        </w:rPr>
        <w:t xml:space="preserve"> </w:t>
      </w:r>
      <w:r w:rsidRPr="00227EC5">
        <w:rPr>
          <w:rFonts w:ascii="Tahoma" w:hAnsi="Tahoma"/>
          <w:rtl/>
        </w:rPr>
        <w:t xml:space="preserve">ברשות הנאשם נתפסו </w:t>
      </w:r>
      <w:r>
        <w:rPr>
          <w:rFonts w:ascii="Tahoma" w:hAnsi="Tahoma" w:hint="cs"/>
          <w:rtl/>
        </w:rPr>
        <w:t xml:space="preserve">גם </w:t>
      </w:r>
      <w:r>
        <w:rPr>
          <w:rFonts w:ascii="Tahoma" w:hAnsi="Tahoma"/>
          <w:rtl/>
        </w:rPr>
        <w:t>שלושה משקלים אלקטרוניים</w:t>
      </w:r>
      <w:r>
        <w:rPr>
          <w:rFonts w:ascii="Tahoma" w:hAnsi="Tahoma" w:hint="cs"/>
          <w:rtl/>
        </w:rPr>
        <w:t>.</w:t>
      </w:r>
    </w:p>
    <w:p w14:paraId="19C420B7" w14:textId="77777777" w:rsidR="00C20162" w:rsidRPr="00107D9A" w:rsidRDefault="00C20162" w:rsidP="00C20162">
      <w:pPr>
        <w:numPr>
          <w:ilvl w:val="0"/>
          <w:numId w:val="1"/>
        </w:numPr>
        <w:tabs>
          <w:tab w:val="num" w:pos="720"/>
        </w:tabs>
        <w:spacing w:after="120" w:line="360" w:lineRule="auto"/>
        <w:ind w:left="720"/>
        <w:jc w:val="both"/>
        <w:rPr>
          <w:rFonts w:ascii="David" w:eastAsia="David" w:hAnsi="David"/>
        </w:rPr>
      </w:pPr>
      <w:r>
        <w:rPr>
          <w:rFonts w:ascii="Tahoma" w:hAnsi="Tahoma" w:hint="cs"/>
          <w:rtl/>
        </w:rPr>
        <w:lastRenderedPageBreak/>
        <w:t xml:space="preserve">כמו כן נכללו </w:t>
      </w:r>
      <w:r>
        <w:rPr>
          <w:rFonts w:ascii="Tahoma" w:hAnsi="Tahoma"/>
          <w:rtl/>
        </w:rPr>
        <w:t>בכתב האישום בקש</w:t>
      </w:r>
      <w:r>
        <w:rPr>
          <w:rFonts w:ascii="Tahoma" w:hAnsi="Tahoma" w:hint="cs"/>
          <w:rtl/>
        </w:rPr>
        <w:t>ות מטעם המאשימה</w:t>
      </w:r>
      <w:r w:rsidRPr="00107D9A">
        <w:rPr>
          <w:rFonts w:ascii="Tahoma" w:hAnsi="Tahoma"/>
          <w:rtl/>
        </w:rPr>
        <w:t xml:space="preserve"> –</w:t>
      </w:r>
      <w:r w:rsidRPr="00107D9A">
        <w:rPr>
          <w:rFonts w:ascii="Tahoma" w:hAnsi="Tahoma" w:hint="cs"/>
          <w:rtl/>
        </w:rPr>
        <w:t xml:space="preserve"> לפי הוראות </w:t>
      </w:r>
      <w:hyperlink r:id="rId15" w:history="1">
        <w:r w:rsidR="000472C7" w:rsidRPr="000472C7">
          <w:rPr>
            <w:rStyle w:val="Hyperlink"/>
            <w:rFonts w:ascii="Tahoma" w:hAnsi="Tahoma" w:hint="eastAsia"/>
            <w:color w:val="0000FF"/>
            <w:rtl/>
          </w:rPr>
          <w:t>סעיף</w:t>
        </w:r>
        <w:r w:rsidR="000472C7" w:rsidRPr="000472C7">
          <w:rPr>
            <w:rStyle w:val="Hyperlink"/>
            <w:rFonts w:ascii="Tahoma" w:hAnsi="Tahoma"/>
            <w:color w:val="0000FF"/>
            <w:rtl/>
          </w:rPr>
          <w:t xml:space="preserve"> 36א(א)</w:t>
        </w:r>
      </w:hyperlink>
      <w:r w:rsidRPr="00107D9A">
        <w:rPr>
          <w:rFonts w:ascii="Tahoma" w:hAnsi="Tahoma" w:hint="cs"/>
          <w:rtl/>
        </w:rPr>
        <w:t xml:space="preserve"> </w:t>
      </w:r>
      <w:hyperlink r:id="rId16" w:history="1">
        <w:r w:rsidR="000472C7" w:rsidRPr="000472C7">
          <w:rPr>
            <w:rStyle w:val="Hyperlink"/>
            <w:rFonts w:ascii="Tahoma" w:hAnsi="Tahoma" w:hint="eastAsia"/>
            <w:color w:val="0000FF"/>
            <w:rtl/>
          </w:rPr>
          <w:t>וסעיף</w:t>
        </w:r>
        <w:r w:rsidR="000472C7" w:rsidRPr="000472C7">
          <w:rPr>
            <w:rStyle w:val="Hyperlink"/>
            <w:rFonts w:ascii="Tahoma" w:hAnsi="Tahoma"/>
            <w:color w:val="0000FF"/>
            <w:rtl/>
          </w:rPr>
          <w:t xml:space="preserve"> 36א(ב)</w:t>
        </w:r>
      </w:hyperlink>
      <w:r w:rsidRPr="00107D9A">
        <w:rPr>
          <w:rFonts w:ascii="Tahoma" w:hAnsi="Tahoma" w:hint="cs"/>
          <w:rtl/>
        </w:rPr>
        <w:t xml:space="preserve"> ל</w:t>
      </w:r>
      <w:hyperlink r:id="rId17" w:history="1">
        <w:r w:rsidR="00F920F3" w:rsidRPr="00F920F3">
          <w:rPr>
            <w:rFonts w:ascii="Tahoma" w:hAnsi="Tahoma"/>
            <w:color w:val="0000FF"/>
            <w:u w:val="single"/>
            <w:rtl/>
          </w:rPr>
          <w:t>פקודת הסמים המסוכנים</w:t>
        </w:r>
      </w:hyperlink>
      <w:r w:rsidRPr="00107D9A">
        <w:rPr>
          <w:rFonts w:ascii="Tahoma" w:hAnsi="Tahoma" w:hint="cs"/>
          <w:rtl/>
        </w:rPr>
        <w:t xml:space="preserve"> </w:t>
      </w:r>
      <w:r w:rsidRPr="00107D9A">
        <w:rPr>
          <w:rFonts w:ascii="Tahoma" w:hAnsi="Tahoma"/>
          <w:rtl/>
        </w:rPr>
        <w:t>–</w:t>
      </w:r>
      <w:r w:rsidRPr="00107D9A">
        <w:rPr>
          <w:rFonts w:ascii="Tahoma" w:hAnsi="Tahoma" w:hint="cs"/>
          <w:rtl/>
        </w:rPr>
        <w:t xml:space="preserve"> </w:t>
      </w:r>
      <w:r w:rsidRPr="00107D9A">
        <w:rPr>
          <w:rFonts w:ascii="Tahoma" w:hAnsi="Tahoma"/>
          <w:rtl/>
        </w:rPr>
        <w:t>לקביעה כי הנאשם הוא סוחר סמים ולחילוט "</w:t>
      </w:r>
      <w:r w:rsidRPr="00107D9A">
        <w:rPr>
          <w:rFonts w:ascii="Tahoma" w:hAnsi="Tahoma"/>
          <w:b/>
          <w:bCs/>
          <w:rtl/>
        </w:rPr>
        <w:t>טלפונים ניידים ו-8,600 ₪ במזומן</w:t>
      </w:r>
      <w:r w:rsidRPr="00107D9A">
        <w:rPr>
          <w:rFonts w:ascii="Tahoma" w:hAnsi="Tahoma"/>
          <w:rtl/>
        </w:rPr>
        <w:t>"</w:t>
      </w:r>
      <w:r w:rsidRPr="00107D9A">
        <w:rPr>
          <w:rFonts w:ascii="David" w:eastAsia="David" w:hAnsi="David"/>
          <w:rtl/>
        </w:rPr>
        <w:t xml:space="preserve">, </w:t>
      </w:r>
      <w:r>
        <w:rPr>
          <w:rFonts w:ascii="David" w:eastAsia="David" w:hAnsi="David" w:hint="cs"/>
          <w:rtl/>
        </w:rPr>
        <w:t>א</w:t>
      </w:r>
      <w:r w:rsidRPr="00107D9A">
        <w:rPr>
          <w:rFonts w:ascii="David" w:eastAsia="David" w:hAnsi="David"/>
          <w:rtl/>
        </w:rPr>
        <w:t>ש</w:t>
      </w:r>
      <w:r>
        <w:rPr>
          <w:rFonts w:ascii="David" w:eastAsia="David" w:hAnsi="David" w:hint="cs"/>
          <w:rtl/>
        </w:rPr>
        <w:t xml:space="preserve">ר </w:t>
      </w:r>
      <w:r w:rsidRPr="00107D9A">
        <w:rPr>
          <w:rFonts w:ascii="David" w:eastAsia="David" w:hAnsi="David"/>
          <w:rtl/>
        </w:rPr>
        <w:t>נתפסו ברשות הנאשם.</w:t>
      </w:r>
    </w:p>
    <w:p w14:paraId="1427B971" w14:textId="77777777" w:rsidR="00C20162" w:rsidRDefault="00C20162" w:rsidP="00C20162">
      <w:pPr>
        <w:numPr>
          <w:ilvl w:val="0"/>
          <w:numId w:val="1"/>
        </w:numPr>
        <w:tabs>
          <w:tab w:val="num" w:pos="720"/>
        </w:tabs>
        <w:spacing w:after="120" w:line="360" w:lineRule="auto"/>
        <w:ind w:left="720"/>
        <w:jc w:val="both"/>
        <w:rPr>
          <w:rFonts w:ascii="David" w:eastAsia="David" w:hAnsi="David"/>
        </w:rPr>
      </w:pPr>
      <w:r>
        <w:rPr>
          <w:rFonts w:ascii="Tahoma" w:hAnsi="Tahoma"/>
          <w:rtl/>
        </w:rPr>
        <w:t>במסגרת ההליכים המקדמיים לא הגיעו הצדדים לכלל הסכמות, על רקע טענות ההגנה לאי חוקיות החיפוש שנערך אצל הנאשם. התיק הועבר אפוא לשמיעת הראיות (לפני מותב אחר)</w:t>
      </w:r>
      <w:r>
        <w:rPr>
          <w:rFonts w:ascii="Tahoma" w:hAnsi="Tahoma" w:hint="cs"/>
          <w:rtl/>
        </w:rPr>
        <w:t xml:space="preserve">. ואולם, </w:t>
      </w:r>
      <w:r>
        <w:rPr>
          <w:rFonts w:ascii="Tahoma" w:hAnsi="Tahoma"/>
          <w:rtl/>
        </w:rPr>
        <w:t>בטרם תחילת שמיעתן התנהל הליך גישור לפניי</w:t>
      </w:r>
      <w:r>
        <w:rPr>
          <w:rFonts w:ascii="Tahoma" w:hAnsi="Tahoma" w:hint="cs"/>
          <w:rtl/>
        </w:rPr>
        <w:t xml:space="preserve">, שבמסגרתו </w:t>
      </w:r>
      <w:r>
        <w:rPr>
          <w:rFonts w:ascii="Tahoma" w:hAnsi="Tahoma"/>
          <w:rtl/>
        </w:rPr>
        <w:t>הגיעו הצדדים להסדר טיעון כלהלן:</w:t>
      </w:r>
    </w:p>
    <w:p w14:paraId="5301D6ED" w14:textId="77777777" w:rsidR="00C20162" w:rsidRDefault="00C20162" w:rsidP="00C20162">
      <w:pPr>
        <w:spacing w:after="120" w:line="360" w:lineRule="auto"/>
        <w:ind w:left="1440"/>
        <w:jc w:val="both"/>
        <w:rPr>
          <w:rFonts w:ascii="David" w:eastAsia="David" w:hAnsi="David"/>
        </w:rPr>
      </w:pPr>
      <w:r>
        <w:rPr>
          <w:rFonts w:ascii="Tahoma" w:hAnsi="Tahoma"/>
          <w:b/>
          <w:bCs/>
          <w:rtl/>
        </w:rPr>
        <w:t xml:space="preserve">במישור הדיוני – </w:t>
      </w:r>
      <w:r>
        <w:rPr>
          <w:rFonts w:ascii="Tahoma" w:hAnsi="Tahoma"/>
          <w:rtl/>
        </w:rPr>
        <w:t>הוגש כתב האישום המתוקן, שבמסגרתו הופחתה כמות הסמים בגינה הואשם הנאשם בכמאה גרם.</w:t>
      </w:r>
    </w:p>
    <w:p w14:paraId="089F28C1" w14:textId="77777777" w:rsidR="00C20162" w:rsidRDefault="00C20162" w:rsidP="00C20162">
      <w:pPr>
        <w:spacing w:after="120" w:line="360" w:lineRule="auto"/>
        <w:ind w:left="1440"/>
        <w:jc w:val="both"/>
        <w:rPr>
          <w:rFonts w:ascii="David" w:eastAsia="David" w:hAnsi="David"/>
        </w:rPr>
      </w:pPr>
      <w:r>
        <w:rPr>
          <w:rFonts w:ascii="Tahoma" w:hAnsi="Tahoma"/>
          <w:b/>
          <w:bCs/>
          <w:rtl/>
        </w:rPr>
        <w:t>במישור העונשי –</w:t>
      </w:r>
      <w:r>
        <w:rPr>
          <w:rFonts w:ascii="Tahoma" w:hAnsi="Tahoma"/>
          <w:rtl/>
        </w:rPr>
        <w:t xml:space="preserve"> המאשימה הודיעה כי תעתור להשתת עונשי מאסר בפועל, לנשיאה בעבודות שירות, וכן מאסר מותנה, קנס כספי ופסילה על תנאי, בעוד שההגנה לא תוגבל בטיעוניה. לעניין בקש</w:t>
      </w:r>
      <w:r>
        <w:rPr>
          <w:rFonts w:ascii="Tahoma" w:hAnsi="Tahoma" w:hint="cs"/>
          <w:rtl/>
        </w:rPr>
        <w:t>ות</w:t>
      </w:r>
      <w:r>
        <w:rPr>
          <w:rFonts w:ascii="Tahoma" w:hAnsi="Tahoma"/>
          <w:rtl/>
        </w:rPr>
        <w:t xml:space="preserve"> החילוט </w:t>
      </w:r>
      <w:r>
        <w:rPr>
          <w:rFonts w:ascii="David" w:eastAsia="David" w:hAnsi="David"/>
          <w:rtl/>
        </w:rPr>
        <w:t>הודיעו הצדדים כי יבקשו לקיים דיון וטיעון.</w:t>
      </w:r>
    </w:p>
    <w:p w14:paraId="5CEB21BE" w14:textId="77777777" w:rsidR="00C20162" w:rsidRDefault="00C20162" w:rsidP="00C20162">
      <w:pPr>
        <w:numPr>
          <w:ilvl w:val="0"/>
          <w:numId w:val="1"/>
        </w:numPr>
        <w:tabs>
          <w:tab w:val="num" w:pos="720"/>
        </w:tabs>
        <w:spacing w:after="120" w:line="360" w:lineRule="auto"/>
        <w:ind w:left="720"/>
        <w:jc w:val="both"/>
        <w:rPr>
          <w:rFonts w:ascii="David" w:eastAsia="David" w:hAnsi="David"/>
        </w:rPr>
      </w:pPr>
      <w:r>
        <w:rPr>
          <w:rFonts w:ascii="Tahoma" w:hAnsi="Tahoma"/>
          <w:rtl/>
        </w:rPr>
        <w:t>הנאשם הודה אפוא בעובדות כתב האישום המתוקן והורשע על יסוד הודאתו זו</w:t>
      </w:r>
      <w:r>
        <w:rPr>
          <w:rFonts w:ascii="Tahoma" w:hAnsi="Tahoma" w:hint="cs"/>
          <w:rtl/>
        </w:rPr>
        <w:t>,</w:t>
      </w:r>
      <w:r>
        <w:rPr>
          <w:rFonts w:ascii="Tahoma" w:hAnsi="Tahoma"/>
          <w:rtl/>
        </w:rPr>
        <w:t xml:space="preserve"> כאמור בפסקה 1 דלעיל.</w:t>
      </w:r>
    </w:p>
    <w:p w14:paraId="437A679D" w14:textId="77777777" w:rsidR="00C20162" w:rsidRDefault="00C20162" w:rsidP="00C20162">
      <w:pPr>
        <w:spacing w:after="120" w:line="360" w:lineRule="auto"/>
        <w:jc w:val="both"/>
        <w:rPr>
          <w:rFonts w:ascii="Tahoma" w:hAnsi="Tahoma"/>
        </w:rPr>
      </w:pPr>
    </w:p>
    <w:p w14:paraId="49E5D9F6" w14:textId="77777777" w:rsidR="00C20162" w:rsidRDefault="00C20162" w:rsidP="00C20162">
      <w:pPr>
        <w:spacing w:after="120" w:line="360" w:lineRule="auto"/>
        <w:jc w:val="both"/>
        <w:rPr>
          <w:rFonts w:ascii="Tahoma" w:hAnsi="Tahoma"/>
          <w:b/>
          <w:bCs/>
          <w:u w:val="single"/>
          <w:rtl/>
        </w:rPr>
      </w:pPr>
      <w:r>
        <w:rPr>
          <w:rFonts w:ascii="Tahoma" w:hAnsi="Tahoma"/>
          <w:b/>
          <w:bCs/>
          <w:rtl/>
        </w:rPr>
        <w:t>ב.</w:t>
      </w:r>
      <w:r>
        <w:rPr>
          <w:rFonts w:ascii="Tahoma" w:hAnsi="Tahoma"/>
          <w:b/>
          <w:bCs/>
          <w:rtl/>
        </w:rPr>
        <w:tab/>
      </w:r>
      <w:r>
        <w:rPr>
          <w:rFonts w:ascii="Tahoma" w:hAnsi="Tahoma"/>
          <w:b/>
          <w:bCs/>
          <w:u w:val="single"/>
          <w:rtl/>
        </w:rPr>
        <w:t>הראיות לקביעת העונש ותמצית טיעוני הצדדים:</w:t>
      </w:r>
    </w:p>
    <w:p w14:paraId="11E789BD" w14:textId="77777777" w:rsidR="00C20162" w:rsidRPr="00107D9A" w:rsidRDefault="00C20162" w:rsidP="00C20162">
      <w:pPr>
        <w:numPr>
          <w:ilvl w:val="0"/>
          <w:numId w:val="1"/>
        </w:numPr>
        <w:tabs>
          <w:tab w:val="num" w:pos="720"/>
        </w:tabs>
        <w:spacing w:after="120" w:line="360" w:lineRule="auto"/>
        <w:ind w:left="720"/>
        <w:jc w:val="both"/>
        <w:rPr>
          <w:rFonts w:ascii="David" w:eastAsia="David" w:hAnsi="David"/>
        </w:rPr>
      </w:pPr>
      <w:r>
        <w:rPr>
          <w:rFonts w:ascii="Tahoma" w:hAnsi="Tahoma"/>
          <w:rtl/>
        </w:rPr>
        <w:t>כראייה לקביעת העונש הגיש ב"כ המאשימה את תדפיס המידע הפלילי של הנאשם (סומן ע/1)</w:t>
      </w:r>
      <w:r>
        <w:rPr>
          <w:rFonts w:ascii="Tahoma" w:hAnsi="Tahoma" w:hint="cs"/>
          <w:rtl/>
        </w:rPr>
        <w:t>,</w:t>
      </w:r>
      <w:r>
        <w:rPr>
          <w:rFonts w:ascii="Tahoma" w:hAnsi="Tahoma"/>
          <w:rtl/>
        </w:rPr>
        <w:t xml:space="preserve"> בצירוף העתק כתב האישום, הכרעת הדין וגזר הדין של הרשעתו הקודמת האחרונה. כעולה מהתדפיס לנאשם, יליד שנת 1995 (כבן 25 שנים כיום)</w:t>
      </w:r>
      <w:r>
        <w:rPr>
          <w:rFonts w:ascii="Tahoma" w:hAnsi="Tahoma" w:hint="cs"/>
          <w:rtl/>
        </w:rPr>
        <w:t>,</w:t>
      </w:r>
      <w:r>
        <w:rPr>
          <w:rFonts w:ascii="Tahoma" w:hAnsi="Tahoma"/>
          <w:rtl/>
        </w:rPr>
        <w:t xml:space="preserve"> שתי הרשעות קודמות.</w:t>
      </w:r>
    </w:p>
    <w:p w14:paraId="7A9BC331" w14:textId="77777777" w:rsidR="00C20162" w:rsidRPr="00107D9A" w:rsidRDefault="00C20162" w:rsidP="00C20162">
      <w:pPr>
        <w:spacing w:after="120" w:line="360" w:lineRule="auto"/>
        <w:ind w:left="720"/>
        <w:jc w:val="both"/>
        <w:rPr>
          <w:rFonts w:ascii="David" w:eastAsia="David" w:hAnsi="David"/>
        </w:rPr>
      </w:pPr>
      <w:r>
        <w:rPr>
          <w:rFonts w:ascii="Tahoma" w:hAnsi="Tahoma"/>
          <w:rtl/>
        </w:rPr>
        <w:t>כעולה מהצרופות, ההרשעה הקודמת האחרונה (</w:t>
      </w:r>
      <w:hyperlink r:id="rId18" w:history="1">
        <w:r w:rsidR="00F920F3" w:rsidRPr="00F920F3">
          <w:rPr>
            <w:rFonts w:ascii="Tahoma" w:hAnsi="Tahoma"/>
            <w:color w:val="0000FF"/>
            <w:u w:val="single"/>
            <w:rtl/>
          </w:rPr>
          <w:t>ת"פ (שלום חיפה) 48236-11-18</w:t>
        </w:r>
      </w:hyperlink>
      <w:r>
        <w:rPr>
          <w:rFonts w:ascii="Tahoma" w:hAnsi="Tahoma"/>
          <w:rtl/>
        </w:rPr>
        <w:t xml:space="preserve"> </w:t>
      </w:r>
      <w:r>
        <w:rPr>
          <w:rFonts w:ascii="Tahoma" w:hAnsi="Tahoma"/>
          <w:b/>
          <w:bCs/>
          <w:rtl/>
        </w:rPr>
        <w:t>מדינת ישראל נ' גוסיינוב ואח'</w:t>
      </w:r>
      <w:r>
        <w:rPr>
          <w:rFonts w:ascii="Tahoma" w:hAnsi="Tahoma"/>
          <w:rtl/>
        </w:rPr>
        <w:t xml:space="preserve"> (10.09.19)) היא בעבירה זהה לעניינו, מיום 10.09.17. על פי עובדות כתב האישום דשם, במועד האמור נתפסו בדירת אמו של הנאשם בחיפה – שהואשמה </w:t>
      </w:r>
      <w:r>
        <w:rPr>
          <w:rFonts w:ascii="Tahoma" w:hAnsi="Tahoma" w:hint="cs"/>
          <w:rtl/>
        </w:rPr>
        <w:t>ב</w:t>
      </w:r>
      <w:r>
        <w:rPr>
          <w:rFonts w:ascii="Tahoma" w:hAnsi="Tahoma"/>
          <w:rtl/>
        </w:rPr>
        <w:t>יחד עמו –</w:t>
      </w:r>
      <w:r>
        <w:rPr>
          <w:rFonts w:ascii="Tahoma" w:hAnsi="Tahoma" w:hint="cs"/>
          <w:rtl/>
        </w:rPr>
        <w:t xml:space="preserve"> </w:t>
      </w:r>
      <w:r>
        <w:rPr>
          <w:rFonts w:ascii="Tahoma" w:hAnsi="Tahoma"/>
          <w:rtl/>
        </w:rPr>
        <w:t>סמים מסוכנים מסוג קנבוס במשקל של 66.01 גרם נטו (להלן – התיק מחיפה).</w:t>
      </w:r>
    </w:p>
    <w:p w14:paraId="449C1D18" w14:textId="77777777" w:rsidR="00C20162" w:rsidRDefault="00C20162" w:rsidP="00C20162">
      <w:pPr>
        <w:spacing w:after="120" w:line="360" w:lineRule="auto"/>
        <w:ind w:left="720"/>
        <w:jc w:val="both"/>
        <w:rPr>
          <w:rFonts w:ascii="David" w:eastAsia="David" w:hAnsi="David"/>
          <w:rtl/>
        </w:rPr>
      </w:pPr>
      <w:r>
        <w:rPr>
          <w:rFonts w:ascii="Tahoma" w:hAnsi="Tahoma"/>
          <w:rtl/>
        </w:rPr>
        <w:t xml:space="preserve">בגין התיק מחיפה נגזרה על הנאשם ענישה צופה פני עתיד בלבד. יש לציין, כעולה מפרוטוקול הדיון שם, </w:t>
      </w:r>
      <w:r>
        <w:rPr>
          <w:rFonts w:ascii="Tahoma" w:hAnsi="Tahoma" w:hint="cs"/>
          <w:rtl/>
        </w:rPr>
        <w:t xml:space="preserve">כי </w:t>
      </w:r>
      <w:r>
        <w:rPr>
          <w:rFonts w:ascii="Tahoma" w:hAnsi="Tahoma"/>
          <w:rtl/>
        </w:rPr>
        <w:t xml:space="preserve">ב"כ הנאשם </w:t>
      </w:r>
      <w:r>
        <w:rPr>
          <w:rFonts w:ascii="Tahoma" w:hAnsi="Tahoma" w:hint="cs"/>
          <w:rtl/>
        </w:rPr>
        <w:t xml:space="preserve">דשם </w:t>
      </w:r>
      <w:r>
        <w:rPr>
          <w:rFonts w:ascii="Tahoma" w:hAnsi="Tahoma"/>
          <w:rtl/>
        </w:rPr>
        <w:t>עתרה לדחיית הדיון לצורך שקילת צירוף התיק לתיק שלפניי, אך על רקע התנגדות ב"כ המאשימה הבקשה נדחתה.</w:t>
      </w:r>
    </w:p>
    <w:p w14:paraId="341509F2" w14:textId="77777777" w:rsidR="00C20162" w:rsidRPr="00107D9A" w:rsidRDefault="00C20162" w:rsidP="00C20162">
      <w:pPr>
        <w:numPr>
          <w:ilvl w:val="0"/>
          <w:numId w:val="1"/>
        </w:numPr>
        <w:tabs>
          <w:tab w:val="num" w:pos="720"/>
        </w:tabs>
        <w:spacing w:after="120" w:line="360" w:lineRule="auto"/>
        <w:ind w:left="720"/>
        <w:jc w:val="both"/>
        <w:rPr>
          <w:rFonts w:ascii="David" w:eastAsia="David" w:hAnsi="David"/>
        </w:rPr>
      </w:pPr>
      <w:r>
        <w:rPr>
          <w:rFonts w:ascii="Tahoma" w:hAnsi="Tahoma"/>
          <w:rtl/>
        </w:rPr>
        <w:t xml:space="preserve">בטיעוניו לעונש עמד ב"כ המאשימה על עובדות כתב האישום המתוקן, שבהן כאמור הודה הנאשם. ב"כ המאשימה הדגיש את נסיבות החומרה, </w:t>
      </w:r>
      <w:r>
        <w:rPr>
          <w:rFonts w:ascii="Tahoma" w:hAnsi="Tahoma" w:hint="cs"/>
          <w:rtl/>
        </w:rPr>
        <w:t xml:space="preserve">דהיינו: </w:t>
      </w:r>
      <w:r>
        <w:rPr>
          <w:rFonts w:ascii="Tahoma" w:hAnsi="Tahoma"/>
          <w:rtl/>
        </w:rPr>
        <w:t>הכמות הגדולה-יחסית של 500 ג</w:t>
      </w:r>
      <w:r>
        <w:rPr>
          <w:rFonts w:ascii="Tahoma" w:hAnsi="Tahoma" w:hint="cs"/>
          <w:rtl/>
        </w:rPr>
        <w:t>רם</w:t>
      </w:r>
      <w:r>
        <w:rPr>
          <w:rFonts w:ascii="Tahoma" w:hAnsi="Tahoma"/>
          <w:rtl/>
        </w:rPr>
        <w:t xml:space="preserve"> סמים מסוכנים וכן העובדה שנתפסו משקלים אלקטרוניים, ו</w:t>
      </w:r>
      <w:r>
        <w:rPr>
          <w:rFonts w:ascii="Tahoma" w:hAnsi="Tahoma" w:hint="cs"/>
          <w:rtl/>
        </w:rPr>
        <w:t xml:space="preserve">כן </w:t>
      </w:r>
      <w:r>
        <w:rPr>
          <w:rFonts w:ascii="Tahoma" w:hAnsi="Tahoma"/>
          <w:rtl/>
        </w:rPr>
        <w:t xml:space="preserve">עמד על הפגיעה החמורה הנגרמת לערכים החברתיים של </w:t>
      </w:r>
      <w:r>
        <w:rPr>
          <w:rFonts w:ascii="Tahoma" w:hAnsi="Tahoma" w:hint="cs"/>
          <w:rtl/>
        </w:rPr>
        <w:t>ה</w:t>
      </w:r>
      <w:r>
        <w:rPr>
          <w:rFonts w:ascii="Tahoma" w:hAnsi="Tahoma"/>
          <w:rtl/>
        </w:rPr>
        <w:t>שמירה על שלום הציבור ועל בריאותו עקב ביצוען של עבירות סמים.</w:t>
      </w:r>
    </w:p>
    <w:p w14:paraId="262B55CB" w14:textId="77777777" w:rsidR="00C20162" w:rsidRDefault="00C20162" w:rsidP="00C20162">
      <w:pPr>
        <w:numPr>
          <w:ilvl w:val="0"/>
          <w:numId w:val="1"/>
        </w:numPr>
        <w:tabs>
          <w:tab w:val="num" w:pos="720"/>
        </w:tabs>
        <w:spacing w:after="120" w:line="360" w:lineRule="auto"/>
        <w:ind w:left="720"/>
        <w:jc w:val="both"/>
        <w:rPr>
          <w:rFonts w:ascii="David" w:eastAsia="David" w:hAnsi="David"/>
        </w:rPr>
      </w:pPr>
      <w:r>
        <w:rPr>
          <w:rFonts w:ascii="Tahoma" w:hAnsi="Tahoma"/>
          <w:rtl/>
        </w:rPr>
        <w:lastRenderedPageBreak/>
        <w:t>אשר למדיניות הענישה הנהוגה הפנה ב"כ המאשימה לפסיקה</w:t>
      </w:r>
      <w:r>
        <w:rPr>
          <w:rFonts w:ascii="David" w:eastAsia="David" w:hAnsi="David"/>
          <w:rtl/>
        </w:rPr>
        <w:t xml:space="preserve"> וטען </w:t>
      </w:r>
      <w:r>
        <w:rPr>
          <w:rFonts w:ascii="Tahoma" w:hAnsi="Tahoma"/>
          <w:rtl/>
        </w:rPr>
        <w:t>כי במקרים דומים נקבע מתחם עונש הולם שבין מספר חודשי מאסר בפועל, שניתן לשאתם בדרך של עבודות שירות, לבין 12 חודשי מאסר בפועל</w:t>
      </w:r>
      <w:r>
        <w:rPr>
          <w:rFonts w:ascii="David" w:eastAsia="David" w:hAnsi="David"/>
          <w:rtl/>
        </w:rPr>
        <w:t>; ועתר לקביעת מתחם זהה בענייננו.</w:t>
      </w:r>
    </w:p>
    <w:p w14:paraId="67870E28" w14:textId="77777777" w:rsidR="00C20162" w:rsidRDefault="00C20162" w:rsidP="00C20162">
      <w:pPr>
        <w:numPr>
          <w:ilvl w:val="0"/>
          <w:numId w:val="1"/>
        </w:numPr>
        <w:tabs>
          <w:tab w:val="num" w:pos="720"/>
        </w:tabs>
        <w:spacing w:after="120" w:line="360" w:lineRule="auto"/>
        <w:ind w:left="720"/>
        <w:jc w:val="both"/>
        <w:rPr>
          <w:rFonts w:ascii="David" w:eastAsia="David" w:hAnsi="David"/>
        </w:rPr>
      </w:pPr>
      <w:r>
        <w:rPr>
          <w:rFonts w:ascii="Tahoma" w:hAnsi="Tahoma"/>
          <w:rtl/>
        </w:rPr>
        <w:t xml:space="preserve">אשר לגזירת עונשו של הנאשם בתוך מתחם העונש ההולם </w:t>
      </w:r>
      <w:r>
        <w:rPr>
          <w:rFonts w:ascii="David" w:eastAsia="David" w:hAnsi="David"/>
          <w:rtl/>
        </w:rPr>
        <w:t xml:space="preserve">הפנה ב"כ המאשימה לעובדה שתפיסת הסמים בתיק זה והחקירה שנערכה בעקבותיה לא הרתיעו את הנאשם מלשוב ולבצע כעבור זמן קצר יחסית עבירה דומה, שבגינה נשפט </w:t>
      </w:r>
      <w:r>
        <w:rPr>
          <w:rFonts w:ascii="David" w:eastAsia="David" w:hAnsi="David" w:hint="cs"/>
          <w:rtl/>
        </w:rPr>
        <w:t xml:space="preserve">כזכור </w:t>
      </w:r>
      <w:r>
        <w:rPr>
          <w:rFonts w:ascii="David" w:eastAsia="David" w:hAnsi="David"/>
          <w:rtl/>
        </w:rPr>
        <w:t xml:space="preserve">במסגרת התיק מחיפה. בנסיבות אלה עתר ב"כ המאשימה </w:t>
      </w:r>
      <w:r>
        <w:rPr>
          <w:rFonts w:ascii="Tahoma" w:hAnsi="Tahoma"/>
          <w:rtl/>
        </w:rPr>
        <w:t xml:space="preserve">להשית על הנאשם עונש בשליש התחתון של המתחם לו עתר, הגם שלא שב על העתירה להטלת </w:t>
      </w:r>
      <w:r>
        <w:rPr>
          <w:rFonts w:ascii="Tahoma" w:hAnsi="Tahoma" w:hint="cs"/>
          <w:rtl/>
        </w:rPr>
        <w:t xml:space="preserve">עונש נלווה של </w:t>
      </w:r>
      <w:r>
        <w:rPr>
          <w:rFonts w:ascii="Tahoma" w:hAnsi="Tahoma"/>
          <w:rtl/>
        </w:rPr>
        <w:t>פסילה מותנית.</w:t>
      </w:r>
    </w:p>
    <w:p w14:paraId="43370453" w14:textId="77777777" w:rsidR="00C20162" w:rsidRDefault="00C20162" w:rsidP="00C20162">
      <w:pPr>
        <w:numPr>
          <w:ilvl w:val="0"/>
          <w:numId w:val="1"/>
        </w:numPr>
        <w:tabs>
          <w:tab w:val="num" w:pos="720"/>
        </w:tabs>
        <w:spacing w:after="120" w:line="360" w:lineRule="auto"/>
        <w:ind w:left="720"/>
        <w:jc w:val="both"/>
        <w:rPr>
          <w:rFonts w:ascii="David" w:eastAsia="David" w:hAnsi="David"/>
        </w:rPr>
      </w:pPr>
      <w:r>
        <w:rPr>
          <w:rFonts w:ascii="Tahoma" w:hAnsi="Tahoma"/>
          <w:rtl/>
        </w:rPr>
        <w:t>לעניין החילוט חזר ב"כ המאשימה על הבקשות המצוינות בכתב האישום, דהיינו: הבקשה לקביעה כי הנאשם הוא סוחר סמים והבקש</w:t>
      </w:r>
      <w:r>
        <w:rPr>
          <w:rFonts w:ascii="Tahoma" w:hAnsi="Tahoma" w:hint="cs"/>
          <w:rtl/>
        </w:rPr>
        <w:t>ה</w:t>
      </w:r>
      <w:r>
        <w:rPr>
          <w:rFonts w:ascii="Tahoma" w:hAnsi="Tahoma"/>
          <w:rtl/>
        </w:rPr>
        <w:t xml:space="preserve"> לחילוט הטלפונים הניידים והכסף המזומן שנתפסו ברשות הנאשם. בהקשר זה הטעים ב"כ המאשימה כי הנאשם לא הציג מסמכים שיש בהם כדי לשלול את החזקה הקבועה בדין אלא אך טען טענ</w:t>
      </w:r>
      <w:r>
        <w:rPr>
          <w:rFonts w:ascii="Tahoma" w:hAnsi="Tahoma" w:hint="cs"/>
          <w:rtl/>
        </w:rPr>
        <w:t>ה</w:t>
      </w:r>
      <w:r>
        <w:rPr>
          <w:rFonts w:ascii="Tahoma" w:hAnsi="Tahoma"/>
          <w:rtl/>
        </w:rPr>
        <w:t xml:space="preserve"> בעלמא</w:t>
      </w:r>
      <w:r>
        <w:rPr>
          <w:rFonts w:ascii="Tahoma" w:hAnsi="Tahoma" w:hint="cs"/>
          <w:rtl/>
        </w:rPr>
        <w:t>,</w:t>
      </w:r>
      <w:r>
        <w:rPr>
          <w:rFonts w:ascii="Tahoma" w:hAnsi="Tahoma"/>
          <w:rtl/>
        </w:rPr>
        <w:t xml:space="preserve"> </w:t>
      </w:r>
      <w:r>
        <w:rPr>
          <w:rFonts w:ascii="Tahoma" w:hAnsi="Tahoma" w:hint="cs"/>
          <w:rtl/>
        </w:rPr>
        <w:t>ש</w:t>
      </w:r>
      <w:r>
        <w:rPr>
          <w:rFonts w:ascii="Tahoma" w:hAnsi="Tahoma"/>
          <w:rtl/>
        </w:rPr>
        <w:t>לפיה הוא השיג את הכסף מתשרים אותם קיבל במהלך עבודתו במספרה.</w:t>
      </w:r>
    </w:p>
    <w:p w14:paraId="30ADBE4B" w14:textId="77777777" w:rsidR="00C20162" w:rsidRDefault="00C20162" w:rsidP="00C20162">
      <w:pPr>
        <w:numPr>
          <w:ilvl w:val="0"/>
          <w:numId w:val="1"/>
        </w:numPr>
        <w:tabs>
          <w:tab w:val="num" w:pos="720"/>
        </w:tabs>
        <w:spacing w:after="120" w:line="360" w:lineRule="auto"/>
        <w:ind w:left="720"/>
        <w:jc w:val="both"/>
        <w:rPr>
          <w:rFonts w:ascii="David" w:eastAsia="David" w:hAnsi="David"/>
        </w:rPr>
      </w:pPr>
      <w:r>
        <w:rPr>
          <w:rFonts w:ascii="Tahoma" w:hAnsi="Tahoma"/>
          <w:rtl/>
        </w:rPr>
        <w:t xml:space="preserve">ב"כ הנאשם, מצידה, טענה כי בנסיבות מקרה זה – בהתחשב בסוג הסמים המדובר </w:t>
      </w:r>
      <w:r>
        <w:rPr>
          <w:rFonts w:ascii="Tahoma" w:hAnsi="Tahoma" w:hint="cs"/>
          <w:rtl/>
        </w:rPr>
        <w:t xml:space="preserve">ובכמותם </w:t>
      </w:r>
      <w:r>
        <w:rPr>
          <w:rFonts w:ascii="Tahoma" w:hAnsi="Tahoma"/>
          <w:rtl/>
        </w:rPr>
        <w:t>– הרף התחתון של מתחם העונש ההולם בהתאם למדיניות הענישה הנהוגה עומד על ענישה צופה פני עתיד בלבד</w:t>
      </w:r>
      <w:r>
        <w:rPr>
          <w:rFonts w:ascii="Tahoma" w:hAnsi="Tahoma" w:hint="cs"/>
          <w:rtl/>
        </w:rPr>
        <w:t>;</w:t>
      </w:r>
      <w:r>
        <w:rPr>
          <w:rFonts w:ascii="Tahoma" w:hAnsi="Tahoma"/>
          <w:rtl/>
        </w:rPr>
        <w:t xml:space="preserve"> כאשר בתי המשפט אף נוקטים לעיתים בדרך מתונה עוד יותר של אי-הרשעה ושל"צ.</w:t>
      </w:r>
      <w:r>
        <w:rPr>
          <w:rFonts w:ascii="David" w:eastAsia="David" w:hAnsi="David"/>
          <w:rtl/>
        </w:rPr>
        <w:t xml:space="preserve"> בנסיבות אלה</w:t>
      </w:r>
      <w:r>
        <w:rPr>
          <w:rFonts w:ascii="David" w:eastAsia="David" w:hAnsi="David" w:hint="cs"/>
          <w:rtl/>
        </w:rPr>
        <w:t xml:space="preserve"> ראוי </w:t>
      </w:r>
      <w:r>
        <w:rPr>
          <w:rFonts w:ascii="David" w:eastAsia="David" w:hAnsi="David"/>
          <w:rtl/>
        </w:rPr>
        <w:t xml:space="preserve">לשיטת הסניגורית להסתפק </w:t>
      </w:r>
      <w:r>
        <w:rPr>
          <w:rFonts w:ascii="David" w:eastAsia="David" w:hAnsi="David" w:hint="cs"/>
          <w:rtl/>
        </w:rPr>
        <w:t xml:space="preserve">במקרה זה </w:t>
      </w:r>
      <w:r>
        <w:rPr>
          <w:rFonts w:ascii="David" w:eastAsia="David" w:hAnsi="David"/>
          <w:rtl/>
        </w:rPr>
        <w:t xml:space="preserve">במאסר מותנה, </w:t>
      </w:r>
      <w:r>
        <w:rPr>
          <w:rFonts w:ascii="David" w:eastAsia="David" w:hAnsi="David" w:hint="cs"/>
          <w:rtl/>
        </w:rPr>
        <w:t xml:space="preserve">כאשר </w:t>
      </w:r>
      <w:r>
        <w:rPr>
          <w:rFonts w:ascii="David" w:eastAsia="David" w:hAnsi="David"/>
          <w:rtl/>
        </w:rPr>
        <w:t>כתימוכין לטיעוניה צירפה אסופת פסיקה.</w:t>
      </w:r>
    </w:p>
    <w:p w14:paraId="146A0A6E" w14:textId="77777777" w:rsidR="00C20162" w:rsidRPr="00CC5432" w:rsidRDefault="00C20162" w:rsidP="00C20162">
      <w:pPr>
        <w:numPr>
          <w:ilvl w:val="0"/>
          <w:numId w:val="1"/>
        </w:numPr>
        <w:tabs>
          <w:tab w:val="num" w:pos="720"/>
        </w:tabs>
        <w:spacing w:after="120" w:line="360" w:lineRule="auto"/>
        <w:ind w:left="720"/>
        <w:jc w:val="both"/>
        <w:rPr>
          <w:rFonts w:ascii="David" w:eastAsia="David" w:hAnsi="David"/>
        </w:rPr>
      </w:pPr>
      <w:r>
        <w:rPr>
          <w:rFonts w:ascii="Tahoma" w:hAnsi="Tahoma"/>
          <w:rtl/>
        </w:rPr>
        <w:t xml:space="preserve">ב"כ הנאשם הוסיפה וטענה כי הנאשם – כזכור בחור צעיר, כבן 25 שנים – שיתף פעולה ונטל אחריות על מעשיו עוד במסגרת חקירתו במשטרה, ואף היה מעוניין בצירוף התיק במסגרת התיק בחיפה. ב"כ הנאשם הטעימה כי כפירת ההגנה היתה על רקע טענות משפטיות </w:t>
      </w:r>
      <w:r>
        <w:rPr>
          <w:rFonts w:ascii="Tahoma" w:hAnsi="Tahoma" w:hint="cs"/>
          <w:rtl/>
        </w:rPr>
        <w:t xml:space="preserve">בהתייחס </w:t>
      </w:r>
      <w:r>
        <w:rPr>
          <w:rFonts w:ascii="Tahoma" w:hAnsi="Tahoma"/>
          <w:rtl/>
        </w:rPr>
        <w:t>לשאלת חוקיות החיפוש, בשל העובדה שצו החיפוש לא הופנה כלפי הנאשם באופן ספציפי, וביקשה להתחשב בטענות אלה גם במישור הענישה.</w:t>
      </w:r>
    </w:p>
    <w:p w14:paraId="431EE6DE" w14:textId="77777777" w:rsidR="00C20162" w:rsidRPr="00CC5432" w:rsidRDefault="00C20162" w:rsidP="00C20162">
      <w:pPr>
        <w:numPr>
          <w:ilvl w:val="0"/>
          <w:numId w:val="1"/>
        </w:numPr>
        <w:tabs>
          <w:tab w:val="num" w:pos="720"/>
        </w:tabs>
        <w:spacing w:after="120" w:line="360" w:lineRule="auto"/>
        <w:ind w:left="720"/>
        <w:jc w:val="both"/>
        <w:rPr>
          <w:rFonts w:ascii="David" w:eastAsia="David" w:hAnsi="David"/>
        </w:rPr>
      </w:pPr>
      <w:r w:rsidRPr="00CC5432">
        <w:rPr>
          <w:rFonts w:ascii="Tahoma" w:hAnsi="Tahoma"/>
          <w:rtl/>
        </w:rPr>
        <w:t xml:space="preserve">עוד עמדה ב"כ הנאשם על בעיותיו הכלכליות והרפואיות של מרשה, הסובל מבעיות בריאותיות הגורמות לו למכאובים וכיום מצוי בתהליך קבלת אישור לקנאביס רפואי (ר' המסמכים רפואיים ס/1). לעניין </w:t>
      </w:r>
      <w:r>
        <w:rPr>
          <w:rFonts w:ascii="Tahoma" w:hAnsi="Tahoma" w:hint="cs"/>
          <w:rtl/>
        </w:rPr>
        <w:t xml:space="preserve">בקשות </w:t>
      </w:r>
      <w:r w:rsidRPr="00CC5432">
        <w:rPr>
          <w:rFonts w:ascii="Tahoma" w:hAnsi="Tahoma"/>
          <w:rtl/>
        </w:rPr>
        <w:t xml:space="preserve">החילוט עתרה ב"כ הנאשם להימנעות מחילוט הטלפונים והכסף שנתפסו על הנאשם. בהקשר זה חזרה ב"כ הנאשם על טענתו שלפיה מדובר בכספים אותם </w:t>
      </w:r>
      <w:r>
        <w:rPr>
          <w:rFonts w:ascii="Tahoma" w:hAnsi="Tahoma" w:hint="cs"/>
          <w:rtl/>
        </w:rPr>
        <w:t xml:space="preserve">הוא </w:t>
      </w:r>
      <w:r w:rsidRPr="00CC5432">
        <w:rPr>
          <w:rFonts w:ascii="Tahoma" w:hAnsi="Tahoma"/>
          <w:rtl/>
        </w:rPr>
        <w:t>חסך במסגרת עבודתו כספר, והוסיפה וטענה כי הנאשם מצוי כיום במצב כלכלי מורכב ואף בחובות (ר' דף ריכוז פעולות מהבנק, ס/2)</w:t>
      </w:r>
    </w:p>
    <w:p w14:paraId="138BA260" w14:textId="77777777" w:rsidR="00C20162" w:rsidRDefault="00C20162" w:rsidP="00C20162">
      <w:pPr>
        <w:numPr>
          <w:ilvl w:val="0"/>
          <w:numId w:val="1"/>
        </w:numPr>
        <w:tabs>
          <w:tab w:val="num" w:pos="720"/>
        </w:tabs>
        <w:spacing w:after="120" w:line="360" w:lineRule="auto"/>
        <w:ind w:left="720"/>
        <w:jc w:val="both"/>
        <w:rPr>
          <w:rFonts w:ascii="David" w:eastAsia="David" w:hAnsi="David"/>
        </w:rPr>
      </w:pPr>
      <w:r>
        <w:rPr>
          <w:rFonts w:ascii="Tahoma" w:hAnsi="Tahoma"/>
          <w:rtl/>
        </w:rPr>
        <w:t>לבסוף הנאשם, בדברו האחרון לעונש, אמר כי הוא מבין שהמעשה שעשה הוא חמור והדברים לא יחזרו על עצמם. עוד הוסיף הנאשם ואמר: "</w:t>
      </w:r>
      <w:r>
        <w:rPr>
          <w:rFonts w:ascii="Tahoma" w:hAnsi="Tahoma"/>
          <w:b/>
          <w:bCs/>
          <w:rtl/>
        </w:rPr>
        <w:t>אני לא סוחר סמים... אם הייתי סוחר סמים היו מוצאים בטלפון שיחות עם אנשים. יש לי בטלפון שמות של קליינטים של מספרה</w:t>
      </w:r>
      <w:r>
        <w:rPr>
          <w:rFonts w:ascii="Tahoma" w:hAnsi="Tahoma"/>
          <w:rtl/>
        </w:rPr>
        <w:t xml:space="preserve">" (בפרוטוקול, עמ' 13 שורה 8 ואילך). </w:t>
      </w:r>
    </w:p>
    <w:p w14:paraId="6EE0FA8A" w14:textId="77777777" w:rsidR="00C20162" w:rsidRDefault="00C20162" w:rsidP="00C20162">
      <w:pPr>
        <w:spacing w:after="120" w:line="360" w:lineRule="auto"/>
        <w:jc w:val="both"/>
        <w:rPr>
          <w:rFonts w:ascii="Tahoma" w:hAnsi="Tahoma"/>
        </w:rPr>
      </w:pPr>
    </w:p>
    <w:p w14:paraId="47F86CC7" w14:textId="77777777" w:rsidR="00C20162" w:rsidRDefault="00C20162" w:rsidP="00C20162">
      <w:pPr>
        <w:snapToGrid w:val="0"/>
        <w:spacing w:after="120" w:line="360" w:lineRule="auto"/>
        <w:jc w:val="both"/>
        <w:rPr>
          <w:b/>
          <w:bCs/>
          <w:u w:val="single"/>
          <w:rtl/>
        </w:rPr>
      </w:pPr>
      <w:r>
        <w:rPr>
          <w:rFonts w:hint="cs"/>
          <w:b/>
          <w:bCs/>
          <w:rtl/>
        </w:rPr>
        <w:t>ג</w:t>
      </w:r>
      <w:r>
        <w:rPr>
          <w:b/>
          <w:bCs/>
          <w:rtl/>
        </w:rPr>
        <w:t>.</w:t>
      </w:r>
      <w:r>
        <w:rPr>
          <w:b/>
          <w:bCs/>
          <w:rtl/>
        </w:rPr>
        <w:tab/>
      </w:r>
      <w:r>
        <w:rPr>
          <w:b/>
          <w:bCs/>
          <w:u w:val="single"/>
          <w:rtl/>
        </w:rPr>
        <w:t>קביעת מתחם העונש ההולם:</w:t>
      </w:r>
    </w:p>
    <w:p w14:paraId="2071F6D2" w14:textId="77777777" w:rsidR="00C20162" w:rsidRDefault="00C20162" w:rsidP="00C20162">
      <w:pPr>
        <w:numPr>
          <w:ilvl w:val="0"/>
          <w:numId w:val="1"/>
        </w:numPr>
        <w:tabs>
          <w:tab w:val="num" w:pos="720"/>
        </w:tabs>
        <w:spacing w:after="120" w:line="360" w:lineRule="auto"/>
        <w:ind w:left="720"/>
        <w:jc w:val="both"/>
        <w:rPr>
          <w:rFonts w:ascii="David" w:eastAsia="David" w:hAnsi="David"/>
          <w:rtl/>
        </w:rPr>
      </w:pPr>
      <w:r>
        <w:rPr>
          <w:rtl/>
        </w:rPr>
        <w:t xml:space="preserve">בעת גזירת עונשו של נאשם על בית המשפט לקבוע, תחילה, את מתחם העונש ההולם לאירוע שבגינו הורשע הנאשם, בהתאם </w:t>
      </w:r>
      <w:r>
        <w:rPr>
          <w:rFonts w:ascii="Tahoma" w:hAnsi="Tahoma"/>
          <w:rtl/>
        </w:rPr>
        <w:t>לעיקרון ההלימה. בהקשר זה יתחשב בית המשפט</w:t>
      </w:r>
      <w:r>
        <w:rPr>
          <w:rtl/>
        </w:rPr>
        <w:t xml:space="preserve"> בערכים החברתיים שנפגעו מביצוע העבירות ובמידת הפגיעה בהם, במדיניות הענישה הנהוגה ובנסיבות הקשורות בביצוע העבירות.</w:t>
      </w:r>
    </w:p>
    <w:p w14:paraId="4F1698AD" w14:textId="77777777" w:rsidR="00C20162" w:rsidRDefault="00C20162" w:rsidP="00C20162">
      <w:pPr>
        <w:numPr>
          <w:ilvl w:val="0"/>
          <w:numId w:val="1"/>
        </w:numPr>
        <w:tabs>
          <w:tab w:val="num" w:pos="720"/>
        </w:tabs>
        <w:spacing w:after="120" w:line="360" w:lineRule="auto"/>
        <w:ind w:left="720"/>
        <w:jc w:val="both"/>
        <w:rPr>
          <w:rFonts w:ascii="Tahoma" w:hAnsi="Tahoma"/>
        </w:rPr>
      </w:pPr>
      <w:r>
        <w:rPr>
          <w:rFonts w:ascii="Tahoma" w:hAnsi="Tahoma"/>
          <w:rtl/>
        </w:rPr>
        <w:t>הפסיקה חזרה ועמדה על חומרתן הרבה של עבירות הסמים, הן בשל הסכנה הנשקפת לבריאות הציבור מצריכתם של סמים מסוכנים והן בשל היותן גורם "מחולל פשיעה", דהיינו: גורם הכרוך או אף עומד ביסוד ביצוען של עבירות רבות אחרות.</w:t>
      </w:r>
    </w:p>
    <w:p w14:paraId="30EBFC24" w14:textId="77777777" w:rsidR="00C20162" w:rsidRDefault="00C20162" w:rsidP="00C20162">
      <w:pPr>
        <w:numPr>
          <w:ilvl w:val="0"/>
          <w:numId w:val="1"/>
        </w:numPr>
        <w:tabs>
          <w:tab w:val="num" w:pos="720"/>
        </w:tabs>
        <w:spacing w:after="120" w:line="360" w:lineRule="auto"/>
        <w:ind w:left="720"/>
        <w:jc w:val="both"/>
        <w:rPr>
          <w:rFonts w:ascii="Tahoma" w:hAnsi="Tahoma"/>
        </w:rPr>
      </w:pPr>
      <w:r>
        <w:rPr>
          <w:rFonts w:ascii="Tahoma" w:hAnsi="Tahoma"/>
          <w:rtl/>
        </w:rPr>
        <w:t>עם זאת, בכל הקשור ל</w:t>
      </w:r>
      <w:r>
        <w:rPr>
          <w:rFonts w:ascii="Tahoma" w:hAnsi="Tahoma" w:hint="cs"/>
          <w:rtl/>
        </w:rPr>
        <w:t xml:space="preserve">מדיניות הענישה בעבירות סמים </w:t>
      </w:r>
      <w:r>
        <w:rPr>
          <w:rFonts w:ascii="Tahoma" w:hAnsi="Tahoma"/>
          <w:rtl/>
        </w:rPr>
        <w:t>ניתנת בפסיקה משמעות מהותית לסוג הסמים המדובר</w:t>
      </w:r>
      <w:r>
        <w:rPr>
          <w:rFonts w:ascii="Tahoma" w:hAnsi="Tahoma" w:hint="cs"/>
          <w:rtl/>
        </w:rPr>
        <w:t>ים</w:t>
      </w:r>
      <w:r>
        <w:rPr>
          <w:rFonts w:ascii="Tahoma" w:hAnsi="Tahoma"/>
          <w:rtl/>
        </w:rPr>
        <w:t xml:space="preserve"> וכמותם. כאשר מדובר</w:t>
      </w:r>
      <w:r>
        <w:rPr>
          <w:rFonts w:ascii="Tahoma" w:hAnsi="Tahoma" w:hint="cs"/>
          <w:rtl/>
        </w:rPr>
        <w:t>, כבעניינו,</w:t>
      </w:r>
      <w:r>
        <w:rPr>
          <w:rFonts w:ascii="Tahoma" w:hAnsi="Tahoma"/>
          <w:rtl/>
        </w:rPr>
        <w:t xml:space="preserve"> בסמים מסוכנים מסוג קנבוס במשקל של 500 גרם </w:t>
      </w:r>
      <w:r>
        <w:rPr>
          <w:rFonts w:ascii="Tahoma" w:hAnsi="Tahoma" w:hint="cs"/>
          <w:rtl/>
        </w:rPr>
        <w:t>לערך</w:t>
      </w:r>
      <w:r>
        <w:rPr>
          <w:rFonts w:ascii="Tahoma" w:hAnsi="Tahoma"/>
          <w:rtl/>
        </w:rPr>
        <w:t xml:space="preserve">, הרף התחתון של מתחם העונש ההולם אכן עומד על ענישה צופה פני עתיד ולא יותר מכך (ר' </w:t>
      </w:r>
      <w:r>
        <w:rPr>
          <w:rFonts w:ascii="Tahoma" w:hAnsi="Tahoma" w:hint="cs"/>
          <w:rtl/>
        </w:rPr>
        <w:t xml:space="preserve">והשווה, </w:t>
      </w:r>
      <w:r>
        <w:rPr>
          <w:rFonts w:ascii="Tahoma" w:hAnsi="Tahoma"/>
          <w:rtl/>
        </w:rPr>
        <w:t>למשל</w:t>
      </w:r>
      <w:r>
        <w:rPr>
          <w:rFonts w:ascii="Tahoma" w:hAnsi="Tahoma" w:hint="cs"/>
          <w:rtl/>
        </w:rPr>
        <w:t>,</w:t>
      </w:r>
      <w:r>
        <w:rPr>
          <w:rFonts w:ascii="Tahoma" w:hAnsi="Tahoma"/>
          <w:rtl/>
        </w:rPr>
        <w:t xml:space="preserve"> </w:t>
      </w:r>
      <w:r>
        <w:rPr>
          <w:rFonts w:ascii="Tahoma" w:hAnsi="Tahoma" w:hint="cs"/>
          <w:rtl/>
        </w:rPr>
        <w:t>ב</w:t>
      </w:r>
      <w:hyperlink r:id="rId19" w:history="1">
        <w:r w:rsidR="00F920F3" w:rsidRPr="00F920F3">
          <w:rPr>
            <w:rFonts w:ascii="Tahoma" w:hAnsi="Tahoma"/>
            <w:color w:val="0000FF"/>
            <w:u w:val="single"/>
            <w:rtl/>
          </w:rPr>
          <w:t>ת"פ (שלום ת"א) 39274-04-15</w:t>
        </w:r>
      </w:hyperlink>
      <w:r>
        <w:rPr>
          <w:rFonts w:ascii="Tahoma" w:hAnsi="Tahoma"/>
          <w:rtl/>
        </w:rPr>
        <w:t xml:space="preserve"> </w:t>
      </w:r>
      <w:r>
        <w:rPr>
          <w:rFonts w:ascii="Tahoma" w:hAnsi="Tahoma"/>
          <w:b/>
          <w:bCs/>
          <w:rtl/>
        </w:rPr>
        <w:t>מדינת ישראל נ' אוזן</w:t>
      </w:r>
      <w:r>
        <w:rPr>
          <w:rFonts w:ascii="Tahoma" w:hAnsi="Tahoma"/>
          <w:rtl/>
        </w:rPr>
        <w:t xml:space="preserve"> (14.04.2019)</w:t>
      </w:r>
      <w:r>
        <w:rPr>
          <w:rFonts w:ascii="Tahoma" w:hAnsi="Tahoma" w:hint="cs"/>
          <w:rtl/>
        </w:rPr>
        <w:t xml:space="preserve"> ובאסמכתאות המובאות שם)</w:t>
      </w:r>
      <w:r>
        <w:rPr>
          <w:rFonts w:ascii="Tahoma" w:hAnsi="Tahoma"/>
          <w:rtl/>
        </w:rPr>
        <w:t>.</w:t>
      </w:r>
    </w:p>
    <w:p w14:paraId="6834BC01" w14:textId="77777777" w:rsidR="00C20162" w:rsidRDefault="00C20162" w:rsidP="00C20162">
      <w:pPr>
        <w:numPr>
          <w:ilvl w:val="0"/>
          <w:numId w:val="1"/>
        </w:numPr>
        <w:tabs>
          <w:tab w:val="num" w:pos="720"/>
        </w:tabs>
        <w:spacing w:after="120" w:line="360" w:lineRule="auto"/>
        <w:ind w:left="720"/>
        <w:jc w:val="both"/>
        <w:rPr>
          <w:rFonts w:ascii="Tahoma" w:hAnsi="Tahoma"/>
        </w:rPr>
      </w:pPr>
      <w:r>
        <w:rPr>
          <w:rFonts w:ascii="Tahoma" w:hAnsi="Tahoma"/>
          <w:rtl/>
        </w:rPr>
        <w:t xml:space="preserve">עוד ראוי להעיר, כי האירוע מושא תיק זה והאירוע מושא התיק מחיפה היו סמוכים יחסית בזמן (בפער זמנים של פחות משלושה חודשים), כאשר צירוף </w:t>
      </w:r>
      <w:r>
        <w:rPr>
          <w:rFonts w:ascii="Tahoma" w:hAnsi="Tahoma" w:hint="cs"/>
          <w:rtl/>
        </w:rPr>
        <w:t xml:space="preserve">שני </w:t>
      </w:r>
      <w:r>
        <w:rPr>
          <w:rFonts w:ascii="Tahoma" w:hAnsi="Tahoma"/>
          <w:rtl/>
        </w:rPr>
        <w:t xml:space="preserve">התיקים נמנע בשל התנגדות המאשימה – הגם שיש להניח כי נוכח זהות העבירות וסמיכות הזמנים צירוף כאמור לא היה מוביל להחמרה מהותית בענישה שנגזרה </w:t>
      </w:r>
      <w:r>
        <w:rPr>
          <w:rFonts w:ascii="Tahoma" w:hAnsi="Tahoma" w:hint="cs"/>
          <w:rtl/>
        </w:rPr>
        <w:t xml:space="preserve">על הנאשם </w:t>
      </w:r>
      <w:r>
        <w:rPr>
          <w:rFonts w:ascii="Tahoma" w:hAnsi="Tahoma"/>
          <w:rtl/>
        </w:rPr>
        <w:t>במסגרת התיק מחיפה.</w:t>
      </w:r>
    </w:p>
    <w:p w14:paraId="4A1D64C7" w14:textId="77777777" w:rsidR="00C20162" w:rsidRDefault="00C20162" w:rsidP="00C20162">
      <w:pPr>
        <w:numPr>
          <w:ilvl w:val="0"/>
          <w:numId w:val="1"/>
        </w:numPr>
        <w:tabs>
          <w:tab w:val="num" w:pos="720"/>
        </w:tabs>
        <w:spacing w:after="120" w:line="360" w:lineRule="auto"/>
        <w:ind w:left="720"/>
        <w:jc w:val="both"/>
        <w:rPr>
          <w:rFonts w:ascii="David" w:eastAsia="David" w:hAnsi="David"/>
          <w:rtl/>
        </w:rPr>
      </w:pPr>
      <w:r>
        <w:rPr>
          <w:rFonts w:ascii="Tahoma" w:hAnsi="Tahoma"/>
          <w:rtl/>
        </w:rPr>
        <w:t>אני קובע אפוא את מתחם העונש ההולם</w:t>
      </w:r>
      <w:r>
        <w:rPr>
          <w:rFonts w:ascii="Tahoma" w:hAnsi="Tahoma" w:hint="cs"/>
          <w:rtl/>
        </w:rPr>
        <w:t>,</w:t>
      </w:r>
      <w:r>
        <w:rPr>
          <w:rFonts w:ascii="Tahoma" w:hAnsi="Tahoma"/>
          <w:rtl/>
        </w:rPr>
        <w:t xml:space="preserve"> לאירוע מושא כתב האישום המתוקן</w:t>
      </w:r>
      <w:r>
        <w:rPr>
          <w:rFonts w:ascii="Tahoma" w:hAnsi="Tahoma" w:hint="cs"/>
          <w:rtl/>
        </w:rPr>
        <w:t>,</w:t>
      </w:r>
      <w:r>
        <w:rPr>
          <w:rFonts w:ascii="Tahoma" w:hAnsi="Tahoma"/>
          <w:rtl/>
        </w:rPr>
        <w:t xml:space="preserve"> בין ענישה צופה פני עתיד לבין 9 חודשי מאסר בפועל. אגב כך אני מתקן את ההשמטה שנפלה בהכרעת הדין וקובע – נוכח העבירה בה הורשע הנאשם ונסיבותיה, ובהתאם להוראות </w:t>
      </w:r>
      <w:hyperlink r:id="rId20" w:history="1">
        <w:r w:rsidR="000472C7" w:rsidRPr="000472C7">
          <w:rPr>
            <w:rStyle w:val="Hyperlink"/>
            <w:rFonts w:ascii="Tahoma" w:hAnsi="Tahoma"/>
            <w:color w:val="0000FF"/>
            <w:rtl/>
          </w:rPr>
          <w:t>סעיף 36א(ב)</w:t>
        </w:r>
      </w:hyperlink>
      <w:r>
        <w:rPr>
          <w:rFonts w:ascii="Tahoma" w:hAnsi="Tahoma"/>
          <w:rtl/>
        </w:rPr>
        <w:t xml:space="preserve"> ל</w:t>
      </w:r>
      <w:hyperlink r:id="rId21" w:history="1">
        <w:r w:rsidR="00F920F3" w:rsidRPr="00F920F3">
          <w:rPr>
            <w:rFonts w:ascii="Tahoma" w:hAnsi="Tahoma"/>
            <w:color w:val="0000FF"/>
            <w:u w:val="single"/>
            <w:rtl/>
          </w:rPr>
          <w:t>פקודת הסמים המסוכנים</w:t>
        </w:r>
      </w:hyperlink>
      <w:r>
        <w:rPr>
          <w:rFonts w:ascii="Tahoma" w:hAnsi="Tahoma"/>
          <w:rtl/>
        </w:rPr>
        <w:t xml:space="preserve"> – כי הנאשם הוא סוחר סמים.</w:t>
      </w:r>
    </w:p>
    <w:p w14:paraId="64B00E24" w14:textId="77777777" w:rsidR="00C20162" w:rsidRDefault="00C20162" w:rsidP="00C20162">
      <w:pPr>
        <w:spacing w:after="120" w:line="360" w:lineRule="auto"/>
        <w:jc w:val="both"/>
        <w:rPr>
          <w:rFonts w:ascii="Tahoma" w:hAnsi="Tahoma"/>
        </w:rPr>
      </w:pPr>
    </w:p>
    <w:p w14:paraId="511B71D7" w14:textId="77777777" w:rsidR="00C20162" w:rsidRDefault="00C20162" w:rsidP="00C20162">
      <w:pPr>
        <w:snapToGrid w:val="0"/>
        <w:spacing w:after="120" w:line="360" w:lineRule="auto"/>
        <w:jc w:val="both"/>
        <w:rPr>
          <w:b/>
          <w:bCs/>
          <w:u w:val="single"/>
          <w:rtl/>
        </w:rPr>
      </w:pPr>
      <w:r>
        <w:rPr>
          <w:rFonts w:hint="cs"/>
          <w:b/>
          <w:bCs/>
          <w:rtl/>
        </w:rPr>
        <w:t>ד</w:t>
      </w:r>
      <w:r>
        <w:rPr>
          <w:b/>
          <w:bCs/>
          <w:rtl/>
        </w:rPr>
        <w:t>.</w:t>
      </w:r>
      <w:r>
        <w:rPr>
          <w:b/>
          <w:bCs/>
          <w:rtl/>
        </w:rPr>
        <w:tab/>
      </w:r>
      <w:r>
        <w:rPr>
          <w:b/>
          <w:bCs/>
          <w:u w:val="single"/>
          <w:rtl/>
        </w:rPr>
        <w:t>גזירת עונשו של הנאשם בתוך מתחם העונש ההולם:</w:t>
      </w:r>
    </w:p>
    <w:p w14:paraId="24EB1B20" w14:textId="77777777" w:rsidR="00C20162" w:rsidRDefault="00C20162" w:rsidP="00C20162">
      <w:pPr>
        <w:numPr>
          <w:ilvl w:val="0"/>
          <w:numId w:val="1"/>
        </w:numPr>
        <w:tabs>
          <w:tab w:val="num" w:pos="720"/>
        </w:tabs>
        <w:spacing w:after="120" w:line="360" w:lineRule="auto"/>
        <w:ind w:left="720"/>
        <w:jc w:val="both"/>
        <w:rPr>
          <w:rFonts w:ascii="David" w:eastAsia="David" w:hAnsi="David"/>
          <w:rtl/>
        </w:rPr>
      </w:pPr>
      <w:r>
        <w:rPr>
          <w:rtl/>
        </w:rPr>
        <w:t>לאחר קביעת מתחם העונש ההולם, על בית המשפט לגזור את עונשו של הנאשם בתוך מתחם זה תוך התחשבות בנסיבות שאינן קשורות בביצוע העבירות.</w:t>
      </w:r>
    </w:p>
    <w:p w14:paraId="6A7C622E" w14:textId="77777777" w:rsidR="00C20162" w:rsidRDefault="00C20162" w:rsidP="00C20162">
      <w:pPr>
        <w:numPr>
          <w:ilvl w:val="0"/>
          <w:numId w:val="1"/>
        </w:numPr>
        <w:tabs>
          <w:tab w:val="num" w:pos="720"/>
        </w:tabs>
        <w:spacing w:after="120" w:line="360" w:lineRule="auto"/>
        <w:ind w:left="720"/>
        <w:jc w:val="both"/>
        <w:rPr>
          <w:rFonts w:ascii="David" w:eastAsia="David" w:hAnsi="David"/>
        </w:rPr>
      </w:pPr>
      <w:r>
        <w:rPr>
          <w:rtl/>
        </w:rPr>
        <w:t>אשר לנאשם שלפניי, השיקולים הרלוואנטיים לגזירת עונשו הם כלהלן:</w:t>
      </w:r>
    </w:p>
    <w:p w14:paraId="40CF6A75" w14:textId="77777777" w:rsidR="00C20162" w:rsidRDefault="00C20162" w:rsidP="00C20162">
      <w:pPr>
        <w:snapToGrid w:val="0"/>
        <w:spacing w:after="120" w:line="360" w:lineRule="auto"/>
        <w:ind w:left="1440"/>
        <w:jc w:val="both"/>
        <w:rPr>
          <w:rFonts w:ascii="Tahoma" w:hAnsi="Tahoma"/>
        </w:rPr>
      </w:pPr>
      <w:r>
        <w:rPr>
          <w:b/>
          <w:bCs/>
          <w:rtl/>
        </w:rPr>
        <w:t xml:space="preserve">עברו הפלילי של הנאשם – </w:t>
      </w:r>
      <w:r>
        <w:rPr>
          <w:rtl/>
        </w:rPr>
        <w:t xml:space="preserve">לנאשם </w:t>
      </w:r>
      <w:r>
        <w:rPr>
          <w:rFonts w:ascii="Tahoma" w:hAnsi="Tahoma"/>
          <w:rtl/>
        </w:rPr>
        <w:t>שתי הרשעות קודמות, כאשר הרשעתו הקודמת האחרונה – בתיק מחיפה – היא בעבירה דומה</w:t>
      </w:r>
      <w:r>
        <w:rPr>
          <w:rFonts w:ascii="Tahoma" w:hAnsi="Tahoma" w:hint="cs"/>
          <w:rtl/>
        </w:rPr>
        <w:t xml:space="preserve">, הגם שמועד ביצועה מאוחר לעבירה דנא. מכל מקום, מדובר בעבירות דומות שנעברו </w:t>
      </w:r>
      <w:r>
        <w:rPr>
          <w:rFonts w:ascii="Tahoma" w:hAnsi="Tahoma"/>
          <w:rtl/>
        </w:rPr>
        <w:t>בסמיכות זמנים, כאשר מ</w:t>
      </w:r>
      <w:r>
        <w:rPr>
          <w:rFonts w:ascii="Tahoma" w:hAnsi="Tahoma" w:hint="cs"/>
          <w:rtl/>
        </w:rPr>
        <w:t>עת</w:t>
      </w:r>
      <w:r>
        <w:rPr>
          <w:rFonts w:ascii="Tahoma" w:hAnsi="Tahoma"/>
          <w:rtl/>
        </w:rPr>
        <w:t xml:space="preserve"> ביצוע</w:t>
      </w:r>
      <w:r>
        <w:rPr>
          <w:rFonts w:ascii="Tahoma" w:hAnsi="Tahoma" w:hint="cs"/>
          <w:rtl/>
        </w:rPr>
        <w:t>ן</w:t>
      </w:r>
      <w:r>
        <w:rPr>
          <w:rFonts w:ascii="Tahoma" w:hAnsi="Tahoma"/>
          <w:rtl/>
        </w:rPr>
        <w:t xml:space="preserve"> (בשנת 2017) </w:t>
      </w:r>
      <w:r>
        <w:rPr>
          <w:rFonts w:ascii="Tahoma" w:hAnsi="Tahoma" w:hint="cs"/>
          <w:rtl/>
        </w:rPr>
        <w:t xml:space="preserve">ועד היום </w:t>
      </w:r>
      <w:r>
        <w:rPr>
          <w:rFonts w:ascii="Tahoma" w:hAnsi="Tahoma"/>
          <w:rtl/>
        </w:rPr>
        <w:t>לא שב הנאשם להסתבך בפלילים.</w:t>
      </w:r>
    </w:p>
    <w:p w14:paraId="7033EBFC" w14:textId="77777777" w:rsidR="00C20162" w:rsidRDefault="00C20162" w:rsidP="00C20162">
      <w:pPr>
        <w:snapToGrid w:val="0"/>
        <w:spacing w:after="120" w:line="360" w:lineRule="auto"/>
        <w:ind w:left="1440"/>
        <w:jc w:val="both"/>
        <w:rPr>
          <w:rtl/>
        </w:rPr>
      </w:pPr>
      <w:r>
        <w:rPr>
          <w:b/>
          <w:bCs/>
          <w:rtl/>
        </w:rPr>
        <w:t xml:space="preserve">הודאה ונטילת אחריות </w:t>
      </w:r>
      <w:r>
        <w:rPr>
          <w:rtl/>
        </w:rPr>
        <w:t>– הנאשם הודה בעובדות כתב האישום המתוקן. בכך חסך הנאשם מזמנם של העדים, הצדדים ובית המשפט. נסיבות אלה יש לזקוף, כמובן, לזכות הנאשם.</w:t>
      </w:r>
    </w:p>
    <w:p w14:paraId="12F10874" w14:textId="77777777" w:rsidR="00C20162" w:rsidRDefault="00C20162" w:rsidP="00C20162">
      <w:pPr>
        <w:snapToGrid w:val="0"/>
        <w:spacing w:after="120" w:line="360" w:lineRule="auto"/>
        <w:ind w:left="1440"/>
        <w:jc w:val="both"/>
        <w:rPr>
          <w:rtl/>
        </w:rPr>
      </w:pPr>
      <w:r>
        <w:rPr>
          <w:b/>
          <w:bCs/>
          <w:rtl/>
        </w:rPr>
        <w:t xml:space="preserve">נתוניו האישיים של הנאשם ונסיבות חייו </w:t>
      </w:r>
      <w:r>
        <w:rPr>
          <w:rtl/>
        </w:rPr>
        <w:t>– הנאשם כאמור יליד שנת 1995, בן 25 שנים כיום, וסובל מבעיות רפואיות וכלכליות.</w:t>
      </w:r>
    </w:p>
    <w:p w14:paraId="43DDFED1" w14:textId="77777777" w:rsidR="00C20162" w:rsidRPr="00D2581D" w:rsidRDefault="00C20162" w:rsidP="00C20162">
      <w:pPr>
        <w:numPr>
          <w:ilvl w:val="0"/>
          <w:numId w:val="1"/>
        </w:numPr>
        <w:tabs>
          <w:tab w:val="num" w:pos="720"/>
        </w:tabs>
        <w:spacing w:after="120" w:line="360" w:lineRule="auto"/>
        <w:ind w:left="720"/>
        <w:jc w:val="both"/>
        <w:rPr>
          <w:rFonts w:ascii="David" w:eastAsia="David" w:hAnsi="David"/>
        </w:rPr>
      </w:pPr>
      <w:r>
        <w:rPr>
          <w:rtl/>
        </w:rPr>
        <w:t xml:space="preserve">מכלול הנסיבות והשיקולים שפורטו לעיל מלמד כי במקרה זה נסיבות הקולה עולות במשקלן על נסיבות החומרה. בנסיבות אלה ניתן להסתפק – ולו לפנים משורת הדין – </w:t>
      </w:r>
      <w:r>
        <w:rPr>
          <w:rFonts w:ascii="Tahoma" w:hAnsi="Tahoma"/>
          <w:rtl/>
        </w:rPr>
        <w:t xml:space="preserve">בגזירת עונש ברף התחתון של מתחם העונש ההולם, תוך איזון הקלה עונשית זו בחילוט הכסף המזומן שנתפס ברשות הנאשם. בעניין אחרון זה האיזון הראוי יימצא בחילוט הכסף האמור תוך השבת הטלפונים הניידים שנתפסו, שכן טענות הנאשם כי </w:t>
      </w:r>
      <w:r>
        <w:rPr>
          <w:rFonts w:ascii="Tahoma" w:hAnsi="Tahoma" w:hint="cs"/>
          <w:rtl/>
        </w:rPr>
        <w:t xml:space="preserve">הטלפונים </w:t>
      </w:r>
      <w:r>
        <w:rPr>
          <w:rFonts w:ascii="Tahoma" w:hAnsi="Tahoma"/>
          <w:rtl/>
        </w:rPr>
        <w:t>לא שימשו לצורכי עבירת הסמים לא נסתרו.</w:t>
      </w:r>
    </w:p>
    <w:p w14:paraId="36856601" w14:textId="77777777" w:rsidR="00C20162" w:rsidRDefault="00C20162" w:rsidP="00C20162">
      <w:pPr>
        <w:spacing w:after="120" w:line="360" w:lineRule="auto"/>
        <w:jc w:val="both"/>
        <w:rPr>
          <w:rFonts w:ascii="Tahoma" w:hAnsi="Tahoma"/>
          <w:rtl/>
        </w:rPr>
      </w:pPr>
    </w:p>
    <w:p w14:paraId="36A6F22E" w14:textId="77777777" w:rsidR="00C20162" w:rsidRPr="00DE411D" w:rsidRDefault="00C20162" w:rsidP="00C20162">
      <w:pPr>
        <w:snapToGrid w:val="0"/>
        <w:spacing w:after="120" w:line="360" w:lineRule="auto"/>
        <w:jc w:val="both"/>
        <w:rPr>
          <w:b/>
          <w:bCs/>
          <w:u w:val="single"/>
          <w:rtl/>
        </w:rPr>
      </w:pPr>
      <w:r>
        <w:rPr>
          <w:rFonts w:hint="cs"/>
          <w:b/>
          <w:bCs/>
          <w:rtl/>
        </w:rPr>
        <w:t>ה</w:t>
      </w:r>
      <w:r w:rsidRPr="00627467">
        <w:rPr>
          <w:rFonts w:hint="cs"/>
          <w:b/>
          <w:bCs/>
          <w:rtl/>
        </w:rPr>
        <w:t>.</w:t>
      </w:r>
      <w:r w:rsidRPr="00627467">
        <w:rPr>
          <w:rFonts w:hint="cs"/>
          <w:b/>
          <w:bCs/>
          <w:rtl/>
        </w:rPr>
        <w:tab/>
      </w:r>
      <w:r>
        <w:rPr>
          <w:rFonts w:hint="cs"/>
          <w:b/>
          <w:bCs/>
          <w:u w:val="single"/>
          <w:rtl/>
        </w:rPr>
        <w:t>סוף</w:t>
      </w:r>
      <w:r w:rsidRPr="00DE411D">
        <w:rPr>
          <w:rFonts w:hint="cs"/>
          <w:b/>
          <w:bCs/>
          <w:u w:val="single"/>
          <w:rtl/>
        </w:rPr>
        <w:t xml:space="preserve"> </w:t>
      </w:r>
      <w:r>
        <w:rPr>
          <w:rFonts w:hint="cs"/>
          <w:b/>
          <w:bCs/>
          <w:u w:val="single"/>
          <w:rtl/>
        </w:rPr>
        <w:t>דבר</w:t>
      </w:r>
      <w:r w:rsidRPr="00DE411D">
        <w:rPr>
          <w:rFonts w:hint="cs"/>
          <w:b/>
          <w:bCs/>
          <w:u w:val="single"/>
          <w:rtl/>
        </w:rPr>
        <w:t>:</w:t>
      </w:r>
    </w:p>
    <w:p w14:paraId="3DA5A2EE" w14:textId="77777777" w:rsidR="00C20162" w:rsidRPr="00227EC5" w:rsidRDefault="00C20162" w:rsidP="00C20162">
      <w:pPr>
        <w:numPr>
          <w:ilvl w:val="0"/>
          <w:numId w:val="1"/>
        </w:numPr>
        <w:tabs>
          <w:tab w:val="num" w:pos="720"/>
        </w:tabs>
        <w:spacing w:after="120" w:line="360" w:lineRule="auto"/>
        <w:ind w:left="720"/>
        <w:jc w:val="both"/>
        <w:rPr>
          <w:rFonts w:ascii="David" w:eastAsia="David" w:hAnsi="David"/>
        </w:rPr>
      </w:pPr>
      <w:r>
        <w:rPr>
          <w:rFonts w:hint="cs"/>
          <w:rtl/>
        </w:rPr>
        <w:t xml:space="preserve">אשר על כן </w:t>
      </w:r>
      <w:r>
        <w:rPr>
          <w:rtl/>
        </w:rPr>
        <w:t>–</w:t>
      </w:r>
      <w:r>
        <w:rPr>
          <w:rFonts w:hint="cs"/>
          <w:rtl/>
        </w:rPr>
        <w:t xml:space="preserve"> ובהתחשב בשיקולים לכף חומרה ולכף קולה, אשר פורטו לעיל </w:t>
      </w:r>
      <w:r>
        <w:rPr>
          <w:rtl/>
        </w:rPr>
        <w:t>–</w:t>
      </w:r>
      <w:r>
        <w:rPr>
          <w:rFonts w:hint="cs"/>
          <w:rtl/>
        </w:rPr>
        <w:t xml:space="preserve"> אני גוזר על הנאשם עונש של מאסר על תנאי למשך 6 חודשים, אותו לא יישא אלא אם כן יעבור, תוך שלוש שנים מהיום, עבירה מסוג פשע לפי הוראות </w:t>
      </w:r>
      <w:hyperlink r:id="rId22" w:history="1">
        <w:r w:rsidR="00F920F3" w:rsidRPr="00F920F3">
          <w:rPr>
            <w:color w:val="0000FF"/>
            <w:u w:val="single"/>
            <w:rtl/>
          </w:rPr>
          <w:t>פקודת הסמים המסוכנים</w:t>
        </w:r>
      </w:hyperlink>
      <w:r>
        <w:rPr>
          <w:rFonts w:hint="cs"/>
          <w:rtl/>
        </w:rPr>
        <w:t>.</w:t>
      </w:r>
    </w:p>
    <w:p w14:paraId="16686499" w14:textId="77777777" w:rsidR="00C20162" w:rsidRDefault="00C20162" w:rsidP="00C20162">
      <w:pPr>
        <w:spacing w:after="120" w:line="360" w:lineRule="auto"/>
        <w:ind w:left="720"/>
        <w:jc w:val="both"/>
        <w:rPr>
          <w:rFonts w:ascii="David" w:eastAsia="David" w:hAnsi="David"/>
        </w:rPr>
      </w:pPr>
      <w:r>
        <w:rPr>
          <w:rFonts w:ascii="David" w:eastAsia="David" w:hAnsi="David" w:hint="cs"/>
          <w:rtl/>
        </w:rPr>
        <w:t xml:space="preserve">אני מורה בזה על חילוט הכסף המזומן, בסך 8,600 ₪, אשר נתפס ברשות הנאשם, בהתאם להוראות </w:t>
      </w:r>
      <w:hyperlink r:id="rId23" w:history="1">
        <w:r w:rsidR="00F920F3" w:rsidRPr="00F920F3">
          <w:rPr>
            <w:rFonts w:ascii="David" w:eastAsia="David" w:hAnsi="David"/>
            <w:color w:val="0000FF"/>
            <w:u w:val="single"/>
            <w:rtl/>
          </w:rPr>
          <w:t>פקודת הסמים המסוכנים</w:t>
        </w:r>
      </w:hyperlink>
      <w:r>
        <w:rPr>
          <w:rFonts w:ascii="David" w:eastAsia="David" w:hAnsi="David" w:hint="cs"/>
          <w:rtl/>
        </w:rPr>
        <w:t>.</w:t>
      </w:r>
    </w:p>
    <w:p w14:paraId="3DE7F6C8" w14:textId="77777777" w:rsidR="00C20162" w:rsidRDefault="00C20162" w:rsidP="00C20162">
      <w:pPr>
        <w:spacing w:after="120" w:line="360" w:lineRule="auto"/>
        <w:ind w:left="720"/>
        <w:jc w:val="both"/>
        <w:rPr>
          <w:rtl/>
        </w:rPr>
      </w:pPr>
      <w:r w:rsidRPr="00227EC5">
        <w:rPr>
          <w:rFonts w:ascii="David" w:eastAsia="David" w:hAnsi="David" w:hint="cs"/>
          <w:rtl/>
        </w:rPr>
        <w:t xml:space="preserve">הטלפונים הניידים שנתפסו ברשות הנאשם יושבו לו. כמו כן יוחזר לנאשם כל פיקדון שהופקד בתיק זה </w:t>
      </w:r>
      <w:r>
        <w:rPr>
          <w:rtl/>
        </w:rPr>
        <w:t>–</w:t>
      </w:r>
      <w:r>
        <w:rPr>
          <w:rFonts w:hint="cs"/>
          <w:rtl/>
        </w:rPr>
        <w:t xml:space="preserve"> או בתיקים קשורים </w:t>
      </w:r>
      <w:r>
        <w:rPr>
          <w:rtl/>
        </w:rPr>
        <w:t>–</w:t>
      </w:r>
      <w:r>
        <w:rPr>
          <w:rFonts w:hint="cs"/>
          <w:rtl/>
        </w:rPr>
        <w:t xml:space="preserve"> וזאת בהיעדר עיקול או מניעה אחרת על פי דין להשבת הפיקדון.</w:t>
      </w:r>
    </w:p>
    <w:p w14:paraId="06F32F26" w14:textId="77777777" w:rsidR="00C20162" w:rsidRDefault="00C20162" w:rsidP="00C20162">
      <w:pPr>
        <w:spacing w:after="120" w:line="360" w:lineRule="auto"/>
        <w:jc w:val="both"/>
        <w:rPr>
          <w:rtl/>
        </w:rPr>
      </w:pPr>
      <w:r>
        <w:rPr>
          <w:rFonts w:hint="cs"/>
          <w:rtl/>
        </w:rPr>
        <w:t>ניתן בזה צו כללי, לעניין מוצגים, לשיקול דעתו של קצין משטרה. הסמים וכליהם יושמדו.</w:t>
      </w:r>
    </w:p>
    <w:p w14:paraId="3A648C23" w14:textId="77777777" w:rsidR="00C20162" w:rsidRDefault="00F920F3" w:rsidP="00C20162">
      <w:pPr>
        <w:snapToGrid w:val="0"/>
        <w:spacing w:after="120" w:line="360" w:lineRule="auto"/>
        <w:jc w:val="both"/>
        <w:rPr>
          <w:rtl/>
        </w:rPr>
      </w:pPr>
      <w:r w:rsidRPr="00F920F3">
        <w:rPr>
          <w:color w:val="FFFFFF"/>
          <w:sz w:val="2"/>
          <w:szCs w:val="2"/>
          <w:rtl/>
        </w:rPr>
        <w:t>5129371</w:t>
      </w:r>
      <w:r w:rsidR="00C20162">
        <w:rPr>
          <w:rFonts w:hint="cs"/>
          <w:rtl/>
        </w:rPr>
        <w:t>זכות ערעור בתוך 45 יום מהיום.</w:t>
      </w:r>
    </w:p>
    <w:p w14:paraId="3E60F18F" w14:textId="77777777" w:rsidR="00C20162" w:rsidRPr="00250B83" w:rsidRDefault="00F920F3" w:rsidP="00C20162">
      <w:pPr>
        <w:rPr>
          <w:rtl/>
        </w:rPr>
      </w:pPr>
      <w:bookmarkStart w:id="8" w:name="Nitan"/>
      <w:r w:rsidRPr="00F920F3">
        <w:rPr>
          <w:rFonts w:ascii="Arial" w:hAnsi="Arial"/>
          <w:color w:val="FFFFFF"/>
          <w:sz w:val="2"/>
          <w:szCs w:val="2"/>
          <w:rtl/>
        </w:rPr>
        <w:t>54678313</w:t>
      </w:r>
      <w:r>
        <w:rPr>
          <w:rFonts w:ascii="Arial" w:hAnsi="Arial"/>
          <w:rtl/>
        </w:rPr>
        <w:t xml:space="preserve">ניתן היום, ב' תמוז תש"פ, 24 יוני 2020, במעמד הצדדים. </w:t>
      </w:r>
      <w:bookmarkEnd w:id="8"/>
    </w:p>
    <w:p w14:paraId="281FC26F" w14:textId="77777777" w:rsidR="00C20162" w:rsidRPr="00250B83" w:rsidRDefault="00C20162" w:rsidP="00F920F3">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6572DABD" w14:textId="77777777" w:rsidR="00C20162" w:rsidRPr="00250B83" w:rsidRDefault="00C20162" w:rsidP="00C20162">
      <w:pPr>
        <w:jc w:val="center"/>
        <w:rPr>
          <w:rFonts w:ascii="Arial" w:hAnsi="Arial"/>
          <w:rtl/>
        </w:rPr>
      </w:pPr>
    </w:p>
    <w:p w14:paraId="023E6A44" w14:textId="77777777" w:rsidR="00C20162" w:rsidRPr="00250B83" w:rsidRDefault="00C20162" w:rsidP="00C20162">
      <w:pPr>
        <w:rPr>
          <w:rtl/>
        </w:rPr>
      </w:pPr>
    </w:p>
    <w:p w14:paraId="2F7F71DE" w14:textId="77777777" w:rsidR="00C20162" w:rsidRDefault="00C20162" w:rsidP="00C20162">
      <w:pPr>
        <w:pStyle w:val="a3"/>
        <w:jc w:val="center"/>
        <w:rPr>
          <w:rtl/>
        </w:rPr>
      </w:pPr>
    </w:p>
    <w:p w14:paraId="47403036" w14:textId="77777777" w:rsidR="00BF0E1C" w:rsidRPr="00F920F3" w:rsidRDefault="00BF0E1C" w:rsidP="00F920F3">
      <w:pPr>
        <w:keepNext/>
        <w:rPr>
          <w:rFonts w:ascii="David" w:hAnsi="David"/>
          <w:color w:val="000000"/>
          <w:sz w:val="22"/>
          <w:szCs w:val="22"/>
          <w:rtl/>
        </w:rPr>
      </w:pPr>
    </w:p>
    <w:p w14:paraId="04865AF1" w14:textId="77777777" w:rsidR="00F920F3" w:rsidRPr="00F920F3" w:rsidRDefault="00F920F3" w:rsidP="00F920F3">
      <w:pPr>
        <w:keepNext/>
        <w:rPr>
          <w:rFonts w:ascii="David" w:hAnsi="David"/>
          <w:color w:val="000000"/>
          <w:sz w:val="22"/>
          <w:szCs w:val="22"/>
          <w:rtl/>
        </w:rPr>
      </w:pPr>
      <w:r w:rsidRPr="00F920F3">
        <w:rPr>
          <w:rFonts w:ascii="David" w:hAnsi="David"/>
          <w:color w:val="000000"/>
          <w:sz w:val="22"/>
          <w:szCs w:val="22"/>
          <w:rtl/>
        </w:rPr>
        <w:t>שאול אבינור 54678313</w:t>
      </w:r>
    </w:p>
    <w:p w14:paraId="315B826E" w14:textId="77777777" w:rsidR="00F920F3" w:rsidRDefault="00F920F3" w:rsidP="00F920F3">
      <w:r w:rsidRPr="00F920F3">
        <w:rPr>
          <w:color w:val="000000"/>
          <w:rtl/>
        </w:rPr>
        <w:t>נוסח מסמך זה כפוף לשינויי ניסוח ועריכה</w:t>
      </w:r>
    </w:p>
    <w:p w14:paraId="1EA77640" w14:textId="77777777" w:rsidR="00F920F3" w:rsidRDefault="00F920F3" w:rsidP="00F920F3">
      <w:pPr>
        <w:rPr>
          <w:rtl/>
        </w:rPr>
      </w:pPr>
    </w:p>
    <w:p w14:paraId="1970493F" w14:textId="77777777" w:rsidR="00F920F3" w:rsidRDefault="00F920F3" w:rsidP="00F920F3">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03B6C11E" w14:textId="77777777" w:rsidR="00F920F3" w:rsidRPr="00F920F3" w:rsidRDefault="00F920F3" w:rsidP="00F920F3">
      <w:pPr>
        <w:jc w:val="center"/>
        <w:rPr>
          <w:color w:val="0000FF"/>
          <w:u w:val="single"/>
        </w:rPr>
      </w:pPr>
    </w:p>
    <w:sectPr w:rsidR="00F920F3" w:rsidRPr="00F920F3" w:rsidSect="00F920F3">
      <w:headerReference w:type="even" r:id="rId25"/>
      <w:headerReference w:type="default" r:id="rId26"/>
      <w:footerReference w:type="even" r:id="rId27"/>
      <w:footerReference w:type="default" r:id="rId28"/>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48135D" w14:textId="77777777" w:rsidR="002166F0" w:rsidRDefault="002166F0" w:rsidP="005D1A06">
      <w:r>
        <w:separator/>
      </w:r>
    </w:p>
  </w:endnote>
  <w:endnote w:type="continuationSeparator" w:id="0">
    <w:p w14:paraId="2075B7DE" w14:textId="77777777" w:rsidR="002166F0" w:rsidRDefault="002166F0" w:rsidP="005D1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60063" w14:textId="77777777" w:rsidR="00F920F3" w:rsidRDefault="00F920F3" w:rsidP="00F920F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379A47D" w14:textId="77777777" w:rsidR="00FA44AE" w:rsidRPr="00F920F3" w:rsidRDefault="00F920F3" w:rsidP="00F920F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43620" w14:textId="77777777" w:rsidR="00F920F3" w:rsidRDefault="00F920F3" w:rsidP="00F920F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F507D">
      <w:rPr>
        <w:rFonts w:ascii="FrankRuehl" w:hAnsi="FrankRuehl" w:cs="FrankRuehl"/>
        <w:noProof/>
        <w:rtl/>
      </w:rPr>
      <w:t>1</w:t>
    </w:r>
    <w:r>
      <w:rPr>
        <w:rFonts w:ascii="FrankRuehl" w:hAnsi="FrankRuehl" w:cs="FrankRuehl"/>
        <w:rtl/>
      </w:rPr>
      <w:fldChar w:fldCharType="end"/>
    </w:r>
  </w:p>
  <w:p w14:paraId="25AD4C28" w14:textId="77777777" w:rsidR="00FA44AE" w:rsidRPr="00F920F3" w:rsidRDefault="00F920F3" w:rsidP="00F920F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CEDDC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DD4F3C" w14:textId="77777777" w:rsidR="002166F0" w:rsidRDefault="002166F0" w:rsidP="005D1A06">
      <w:r>
        <w:separator/>
      </w:r>
    </w:p>
  </w:footnote>
  <w:footnote w:type="continuationSeparator" w:id="0">
    <w:p w14:paraId="6DE3AE98" w14:textId="77777777" w:rsidR="002166F0" w:rsidRDefault="002166F0" w:rsidP="005D1A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CEB14" w14:textId="77777777" w:rsidR="00F920F3" w:rsidRPr="00F920F3" w:rsidRDefault="00F920F3" w:rsidP="00F920F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21678-03-18</w:t>
    </w:r>
    <w:r>
      <w:rPr>
        <w:rFonts w:ascii="David" w:hAnsi="David"/>
        <w:color w:val="000000"/>
        <w:sz w:val="22"/>
        <w:szCs w:val="22"/>
        <w:rtl/>
      </w:rPr>
      <w:tab/>
      <w:t xml:space="preserve"> מדינת ישראל נ' מייקל גוסיינוב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2892C5" w14:textId="77777777" w:rsidR="00F920F3" w:rsidRPr="00F920F3" w:rsidRDefault="00F920F3" w:rsidP="00F920F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21678-03-18</w:t>
    </w:r>
    <w:r>
      <w:rPr>
        <w:rFonts w:ascii="David" w:hAnsi="David"/>
        <w:color w:val="000000"/>
        <w:sz w:val="22"/>
        <w:szCs w:val="22"/>
        <w:rtl/>
      </w:rPr>
      <w:tab/>
      <w:t xml:space="preserve"> מדינת ישראל נ' מייקל גוסיינוב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2549ED"/>
    <w:multiLevelType w:val="hybridMultilevel"/>
    <w:tmpl w:val="8BF81DF0"/>
    <w:lvl w:ilvl="0" w:tplc="DC3C9FB0">
      <w:start w:val="1"/>
      <w:numFmt w:val="decimal"/>
      <w:lvlText w:val="%1."/>
      <w:lvlJc w:val="left"/>
      <w:pPr>
        <w:tabs>
          <w:tab w:val="num" w:pos="1080"/>
        </w:tabs>
        <w:ind w:left="1080" w:hanging="720"/>
      </w:pPr>
      <w:rPr>
        <w:rFonts w:cs="David"/>
        <w:b w:val="0"/>
        <w:bCs w:val="0"/>
        <w:lang w:val="en-US"/>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3515691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20162"/>
    <w:rsid w:val="000472C7"/>
    <w:rsid w:val="001F507D"/>
    <w:rsid w:val="002166F0"/>
    <w:rsid w:val="005B0EA8"/>
    <w:rsid w:val="005D1A06"/>
    <w:rsid w:val="00BF0E1C"/>
    <w:rsid w:val="00C20162"/>
    <w:rsid w:val="00C501AB"/>
    <w:rsid w:val="00D33437"/>
    <w:rsid w:val="00F920F3"/>
    <w:rsid w:val="00FA44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C871F51"/>
  <w15:chartTrackingRefBased/>
  <w15:docId w15:val="{EFB94DCF-61EF-45B6-8430-6C28FE13C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2016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20162"/>
    <w:pPr>
      <w:tabs>
        <w:tab w:val="center" w:pos="4153"/>
        <w:tab w:val="right" w:pos="8306"/>
      </w:tabs>
    </w:pPr>
  </w:style>
  <w:style w:type="character" w:customStyle="1" w:styleId="a4">
    <w:name w:val="כותרת עליונה תו"/>
    <w:link w:val="a3"/>
    <w:rsid w:val="00C20162"/>
    <w:rPr>
      <w:rFonts w:ascii="Times New Roman" w:eastAsia="Times New Roman" w:hAnsi="Times New Roman" w:cs="David"/>
      <w:sz w:val="24"/>
      <w:szCs w:val="24"/>
    </w:rPr>
  </w:style>
  <w:style w:type="paragraph" w:styleId="a5">
    <w:name w:val="footer"/>
    <w:basedOn w:val="a"/>
    <w:link w:val="a6"/>
    <w:rsid w:val="00C20162"/>
    <w:pPr>
      <w:tabs>
        <w:tab w:val="center" w:pos="4153"/>
        <w:tab w:val="right" w:pos="8306"/>
      </w:tabs>
    </w:pPr>
  </w:style>
  <w:style w:type="character" w:customStyle="1" w:styleId="a6">
    <w:name w:val="כותרת תחתונה תו"/>
    <w:link w:val="a5"/>
    <w:rsid w:val="00C20162"/>
    <w:rPr>
      <w:rFonts w:ascii="Times New Roman" w:eastAsia="Times New Roman" w:hAnsi="Times New Roman" w:cs="David"/>
      <w:sz w:val="24"/>
      <w:szCs w:val="24"/>
    </w:rPr>
  </w:style>
  <w:style w:type="table" w:styleId="a7">
    <w:name w:val="Table Grid"/>
    <w:basedOn w:val="a1"/>
    <w:rsid w:val="00C2016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20162"/>
  </w:style>
  <w:style w:type="character" w:styleId="Hyperlink">
    <w:name w:val="Hyperlink"/>
    <w:rsid w:val="00F920F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7.c" TargetMode="External"/><Relationship Id="rId18" Type="http://schemas.openxmlformats.org/officeDocument/2006/relationships/hyperlink" Target="http://www.nevo.co.il/case/25163785"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law/4216"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7.a" TargetMode="External"/><Relationship Id="rId17" Type="http://schemas.openxmlformats.org/officeDocument/2006/relationships/hyperlink" Target="http://www.nevo.co.il/law/4216"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4216/36a.b" TargetMode="External"/><Relationship Id="rId20" Type="http://schemas.openxmlformats.org/officeDocument/2006/relationships/hyperlink" Target="http://www.nevo.co.il/law/4216/36a.b"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36a.b"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4216/36a.a" TargetMode="External"/><Relationship Id="rId23" Type="http://schemas.openxmlformats.org/officeDocument/2006/relationships/hyperlink" Target="http://www.nevo.co.il/law/4216" TargetMode="External"/><Relationship Id="rId28" Type="http://schemas.openxmlformats.org/officeDocument/2006/relationships/footer" Target="footer2.xml"/><Relationship Id="rId10" Type="http://schemas.openxmlformats.org/officeDocument/2006/relationships/hyperlink" Target="http://www.nevo.co.il/law/4216/36a.a" TargetMode="External"/><Relationship Id="rId19" Type="http://schemas.openxmlformats.org/officeDocument/2006/relationships/hyperlink" Target="http://www.nevo.co.il/case/20219497"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law/4216"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1608</Words>
  <Characters>8043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9632</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8257637</vt:i4>
      </vt:variant>
      <vt:variant>
        <vt:i4>48</vt:i4>
      </vt:variant>
      <vt:variant>
        <vt:i4>0</vt:i4>
      </vt:variant>
      <vt:variant>
        <vt:i4>5</vt:i4>
      </vt:variant>
      <vt:variant>
        <vt:lpwstr>http://www.nevo.co.il/law/4216</vt:lpwstr>
      </vt:variant>
      <vt:variant>
        <vt:lpwstr/>
      </vt:variant>
      <vt:variant>
        <vt:i4>8257637</vt:i4>
      </vt:variant>
      <vt:variant>
        <vt:i4>45</vt:i4>
      </vt:variant>
      <vt:variant>
        <vt:i4>0</vt:i4>
      </vt:variant>
      <vt:variant>
        <vt:i4>5</vt:i4>
      </vt:variant>
      <vt:variant>
        <vt:lpwstr>http://www.nevo.co.il/law/4216</vt:lpwstr>
      </vt:variant>
      <vt:variant>
        <vt:lpwstr/>
      </vt:variant>
      <vt:variant>
        <vt:i4>8257637</vt:i4>
      </vt:variant>
      <vt:variant>
        <vt:i4>42</vt:i4>
      </vt:variant>
      <vt:variant>
        <vt:i4>0</vt:i4>
      </vt:variant>
      <vt:variant>
        <vt:i4>5</vt:i4>
      </vt:variant>
      <vt:variant>
        <vt:lpwstr>http://www.nevo.co.il/law/4216</vt:lpwstr>
      </vt:variant>
      <vt:variant>
        <vt:lpwstr/>
      </vt:variant>
      <vt:variant>
        <vt:i4>5111890</vt:i4>
      </vt:variant>
      <vt:variant>
        <vt:i4>39</vt:i4>
      </vt:variant>
      <vt:variant>
        <vt:i4>0</vt:i4>
      </vt:variant>
      <vt:variant>
        <vt:i4>5</vt:i4>
      </vt:variant>
      <vt:variant>
        <vt:lpwstr>http://www.nevo.co.il/law/4216/36a.b</vt:lpwstr>
      </vt:variant>
      <vt:variant>
        <vt:lpwstr/>
      </vt:variant>
      <vt:variant>
        <vt:i4>3145841</vt:i4>
      </vt:variant>
      <vt:variant>
        <vt:i4>36</vt:i4>
      </vt:variant>
      <vt:variant>
        <vt:i4>0</vt:i4>
      </vt:variant>
      <vt:variant>
        <vt:i4>5</vt:i4>
      </vt:variant>
      <vt:variant>
        <vt:lpwstr>http://www.nevo.co.il/case/20219497</vt:lpwstr>
      </vt:variant>
      <vt:variant>
        <vt:lpwstr/>
      </vt:variant>
      <vt:variant>
        <vt:i4>3670128</vt:i4>
      </vt:variant>
      <vt:variant>
        <vt:i4>33</vt:i4>
      </vt:variant>
      <vt:variant>
        <vt:i4>0</vt:i4>
      </vt:variant>
      <vt:variant>
        <vt:i4>5</vt:i4>
      </vt:variant>
      <vt:variant>
        <vt:lpwstr>http://www.nevo.co.il/case/25163785</vt:lpwstr>
      </vt:variant>
      <vt:variant>
        <vt:lpwstr/>
      </vt:variant>
      <vt:variant>
        <vt:i4>8257637</vt:i4>
      </vt:variant>
      <vt:variant>
        <vt:i4>30</vt:i4>
      </vt:variant>
      <vt:variant>
        <vt:i4>0</vt:i4>
      </vt:variant>
      <vt:variant>
        <vt:i4>5</vt:i4>
      </vt:variant>
      <vt:variant>
        <vt:lpwstr>http://www.nevo.co.il/law/4216</vt:lpwstr>
      </vt:variant>
      <vt:variant>
        <vt:lpwstr/>
      </vt:variant>
      <vt:variant>
        <vt:i4>5111890</vt:i4>
      </vt:variant>
      <vt:variant>
        <vt:i4>27</vt:i4>
      </vt:variant>
      <vt:variant>
        <vt:i4>0</vt:i4>
      </vt:variant>
      <vt:variant>
        <vt:i4>5</vt:i4>
      </vt:variant>
      <vt:variant>
        <vt:lpwstr>http://www.nevo.co.il/law/4216/36a.b</vt:lpwstr>
      </vt:variant>
      <vt:variant>
        <vt:lpwstr/>
      </vt:variant>
      <vt:variant>
        <vt:i4>5046354</vt:i4>
      </vt:variant>
      <vt:variant>
        <vt:i4>24</vt:i4>
      </vt:variant>
      <vt:variant>
        <vt:i4>0</vt:i4>
      </vt:variant>
      <vt:variant>
        <vt:i4>5</vt:i4>
      </vt:variant>
      <vt:variant>
        <vt:lpwstr>http://www.nevo.co.il/law/4216/36a.a</vt:lpwstr>
      </vt:variant>
      <vt:variant>
        <vt:lpwstr/>
      </vt:variant>
      <vt:variant>
        <vt:i4>8257637</vt:i4>
      </vt:variant>
      <vt:variant>
        <vt:i4>21</vt:i4>
      </vt:variant>
      <vt:variant>
        <vt:i4>0</vt:i4>
      </vt:variant>
      <vt:variant>
        <vt:i4>5</vt:i4>
      </vt:variant>
      <vt:variant>
        <vt:lpwstr>http://www.nevo.co.il/law/4216</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5111890</vt:i4>
      </vt:variant>
      <vt:variant>
        <vt:i4>12</vt:i4>
      </vt:variant>
      <vt:variant>
        <vt:i4>0</vt:i4>
      </vt:variant>
      <vt:variant>
        <vt:i4>5</vt:i4>
      </vt:variant>
      <vt:variant>
        <vt:lpwstr>http://www.nevo.co.il/law/4216/36a.b</vt:lpwstr>
      </vt:variant>
      <vt:variant>
        <vt:lpwstr/>
      </vt:variant>
      <vt:variant>
        <vt:i4>5046354</vt:i4>
      </vt:variant>
      <vt:variant>
        <vt:i4>9</vt:i4>
      </vt:variant>
      <vt:variant>
        <vt:i4>0</vt:i4>
      </vt:variant>
      <vt:variant>
        <vt:i4>5</vt:i4>
      </vt:variant>
      <vt:variant>
        <vt:lpwstr>http://www.nevo.co.il/law/4216/36a.a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2025-04-22T23:43:00Z</dcterms:created>
  <dcterms:modified xsi:type="dcterms:W3CDTF">2025-04-22T23:43:00Z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21678</vt:lpwstr>
  </property>
  <property fmtid="{D5CDD505-2E9C-101B-9397-08002B2CF9AE}" pid="6" name="NEWPARTB">
    <vt:lpwstr>03</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מייקל גוסיינוב</vt:lpwstr>
  </property>
  <property fmtid="{D5CDD505-2E9C-101B-9397-08002B2CF9AE}" pid="10" name="LAWYER">
    <vt:lpwstr>אברהם ישי;סנדי ליפשיץ</vt:lpwstr>
  </property>
  <property fmtid="{D5CDD505-2E9C-101B-9397-08002B2CF9AE}" pid="11" name="JUDGE">
    <vt:lpwstr>שאול אבינור</vt:lpwstr>
  </property>
  <property fmtid="{D5CDD505-2E9C-101B-9397-08002B2CF9AE}" pid="12" name="CITY">
    <vt:lpwstr>ת"א</vt:lpwstr>
  </property>
  <property fmtid="{D5CDD505-2E9C-101B-9397-08002B2CF9AE}" pid="13" name="DATE">
    <vt:lpwstr>20200624</vt:lpwstr>
  </property>
  <property fmtid="{D5CDD505-2E9C-101B-9397-08002B2CF9AE}" pid="14" name="TYPE_N_DATE">
    <vt:lpwstr>38020200624</vt:lpwstr>
  </property>
  <property fmtid="{D5CDD505-2E9C-101B-9397-08002B2CF9AE}" pid="15" name="CASESLISTTMP1">
    <vt:lpwstr>25163785;20219497</vt:lpwstr>
  </property>
  <property fmtid="{D5CDD505-2E9C-101B-9397-08002B2CF9AE}" pid="16" name="WORDNUMPAGES">
    <vt:lpwstr>5</vt:lpwstr>
  </property>
  <property fmtid="{D5CDD505-2E9C-101B-9397-08002B2CF9AE}" pid="17" name="TYPE_ABS_DATE">
    <vt:lpwstr>380020200624</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4216/007.a;007.c;036a.a;036a.b:2</vt:lpwstr>
  </property>
</Properties>
</file>