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F1E42" w:rsidRPr="00CF2808" w14:paraId="3853744E" w14:textId="77777777" w:rsidTr="00376981">
        <w:trPr>
          <w:trHeight w:hRule="exact" w:val="418"/>
          <w:jc w:val="center"/>
        </w:trPr>
        <w:tc>
          <w:tcPr>
            <w:tcW w:w="8721" w:type="dxa"/>
            <w:gridSpan w:val="2"/>
          </w:tcPr>
          <w:p w14:paraId="61ACAC1B" w14:textId="77777777" w:rsidR="00DF1E42" w:rsidRPr="00CF2808" w:rsidRDefault="00DF1E42" w:rsidP="00CB0BCB">
            <w:pPr>
              <w:pStyle w:val="a3"/>
              <w:jc w:val="center"/>
              <w:rPr>
                <w:rFonts w:ascii="Tahoma" w:hAnsi="Tahoma" w:cs="Tahoma"/>
                <w:color w:val="000080"/>
                <w:rtl/>
              </w:rPr>
            </w:pPr>
            <w:r w:rsidRPr="00CF2808">
              <w:rPr>
                <w:rFonts w:ascii="Tahoma" w:hAnsi="Tahoma" w:cs="Tahoma"/>
                <w:b/>
                <w:bCs/>
                <w:color w:val="000080"/>
                <w:rtl/>
              </w:rPr>
              <w:t>בית משפט השלום ברחובות</w:t>
            </w:r>
          </w:p>
        </w:tc>
      </w:tr>
      <w:tr w:rsidR="00DF1E42" w:rsidRPr="00CF2808" w14:paraId="32E80BEB" w14:textId="77777777" w:rsidTr="00376981">
        <w:trPr>
          <w:trHeight w:val="337"/>
          <w:jc w:val="center"/>
        </w:trPr>
        <w:tc>
          <w:tcPr>
            <w:tcW w:w="5060" w:type="dxa"/>
          </w:tcPr>
          <w:p w14:paraId="74A1AEC6" w14:textId="77777777" w:rsidR="00DF1E42" w:rsidRPr="00CF2808" w:rsidRDefault="00DF1E42" w:rsidP="00CB0BCB">
            <w:pPr>
              <w:rPr>
                <w:rFonts w:cs="FrankRuehl"/>
                <w:sz w:val="28"/>
                <w:szCs w:val="28"/>
                <w:rtl/>
              </w:rPr>
            </w:pPr>
            <w:r w:rsidRPr="00CF2808">
              <w:rPr>
                <w:rFonts w:cs="FrankRuehl"/>
                <w:sz w:val="28"/>
                <w:szCs w:val="28"/>
                <w:rtl/>
              </w:rPr>
              <w:t>ת"פ</w:t>
            </w:r>
            <w:r w:rsidRPr="00CF2808">
              <w:rPr>
                <w:rFonts w:cs="FrankRuehl" w:hint="cs"/>
                <w:sz w:val="28"/>
                <w:szCs w:val="28"/>
                <w:rtl/>
              </w:rPr>
              <w:t xml:space="preserve"> </w:t>
            </w:r>
            <w:r w:rsidRPr="00CF2808">
              <w:rPr>
                <w:rFonts w:cs="FrankRuehl"/>
                <w:sz w:val="28"/>
                <w:szCs w:val="28"/>
                <w:rtl/>
              </w:rPr>
              <w:t>33183-03-18</w:t>
            </w:r>
            <w:r w:rsidRPr="00CF2808">
              <w:rPr>
                <w:rFonts w:cs="FrankRuehl" w:hint="cs"/>
                <w:sz w:val="28"/>
                <w:szCs w:val="28"/>
                <w:rtl/>
              </w:rPr>
              <w:t xml:space="preserve"> </w:t>
            </w:r>
            <w:r w:rsidRPr="00CF2808">
              <w:rPr>
                <w:rFonts w:cs="FrankRuehl"/>
                <w:sz w:val="28"/>
                <w:szCs w:val="28"/>
                <w:rtl/>
              </w:rPr>
              <w:t>מדינת ישראל נ' אלקאדי(עציר)</w:t>
            </w:r>
          </w:p>
          <w:p w14:paraId="79BAC4FB" w14:textId="77777777" w:rsidR="00DF1E42" w:rsidRPr="00CF2808" w:rsidRDefault="00DF1E42" w:rsidP="00CB0BCB">
            <w:pPr>
              <w:pStyle w:val="a3"/>
              <w:rPr>
                <w:rFonts w:cs="FrankRuehl"/>
                <w:sz w:val="28"/>
                <w:szCs w:val="28"/>
                <w:rtl/>
              </w:rPr>
            </w:pPr>
            <w:r w:rsidRPr="00CF2808">
              <w:rPr>
                <w:rFonts w:cs="FrankRuehl" w:hint="cs"/>
                <w:sz w:val="28"/>
                <w:szCs w:val="28"/>
                <w:rtl/>
              </w:rPr>
              <w:t>ת"פ 1367-09-18</w:t>
            </w:r>
          </w:p>
        </w:tc>
        <w:tc>
          <w:tcPr>
            <w:tcW w:w="3661" w:type="dxa"/>
          </w:tcPr>
          <w:p w14:paraId="0D23D67C" w14:textId="77777777" w:rsidR="00DF1E42" w:rsidRPr="00CF2808" w:rsidRDefault="00DF1E42" w:rsidP="00CB0BCB">
            <w:pPr>
              <w:pStyle w:val="a3"/>
              <w:jc w:val="right"/>
              <w:rPr>
                <w:rFonts w:cs="FrankRuehl"/>
                <w:sz w:val="28"/>
                <w:szCs w:val="28"/>
                <w:rtl/>
              </w:rPr>
            </w:pPr>
          </w:p>
        </w:tc>
      </w:tr>
    </w:tbl>
    <w:p w14:paraId="0B1E0B0B" w14:textId="77777777" w:rsidR="00DF1E42" w:rsidRPr="00CF2808" w:rsidRDefault="00DF1E42" w:rsidP="00DF1E42">
      <w:pPr>
        <w:pStyle w:val="a3"/>
        <w:rPr>
          <w:rtl/>
        </w:rPr>
      </w:pPr>
      <w:r w:rsidRPr="00CF2808">
        <w:rPr>
          <w:rFonts w:hint="cs"/>
          <w:rtl/>
        </w:rPr>
        <w:t xml:space="preserve"> </w:t>
      </w:r>
    </w:p>
    <w:p w14:paraId="1A9A6237" w14:textId="77777777" w:rsidR="00DF1E42" w:rsidRPr="00CF2808" w:rsidRDefault="00DF1E42" w:rsidP="00DF1E4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F1E42" w:rsidRPr="00CF2808" w14:paraId="7664B2DC" w14:textId="77777777" w:rsidTr="00DF1E42">
        <w:trPr>
          <w:trHeight w:val="295"/>
          <w:jc w:val="center"/>
        </w:trPr>
        <w:tc>
          <w:tcPr>
            <w:tcW w:w="923" w:type="dxa"/>
            <w:tcBorders>
              <w:top w:val="nil"/>
              <w:left w:val="nil"/>
              <w:bottom w:val="nil"/>
              <w:right w:val="nil"/>
            </w:tcBorders>
            <w:shd w:val="clear" w:color="auto" w:fill="auto"/>
          </w:tcPr>
          <w:p w14:paraId="2FB69AD1" w14:textId="77777777" w:rsidR="00DF1E42" w:rsidRPr="00CF2808" w:rsidRDefault="00DF1E42" w:rsidP="00DF1E42">
            <w:pPr>
              <w:jc w:val="both"/>
              <w:rPr>
                <w:rFonts w:ascii="Arial" w:hAnsi="Arial" w:cs="FrankRuehl"/>
                <w:sz w:val="28"/>
                <w:szCs w:val="28"/>
              </w:rPr>
            </w:pPr>
            <w:r w:rsidRPr="00CF2808">
              <w:rPr>
                <w:rFonts w:ascii="Arial" w:hAnsi="Arial" w:cs="FrankRuehl" w:hint="cs"/>
                <w:sz w:val="28"/>
                <w:szCs w:val="28"/>
                <w:rtl/>
              </w:rPr>
              <w:t>ב</w:t>
            </w:r>
            <w:r w:rsidRPr="00CF280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B5E1EAB" w14:textId="77777777" w:rsidR="00DF1E42" w:rsidRPr="00CF2808" w:rsidRDefault="00DF1E42" w:rsidP="00CB0BCB">
            <w:pPr>
              <w:rPr>
                <w:rFonts w:ascii="Arial" w:hAnsi="Arial"/>
                <w:b/>
                <w:bCs/>
                <w:rtl/>
              </w:rPr>
            </w:pPr>
            <w:r w:rsidRPr="00CF2808">
              <w:rPr>
                <w:rFonts w:ascii="Arial" w:hAnsi="Arial" w:hint="cs"/>
                <w:b/>
                <w:bCs/>
                <w:rtl/>
              </w:rPr>
              <w:t>כבוד ה</w:t>
            </w:r>
            <w:r w:rsidRPr="00CF2808">
              <w:rPr>
                <w:rFonts w:ascii="Arial" w:hAnsi="Arial"/>
                <w:b/>
                <w:bCs/>
                <w:rtl/>
              </w:rPr>
              <w:t>שופטת, סגנית הנשיאה</w:t>
            </w:r>
            <w:r w:rsidRPr="00CF2808">
              <w:rPr>
                <w:rFonts w:ascii="Arial" w:hAnsi="Arial" w:hint="cs"/>
                <w:b/>
                <w:bCs/>
                <w:rtl/>
              </w:rPr>
              <w:t xml:space="preserve">  </w:t>
            </w:r>
            <w:r w:rsidRPr="00CF2808">
              <w:rPr>
                <w:rFonts w:ascii="Arial" w:hAnsi="Arial"/>
                <w:b/>
                <w:bCs/>
                <w:rtl/>
              </w:rPr>
              <w:t>אפרת פינק</w:t>
            </w:r>
          </w:p>
          <w:p w14:paraId="34CB3853" w14:textId="77777777" w:rsidR="00DF1E42" w:rsidRPr="00CF2808" w:rsidRDefault="00DF1E42" w:rsidP="00CB0BCB">
            <w:pPr>
              <w:rPr>
                <w:rtl/>
              </w:rPr>
            </w:pPr>
          </w:p>
          <w:p w14:paraId="733C9673" w14:textId="77777777" w:rsidR="00DF1E42" w:rsidRPr="00CF2808" w:rsidRDefault="00DF1E42" w:rsidP="00DF1E42">
            <w:pPr>
              <w:jc w:val="both"/>
              <w:rPr>
                <w:rFonts w:ascii="Arial" w:hAnsi="Arial" w:cs="FrankRuehl"/>
                <w:sz w:val="28"/>
                <w:szCs w:val="28"/>
              </w:rPr>
            </w:pPr>
          </w:p>
        </w:tc>
      </w:tr>
      <w:tr w:rsidR="00DF1E42" w:rsidRPr="00CF2808" w14:paraId="0CDA9F75" w14:textId="77777777" w:rsidTr="00DF1E42">
        <w:trPr>
          <w:trHeight w:val="355"/>
          <w:jc w:val="center"/>
        </w:trPr>
        <w:tc>
          <w:tcPr>
            <w:tcW w:w="923" w:type="dxa"/>
            <w:tcBorders>
              <w:top w:val="nil"/>
              <w:left w:val="nil"/>
              <w:bottom w:val="nil"/>
              <w:right w:val="nil"/>
            </w:tcBorders>
            <w:shd w:val="clear" w:color="auto" w:fill="auto"/>
          </w:tcPr>
          <w:p w14:paraId="102E9025" w14:textId="77777777" w:rsidR="00DF1E42" w:rsidRPr="00CF2808" w:rsidRDefault="00DF1E42" w:rsidP="00DF1E42">
            <w:pPr>
              <w:jc w:val="both"/>
              <w:rPr>
                <w:rFonts w:ascii="Arial" w:hAnsi="Arial"/>
                <w:b/>
                <w:bCs/>
                <w:sz w:val="28"/>
                <w:szCs w:val="28"/>
              </w:rPr>
            </w:pPr>
            <w:bookmarkStart w:id="0" w:name="FirstAppellant"/>
            <w:bookmarkStart w:id="1" w:name="LastJudge"/>
            <w:bookmarkEnd w:id="1"/>
            <w:r w:rsidRPr="00CF2808">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655C9668" w14:textId="77777777" w:rsidR="00DF1E42" w:rsidRPr="00CF2808" w:rsidRDefault="00DF1E42" w:rsidP="00CB0BCB">
            <w:pPr>
              <w:rPr>
                <w:b/>
                <w:bCs/>
              </w:rPr>
            </w:pPr>
            <w:r w:rsidRPr="00CF2808">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2C03121D" w14:textId="77777777" w:rsidR="00DF1E42" w:rsidRPr="00CF2808" w:rsidRDefault="00DF1E42" w:rsidP="00DF1E42">
            <w:pPr>
              <w:jc w:val="both"/>
              <w:rPr>
                <w:rFonts w:ascii="Arial" w:hAnsi="Arial"/>
                <w:b/>
                <w:bCs/>
                <w:sz w:val="28"/>
                <w:szCs w:val="28"/>
              </w:rPr>
            </w:pPr>
          </w:p>
        </w:tc>
      </w:tr>
      <w:tr w:rsidR="00DF1E42" w:rsidRPr="00CF2808" w14:paraId="5E2DFCA4" w14:textId="77777777" w:rsidTr="00DF1E42">
        <w:trPr>
          <w:trHeight w:val="355"/>
          <w:jc w:val="center"/>
        </w:trPr>
        <w:tc>
          <w:tcPr>
            <w:tcW w:w="923" w:type="dxa"/>
            <w:tcBorders>
              <w:top w:val="nil"/>
              <w:left w:val="nil"/>
              <w:bottom w:val="nil"/>
              <w:right w:val="nil"/>
            </w:tcBorders>
            <w:shd w:val="clear" w:color="auto" w:fill="auto"/>
          </w:tcPr>
          <w:p w14:paraId="3A23F278" w14:textId="77777777" w:rsidR="00DF1E42" w:rsidRPr="00CF2808" w:rsidRDefault="00DF1E42" w:rsidP="00DF1E42">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1019AA75" w14:textId="77777777" w:rsidR="00DF1E42" w:rsidRPr="00CF2808" w:rsidRDefault="00DF1E42" w:rsidP="00DF1E42">
            <w:pPr>
              <w:jc w:val="both"/>
              <w:rPr>
                <w:rtl/>
              </w:rPr>
            </w:pPr>
            <w:r w:rsidRPr="00CF2808">
              <w:rPr>
                <w:rFonts w:hint="cs"/>
                <w:rtl/>
              </w:rPr>
              <w:t>ע"י ב"כ עו"ד שירלי ברזילי ועו"ד קורל בר</w:t>
            </w:r>
          </w:p>
        </w:tc>
        <w:tc>
          <w:tcPr>
            <w:tcW w:w="3771" w:type="dxa"/>
            <w:tcBorders>
              <w:top w:val="nil"/>
              <w:left w:val="nil"/>
              <w:bottom w:val="nil"/>
              <w:right w:val="nil"/>
            </w:tcBorders>
            <w:shd w:val="clear" w:color="auto" w:fill="auto"/>
          </w:tcPr>
          <w:p w14:paraId="43ACFB35" w14:textId="77777777" w:rsidR="00DF1E42" w:rsidRPr="00CF2808" w:rsidRDefault="00DF1E42" w:rsidP="00DF1E42">
            <w:pPr>
              <w:jc w:val="right"/>
              <w:rPr>
                <w:rFonts w:ascii="Arial" w:hAnsi="Arial"/>
                <w:b/>
                <w:bCs/>
                <w:sz w:val="28"/>
                <w:szCs w:val="28"/>
                <w:rtl/>
              </w:rPr>
            </w:pPr>
            <w:r w:rsidRPr="00CF2808">
              <w:rPr>
                <w:rFonts w:ascii="Arial" w:hAnsi="Arial" w:hint="cs"/>
                <w:b/>
                <w:bCs/>
                <w:sz w:val="28"/>
                <w:szCs w:val="28"/>
                <w:rtl/>
              </w:rPr>
              <w:t>ה</w:t>
            </w:r>
            <w:r w:rsidRPr="00CF2808">
              <w:rPr>
                <w:rFonts w:ascii="Arial" w:hAnsi="Arial"/>
                <w:b/>
                <w:bCs/>
                <w:sz w:val="28"/>
                <w:szCs w:val="28"/>
                <w:rtl/>
              </w:rPr>
              <w:t>מאשימה</w:t>
            </w:r>
          </w:p>
        </w:tc>
      </w:tr>
      <w:bookmarkEnd w:id="2"/>
      <w:tr w:rsidR="00DF1E42" w:rsidRPr="00CF2808" w14:paraId="0380BFCA" w14:textId="77777777" w:rsidTr="00DF1E42">
        <w:trPr>
          <w:trHeight w:val="355"/>
          <w:jc w:val="center"/>
        </w:trPr>
        <w:tc>
          <w:tcPr>
            <w:tcW w:w="923" w:type="dxa"/>
            <w:tcBorders>
              <w:top w:val="nil"/>
              <w:left w:val="nil"/>
              <w:bottom w:val="nil"/>
              <w:right w:val="nil"/>
            </w:tcBorders>
            <w:shd w:val="clear" w:color="auto" w:fill="auto"/>
          </w:tcPr>
          <w:p w14:paraId="2541F7FF" w14:textId="77777777" w:rsidR="00DF1E42" w:rsidRPr="00CF2808" w:rsidRDefault="00DF1E42" w:rsidP="00DF1E42">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6ED3B1FF" w14:textId="77777777" w:rsidR="00DF1E42" w:rsidRPr="00CF2808" w:rsidRDefault="00DF1E42" w:rsidP="00DF1E42">
            <w:pPr>
              <w:jc w:val="center"/>
              <w:rPr>
                <w:rFonts w:ascii="Arial" w:hAnsi="Arial"/>
                <w:b/>
                <w:bCs/>
                <w:sz w:val="28"/>
                <w:szCs w:val="28"/>
                <w:rtl/>
              </w:rPr>
            </w:pPr>
          </w:p>
          <w:p w14:paraId="4A6084F6" w14:textId="77777777" w:rsidR="00DF1E42" w:rsidRPr="00CF2808" w:rsidRDefault="00DF1E42" w:rsidP="00DF1E42">
            <w:pPr>
              <w:jc w:val="center"/>
              <w:rPr>
                <w:rFonts w:ascii="Arial" w:hAnsi="Arial"/>
                <w:b/>
                <w:bCs/>
                <w:sz w:val="28"/>
                <w:szCs w:val="28"/>
                <w:rtl/>
              </w:rPr>
            </w:pPr>
            <w:r w:rsidRPr="00CF2808">
              <w:rPr>
                <w:rFonts w:ascii="Arial" w:hAnsi="Arial"/>
                <w:b/>
                <w:bCs/>
                <w:sz w:val="28"/>
                <w:szCs w:val="28"/>
                <w:rtl/>
              </w:rPr>
              <w:t>נגד</w:t>
            </w:r>
          </w:p>
          <w:p w14:paraId="73D9BEFC" w14:textId="77777777" w:rsidR="00DF1E42" w:rsidRPr="00CF2808" w:rsidRDefault="00DF1E42" w:rsidP="00DF1E42">
            <w:pPr>
              <w:jc w:val="both"/>
              <w:rPr>
                <w:rFonts w:ascii="Arial" w:hAnsi="Arial"/>
                <w:b/>
                <w:bCs/>
                <w:sz w:val="28"/>
                <w:szCs w:val="28"/>
              </w:rPr>
            </w:pPr>
          </w:p>
        </w:tc>
      </w:tr>
      <w:tr w:rsidR="00DF1E42" w:rsidRPr="00CF2808" w14:paraId="7AB3C084" w14:textId="77777777" w:rsidTr="00DF1E42">
        <w:trPr>
          <w:trHeight w:val="355"/>
          <w:jc w:val="center"/>
        </w:trPr>
        <w:tc>
          <w:tcPr>
            <w:tcW w:w="923" w:type="dxa"/>
            <w:tcBorders>
              <w:top w:val="nil"/>
              <w:left w:val="nil"/>
              <w:bottom w:val="nil"/>
              <w:right w:val="nil"/>
            </w:tcBorders>
            <w:shd w:val="clear" w:color="auto" w:fill="auto"/>
          </w:tcPr>
          <w:p w14:paraId="7D4A4DC5" w14:textId="77777777" w:rsidR="00DF1E42" w:rsidRPr="00CF2808" w:rsidRDefault="00DF1E42" w:rsidP="00CB0BCB">
            <w:pPr>
              <w:rPr>
                <w:rFonts w:ascii="Arial" w:hAnsi="Arial"/>
                <w:b/>
                <w:bCs/>
                <w:sz w:val="28"/>
                <w:szCs w:val="28"/>
                <w:rtl/>
              </w:rPr>
            </w:pPr>
          </w:p>
        </w:tc>
        <w:tc>
          <w:tcPr>
            <w:tcW w:w="4126" w:type="dxa"/>
            <w:tcBorders>
              <w:top w:val="nil"/>
              <w:left w:val="nil"/>
              <w:bottom w:val="nil"/>
              <w:right w:val="nil"/>
            </w:tcBorders>
            <w:shd w:val="clear" w:color="auto" w:fill="auto"/>
          </w:tcPr>
          <w:p w14:paraId="269670E9" w14:textId="77777777" w:rsidR="00DF1E42" w:rsidRPr="00CF2808" w:rsidRDefault="00DF1E42" w:rsidP="00CB0BCB">
            <w:pPr>
              <w:rPr>
                <w:b/>
                <w:bCs/>
                <w:rtl/>
              </w:rPr>
            </w:pPr>
            <w:r w:rsidRPr="00CF2808">
              <w:rPr>
                <w:rFonts w:ascii="Arial" w:hAnsi="Arial"/>
                <w:b/>
                <w:bCs/>
                <w:sz w:val="28"/>
                <w:szCs w:val="28"/>
                <w:rtl/>
              </w:rPr>
              <w:t>עמאד אלקאדי (עציר)</w:t>
            </w:r>
            <w:r w:rsidRPr="00CF2808">
              <w:rPr>
                <w:rFonts w:hint="cs"/>
                <w:b/>
                <w:bCs/>
                <w:rtl/>
              </w:rPr>
              <w:t xml:space="preserve"> </w:t>
            </w:r>
            <w:r w:rsidRPr="00CF2808">
              <w:rPr>
                <w:b/>
                <w:bCs/>
                <w:rtl/>
              </w:rPr>
              <w:t>–</w:t>
            </w:r>
            <w:r w:rsidRPr="00CF2808">
              <w:rPr>
                <w:rFonts w:hint="cs"/>
                <w:b/>
                <w:bCs/>
                <w:rtl/>
              </w:rPr>
              <w:t xml:space="preserve"> </w:t>
            </w:r>
            <w:r w:rsidRPr="00CF2808">
              <w:rPr>
                <w:rFonts w:hint="cs"/>
                <w:rtl/>
              </w:rPr>
              <w:t>הובא ע"י שב"ס</w:t>
            </w:r>
          </w:p>
        </w:tc>
        <w:tc>
          <w:tcPr>
            <w:tcW w:w="3771" w:type="dxa"/>
            <w:tcBorders>
              <w:top w:val="nil"/>
              <w:left w:val="nil"/>
              <w:bottom w:val="nil"/>
              <w:right w:val="nil"/>
            </w:tcBorders>
            <w:shd w:val="clear" w:color="auto" w:fill="auto"/>
          </w:tcPr>
          <w:p w14:paraId="7476554F" w14:textId="77777777" w:rsidR="00DF1E42" w:rsidRPr="00CF2808" w:rsidRDefault="00DF1E42" w:rsidP="00DF1E42">
            <w:pPr>
              <w:jc w:val="right"/>
              <w:rPr>
                <w:rFonts w:ascii="Arial" w:hAnsi="Arial"/>
                <w:b/>
                <w:bCs/>
                <w:sz w:val="28"/>
                <w:szCs w:val="28"/>
              </w:rPr>
            </w:pPr>
          </w:p>
        </w:tc>
      </w:tr>
      <w:tr w:rsidR="00DF1E42" w:rsidRPr="00CF2808" w14:paraId="238B2D05" w14:textId="77777777" w:rsidTr="00DF1E42">
        <w:trPr>
          <w:trHeight w:val="355"/>
          <w:jc w:val="center"/>
        </w:trPr>
        <w:tc>
          <w:tcPr>
            <w:tcW w:w="923" w:type="dxa"/>
            <w:tcBorders>
              <w:top w:val="nil"/>
              <w:left w:val="nil"/>
              <w:bottom w:val="nil"/>
              <w:right w:val="nil"/>
            </w:tcBorders>
            <w:shd w:val="clear" w:color="auto" w:fill="auto"/>
          </w:tcPr>
          <w:p w14:paraId="5CED7BDE" w14:textId="77777777" w:rsidR="00DF1E42" w:rsidRPr="00CF2808" w:rsidRDefault="00DF1E42" w:rsidP="00DF1E42">
            <w:pPr>
              <w:jc w:val="both"/>
              <w:rPr>
                <w:rFonts w:ascii="Arial" w:hAnsi="Arial"/>
                <w:b/>
                <w:bCs/>
                <w:sz w:val="28"/>
                <w:szCs w:val="28"/>
                <w:rtl/>
              </w:rPr>
            </w:pPr>
          </w:p>
        </w:tc>
        <w:tc>
          <w:tcPr>
            <w:tcW w:w="4126" w:type="dxa"/>
            <w:tcBorders>
              <w:top w:val="nil"/>
              <w:left w:val="nil"/>
              <w:bottom w:val="nil"/>
              <w:right w:val="nil"/>
            </w:tcBorders>
            <w:shd w:val="clear" w:color="auto" w:fill="auto"/>
          </w:tcPr>
          <w:p w14:paraId="1DB5CD7D" w14:textId="77777777" w:rsidR="00DF1E42" w:rsidRPr="00CF2808" w:rsidRDefault="00DF1E42" w:rsidP="00DF1E42">
            <w:pPr>
              <w:jc w:val="both"/>
              <w:rPr>
                <w:rtl/>
              </w:rPr>
            </w:pPr>
            <w:r w:rsidRPr="00CF2808">
              <w:rPr>
                <w:rFonts w:hint="cs"/>
                <w:rtl/>
              </w:rPr>
              <w:t>ע"י ב"כ עו"ד ניל סיימון</w:t>
            </w:r>
          </w:p>
        </w:tc>
        <w:tc>
          <w:tcPr>
            <w:tcW w:w="3771" w:type="dxa"/>
            <w:tcBorders>
              <w:top w:val="nil"/>
              <w:left w:val="nil"/>
              <w:bottom w:val="nil"/>
              <w:right w:val="nil"/>
            </w:tcBorders>
            <w:shd w:val="clear" w:color="auto" w:fill="auto"/>
          </w:tcPr>
          <w:p w14:paraId="62990615" w14:textId="77777777" w:rsidR="00DF1E42" w:rsidRPr="00CF2808" w:rsidRDefault="00DF1E42" w:rsidP="00DF1E42">
            <w:pPr>
              <w:jc w:val="right"/>
              <w:rPr>
                <w:rFonts w:ascii="Arial" w:hAnsi="Arial"/>
                <w:b/>
                <w:bCs/>
                <w:sz w:val="28"/>
                <w:szCs w:val="28"/>
              </w:rPr>
            </w:pPr>
            <w:r w:rsidRPr="00CF2808">
              <w:rPr>
                <w:rFonts w:ascii="Arial" w:hAnsi="Arial" w:hint="cs"/>
                <w:b/>
                <w:bCs/>
                <w:sz w:val="28"/>
                <w:szCs w:val="28"/>
                <w:rtl/>
              </w:rPr>
              <w:t>ה</w:t>
            </w:r>
            <w:r w:rsidRPr="00CF2808">
              <w:rPr>
                <w:rFonts w:ascii="Arial" w:hAnsi="Arial"/>
                <w:b/>
                <w:bCs/>
                <w:sz w:val="28"/>
                <w:szCs w:val="28"/>
                <w:rtl/>
              </w:rPr>
              <w:t>נאשם</w:t>
            </w:r>
          </w:p>
        </w:tc>
      </w:tr>
    </w:tbl>
    <w:p w14:paraId="2D4AE70B" w14:textId="77777777" w:rsidR="00376981" w:rsidRDefault="00376981" w:rsidP="00DF1E42">
      <w:pPr>
        <w:rPr>
          <w:rtl/>
        </w:rPr>
      </w:pPr>
      <w:bookmarkStart w:id="3" w:name="LawTable"/>
      <w:bookmarkEnd w:id="3"/>
    </w:p>
    <w:p w14:paraId="2D8E5CC0" w14:textId="77777777" w:rsidR="00376981" w:rsidRPr="00376981" w:rsidRDefault="00376981" w:rsidP="00376981">
      <w:pPr>
        <w:spacing w:after="120" w:line="240" w:lineRule="exact"/>
        <w:ind w:left="283" w:hanging="283"/>
        <w:jc w:val="both"/>
        <w:rPr>
          <w:rFonts w:ascii="FrankRuehl" w:hAnsi="FrankRuehl" w:cs="FrankRuehl"/>
          <w:rtl/>
        </w:rPr>
      </w:pPr>
    </w:p>
    <w:p w14:paraId="4988FDBA" w14:textId="77777777" w:rsidR="00376981" w:rsidRPr="00376981" w:rsidRDefault="00376981" w:rsidP="00376981">
      <w:pPr>
        <w:spacing w:after="120" w:line="240" w:lineRule="exact"/>
        <w:ind w:left="283" w:hanging="283"/>
        <w:jc w:val="both"/>
        <w:rPr>
          <w:rFonts w:ascii="FrankRuehl" w:hAnsi="FrankRuehl" w:cs="FrankRuehl"/>
          <w:rtl/>
        </w:rPr>
      </w:pPr>
      <w:r w:rsidRPr="00376981">
        <w:rPr>
          <w:rFonts w:ascii="FrankRuehl" w:hAnsi="FrankRuehl" w:cs="FrankRuehl"/>
          <w:rtl/>
        </w:rPr>
        <w:t xml:space="preserve">חקיקה שאוזכרה: </w:t>
      </w:r>
    </w:p>
    <w:p w14:paraId="277AA974" w14:textId="77777777" w:rsidR="00376981" w:rsidRPr="00376981" w:rsidRDefault="00376981" w:rsidP="00376981">
      <w:pPr>
        <w:spacing w:after="120" w:line="240" w:lineRule="exact"/>
        <w:ind w:left="283" w:hanging="283"/>
        <w:jc w:val="both"/>
        <w:rPr>
          <w:rFonts w:ascii="FrankRuehl" w:hAnsi="FrankRuehl" w:cs="FrankRuehl"/>
          <w:rtl/>
        </w:rPr>
      </w:pPr>
      <w:hyperlink r:id="rId7" w:history="1">
        <w:r w:rsidRPr="00376981">
          <w:rPr>
            <w:rFonts w:ascii="FrankRuehl" w:hAnsi="FrankRuehl" w:cs="FrankRuehl"/>
            <w:color w:val="0000FF"/>
            <w:u w:val="single"/>
            <w:rtl/>
          </w:rPr>
          <w:t>חוק העונשין, תשל"ז-1977</w:t>
        </w:r>
      </w:hyperlink>
      <w:r w:rsidRPr="00376981">
        <w:rPr>
          <w:rFonts w:ascii="FrankRuehl" w:hAnsi="FrankRuehl" w:cs="FrankRuehl"/>
          <w:rtl/>
        </w:rPr>
        <w:t xml:space="preserve">: סע'  </w:t>
      </w:r>
      <w:hyperlink r:id="rId8" w:history="1">
        <w:r w:rsidRPr="00376981">
          <w:rPr>
            <w:rFonts w:ascii="FrankRuehl" w:hAnsi="FrankRuehl" w:cs="FrankRuehl"/>
            <w:color w:val="0000FF"/>
            <w:u w:val="single"/>
            <w:rtl/>
          </w:rPr>
          <w:t>25</w:t>
        </w:r>
      </w:hyperlink>
      <w:r w:rsidRPr="00376981">
        <w:rPr>
          <w:rFonts w:ascii="FrankRuehl" w:hAnsi="FrankRuehl" w:cs="FrankRuehl"/>
          <w:rtl/>
        </w:rPr>
        <w:t xml:space="preserve">, </w:t>
      </w:r>
      <w:hyperlink r:id="rId9" w:history="1">
        <w:r w:rsidRPr="00376981">
          <w:rPr>
            <w:rFonts w:ascii="FrankRuehl" w:hAnsi="FrankRuehl" w:cs="FrankRuehl"/>
            <w:color w:val="0000FF"/>
            <w:u w:val="single"/>
            <w:rtl/>
          </w:rPr>
          <w:t>257(1)</w:t>
        </w:r>
      </w:hyperlink>
      <w:r w:rsidRPr="00376981">
        <w:rPr>
          <w:rFonts w:ascii="FrankRuehl" w:hAnsi="FrankRuehl" w:cs="FrankRuehl"/>
          <w:rtl/>
        </w:rPr>
        <w:t xml:space="preserve">, </w:t>
      </w:r>
      <w:hyperlink r:id="rId10" w:history="1">
        <w:r w:rsidRPr="00376981">
          <w:rPr>
            <w:rFonts w:ascii="FrankRuehl" w:hAnsi="FrankRuehl" w:cs="FrankRuehl"/>
            <w:color w:val="0000FF"/>
            <w:u w:val="single"/>
            <w:rtl/>
          </w:rPr>
          <w:t>287(א)</w:t>
        </w:r>
      </w:hyperlink>
      <w:r w:rsidRPr="00376981">
        <w:rPr>
          <w:rFonts w:ascii="FrankRuehl" w:hAnsi="FrankRuehl" w:cs="FrankRuehl"/>
          <w:rtl/>
        </w:rPr>
        <w:t xml:space="preserve">, </w:t>
      </w:r>
      <w:hyperlink r:id="rId11" w:history="1">
        <w:r w:rsidRPr="00376981">
          <w:rPr>
            <w:rFonts w:ascii="FrankRuehl" w:hAnsi="FrankRuehl" w:cs="FrankRuehl"/>
            <w:color w:val="0000FF"/>
            <w:u w:val="single"/>
            <w:rtl/>
          </w:rPr>
          <w:t>406(ב)</w:t>
        </w:r>
      </w:hyperlink>
      <w:r w:rsidRPr="00376981">
        <w:rPr>
          <w:rFonts w:ascii="FrankRuehl" w:hAnsi="FrankRuehl" w:cs="FrankRuehl"/>
          <w:rtl/>
        </w:rPr>
        <w:t xml:space="preserve">, </w:t>
      </w:r>
      <w:hyperlink r:id="rId12" w:history="1">
        <w:r w:rsidRPr="00376981">
          <w:rPr>
            <w:rFonts w:ascii="FrankRuehl" w:hAnsi="FrankRuehl" w:cs="FrankRuehl"/>
            <w:color w:val="0000FF"/>
            <w:u w:val="single"/>
            <w:rtl/>
          </w:rPr>
          <w:t>40יג(ג)</w:t>
        </w:r>
      </w:hyperlink>
    </w:p>
    <w:p w14:paraId="27C39BA9" w14:textId="77777777" w:rsidR="00376981" w:rsidRPr="00376981" w:rsidRDefault="00376981" w:rsidP="00376981">
      <w:pPr>
        <w:spacing w:after="120" w:line="240" w:lineRule="exact"/>
        <w:ind w:left="283" w:hanging="283"/>
        <w:jc w:val="both"/>
        <w:rPr>
          <w:rFonts w:ascii="FrankRuehl" w:hAnsi="FrankRuehl" w:cs="FrankRuehl"/>
          <w:rtl/>
        </w:rPr>
      </w:pPr>
      <w:hyperlink r:id="rId13" w:history="1">
        <w:r w:rsidRPr="00376981">
          <w:rPr>
            <w:rFonts w:ascii="FrankRuehl" w:hAnsi="FrankRuehl" w:cs="FrankRuehl"/>
            <w:color w:val="0000FF"/>
            <w:u w:val="single"/>
            <w:rtl/>
          </w:rPr>
          <w:t>פקודת הסמים המסוכנים [נוסח חדש], תשל"ג-1973</w:t>
        </w:r>
      </w:hyperlink>
      <w:r w:rsidRPr="00376981">
        <w:rPr>
          <w:rFonts w:ascii="FrankRuehl" w:hAnsi="FrankRuehl" w:cs="FrankRuehl"/>
          <w:rtl/>
        </w:rPr>
        <w:t xml:space="preserve">: סע'  </w:t>
      </w:r>
      <w:hyperlink r:id="rId14" w:history="1">
        <w:r w:rsidRPr="00376981">
          <w:rPr>
            <w:rFonts w:ascii="FrankRuehl" w:hAnsi="FrankRuehl" w:cs="FrankRuehl"/>
            <w:color w:val="0000FF"/>
            <w:u w:val="single"/>
            <w:rtl/>
          </w:rPr>
          <w:t>7(א)</w:t>
        </w:r>
      </w:hyperlink>
      <w:r w:rsidRPr="00376981">
        <w:rPr>
          <w:rFonts w:ascii="FrankRuehl" w:hAnsi="FrankRuehl" w:cs="FrankRuehl"/>
          <w:rtl/>
        </w:rPr>
        <w:t xml:space="preserve">, </w:t>
      </w:r>
      <w:hyperlink r:id="rId15" w:history="1">
        <w:r w:rsidRPr="00376981">
          <w:rPr>
            <w:rFonts w:ascii="FrankRuehl" w:hAnsi="FrankRuehl" w:cs="FrankRuehl"/>
            <w:color w:val="0000FF"/>
            <w:u w:val="single"/>
            <w:rtl/>
          </w:rPr>
          <w:t>7(ג)</w:t>
        </w:r>
      </w:hyperlink>
    </w:p>
    <w:p w14:paraId="1637780A" w14:textId="77777777" w:rsidR="00376981" w:rsidRPr="00376981" w:rsidRDefault="00376981" w:rsidP="0037698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1E42" w:rsidRPr="005D0636" w14:paraId="1B13FD6B" w14:textId="77777777" w:rsidTr="00DF1E42">
        <w:trPr>
          <w:trHeight w:val="355"/>
          <w:jc w:val="center"/>
        </w:trPr>
        <w:tc>
          <w:tcPr>
            <w:tcW w:w="8820" w:type="dxa"/>
            <w:tcBorders>
              <w:top w:val="nil"/>
              <w:left w:val="nil"/>
              <w:bottom w:val="nil"/>
              <w:right w:val="nil"/>
            </w:tcBorders>
            <w:shd w:val="clear" w:color="auto" w:fill="auto"/>
          </w:tcPr>
          <w:p w14:paraId="6904E2B5" w14:textId="77777777" w:rsidR="00CF2808" w:rsidRPr="00CF2808" w:rsidRDefault="00CF2808" w:rsidP="00CF2808">
            <w:pPr>
              <w:jc w:val="center"/>
              <w:rPr>
                <w:rFonts w:ascii="Arial" w:hAnsi="Arial"/>
                <w:b/>
                <w:bCs/>
                <w:sz w:val="32"/>
                <w:szCs w:val="32"/>
                <w:u w:val="single"/>
                <w:rtl/>
              </w:rPr>
            </w:pPr>
            <w:bookmarkStart w:id="4" w:name="LawTable_End"/>
            <w:bookmarkStart w:id="5" w:name="PsakDin" w:colFirst="0" w:colLast="0"/>
            <w:bookmarkEnd w:id="4"/>
            <w:r w:rsidRPr="00CF2808">
              <w:rPr>
                <w:rFonts w:ascii="Arial" w:hAnsi="Arial"/>
                <w:b/>
                <w:bCs/>
                <w:sz w:val="32"/>
                <w:szCs w:val="32"/>
                <w:u w:val="single"/>
                <w:rtl/>
              </w:rPr>
              <w:t>גזר דין</w:t>
            </w:r>
          </w:p>
          <w:p w14:paraId="7B7A3A1A" w14:textId="77777777" w:rsidR="00DF1E42" w:rsidRPr="00CF2808" w:rsidRDefault="00DF1E42" w:rsidP="00CF2808">
            <w:pPr>
              <w:jc w:val="center"/>
              <w:rPr>
                <w:rFonts w:ascii="Arial" w:hAnsi="Arial"/>
                <w:b/>
                <w:bCs/>
                <w:sz w:val="32"/>
                <w:szCs w:val="32"/>
                <w:u w:val="single"/>
                <w:rtl/>
              </w:rPr>
            </w:pPr>
          </w:p>
        </w:tc>
      </w:tr>
      <w:bookmarkEnd w:id="5"/>
    </w:tbl>
    <w:p w14:paraId="68EDC304" w14:textId="77777777" w:rsidR="00DF1E42" w:rsidRPr="00B05847" w:rsidRDefault="00DF1E42" w:rsidP="00DF1E42">
      <w:pPr>
        <w:rPr>
          <w:rFonts w:ascii="Arial" w:hAnsi="Arial"/>
          <w:rtl/>
        </w:rPr>
      </w:pPr>
    </w:p>
    <w:p w14:paraId="045F65CB" w14:textId="77777777" w:rsidR="00DF1E42" w:rsidRDefault="00DF1E42" w:rsidP="00DF1E42">
      <w:pPr>
        <w:spacing w:line="360" w:lineRule="auto"/>
        <w:jc w:val="both"/>
        <w:rPr>
          <w:rFonts w:ascii="David" w:hAnsi="David"/>
          <w:b/>
          <w:bCs/>
          <w:u w:val="single"/>
        </w:rPr>
      </w:pPr>
      <w:r>
        <w:rPr>
          <w:rFonts w:ascii="David" w:hAnsi="David" w:hint="cs"/>
          <w:b/>
          <w:bCs/>
          <w:u w:val="single"/>
          <w:rtl/>
        </w:rPr>
        <w:t>מבוא</w:t>
      </w:r>
    </w:p>
    <w:p w14:paraId="5AD0E174"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בהכרעת דין מיום 15.10.18, הורשע הנאשם, לפי הודאתו בעובדותיהם של שני כתבי אישום, כדלקמן:</w:t>
      </w:r>
    </w:p>
    <w:p w14:paraId="1A660EA3" w14:textId="77777777" w:rsidR="00DF1E42" w:rsidRDefault="00CF2808" w:rsidP="00DF1E42">
      <w:pPr>
        <w:pStyle w:val="a9"/>
        <w:spacing w:line="360" w:lineRule="auto"/>
        <w:ind w:left="509"/>
        <w:jc w:val="both"/>
        <w:rPr>
          <w:rFonts w:ascii="David" w:hAnsi="David" w:cs="David"/>
          <w:sz w:val="24"/>
          <w:szCs w:val="24"/>
        </w:rPr>
      </w:pPr>
      <w:hyperlink r:id="rId16" w:history="1">
        <w:r w:rsidRPr="00CF2808">
          <w:rPr>
            <w:rFonts w:ascii="David" w:hAnsi="David" w:cs="David"/>
            <w:color w:val="0000FF"/>
            <w:sz w:val="24"/>
            <w:szCs w:val="24"/>
            <w:u w:val="single"/>
            <w:rtl/>
          </w:rPr>
          <w:t>ת"פ 33183-03-18</w:t>
        </w:r>
      </w:hyperlink>
      <w:r w:rsidR="00DF1E42">
        <w:rPr>
          <w:rFonts w:ascii="David" w:hAnsi="David" w:cs="David" w:hint="cs"/>
          <w:sz w:val="24"/>
          <w:szCs w:val="24"/>
          <w:rtl/>
        </w:rPr>
        <w:t xml:space="preserve"> (להלן – "</w:t>
      </w:r>
      <w:r w:rsidR="00DF1E42">
        <w:rPr>
          <w:rFonts w:ascii="David" w:hAnsi="David" w:cs="David" w:hint="cs"/>
          <w:b/>
          <w:bCs/>
          <w:sz w:val="24"/>
          <w:szCs w:val="24"/>
          <w:rtl/>
        </w:rPr>
        <w:t>כתב האישום הראשון</w:t>
      </w:r>
      <w:r w:rsidR="00DF1E42">
        <w:rPr>
          <w:rFonts w:ascii="David" w:hAnsi="David" w:cs="David" w:hint="cs"/>
          <w:sz w:val="24"/>
          <w:szCs w:val="24"/>
          <w:rtl/>
        </w:rPr>
        <w:t>") -</w:t>
      </w:r>
    </w:p>
    <w:p w14:paraId="584C417B" w14:textId="77777777" w:rsidR="00DF1E42" w:rsidRDefault="00DF1E42" w:rsidP="00DF1E42">
      <w:pPr>
        <w:pStyle w:val="a9"/>
        <w:numPr>
          <w:ilvl w:val="0"/>
          <w:numId w:val="2"/>
        </w:numPr>
        <w:spacing w:line="360" w:lineRule="auto"/>
        <w:jc w:val="both"/>
        <w:rPr>
          <w:rFonts w:cs="David"/>
          <w:sz w:val="24"/>
          <w:szCs w:val="24"/>
          <w:rtl/>
        </w:rPr>
      </w:pPr>
      <w:r>
        <w:rPr>
          <w:rFonts w:cs="David" w:hint="cs"/>
          <w:sz w:val="24"/>
          <w:szCs w:val="24"/>
          <w:u w:val="single"/>
          <w:rtl/>
        </w:rPr>
        <w:t>באישום הראשון</w:t>
      </w:r>
      <w:r>
        <w:rPr>
          <w:rFonts w:cs="David" w:hint="cs"/>
          <w:sz w:val="24"/>
          <w:szCs w:val="24"/>
          <w:rtl/>
        </w:rPr>
        <w:t xml:space="preserve"> – </w:t>
      </w:r>
      <w:bookmarkStart w:id="6" w:name="ABSTRACT_START"/>
      <w:bookmarkEnd w:id="6"/>
      <w:r>
        <w:rPr>
          <w:rFonts w:cs="David" w:hint="cs"/>
          <w:sz w:val="24"/>
          <w:szCs w:val="24"/>
          <w:rtl/>
        </w:rPr>
        <w:t xml:space="preserve">הנאשם הורשע בעבירה של הפרת הוראה חוקית, לפי </w:t>
      </w:r>
      <w:hyperlink r:id="rId17"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287(</w:t>
        </w:r>
        <w:r w:rsidR="00376981" w:rsidRPr="00376981">
          <w:rPr>
            <w:rFonts w:cs="David" w:hint="cs"/>
            <w:color w:val="0000FF"/>
            <w:sz w:val="24"/>
            <w:szCs w:val="24"/>
            <w:u w:val="single"/>
            <w:rtl/>
          </w:rPr>
          <w:t>א</w:t>
        </w:r>
        <w:r w:rsidR="00376981" w:rsidRPr="00376981">
          <w:rPr>
            <w:rFonts w:cs="David"/>
            <w:color w:val="0000FF"/>
            <w:sz w:val="24"/>
            <w:szCs w:val="24"/>
            <w:u w:val="single"/>
            <w:rtl/>
          </w:rPr>
          <w:t>)</w:t>
        </w:r>
      </w:hyperlink>
      <w:r>
        <w:rPr>
          <w:rFonts w:cs="David" w:hint="cs"/>
          <w:sz w:val="24"/>
          <w:szCs w:val="24"/>
          <w:rtl/>
        </w:rPr>
        <w:t xml:space="preserve"> ל</w:t>
      </w:r>
      <w:hyperlink r:id="rId18" w:history="1">
        <w:r w:rsidR="00CF2808" w:rsidRPr="00CF2808">
          <w:rPr>
            <w:rFonts w:cs="David" w:hint="cs"/>
            <w:color w:val="0000FF"/>
            <w:sz w:val="24"/>
            <w:szCs w:val="24"/>
            <w:u w:val="single"/>
            <w:rtl/>
          </w:rPr>
          <w:t>חוק</w:t>
        </w:r>
        <w:r w:rsidR="00CF2808" w:rsidRPr="00CF2808">
          <w:rPr>
            <w:rFonts w:cs="David"/>
            <w:color w:val="0000FF"/>
            <w:sz w:val="24"/>
            <w:szCs w:val="24"/>
            <w:u w:val="single"/>
            <w:rtl/>
          </w:rPr>
          <w:t xml:space="preserve"> </w:t>
        </w:r>
        <w:r w:rsidR="00CF2808" w:rsidRPr="00CF2808">
          <w:rPr>
            <w:rFonts w:cs="David" w:hint="cs"/>
            <w:color w:val="0000FF"/>
            <w:sz w:val="24"/>
            <w:szCs w:val="24"/>
            <w:u w:val="single"/>
            <w:rtl/>
          </w:rPr>
          <w:t>העונשין</w:t>
        </w:r>
      </w:hyperlink>
      <w:r>
        <w:rPr>
          <w:rFonts w:cs="David" w:hint="cs"/>
          <w:sz w:val="24"/>
          <w:szCs w:val="24"/>
          <w:rtl/>
        </w:rPr>
        <w:t xml:space="preserve">, תשל"ז – 1977, ובעבירה של ניסיון התפרצות למקום מגורים, לפי </w:t>
      </w:r>
      <w:hyperlink r:id="rId19"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406(</w:t>
        </w:r>
        <w:r w:rsidR="00376981" w:rsidRPr="00376981">
          <w:rPr>
            <w:rFonts w:cs="David" w:hint="cs"/>
            <w:color w:val="0000FF"/>
            <w:sz w:val="24"/>
            <w:szCs w:val="24"/>
            <w:u w:val="single"/>
            <w:rtl/>
          </w:rPr>
          <w:t>ב</w:t>
        </w:r>
        <w:r w:rsidR="00376981" w:rsidRPr="00376981">
          <w:rPr>
            <w:rFonts w:cs="David"/>
            <w:color w:val="0000FF"/>
            <w:sz w:val="24"/>
            <w:szCs w:val="24"/>
            <w:u w:val="single"/>
            <w:rtl/>
          </w:rPr>
          <w:t>)</w:t>
        </w:r>
      </w:hyperlink>
      <w:r>
        <w:rPr>
          <w:rFonts w:cs="David" w:hint="cs"/>
          <w:sz w:val="24"/>
          <w:szCs w:val="24"/>
        </w:rPr>
        <w:t xml:space="preserve"> </w:t>
      </w:r>
      <w:r>
        <w:rPr>
          <w:rFonts w:cs="David" w:hint="cs"/>
          <w:sz w:val="24"/>
          <w:szCs w:val="24"/>
          <w:rtl/>
        </w:rPr>
        <w:t xml:space="preserve">יחד עם </w:t>
      </w:r>
      <w:hyperlink r:id="rId20"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25</w:t>
        </w:r>
      </w:hyperlink>
      <w:r>
        <w:rPr>
          <w:rFonts w:cs="David" w:hint="cs"/>
          <w:sz w:val="24"/>
          <w:szCs w:val="24"/>
          <w:rtl/>
        </w:rPr>
        <w:t xml:space="preserve"> לחוק העונשין.</w:t>
      </w:r>
    </w:p>
    <w:p w14:paraId="0078E35B" w14:textId="77777777" w:rsidR="00DF1E42" w:rsidRDefault="00DF1E42" w:rsidP="00DF1E42">
      <w:pPr>
        <w:pStyle w:val="a9"/>
        <w:spacing w:line="360" w:lineRule="auto"/>
        <w:ind w:left="869"/>
        <w:jc w:val="both"/>
        <w:rPr>
          <w:rFonts w:ascii="David" w:hAnsi="David" w:cs="David"/>
          <w:sz w:val="24"/>
          <w:szCs w:val="24"/>
          <w:u w:val="single"/>
          <w:rtl/>
        </w:rPr>
      </w:pPr>
      <w:r>
        <w:rPr>
          <w:rFonts w:cs="David" w:hint="cs"/>
          <w:sz w:val="24"/>
          <w:szCs w:val="24"/>
          <w:rtl/>
        </w:rPr>
        <w:t xml:space="preserve">לפי האישום הראשון, ביום 24.2.18 בשעה 1:40, עת שהה המתלונן בביתו, ניסה הנאשם לפרוץ לביתו, בכך שנטל סולם של המתלונן וטיפס באמצעותו לקומה השניה, פירק שלבי התריס וניפץ את שמשת החלון. הנאשם ניסה לפתוח את החלון אך לא צלח. במועד זה, אמור היה הנאשם להימצא </w:t>
      </w:r>
      <w:r>
        <w:rPr>
          <w:rFonts w:ascii="David" w:hAnsi="David" w:cs="David" w:hint="cs"/>
          <w:sz w:val="24"/>
          <w:szCs w:val="24"/>
          <w:rtl/>
        </w:rPr>
        <w:t>במעצר בית לילי.</w:t>
      </w:r>
    </w:p>
    <w:p w14:paraId="38B6BB1A" w14:textId="77777777" w:rsidR="00DF1E42" w:rsidRDefault="00DF1E42" w:rsidP="00DF1E42">
      <w:pPr>
        <w:pStyle w:val="a9"/>
        <w:numPr>
          <w:ilvl w:val="0"/>
          <w:numId w:val="2"/>
        </w:numPr>
        <w:spacing w:line="360" w:lineRule="auto"/>
        <w:jc w:val="both"/>
        <w:rPr>
          <w:rFonts w:cs="David"/>
          <w:sz w:val="24"/>
          <w:szCs w:val="24"/>
        </w:rPr>
      </w:pPr>
      <w:bookmarkStart w:id="7" w:name="ABSTRACT_END"/>
      <w:bookmarkEnd w:id="7"/>
      <w:r>
        <w:rPr>
          <w:rFonts w:cs="David" w:hint="cs"/>
          <w:sz w:val="24"/>
          <w:szCs w:val="24"/>
          <w:u w:val="single"/>
          <w:rtl/>
        </w:rPr>
        <w:t>באישום השני</w:t>
      </w:r>
      <w:r>
        <w:rPr>
          <w:rFonts w:cs="David" w:hint="cs"/>
          <w:sz w:val="24"/>
          <w:szCs w:val="24"/>
          <w:rtl/>
        </w:rPr>
        <w:t xml:space="preserve"> – הנאשם הורשע בעבירה של החזקת סמים לצריכה עצמית, לפי </w:t>
      </w:r>
      <w:hyperlink r:id="rId21"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7(</w:t>
        </w:r>
        <w:r w:rsidR="00376981" w:rsidRPr="00376981">
          <w:rPr>
            <w:rFonts w:cs="David" w:hint="cs"/>
            <w:color w:val="0000FF"/>
            <w:sz w:val="24"/>
            <w:szCs w:val="24"/>
            <w:u w:val="single"/>
            <w:rtl/>
          </w:rPr>
          <w:t>א</w:t>
        </w:r>
        <w:r w:rsidR="00376981" w:rsidRPr="00376981">
          <w:rPr>
            <w:rFonts w:cs="David"/>
            <w:color w:val="0000FF"/>
            <w:sz w:val="24"/>
            <w:szCs w:val="24"/>
            <w:u w:val="single"/>
            <w:rtl/>
          </w:rPr>
          <w:t>)</w:t>
        </w:r>
      </w:hyperlink>
      <w:r>
        <w:rPr>
          <w:rFonts w:cs="David" w:hint="cs"/>
          <w:sz w:val="24"/>
          <w:szCs w:val="24"/>
          <w:rtl/>
        </w:rPr>
        <w:t xml:space="preserve"> יחד עם </w:t>
      </w:r>
      <w:hyperlink r:id="rId22"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7(</w:t>
        </w:r>
        <w:r w:rsidR="00376981" w:rsidRPr="00376981">
          <w:rPr>
            <w:rFonts w:cs="David" w:hint="cs"/>
            <w:color w:val="0000FF"/>
            <w:sz w:val="24"/>
            <w:szCs w:val="24"/>
            <w:u w:val="single"/>
            <w:rtl/>
          </w:rPr>
          <w:t>ג</w:t>
        </w:r>
        <w:r w:rsidR="00376981" w:rsidRPr="00376981">
          <w:rPr>
            <w:rFonts w:cs="David"/>
            <w:color w:val="0000FF"/>
            <w:sz w:val="24"/>
            <w:szCs w:val="24"/>
            <w:u w:val="single"/>
            <w:rtl/>
          </w:rPr>
          <w:t>)</w:t>
        </w:r>
      </w:hyperlink>
      <w:r>
        <w:rPr>
          <w:rFonts w:cs="David" w:hint="cs"/>
          <w:sz w:val="24"/>
          <w:szCs w:val="24"/>
          <w:rtl/>
        </w:rPr>
        <w:t xml:space="preserve"> סיפא ל</w:t>
      </w:r>
      <w:hyperlink r:id="rId23" w:history="1">
        <w:r w:rsidR="00CF2808" w:rsidRPr="00CF2808">
          <w:rPr>
            <w:rFonts w:cs="David" w:hint="cs"/>
            <w:color w:val="0000FF"/>
            <w:sz w:val="24"/>
            <w:szCs w:val="24"/>
            <w:u w:val="single"/>
            <w:rtl/>
          </w:rPr>
          <w:t>פקודת</w:t>
        </w:r>
        <w:r w:rsidR="00CF2808" w:rsidRPr="00CF2808">
          <w:rPr>
            <w:rFonts w:cs="David"/>
            <w:color w:val="0000FF"/>
            <w:sz w:val="24"/>
            <w:szCs w:val="24"/>
            <w:u w:val="single"/>
            <w:rtl/>
          </w:rPr>
          <w:t xml:space="preserve"> </w:t>
        </w:r>
        <w:r w:rsidR="00CF2808" w:rsidRPr="00CF2808">
          <w:rPr>
            <w:rFonts w:cs="David" w:hint="cs"/>
            <w:color w:val="0000FF"/>
            <w:sz w:val="24"/>
            <w:szCs w:val="24"/>
            <w:u w:val="single"/>
            <w:rtl/>
          </w:rPr>
          <w:t>הסמים</w:t>
        </w:r>
        <w:r w:rsidR="00CF2808" w:rsidRPr="00CF2808">
          <w:rPr>
            <w:rFonts w:cs="David"/>
            <w:color w:val="0000FF"/>
            <w:sz w:val="24"/>
            <w:szCs w:val="24"/>
            <w:u w:val="single"/>
            <w:rtl/>
          </w:rPr>
          <w:t xml:space="preserve"> </w:t>
        </w:r>
        <w:r w:rsidR="00CF2808" w:rsidRPr="00CF2808">
          <w:rPr>
            <w:rFonts w:cs="David" w:hint="cs"/>
            <w:color w:val="0000FF"/>
            <w:sz w:val="24"/>
            <w:szCs w:val="24"/>
            <w:u w:val="single"/>
            <w:rtl/>
          </w:rPr>
          <w:t>המסוכנים</w:t>
        </w:r>
      </w:hyperlink>
      <w:r>
        <w:rPr>
          <w:rFonts w:cs="David" w:hint="cs"/>
          <w:sz w:val="24"/>
          <w:szCs w:val="24"/>
          <w:rtl/>
        </w:rPr>
        <w:t xml:space="preserve"> [נוסח חדש], תשל"ג – 1973, ובעבירה של בריחה ממשמר חוקי, לפי </w:t>
      </w:r>
      <w:hyperlink r:id="rId24" w:history="1">
        <w:r w:rsidR="00376981" w:rsidRPr="00376981">
          <w:rPr>
            <w:rFonts w:cs="David" w:hint="cs"/>
            <w:color w:val="0000FF"/>
            <w:sz w:val="24"/>
            <w:szCs w:val="24"/>
            <w:u w:val="single"/>
            <w:rtl/>
          </w:rPr>
          <w:t>סעיף</w:t>
        </w:r>
        <w:r w:rsidR="00376981" w:rsidRPr="00376981">
          <w:rPr>
            <w:rFonts w:cs="David"/>
            <w:color w:val="0000FF"/>
            <w:sz w:val="24"/>
            <w:szCs w:val="24"/>
            <w:u w:val="single"/>
            <w:rtl/>
          </w:rPr>
          <w:t xml:space="preserve"> 257(1)</w:t>
        </w:r>
      </w:hyperlink>
      <w:r>
        <w:rPr>
          <w:rFonts w:cs="David" w:hint="cs"/>
          <w:sz w:val="24"/>
          <w:szCs w:val="24"/>
          <w:rtl/>
        </w:rPr>
        <w:t xml:space="preserve"> ל</w:t>
      </w:r>
      <w:hyperlink r:id="rId25" w:history="1">
        <w:r w:rsidR="00CF2808" w:rsidRPr="00CF2808">
          <w:rPr>
            <w:rFonts w:cs="David" w:hint="cs"/>
            <w:color w:val="0000FF"/>
            <w:sz w:val="24"/>
            <w:szCs w:val="24"/>
            <w:u w:val="single"/>
            <w:rtl/>
          </w:rPr>
          <w:t>חוק</w:t>
        </w:r>
        <w:r w:rsidR="00CF2808" w:rsidRPr="00CF2808">
          <w:rPr>
            <w:rFonts w:cs="David"/>
            <w:color w:val="0000FF"/>
            <w:sz w:val="24"/>
            <w:szCs w:val="24"/>
            <w:u w:val="single"/>
            <w:rtl/>
          </w:rPr>
          <w:t xml:space="preserve"> </w:t>
        </w:r>
        <w:r w:rsidR="00CF2808" w:rsidRPr="00CF2808">
          <w:rPr>
            <w:rFonts w:cs="David" w:hint="cs"/>
            <w:color w:val="0000FF"/>
            <w:sz w:val="24"/>
            <w:szCs w:val="24"/>
            <w:u w:val="single"/>
            <w:rtl/>
          </w:rPr>
          <w:t>העונשין</w:t>
        </w:r>
      </w:hyperlink>
      <w:r>
        <w:rPr>
          <w:rFonts w:cs="David" w:hint="cs"/>
          <w:sz w:val="24"/>
          <w:szCs w:val="24"/>
          <w:rtl/>
        </w:rPr>
        <w:t>.</w:t>
      </w:r>
    </w:p>
    <w:p w14:paraId="5534B241" w14:textId="77777777" w:rsidR="00DF1E42" w:rsidRDefault="00DF1E42" w:rsidP="00DF1E42">
      <w:pPr>
        <w:pStyle w:val="a9"/>
        <w:spacing w:line="360" w:lineRule="auto"/>
        <w:ind w:left="869"/>
        <w:jc w:val="both"/>
        <w:rPr>
          <w:rFonts w:cs="David"/>
          <w:sz w:val="24"/>
          <w:szCs w:val="24"/>
          <w:rtl/>
        </w:rPr>
      </w:pPr>
      <w:r>
        <w:rPr>
          <w:rFonts w:cs="David" w:hint="cs"/>
          <w:sz w:val="24"/>
          <w:szCs w:val="24"/>
          <w:rtl/>
        </w:rPr>
        <w:lastRenderedPageBreak/>
        <w:t>לפי האישום השני, ביום 4.3.18 בשעה 5:56, במסגרת חיפוש בביתו של הנאשם, החזיק הנאשם סם מסוכן מסוג קנבוס במשקל 28.90 גרם נטו לצריכה עצמית. ביום 5.3.18 בשעה 10:38 עת נחקר הנאשם על אודות האישום הראשון, ביקש להתפנות, ובעת שלווה לשירותים, החל במנוסה בעודו אזוק ברגליו אל עבר הגדר ההיקפית של התחנה. הנאשם זינק מעל הגדר אל עבר השטח הפתוח, חצה את הנחל והותיר אחריו את האזיקים. לצורך איתור הנאשם הועלה מסוק לאוויר, אך הנאשם לא נמצא. ביום 8.3.18 בשעה 14:49 במסגרת סיור שגרתי, אותר הנאשם ביישוב רהט ונעצר לאחר מרדף רגלי.</w:t>
      </w:r>
    </w:p>
    <w:p w14:paraId="61A75CCD" w14:textId="77777777" w:rsidR="00DF1E42" w:rsidRDefault="00CF2808" w:rsidP="00DF1E42">
      <w:pPr>
        <w:pStyle w:val="a9"/>
        <w:spacing w:line="360" w:lineRule="auto"/>
        <w:ind w:left="509"/>
        <w:jc w:val="both"/>
        <w:rPr>
          <w:rFonts w:ascii="David" w:hAnsi="David" w:cs="David"/>
          <w:sz w:val="24"/>
          <w:szCs w:val="24"/>
          <w:rtl/>
        </w:rPr>
      </w:pPr>
      <w:hyperlink r:id="rId26" w:history="1">
        <w:r w:rsidRPr="00CF2808">
          <w:rPr>
            <w:rFonts w:ascii="David" w:hAnsi="David" w:cs="David"/>
            <w:color w:val="0000FF"/>
            <w:sz w:val="24"/>
            <w:szCs w:val="24"/>
            <w:u w:val="single"/>
            <w:rtl/>
          </w:rPr>
          <w:t>ת"פ 1367-09-18</w:t>
        </w:r>
      </w:hyperlink>
      <w:r w:rsidR="00DF1E42">
        <w:rPr>
          <w:rFonts w:ascii="David" w:hAnsi="David" w:cs="David" w:hint="cs"/>
          <w:sz w:val="24"/>
          <w:szCs w:val="24"/>
          <w:u w:val="single"/>
          <w:rtl/>
        </w:rPr>
        <w:t xml:space="preserve"> (להלן – "</w:t>
      </w:r>
      <w:r w:rsidR="00DF1E42">
        <w:rPr>
          <w:rFonts w:ascii="David" w:hAnsi="David" w:cs="David" w:hint="cs"/>
          <w:b/>
          <w:bCs/>
          <w:sz w:val="24"/>
          <w:szCs w:val="24"/>
          <w:u w:val="single"/>
          <w:rtl/>
        </w:rPr>
        <w:t>כתב האישום השני</w:t>
      </w:r>
      <w:r w:rsidR="00DF1E42">
        <w:rPr>
          <w:rFonts w:ascii="David" w:hAnsi="David" w:cs="David" w:hint="cs"/>
          <w:sz w:val="24"/>
          <w:szCs w:val="24"/>
          <w:u w:val="single"/>
          <w:rtl/>
        </w:rPr>
        <w:t>") -</w:t>
      </w:r>
    </w:p>
    <w:p w14:paraId="6CA0019B" w14:textId="77777777" w:rsidR="00DF1E42" w:rsidRDefault="00DF1E42" w:rsidP="00DF1E42">
      <w:pPr>
        <w:pStyle w:val="a9"/>
        <w:numPr>
          <w:ilvl w:val="0"/>
          <w:numId w:val="2"/>
        </w:numPr>
        <w:spacing w:line="360" w:lineRule="auto"/>
        <w:jc w:val="both"/>
        <w:rPr>
          <w:rFonts w:ascii="David" w:hAnsi="David" w:cs="David"/>
          <w:sz w:val="24"/>
          <w:szCs w:val="24"/>
          <w:rtl/>
        </w:rPr>
      </w:pPr>
      <w:r>
        <w:rPr>
          <w:rFonts w:ascii="David" w:hAnsi="David" w:cs="David" w:hint="cs"/>
          <w:sz w:val="24"/>
          <w:szCs w:val="24"/>
          <w:rtl/>
        </w:rPr>
        <w:t xml:space="preserve">הנאשם הורשע בעבירה של הפרת חובה חוקית, לפי סעיף </w:t>
      </w:r>
      <w:hyperlink r:id="rId27" w:history="1">
        <w:r w:rsidR="00376981" w:rsidRPr="00376981">
          <w:rPr>
            <w:rFonts w:ascii="David" w:hAnsi="David" w:cs="David"/>
            <w:color w:val="0000FF"/>
            <w:sz w:val="24"/>
            <w:szCs w:val="24"/>
            <w:u w:val="single"/>
            <w:rtl/>
          </w:rPr>
          <w:t>287 (א)</w:t>
        </w:r>
      </w:hyperlink>
      <w:r>
        <w:rPr>
          <w:rFonts w:ascii="David" w:hAnsi="David" w:cs="David" w:hint="cs"/>
          <w:sz w:val="24"/>
          <w:szCs w:val="24"/>
          <w:rtl/>
        </w:rPr>
        <w:t xml:space="preserve"> ל</w:t>
      </w:r>
      <w:hyperlink r:id="rId28" w:history="1">
        <w:r w:rsidR="00CF2808" w:rsidRPr="00CF2808">
          <w:rPr>
            <w:rFonts w:ascii="David" w:hAnsi="David" w:cs="David"/>
            <w:color w:val="0000FF"/>
            <w:sz w:val="24"/>
            <w:szCs w:val="24"/>
            <w:u w:val="single"/>
            <w:rtl/>
          </w:rPr>
          <w:t>חוק העונשין</w:t>
        </w:r>
      </w:hyperlink>
      <w:r>
        <w:rPr>
          <w:rFonts w:ascii="David" w:hAnsi="David" w:cs="David" w:hint="cs"/>
          <w:sz w:val="24"/>
          <w:szCs w:val="24"/>
          <w:rtl/>
        </w:rPr>
        <w:t>.</w:t>
      </w:r>
    </w:p>
    <w:p w14:paraId="516A8F0B" w14:textId="77777777" w:rsidR="00DF1E42" w:rsidRDefault="00DF1E42" w:rsidP="00DF1E42">
      <w:pPr>
        <w:pStyle w:val="a9"/>
        <w:spacing w:line="360" w:lineRule="auto"/>
        <w:ind w:left="869"/>
        <w:jc w:val="both"/>
        <w:rPr>
          <w:rFonts w:ascii="David" w:hAnsi="David" w:cs="David"/>
          <w:sz w:val="24"/>
          <w:szCs w:val="24"/>
        </w:rPr>
      </w:pPr>
      <w:r>
        <w:rPr>
          <w:rFonts w:ascii="David" w:hAnsi="David" w:cs="David" w:hint="cs"/>
          <w:sz w:val="24"/>
          <w:szCs w:val="24"/>
          <w:rtl/>
        </w:rPr>
        <w:t>לפי כתב האישום, הנאשם עזב ביום 2.8.18 את הקהילה הטיפולית בה שהה בתנאי מעצר בית מלא, לפי החלטת בית המשפט ב</w:t>
      </w:r>
      <w:hyperlink r:id="rId29" w:history="1">
        <w:r w:rsidR="00CF2808" w:rsidRPr="00CF2808">
          <w:rPr>
            <w:rFonts w:ascii="David" w:hAnsi="David" w:cs="David"/>
            <w:color w:val="0000FF"/>
            <w:sz w:val="24"/>
            <w:szCs w:val="24"/>
            <w:u w:val="single"/>
            <w:rtl/>
          </w:rPr>
          <w:t>מ"ת 33216-03-18</w:t>
        </w:r>
      </w:hyperlink>
      <w:r>
        <w:rPr>
          <w:rFonts w:ascii="David" w:hAnsi="David" w:cs="David" w:hint="cs"/>
          <w:sz w:val="24"/>
          <w:szCs w:val="24"/>
          <w:rtl/>
        </w:rPr>
        <w:t>. ביום 31.8.18 נעצר הנאשם ליד ביתו ברהט.</w:t>
      </w:r>
    </w:p>
    <w:p w14:paraId="7FFE7D06"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 הצדדים הגיעו להסדר טיעון ללא הסכמה עונשית.</w:t>
      </w:r>
    </w:p>
    <w:p w14:paraId="610F3BD3" w14:textId="77777777" w:rsidR="00DF1E42" w:rsidRDefault="00DF1E42" w:rsidP="00DF1E42">
      <w:pPr>
        <w:spacing w:line="360" w:lineRule="auto"/>
        <w:jc w:val="both"/>
        <w:rPr>
          <w:rFonts w:ascii="David" w:hAnsi="David"/>
          <w:b/>
          <w:bCs/>
          <w:u w:val="single"/>
        </w:rPr>
      </w:pPr>
    </w:p>
    <w:p w14:paraId="2076F62E" w14:textId="77777777" w:rsidR="00DF1E42" w:rsidRDefault="00DF1E42" w:rsidP="00DF1E42">
      <w:pPr>
        <w:spacing w:line="360" w:lineRule="auto"/>
        <w:jc w:val="both"/>
        <w:rPr>
          <w:rFonts w:ascii="David" w:hAnsi="David"/>
          <w:b/>
          <w:bCs/>
          <w:u w:val="single"/>
          <w:rtl/>
        </w:rPr>
      </w:pPr>
      <w:r>
        <w:rPr>
          <w:rFonts w:ascii="David" w:hAnsi="David" w:hint="cs"/>
          <w:b/>
          <w:bCs/>
          <w:u w:val="single"/>
          <w:rtl/>
        </w:rPr>
        <w:t>טענות הצדדים</w:t>
      </w:r>
    </w:p>
    <w:p w14:paraId="0ECF051A"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באת כוח התביעה טענה שכתוצאה מביצוע העבירות בהן הורשע הנאשם נפגעו הערכים החברתיים של שמירה על קניינו של הפרט, הגנה על הציבור ורכושו. כן פגע הנאשם, לטענתה, בערכים החברתיים של שמירה על צווי בית המשפט, הגנה על הסדר הציבורי ועל הציבור מפני נגע הסמים.</w:t>
      </w:r>
    </w:p>
    <w:p w14:paraId="37036760"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לטענתה, מידת הפגיעה כתוצאה מביצוע העבירות מושא האישום הראשון בכתב האישום הראשון היא בינונית עד גבוהה. מידת הפגיעה באישום השני בכתב האישום הראשון היא בינונית. עוד טענה, כי מידת הפגיעה כתוצאה מביצוע העבירות מושא כתב האישום השני היא נמוכה עד בינונית.</w:t>
      </w:r>
    </w:p>
    <w:p w14:paraId="18A198CE"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באת כוח התביעה הוסיפה טענה, כי לאור נסיבות ביצוע העבירות ומדיניות הענישה, מתחם העונש ההולם את העבירות, מושא האישום הראשון בכתב האישום הראשון, נע בין מאסר לתקופה של 14 חודשים ובין מאסר לתקופה של 26 חודשים, מאסר על תנאי, קנס ופיצוי. לטענתה, מתחם העונש ההולם את האישום השני בכתב האישום הראשון, נע בין מאסר לתקופה של מספר חודשים ובין מאסר לתקופה של 12 חודשים. עוד טענה, כי מתחם העונש ההולם את העבירות, מושא כתב האישום השני, נע בין מאסר על תנאי ובין מאסר לתקופה של 6 חודשים.</w:t>
      </w:r>
    </w:p>
    <w:p w14:paraId="0A6FE2E4"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באת כוח התביעה פירטה את הנסיבות הבאות שאינן קשורות בביצוע העבירות: הנאשם הודה במיוחס לו, נטל אחריות על מעשיו וחסך זמן שיפוטי. עם זאת, לחובתו עומד עברו הפלילי, הכולל 8 הרשעות קודמות.</w:t>
      </w:r>
    </w:p>
    <w:p w14:paraId="01600652"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עתרה באת כוח התביעה להטיל על הנאשם עונש הכולל מאסר לתקופה של 28 חודשים, מאסר על תנאי בעבירות סמים ורכוש במדרג פשע ועוון, קנס ופיצוי.</w:t>
      </w:r>
    </w:p>
    <w:p w14:paraId="5BDF21D3"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lastRenderedPageBreak/>
        <w:t>בא כוח הנאשם טען כי התביעה לא צירפה פסיקה בנוגע למתחמים שעתרה והוסיף כי העונש המבוקש על ידי התביעה מחמיר.</w:t>
      </w:r>
    </w:p>
    <w:p w14:paraId="1A2171AC"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נסיבות ביצוע העבירות בענייננו אינן מן החמורות. הנאשם הורשע אך בביצוע עבירה של ניסיון ולא בעבירה המוגמרת. גם בריחתו ממשמורת חוקית אינה בנסיבות חמורות, שכן הנאשם לא ברח מבית הכלא. יתר על כן, אחת מעבירות הפרת ההוראה החוקית עניינה בהימצאות מחוץ לבית, במעצר לילי בלבד, ואילו העבירה הנוספת באה לידי ביטוי בעזיבת הקהילה גרידא.</w:t>
      </w:r>
    </w:p>
    <w:p w14:paraId="1012A682"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טען, כי הפסיקה המנחה בעניין עבירה של ניסיון התפרצות כוללת מתחם הכולל מאסר בדרך של עבודות שירות, ואילו הפסיקה המנחה שעניינה בבריחה ממשמורת חוקית, בנסיבות חמורות יותר מענייננו, כוללת מתחם הנע בין מאסר לתקופה של מספר חודשים ובין מאסר לתקופה של 5 – 6 חודשים. לטענתו, בגין העבירות הנלוות של החזקת סמים והפרת הוראה חוקית, העונש ההולם נע סביב מאסר על תנאי.</w:t>
      </w:r>
    </w:p>
    <w:p w14:paraId="368A8698"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 כוח הנאשם פירט את הנסיבות הבאות שאינן קשורות בביצוע העבירות: הנאשם לקח אחריות וחסך זמן שיפוטי; עברו הפלילי של הנאשם כולל אך עבירת רכוש אחת, שבוצעה לפני כ-17 שנים, ועברו הנוסף עניינו בעבירות סמים ואלימות.</w:t>
      </w:r>
    </w:p>
    <w:p w14:paraId="7B5A45FD"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 בא כוח הנאשם להטיל על הנאשם מאסר לתקופה הפחותה משנה, לצד מאסר על תנאי.</w:t>
      </w:r>
    </w:p>
    <w:p w14:paraId="513BF3C5" w14:textId="77777777" w:rsidR="00DF1E42" w:rsidRDefault="00DF1E42" w:rsidP="00DF1E42">
      <w:pPr>
        <w:spacing w:line="360" w:lineRule="auto"/>
        <w:jc w:val="both"/>
        <w:rPr>
          <w:rFonts w:ascii="David" w:hAnsi="David"/>
        </w:rPr>
      </w:pPr>
    </w:p>
    <w:p w14:paraId="0403A5F6" w14:textId="77777777" w:rsidR="00DF1E42" w:rsidRDefault="00DF1E42" w:rsidP="00DF1E42">
      <w:pPr>
        <w:spacing w:line="360" w:lineRule="auto"/>
        <w:jc w:val="both"/>
        <w:rPr>
          <w:rFonts w:ascii="David" w:hAnsi="David"/>
          <w:b/>
          <w:bCs/>
          <w:u w:val="single"/>
        </w:rPr>
      </w:pPr>
      <w:r>
        <w:rPr>
          <w:rFonts w:ascii="David" w:hAnsi="David" w:hint="cs"/>
          <w:b/>
          <w:bCs/>
          <w:u w:val="single"/>
          <w:rtl/>
        </w:rPr>
        <w:t>דיון והכרעה</w:t>
      </w:r>
    </w:p>
    <w:p w14:paraId="1B02763B"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כל אחד מהאישומים הוא אירוע עצמאי שעניינו בעבירות שונות שבוצעו בזמנים שונים ולא כחלק מתכנית עבריינית אחת. מכאן, שיש לקבוע מתחם עונש הולם בגין כל אחד מהאישומים שבכל אחד מכתבי האישום.</w:t>
      </w:r>
    </w:p>
    <w:p w14:paraId="487E8130"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בקביעת מתחם העונש ההולם את מעשה העבירות אותן ביצע הנאשם יתחשב בית המשפט</w:t>
      </w:r>
      <w:r>
        <w:rPr>
          <w:rFonts w:ascii="David" w:hAnsi="David" w:cs="David" w:hint="cs"/>
          <w:b/>
          <w:bCs/>
          <w:sz w:val="24"/>
          <w:szCs w:val="24"/>
          <w:rtl/>
        </w:rPr>
        <w:t xml:space="preserve"> בערך החברתי</w:t>
      </w:r>
      <w:r>
        <w:rPr>
          <w:rFonts w:ascii="David" w:hAnsi="David" w:cs="David" w:hint="cs"/>
          <w:sz w:val="24"/>
          <w:szCs w:val="24"/>
          <w:rtl/>
        </w:rPr>
        <w:t xml:space="preserve"> הנפגע מביצוע העבירות,</w:t>
      </w:r>
      <w:r>
        <w:rPr>
          <w:rFonts w:ascii="David" w:hAnsi="David" w:cs="David" w:hint="cs"/>
          <w:b/>
          <w:bCs/>
          <w:sz w:val="24"/>
          <w:szCs w:val="24"/>
          <w:rtl/>
        </w:rPr>
        <w:t xml:space="preserve"> במידת הפגיעה בהן, במדיניות הענישה </w:t>
      </w:r>
      <w:r>
        <w:rPr>
          <w:rFonts w:ascii="David" w:hAnsi="David" w:cs="David" w:hint="cs"/>
          <w:sz w:val="24"/>
          <w:szCs w:val="24"/>
          <w:rtl/>
        </w:rPr>
        <w:t>הנהוגה</w:t>
      </w:r>
      <w:r>
        <w:rPr>
          <w:rFonts w:ascii="David" w:hAnsi="David" w:cs="David" w:hint="cs"/>
          <w:b/>
          <w:bCs/>
          <w:sz w:val="24"/>
          <w:szCs w:val="24"/>
          <w:rtl/>
        </w:rPr>
        <w:t xml:space="preserve"> ובנסיבות הקשורות בביצוע העבירות</w:t>
      </w:r>
      <w:r>
        <w:rPr>
          <w:rFonts w:ascii="David" w:hAnsi="David" w:cs="David" w:hint="cs"/>
          <w:sz w:val="24"/>
          <w:szCs w:val="24"/>
          <w:rtl/>
        </w:rPr>
        <w:t>.</w:t>
      </w:r>
    </w:p>
    <w:p w14:paraId="382EDA6A"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כתוצאה מביצוע העבירות מושא כתב האישום הראשון נפגעו הערכים החברתיים של הגנה על שלום ובטחון הציבור וכן הגנה על קניינו של הפרט ועל פרטיותו. כן נפגעו הערכים החברתיים של הגנה על סמכות בתי המשפט ועל מערכת אכיפת החוק. עוד נפגעו הערכים חברתיים של שמירה על בריאותו ושלומו הפיזי של הציבור מפני נזקים הנגרמים כתוצאה מהשימוש בסמים והשפעתם הממכרת וההרסנית, לצד ההגנה על הציבור מפני נזקים עקיפים של השימוש בסמים. </w:t>
      </w:r>
    </w:p>
    <w:p w14:paraId="787DF563"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הפגיעה בערכים המוגנים כתוצאה מביצוע העבירות בכל אחד מהאישומים בכתב האישום הראשון היא בינונית. הנאשם ניסה לפרוץ בית, עת המתלונן נמצא בביתו. הנאשם ביצע את העבירה כשהיה עליו להימצא במעצר בית לילי. עת נחקר הנאשם בתחנת המשטרה ברח ממשמורת חוקית. כמו כן, במהלך חיפוש בביתו של הנאשם נמצא סם מסוכן מסוג קנבוס לצריכה עצמית.</w:t>
      </w:r>
    </w:p>
    <w:p w14:paraId="133BD1DA"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הפגיעה בערכים המוגנים כתוצאה מביצוע העבירה מושא כתב האישום השני היא נמוכה עד בינונית. עת שהה הנאשם בקהילה טיפולית בתנאי מעצר בית מלא, עזב את הקהילה על דעת עצמו ונתפס לאחר כחודש ימים.</w:t>
      </w:r>
    </w:p>
    <w:p w14:paraId="78EE4779"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על מדיניות הענישה המקובלת והנוהגת שעניינה בעבירה של ניסיון התפרצות לדירה, בנסיבות דומות, ניתן ללמוד מהפסיקה הבאה:</w:t>
      </w:r>
    </w:p>
    <w:p w14:paraId="6838DE65" w14:textId="77777777" w:rsidR="00DF1E42" w:rsidRDefault="00CF2808" w:rsidP="00DF1E42">
      <w:pPr>
        <w:pStyle w:val="a9"/>
        <w:numPr>
          <w:ilvl w:val="0"/>
          <w:numId w:val="3"/>
        </w:numPr>
        <w:spacing w:line="360" w:lineRule="auto"/>
        <w:ind w:left="935" w:hanging="425"/>
        <w:jc w:val="both"/>
        <w:rPr>
          <w:rFonts w:ascii="David" w:hAnsi="David" w:cs="David"/>
          <w:sz w:val="24"/>
          <w:szCs w:val="24"/>
        </w:rPr>
      </w:pPr>
      <w:hyperlink r:id="rId30" w:history="1">
        <w:r w:rsidRPr="00CF2808">
          <w:rPr>
            <w:rFonts w:ascii="David" w:hAnsi="David" w:cs="David"/>
            <w:color w:val="0000FF"/>
            <w:sz w:val="24"/>
            <w:szCs w:val="24"/>
            <w:u w:val="single"/>
            <w:rtl/>
          </w:rPr>
          <w:t>רע"פ 8278/15</w:t>
        </w:r>
      </w:hyperlink>
      <w:r w:rsidR="00DF1E42">
        <w:rPr>
          <w:rFonts w:ascii="David" w:hAnsi="David" w:cs="David" w:hint="cs"/>
          <w:b/>
          <w:bCs/>
          <w:sz w:val="24"/>
          <w:szCs w:val="24"/>
          <w:rtl/>
        </w:rPr>
        <w:t xml:space="preserve"> שייכמן נ' מדינת ישראל </w:t>
      </w:r>
      <w:r w:rsidR="00DF1E42">
        <w:rPr>
          <w:rFonts w:ascii="David" w:hAnsi="David" w:cs="David" w:hint="cs"/>
          <w:sz w:val="24"/>
          <w:szCs w:val="24"/>
          <w:rtl/>
        </w:rPr>
        <w:t>(2.10.17): בית משפט השלום הרשיע את הנאשמת, לפי הודאתה, בעבירות של סיוע להתפרצות למקום מגורים ובסיוע לגניבה. בית המשפט הטיל על הנאשמת מאסר לתקופה של 9 חודשים ומאסר על תנאי. בית המשפט המחוזי דחה את ערעורה של הנאשמת. בית המשפט העליון דחה את בקשתה של הנאשמת להרשות ערעור;</w:t>
      </w:r>
    </w:p>
    <w:p w14:paraId="68B8C931" w14:textId="77777777" w:rsidR="00DF1E42" w:rsidRDefault="00CF2808" w:rsidP="00DF1E42">
      <w:pPr>
        <w:pStyle w:val="a9"/>
        <w:numPr>
          <w:ilvl w:val="0"/>
          <w:numId w:val="3"/>
        </w:numPr>
        <w:spacing w:line="360" w:lineRule="auto"/>
        <w:ind w:left="935" w:hanging="425"/>
        <w:jc w:val="both"/>
        <w:rPr>
          <w:rFonts w:ascii="David" w:hAnsi="David" w:cs="David"/>
          <w:sz w:val="24"/>
          <w:szCs w:val="24"/>
        </w:rPr>
      </w:pPr>
      <w:hyperlink r:id="rId31" w:history="1">
        <w:r w:rsidRPr="00CF2808">
          <w:rPr>
            <w:rFonts w:ascii="David" w:hAnsi="David" w:cs="David"/>
            <w:color w:val="0000FF"/>
            <w:sz w:val="24"/>
            <w:szCs w:val="24"/>
            <w:u w:val="single"/>
            <w:rtl/>
          </w:rPr>
          <w:t>רע"פ 2966/13</w:t>
        </w:r>
      </w:hyperlink>
      <w:r w:rsidR="00DF1E42">
        <w:rPr>
          <w:rFonts w:ascii="David" w:hAnsi="David" w:cs="David" w:hint="cs"/>
          <w:sz w:val="24"/>
          <w:szCs w:val="24"/>
          <w:rtl/>
        </w:rPr>
        <w:t xml:space="preserve"> </w:t>
      </w:r>
      <w:r w:rsidR="00DF1E42">
        <w:rPr>
          <w:rFonts w:ascii="David" w:hAnsi="David" w:cs="David" w:hint="cs"/>
          <w:b/>
          <w:bCs/>
          <w:sz w:val="24"/>
          <w:szCs w:val="24"/>
          <w:rtl/>
        </w:rPr>
        <w:t>נעמאנה נ' מדינת ישראל</w:t>
      </w:r>
      <w:r w:rsidR="00DF1E42">
        <w:rPr>
          <w:rFonts w:ascii="David" w:hAnsi="David" w:cs="David" w:hint="cs"/>
          <w:sz w:val="24"/>
          <w:szCs w:val="24"/>
          <w:rtl/>
        </w:rPr>
        <w:t xml:space="preserve"> (5.5.13): בית משפט השלום הרשיע את הנאשם 2 בעבירה של סיוע להתפרצות למקום מגורים והחזקת מכשירי פריצה. בית המשפט הטיל על נאשם 2 מאסר לתקופה של 7 חודשים, מאסר על תנאי וקנס בסכום של 1,500₪. בית המשפט המחוזי דחה את ערעורו של הנאשם. בית המשפט העליון דחה את בקשת הנאשם להרשות ערעור;</w:t>
      </w:r>
    </w:p>
    <w:p w14:paraId="140B4A59" w14:textId="77777777" w:rsidR="00DF1E42" w:rsidRDefault="00CF2808" w:rsidP="00DF1E42">
      <w:pPr>
        <w:pStyle w:val="a9"/>
        <w:numPr>
          <w:ilvl w:val="0"/>
          <w:numId w:val="3"/>
        </w:numPr>
        <w:spacing w:line="360" w:lineRule="auto"/>
        <w:ind w:left="935" w:hanging="425"/>
        <w:jc w:val="both"/>
        <w:rPr>
          <w:rFonts w:ascii="David" w:hAnsi="David" w:cs="David"/>
          <w:sz w:val="24"/>
          <w:szCs w:val="24"/>
        </w:rPr>
      </w:pPr>
      <w:hyperlink r:id="rId32" w:history="1">
        <w:r w:rsidRPr="00CF2808">
          <w:rPr>
            <w:rFonts w:ascii="David" w:hAnsi="David" w:cs="David"/>
            <w:color w:val="0000FF"/>
            <w:sz w:val="24"/>
            <w:szCs w:val="24"/>
            <w:u w:val="single"/>
            <w:rtl/>
          </w:rPr>
          <w:t>רע"פ 5518/11</w:t>
        </w:r>
      </w:hyperlink>
      <w:r w:rsidR="00DF1E42">
        <w:rPr>
          <w:rFonts w:ascii="David" w:hAnsi="David" w:cs="David" w:hint="cs"/>
          <w:b/>
          <w:bCs/>
          <w:sz w:val="24"/>
          <w:szCs w:val="24"/>
          <w:rtl/>
        </w:rPr>
        <w:t xml:space="preserve"> טרגאן נ' מדינת ישראל</w:t>
      </w:r>
      <w:r w:rsidR="00DF1E42">
        <w:rPr>
          <w:rFonts w:ascii="David" w:hAnsi="David" w:cs="David" w:hint="cs"/>
          <w:sz w:val="24"/>
          <w:szCs w:val="24"/>
          <w:rtl/>
        </w:rPr>
        <w:t xml:space="preserve"> (26.7.11): בית משפט השלום הרשיע את הנאשם, לאחר ניהול הוכחות, בעבירה של ניסיון התפרצות לדירה. בית המשפט הטיל על הנאשם מאסר לתקופה של 12 חודשים ומאסר על תנאי. בית המשפט המחוזי דחה את ערעורו של הנאשם. בית המשפט העליון דחה את בקשתו של הנאשם להרשות ערעור;</w:t>
      </w:r>
    </w:p>
    <w:p w14:paraId="1030013E" w14:textId="77777777" w:rsidR="00DF1E42" w:rsidRDefault="00CF2808" w:rsidP="00DF1E42">
      <w:pPr>
        <w:pStyle w:val="a9"/>
        <w:numPr>
          <w:ilvl w:val="0"/>
          <w:numId w:val="3"/>
        </w:numPr>
        <w:spacing w:line="360" w:lineRule="auto"/>
        <w:ind w:left="935" w:hanging="425"/>
        <w:jc w:val="both"/>
        <w:rPr>
          <w:rFonts w:ascii="David" w:hAnsi="David" w:cs="David"/>
          <w:sz w:val="24"/>
          <w:szCs w:val="24"/>
        </w:rPr>
      </w:pPr>
      <w:hyperlink r:id="rId33" w:history="1">
        <w:r w:rsidRPr="00CF2808">
          <w:rPr>
            <w:rFonts w:ascii="David" w:hAnsi="David" w:cs="David"/>
            <w:color w:val="0000FF"/>
            <w:sz w:val="24"/>
            <w:szCs w:val="24"/>
            <w:u w:val="single"/>
            <w:rtl/>
          </w:rPr>
          <w:t>עפ"ג (י-ם) 24997-04-14</w:t>
        </w:r>
      </w:hyperlink>
      <w:r w:rsidR="00DF1E42">
        <w:rPr>
          <w:rFonts w:ascii="David" w:hAnsi="David" w:cs="David" w:hint="cs"/>
          <w:b/>
          <w:bCs/>
          <w:sz w:val="24"/>
          <w:szCs w:val="24"/>
          <w:rtl/>
        </w:rPr>
        <w:t xml:space="preserve"> מדינת ישראל נ' בנון</w:t>
      </w:r>
      <w:r w:rsidR="00DF1E42">
        <w:rPr>
          <w:rFonts w:ascii="David" w:hAnsi="David" w:cs="David" w:hint="cs"/>
          <w:sz w:val="24"/>
          <w:szCs w:val="24"/>
          <w:rtl/>
        </w:rPr>
        <w:t xml:space="preserve"> (7.7.14):  בית משפט השלום הרשיע את הנאשם, לפי הודאתו, בעבירה של ניסיון התפרצות לדירה. בית המשפט הטיל על הנאשם מאסר לתקופה של 6 חודשים, הפעיל מאסר על תנאי ומאסר על תנאי. בית המשפט המחוזי קיבל את ערעורה של התביעה והטיל על הנאשם מאסר לתקופה של 9 חודשים.</w:t>
      </w:r>
    </w:p>
    <w:p w14:paraId="1CAC50E3"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מדיניות הענישה המקובלת והנוהגת בעבירה של הפרת הוראה חוקית כוללת, בנסיבות דומות, מאסר על תנאי לצד ענישה נלווית (ראו, למשל: </w:t>
      </w:r>
      <w:hyperlink r:id="rId34" w:history="1">
        <w:r w:rsidR="00CF2808" w:rsidRPr="00CF2808">
          <w:rPr>
            <w:rFonts w:ascii="David" w:hAnsi="David" w:cs="David"/>
            <w:color w:val="0000FF"/>
            <w:sz w:val="24"/>
            <w:szCs w:val="24"/>
            <w:u w:val="single"/>
            <w:rtl/>
          </w:rPr>
          <w:t>ת"פ (רח') 9318-01-14</w:t>
        </w:r>
      </w:hyperlink>
      <w:r>
        <w:rPr>
          <w:rFonts w:ascii="David" w:hAnsi="David" w:cs="David" w:hint="cs"/>
          <w:sz w:val="24"/>
          <w:szCs w:val="24"/>
          <w:rtl/>
        </w:rPr>
        <w:t xml:space="preserve"> </w:t>
      </w:r>
      <w:r>
        <w:rPr>
          <w:rFonts w:ascii="David" w:hAnsi="David" w:cs="David" w:hint="cs"/>
          <w:b/>
          <w:bCs/>
          <w:sz w:val="24"/>
          <w:szCs w:val="24"/>
          <w:rtl/>
        </w:rPr>
        <w:t>מדינת ישראל נ' עצא</w:t>
      </w:r>
      <w:r>
        <w:rPr>
          <w:rFonts w:ascii="David" w:hAnsi="David" w:cs="David" w:hint="cs"/>
          <w:sz w:val="24"/>
          <w:szCs w:val="24"/>
          <w:rtl/>
        </w:rPr>
        <w:t xml:space="preserve"> (8.6.14); ת"פ (ת"א) 1903-09 </w:t>
      </w:r>
      <w:r>
        <w:rPr>
          <w:rFonts w:ascii="David" w:hAnsi="David" w:cs="David" w:hint="cs"/>
          <w:b/>
          <w:bCs/>
          <w:sz w:val="24"/>
          <w:szCs w:val="24"/>
          <w:rtl/>
        </w:rPr>
        <w:t>מדינת ישראל מדור תביעות פלילי ת"א נ' ביטון</w:t>
      </w:r>
      <w:r>
        <w:rPr>
          <w:rFonts w:ascii="David" w:hAnsi="David" w:cs="David" w:hint="cs"/>
          <w:sz w:val="24"/>
          <w:szCs w:val="24"/>
          <w:rtl/>
        </w:rPr>
        <w:t xml:space="preserve"> (21.2.10); ת"פ (רח') 1636-09 </w:t>
      </w:r>
      <w:r>
        <w:rPr>
          <w:rFonts w:ascii="David" w:hAnsi="David" w:cs="David" w:hint="cs"/>
          <w:b/>
          <w:bCs/>
          <w:sz w:val="24"/>
          <w:szCs w:val="24"/>
          <w:rtl/>
        </w:rPr>
        <w:t>משטרת רחובות- שלוחת תביעות נ' דוברופיליה</w:t>
      </w:r>
      <w:r>
        <w:rPr>
          <w:rFonts w:ascii="David" w:hAnsi="David" w:cs="David" w:hint="cs"/>
          <w:sz w:val="24"/>
          <w:szCs w:val="24"/>
          <w:rtl/>
        </w:rPr>
        <w:t xml:space="preserve"> (3.2.10)). </w:t>
      </w:r>
    </w:p>
    <w:p w14:paraId="19A7D222"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עוד עולה ממדיניות הענישה, כי מתחם העונש ההולם הרלוונטי לאחזקת סמים מסוג קנבוס לצריכה עצמית ובמשקל קטן, נע בין מאסר על תנאי ובין מאסר לתקופה קצרה, לצד ענישה נלווית (ראו למשל: </w:t>
      </w:r>
      <w:hyperlink r:id="rId35" w:history="1">
        <w:r w:rsidR="00CF2808" w:rsidRPr="00CF2808">
          <w:rPr>
            <w:rFonts w:ascii="David" w:hAnsi="David" w:cs="David"/>
            <w:color w:val="0000FF"/>
            <w:sz w:val="24"/>
            <w:szCs w:val="24"/>
            <w:u w:val="single"/>
            <w:rtl/>
          </w:rPr>
          <w:t>רע"פ 6138-09</w:t>
        </w:r>
      </w:hyperlink>
      <w:r>
        <w:rPr>
          <w:rFonts w:ascii="David" w:hAnsi="David" w:cs="David" w:hint="cs"/>
          <w:sz w:val="24"/>
          <w:szCs w:val="24"/>
          <w:rtl/>
        </w:rPr>
        <w:t xml:space="preserve"> </w:t>
      </w:r>
      <w:r>
        <w:rPr>
          <w:rFonts w:ascii="David" w:hAnsi="David" w:cs="David" w:hint="cs"/>
          <w:b/>
          <w:bCs/>
          <w:sz w:val="24"/>
          <w:szCs w:val="24"/>
          <w:rtl/>
        </w:rPr>
        <w:t>פרדזב נ' מדינת ישראל</w:t>
      </w:r>
      <w:r>
        <w:rPr>
          <w:rFonts w:ascii="David" w:hAnsi="David" w:cs="David" w:hint="cs"/>
          <w:sz w:val="24"/>
          <w:szCs w:val="24"/>
          <w:rtl/>
        </w:rPr>
        <w:t xml:space="preserve"> (2.8.09); </w:t>
      </w:r>
      <w:hyperlink r:id="rId36" w:history="1">
        <w:r w:rsidR="00CF2808" w:rsidRPr="00CF2808">
          <w:rPr>
            <w:rFonts w:ascii="David" w:hAnsi="David" w:cs="David"/>
            <w:color w:val="0000FF"/>
            <w:sz w:val="24"/>
            <w:szCs w:val="24"/>
            <w:u w:val="single"/>
            <w:rtl/>
          </w:rPr>
          <w:t>ת"פ (רמ') 36431-04-15</w:t>
        </w:r>
      </w:hyperlink>
      <w:r>
        <w:rPr>
          <w:rFonts w:ascii="David" w:hAnsi="David" w:cs="David" w:hint="cs"/>
          <w:sz w:val="24"/>
          <w:szCs w:val="24"/>
          <w:rtl/>
        </w:rPr>
        <w:t xml:space="preserve"> </w:t>
      </w:r>
      <w:r>
        <w:rPr>
          <w:rFonts w:ascii="David" w:hAnsi="David" w:cs="David" w:hint="cs"/>
          <w:b/>
          <w:bCs/>
          <w:sz w:val="24"/>
          <w:szCs w:val="24"/>
          <w:rtl/>
        </w:rPr>
        <w:t>מדינת ישראל נ' קורקין</w:t>
      </w:r>
      <w:r>
        <w:rPr>
          <w:rFonts w:ascii="David" w:hAnsi="David" w:cs="David" w:hint="cs"/>
          <w:sz w:val="24"/>
          <w:szCs w:val="24"/>
          <w:rtl/>
        </w:rPr>
        <w:t xml:space="preserve"> (6.1.16); </w:t>
      </w:r>
      <w:hyperlink r:id="rId37" w:history="1">
        <w:r w:rsidR="00CF2808" w:rsidRPr="00CF2808">
          <w:rPr>
            <w:rFonts w:ascii="David" w:hAnsi="David" w:cs="David"/>
            <w:color w:val="0000FF"/>
            <w:sz w:val="24"/>
            <w:szCs w:val="24"/>
            <w:u w:val="single"/>
            <w:rtl/>
          </w:rPr>
          <w:t>ת"פ (רמ') 44601-05-14</w:t>
        </w:r>
      </w:hyperlink>
      <w:r>
        <w:rPr>
          <w:rFonts w:ascii="David" w:hAnsi="David" w:cs="David" w:hint="cs"/>
          <w:b/>
          <w:bCs/>
          <w:sz w:val="24"/>
          <w:szCs w:val="24"/>
          <w:rtl/>
        </w:rPr>
        <w:t xml:space="preserve"> משטרת ישראל תביעות- שלוחת רמלה נ' הלוי</w:t>
      </w:r>
      <w:r>
        <w:rPr>
          <w:rFonts w:ascii="David" w:hAnsi="David" w:cs="David" w:hint="cs"/>
          <w:sz w:val="24"/>
          <w:szCs w:val="24"/>
          <w:rtl/>
        </w:rPr>
        <w:t xml:space="preserve"> (28.6.15); </w:t>
      </w:r>
      <w:hyperlink r:id="rId38" w:history="1">
        <w:r w:rsidR="00CF2808" w:rsidRPr="00CF2808">
          <w:rPr>
            <w:rFonts w:ascii="David" w:hAnsi="David" w:cs="David"/>
            <w:color w:val="0000FF"/>
            <w:sz w:val="24"/>
            <w:szCs w:val="24"/>
            <w:u w:val="single"/>
            <w:rtl/>
          </w:rPr>
          <w:t>ת"פ (רמ') 63092-12-13</w:t>
        </w:r>
      </w:hyperlink>
      <w:r>
        <w:rPr>
          <w:rFonts w:ascii="David" w:hAnsi="David" w:cs="David" w:hint="cs"/>
          <w:sz w:val="24"/>
          <w:szCs w:val="24"/>
          <w:rtl/>
        </w:rPr>
        <w:t xml:space="preserve"> </w:t>
      </w:r>
      <w:r>
        <w:rPr>
          <w:rFonts w:ascii="David" w:hAnsi="David" w:cs="David" w:hint="cs"/>
          <w:b/>
          <w:bCs/>
          <w:sz w:val="24"/>
          <w:szCs w:val="24"/>
          <w:rtl/>
        </w:rPr>
        <w:t>משטרת ישראל תביעות- שלוחת רמלה נ' ברמי</w:t>
      </w:r>
      <w:r>
        <w:rPr>
          <w:rFonts w:ascii="David" w:hAnsi="David" w:cs="David" w:hint="cs"/>
          <w:sz w:val="24"/>
          <w:szCs w:val="24"/>
          <w:rtl/>
        </w:rPr>
        <w:t xml:space="preserve"> (23.11.14); </w:t>
      </w:r>
      <w:hyperlink r:id="rId39" w:history="1">
        <w:r w:rsidR="00CF2808" w:rsidRPr="00CF2808">
          <w:rPr>
            <w:rFonts w:ascii="David" w:hAnsi="David" w:cs="David"/>
            <w:color w:val="0000FF"/>
            <w:sz w:val="24"/>
            <w:szCs w:val="24"/>
            <w:u w:val="single"/>
            <w:rtl/>
          </w:rPr>
          <w:t>ת"פ (ת"א) 24100-09-13</w:t>
        </w:r>
      </w:hyperlink>
      <w:r>
        <w:rPr>
          <w:rFonts w:ascii="David" w:hAnsi="David" w:cs="David" w:hint="cs"/>
          <w:sz w:val="24"/>
          <w:szCs w:val="24"/>
          <w:rtl/>
        </w:rPr>
        <w:t xml:space="preserve"> </w:t>
      </w:r>
      <w:r>
        <w:rPr>
          <w:rFonts w:ascii="David" w:hAnsi="David" w:cs="David" w:hint="cs"/>
          <w:b/>
          <w:bCs/>
          <w:sz w:val="24"/>
          <w:szCs w:val="24"/>
          <w:rtl/>
        </w:rPr>
        <w:t>מדינת ישראל נ' קונפורטי</w:t>
      </w:r>
      <w:r>
        <w:rPr>
          <w:rFonts w:ascii="David" w:hAnsi="David" w:cs="David" w:hint="cs"/>
          <w:sz w:val="24"/>
          <w:szCs w:val="24"/>
          <w:rtl/>
        </w:rPr>
        <w:t xml:space="preserve"> (2.4.14); </w:t>
      </w:r>
      <w:hyperlink r:id="rId40" w:history="1">
        <w:r w:rsidR="00CF2808" w:rsidRPr="00CF2808">
          <w:rPr>
            <w:rFonts w:ascii="David" w:hAnsi="David" w:cs="David"/>
            <w:color w:val="0000FF"/>
            <w:sz w:val="24"/>
            <w:szCs w:val="24"/>
            <w:u w:val="single"/>
            <w:rtl/>
          </w:rPr>
          <w:t>ת"פ (ק"ג) 25179-08-13</w:t>
        </w:r>
      </w:hyperlink>
      <w:r>
        <w:rPr>
          <w:rFonts w:ascii="David" w:hAnsi="David" w:cs="David" w:hint="cs"/>
          <w:b/>
          <w:bCs/>
          <w:sz w:val="24"/>
          <w:szCs w:val="24"/>
          <w:rtl/>
        </w:rPr>
        <w:t xml:space="preserve"> מדינת ישראל נ' אוחיון</w:t>
      </w:r>
      <w:r>
        <w:rPr>
          <w:rFonts w:ascii="David" w:hAnsi="David" w:cs="David" w:hint="cs"/>
          <w:sz w:val="24"/>
          <w:szCs w:val="24"/>
          <w:rtl/>
        </w:rPr>
        <w:t xml:space="preserve"> (19.1.14); </w:t>
      </w:r>
      <w:hyperlink r:id="rId41" w:history="1">
        <w:r w:rsidR="00CF2808" w:rsidRPr="00CF2808">
          <w:rPr>
            <w:rFonts w:ascii="David" w:hAnsi="David" w:cs="David"/>
            <w:color w:val="0000FF"/>
            <w:sz w:val="24"/>
            <w:szCs w:val="24"/>
            <w:u w:val="single"/>
            <w:rtl/>
          </w:rPr>
          <w:t>ת"פ (חי') 25039-07-13</w:t>
        </w:r>
      </w:hyperlink>
      <w:r>
        <w:rPr>
          <w:rFonts w:ascii="David" w:hAnsi="David" w:cs="David" w:hint="cs"/>
          <w:sz w:val="24"/>
          <w:szCs w:val="24"/>
          <w:rtl/>
        </w:rPr>
        <w:t xml:space="preserve"> </w:t>
      </w:r>
      <w:r>
        <w:rPr>
          <w:rFonts w:ascii="David" w:hAnsi="David" w:cs="David" w:hint="cs"/>
          <w:b/>
          <w:bCs/>
          <w:sz w:val="24"/>
          <w:szCs w:val="24"/>
          <w:rtl/>
        </w:rPr>
        <w:t xml:space="preserve">מדינת ישראל נ' מארון </w:t>
      </w:r>
      <w:r>
        <w:rPr>
          <w:rFonts w:ascii="David" w:hAnsi="David" w:cs="David" w:hint="cs"/>
          <w:sz w:val="24"/>
          <w:szCs w:val="24"/>
          <w:rtl/>
        </w:rPr>
        <w:t xml:space="preserve">(12.5.15); </w:t>
      </w:r>
      <w:hyperlink r:id="rId42" w:history="1">
        <w:r w:rsidR="00CF2808" w:rsidRPr="00CF2808">
          <w:rPr>
            <w:rFonts w:ascii="David" w:hAnsi="David" w:cs="David"/>
            <w:color w:val="0000FF"/>
            <w:sz w:val="24"/>
            <w:szCs w:val="24"/>
            <w:u w:val="single"/>
            <w:rtl/>
          </w:rPr>
          <w:t>ת"פ (רמ') 20574-06-13</w:t>
        </w:r>
      </w:hyperlink>
      <w:r>
        <w:rPr>
          <w:rFonts w:ascii="David" w:hAnsi="David" w:cs="David" w:hint="cs"/>
          <w:sz w:val="24"/>
          <w:szCs w:val="24"/>
          <w:rtl/>
        </w:rPr>
        <w:t xml:space="preserve"> </w:t>
      </w:r>
      <w:r>
        <w:rPr>
          <w:rFonts w:ascii="David" w:hAnsi="David" w:cs="David" w:hint="cs"/>
          <w:b/>
          <w:bCs/>
          <w:sz w:val="24"/>
          <w:szCs w:val="24"/>
          <w:rtl/>
        </w:rPr>
        <w:t>משטרת ישראל תביעות – שלוחת רמלה נ' זואץ</w:t>
      </w:r>
      <w:r>
        <w:rPr>
          <w:rFonts w:ascii="David" w:hAnsi="David" w:cs="David" w:hint="cs"/>
          <w:sz w:val="24"/>
          <w:szCs w:val="24"/>
          <w:rtl/>
        </w:rPr>
        <w:t xml:space="preserve"> (29.3.15)).</w:t>
      </w:r>
    </w:p>
    <w:p w14:paraId="563528A2"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ממדיניות הפסיקה עולה, כי מתחם העונש הרלוונטי לבריחה ממשמורת חוקית, נע בין מאסר לתקופה של מספר חודשים ובין מאסר לתקופה של 18 חודשים, לצד ענישה נלווית (ראו למשל: עפ"ג (ת"א) </w:t>
      </w:r>
      <w:r>
        <w:rPr>
          <w:rFonts w:ascii="David" w:hAnsi="David" w:cs="David" w:hint="cs"/>
          <w:b/>
          <w:bCs/>
          <w:sz w:val="24"/>
          <w:szCs w:val="24"/>
          <w:rtl/>
        </w:rPr>
        <w:t>זעילה נ' מדינת ישראל (</w:t>
      </w:r>
      <w:r>
        <w:rPr>
          <w:rFonts w:ascii="David" w:hAnsi="David" w:cs="David" w:hint="cs"/>
          <w:sz w:val="24"/>
          <w:szCs w:val="24"/>
          <w:rtl/>
        </w:rPr>
        <w:t xml:space="preserve">1.12.14); </w:t>
      </w:r>
      <w:hyperlink r:id="rId43" w:history="1">
        <w:r w:rsidR="00CF2808" w:rsidRPr="00CF2808">
          <w:rPr>
            <w:rFonts w:ascii="David" w:hAnsi="David" w:cs="David"/>
            <w:color w:val="0000FF"/>
            <w:sz w:val="24"/>
            <w:szCs w:val="24"/>
            <w:u w:val="single"/>
            <w:rtl/>
          </w:rPr>
          <w:t>ת"פ (טב') 33885-11-09</w:t>
        </w:r>
      </w:hyperlink>
      <w:r>
        <w:rPr>
          <w:rFonts w:ascii="David" w:hAnsi="David" w:cs="David" w:hint="cs"/>
          <w:b/>
          <w:bCs/>
          <w:sz w:val="24"/>
          <w:szCs w:val="24"/>
          <w:rtl/>
        </w:rPr>
        <w:t xml:space="preserve"> מדינת ישראל נ' קובליוב</w:t>
      </w:r>
      <w:r>
        <w:rPr>
          <w:rFonts w:ascii="David" w:hAnsi="David" w:cs="David" w:hint="cs"/>
          <w:sz w:val="24"/>
          <w:szCs w:val="24"/>
          <w:rtl/>
        </w:rPr>
        <w:t xml:space="preserve"> (21.6.10); </w:t>
      </w:r>
      <w:hyperlink r:id="rId44" w:history="1">
        <w:r w:rsidR="00CF2808" w:rsidRPr="00CF2808">
          <w:rPr>
            <w:rFonts w:ascii="David" w:hAnsi="David" w:cs="David"/>
            <w:color w:val="0000FF"/>
            <w:sz w:val="24"/>
            <w:szCs w:val="24"/>
            <w:u w:val="single"/>
            <w:rtl/>
          </w:rPr>
          <w:t>ת"פ (כ"ס) 3356/05</w:t>
        </w:r>
      </w:hyperlink>
      <w:r>
        <w:rPr>
          <w:rFonts w:ascii="David" w:hAnsi="David" w:cs="David" w:hint="cs"/>
          <w:sz w:val="24"/>
          <w:szCs w:val="24"/>
          <w:rtl/>
        </w:rPr>
        <w:t xml:space="preserve"> </w:t>
      </w:r>
      <w:r>
        <w:rPr>
          <w:rFonts w:ascii="David" w:hAnsi="David" w:cs="David" w:hint="cs"/>
          <w:b/>
          <w:bCs/>
          <w:sz w:val="24"/>
          <w:szCs w:val="24"/>
          <w:rtl/>
        </w:rPr>
        <w:t>מדינת ישראל נ' ולדלן</w:t>
      </w:r>
      <w:r>
        <w:rPr>
          <w:rFonts w:ascii="David" w:hAnsi="David" w:cs="David" w:hint="cs"/>
          <w:sz w:val="24"/>
          <w:szCs w:val="24"/>
          <w:rtl/>
        </w:rPr>
        <w:t xml:space="preserve"> (28.6.06)). </w:t>
      </w:r>
    </w:p>
    <w:p w14:paraId="5064B73A" w14:textId="77777777" w:rsidR="00DF1E42" w:rsidRDefault="00DF1E42" w:rsidP="00DF1E42">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לאור מדיניות הענישה ונסיבות העניין, אני קובעת כי מתחם העונש ההולם את העבירות מושא האישום הראשון בכתב האישום הראשון, נע בין מאסר לתקופה של 6 חודשים ובין מאסר לתקופה של 12 חודשים, לצד ענישה נלווית. מתחם העונש ההולם את העבירות מושא האישום השני בכתב האישום הראשון, נע בין מאסר לתקופה של מספר חודשים ובין מאסר לתקופה של 18 חודשים. מתחם העונש ההולם את העבירה מושא כתב האישום השני נע סביב מאסר על תנאי לצד ענישה נלווית.</w:t>
      </w:r>
    </w:p>
    <w:p w14:paraId="42D606E2" w14:textId="77777777" w:rsidR="00DF1E42" w:rsidRDefault="00DF1E42" w:rsidP="00DF1E42">
      <w:pPr>
        <w:spacing w:line="360" w:lineRule="auto"/>
        <w:jc w:val="both"/>
        <w:rPr>
          <w:rFonts w:ascii="David" w:hAnsi="David"/>
          <w:b/>
          <w:bCs/>
          <w:u w:val="single"/>
        </w:rPr>
      </w:pPr>
      <w:r>
        <w:rPr>
          <w:rFonts w:ascii="David" w:hAnsi="David" w:hint="cs"/>
          <w:b/>
          <w:bCs/>
          <w:u w:val="single"/>
          <w:rtl/>
        </w:rPr>
        <w:t>העונש ההולם בתוך המתחם</w:t>
      </w:r>
    </w:p>
    <w:p w14:paraId="27D2EBA3"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מתחם העונש ההולם בתוך המתחם, לקחתי בחשבון את הנסיבות הבאות אשר אינן קשורות בביצוע העבירות:</w:t>
      </w:r>
    </w:p>
    <w:p w14:paraId="61A69664" w14:textId="77777777" w:rsidR="00DF1E42" w:rsidRDefault="00DF1E42" w:rsidP="00DF1E42">
      <w:pPr>
        <w:spacing w:line="360" w:lineRule="auto"/>
        <w:ind w:left="509"/>
        <w:jc w:val="both"/>
        <w:rPr>
          <w:rFonts w:ascii="David" w:hAnsi="David"/>
        </w:rPr>
      </w:pPr>
      <w:r>
        <w:rPr>
          <w:rFonts w:ascii="David" w:hAnsi="David" w:hint="cs"/>
          <w:rtl/>
        </w:rPr>
        <w:t xml:space="preserve">לזכותו של הנאשם עומדת הודאתו במיוחס לו ונטילת אחריות על מעשיו; </w:t>
      </w:r>
    </w:p>
    <w:p w14:paraId="4EE473C9" w14:textId="77777777" w:rsidR="00DF1E42" w:rsidRDefault="00DF1E42" w:rsidP="00DF1E42">
      <w:pPr>
        <w:spacing w:line="360" w:lineRule="auto"/>
        <w:ind w:left="509"/>
        <w:jc w:val="both"/>
        <w:rPr>
          <w:rFonts w:ascii="David" w:hAnsi="David"/>
          <w:rtl/>
        </w:rPr>
      </w:pPr>
      <w:r>
        <w:rPr>
          <w:rFonts w:ascii="David" w:hAnsi="David" w:hint="cs"/>
          <w:rtl/>
        </w:rPr>
        <w:t xml:space="preserve">לחובתו של הנאשם עומד עברו הפלילי, הכולל בעיקר עבירות סמים ואלימות. </w:t>
      </w:r>
    </w:p>
    <w:p w14:paraId="2D3AD0B8" w14:textId="77777777" w:rsidR="00DF1E42" w:rsidRDefault="00DF1E42" w:rsidP="00DF1E42">
      <w:pPr>
        <w:spacing w:line="360" w:lineRule="auto"/>
        <w:ind w:left="509"/>
        <w:jc w:val="both"/>
        <w:rPr>
          <w:rFonts w:ascii="David" w:hAnsi="David"/>
        </w:rPr>
      </w:pPr>
      <w:r>
        <w:rPr>
          <w:rFonts w:ascii="David" w:hAnsi="David" w:hint="cs"/>
          <w:rtl/>
        </w:rPr>
        <w:t xml:space="preserve">מכאן, כי יש להטיל על הנאשם עונש שהוא בחלקו האמצעי של כל אחד ממתחמי העונש ההולם. </w:t>
      </w:r>
    </w:p>
    <w:p w14:paraId="4465EF7F"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לאור ריבוי העבירות הגעתי לכלל מסקנה, כי יש להטיל עונש כולל לכל האירועים, שיש בו כדי לבטא את מספר העבירות, תדירותן, הזיקה ביניהן והצורך לשמור על יחס הולם בין מכלול המעשים ומידת אשמו של הנאשם ובין העונש (</w:t>
      </w:r>
      <w:hyperlink r:id="rId45" w:history="1">
        <w:r w:rsidR="00376981" w:rsidRPr="00376981">
          <w:rPr>
            <w:rFonts w:ascii="David" w:hAnsi="David" w:cs="David"/>
            <w:color w:val="0000FF"/>
            <w:sz w:val="24"/>
            <w:szCs w:val="24"/>
            <w:u w:val="single"/>
            <w:rtl/>
          </w:rPr>
          <w:t>סעיף 40יג(ג)</w:t>
        </w:r>
      </w:hyperlink>
      <w:r>
        <w:rPr>
          <w:rFonts w:ascii="David" w:hAnsi="David" w:cs="David" w:hint="cs"/>
          <w:sz w:val="24"/>
          <w:szCs w:val="24"/>
          <w:rtl/>
        </w:rPr>
        <w:t xml:space="preserve"> ל</w:t>
      </w:r>
      <w:hyperlink r:id="rId46" w:history="1">
        <w:r w:rsidR="00CF2808" w:rsidRPr="00CF2808">
          <w:rPr>
            <w:rFonts w:ascii="David" w:hAnsi="David" w:cs="David"/>
            <w:color w:val="0000FF"/>
            <w:sz w:val="24"/>
            <w:szCs w:val="24"/>
            <w:u w:val="single"/>
            <w:rtl/>
          </w:rPr>
          <w:t>חוק העונשין</w:t>
        </w:r>
      </w:hyperlink>
      <w:r>
        <w:rPr>
          <w:rFonts w:ascii="David" w:hAnsi="David" w:cs="David" w:hint="cs"/>
          <w:sz w:val="24"/>
          <w:szCs w:val="24"/>
          <w:rtl/>
        </w:rPr>
        <w:t xml:space="preserve">). </w:t>
      </w:r>
    </w:p>
    <w:p w14:paraId="15A1AE03"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העונש ההולם כולל, אפוא, מאסר בפועל, מאסר על תנאי, ורכיבי הענישה כלכליים שיש בהם כדי לבטא את הנזקים שגרם הנאשם.</w:t>
      </w:r>
    </w:p>
    <w:p w14:paraId="769D5884" w14:textId="77777777" w:rsidR="00DF1E42" w:rsidRDefault="00DF1E42" w:rsidP="00DF1E42">
      <w:pPr>
        <w:spacing w:line="360" w:lineRule="auto"/>
        <w:jc w:val="both"/>
        <w:rPr>
          <w:rFonts w:ascii="David" w:hAnsi="David"/>
          <w:b/>
          <w:bCs/>
          <w:u w:val="single"/>
        </w:rPr>
      </w:pPr>
    </w:p>
    <w:p w14:paraId="0D59BF56" w14:textId="77777777" w:rsidR="00DF1E42" w:rsidRDefault="00DF1E42" w:rsidP="00DF1E42">
      <w:pPr>
        <w:spacing w:line="360" w:lineRule="auto"/>
        <w:jc w:val="both"/>
        <w:rPr>
          <w:rFonts w:ascii="David" w:hAnsi="David"/>
          <w:b/>
          <w:bCs/>
          <w:u w:val="single"/>
          <w:rtl/>
        </w:rPr>
      </w:pPr>
      <w:r>
        <w:rPr>
          <w:rFonts w:ascii="David" w:hAnsi="David" w:hint="cs"/>
          <w:b/>
          <w:bCs/>
          <w:u w:val="single"/>
          <w:rtl/>
        </w:rPr>
        <w:t>סוף דבר</w:t>
      </w:r>
    </w:p>
    <w:p w14:paraId="470DF1A0" w14:textId="77777777" w:rsidR="00DF1E42" w:rsidRDefault="00DF1E42" w:rsidP="00DF1E42">
      <w:pPr>
        <w:pStyle w:val="a9"/>
        <w:numPr>
          <w:ilvl w:val="0"/>
          <w:numId w:val="1"/>
        </w:numPr>
        <w:spacing w:line="360" w:lineRule="auto"/>
        <w:ind w:left="509" w:hanging="509"/>
        <w:jc w:val="both"/>
        <w:rPr>
          <w:rFonts w:ascii="David" w:hAnsi="David" w:cs="David"/>
          <w:sz w:val="24"/>
          <w:szCs w:val="24"/>
          <w:rtl/>
        </w:rPr>
      </w:pPr>
      <w:r>
        <w:rPr>
          <w:rFonts w:ascii="David" w:hAnsi="David" w:cs="David" w:hint="cs"/>
          <w:b/>
          <w:bCs/>
          <w:sz w:val="24"/>
          <w:szCs w:val="24"/>
          <w:rtl/>
        </w:rPr>
        <w:t>לפיכך, אני גוזרת על הנאשם את העונשים הבאים:</w:t>
      </w:r>
    </w:p>
    <w:p w14:paraId="7CFB677B"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מאסר לתקופה של 18 חודשים, בניכוי ימי מעצרו מיום 4.3.18 עד ליום 16.7.18 ומיום 31.8.18 עד היום;</w:t>
      </w:r>
    </w:p>
    <w:p w14:paraId="53BDCA26"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מאסר על תנאי למשך 6 חודשים, והתנאי הוא שבמשך 3 שנים מיום שחרורו לא יעבור כל עבירת רכוש, ועבירת סמים מסוג פשע.</w:t>
      </w:r>
    </w:p>
    <w:p w14:paraId="3301065F"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מאסר על תנאי למשך 3 חודשים, והתנאי הוא שבמשך 3 שנים מיום שחרורו לא יעבור כל עבירת רכוש ועבירת סמים מסוג עוון.</w:t>
      </w:r>
    </w:p>
    <w:p w14:paraId="495E39EF"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מאסר על תנאי למשך 2 חודשים, והתנאי הוא שבמשך 3 שנים מהיום לא יעבור כל עבירה של הפרת הוראה חוקית או עבירה של בריחה ממשמורת חוקית.</w:t>
      </w:r>
    </w:p>
    <w:p w14:paraId="3EE17458"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קנס בסכום של 1,000 ₪ או 10 ימי מאסר תמורתו. את הקנס ישלם הנאשם ב-4 תשלומים שווים, הראשון ביום 1.2.19 והיתרה ב-1 לכל חודש קלנדרי שלאחר מכן.</w:t>
      </w:r>
    </w:p>
    <w:p w14:paraId="6A392ABC" w14:textId="77777777" w:rsidR="00DF1E42" w:rsidRDefault="00DF1E42" w:rsidP="00DF1E42">
      <w:pPr>
        <w:pStyle w:val="a9"/>
        <w:numPr>
          <w:ilvl w:val="0"/>
          <w:numId w:val="4"/>
        </w:numPr>
        <w:spacing w:line="360" w:lineRule="auto"/>
        <w:jc w:val="both"/>
        <w:rPr>
          <w:rFonts w:ascii="David" w:hAnsi="David" w:cs="David"/>
          <w:sz w:val="24"/>
          <w:szCs w:val="24"/>
        </w:rPr>
      </w:pPr>
      <w:r>
        <w:rPr>
          <w:rFonts w:ascii="David" w:hAnsi="David" w:cs="David" w:hint="cs"/>
          <w:sz w:val="24"/>
          <w:szCs w:val="24"/>
          <w:rtl/>
        </w:rPr>
        <w:t>פיצוי למתלונן, עד תביעה 1, שלמה אלון בסכום 1,000 ₪. את הפיצוי ישלם הנאשם ב-2 תשלומים. הראשון ביום 1.2.19 והשני ביום 1.3.19.</w:t>
      </w:r>
    </w:p>
    <w:p w14:paraId="2E29552D" w14:textId="77777777" w:rsidR="00DF1E42" w:rsidRDefault="00DF1E42" w:rsidP="00DF1E42">
      <w:pPr>
        <w:spacing w:line="360" w:lineRule="auto"/>
        <w:jc w:val="both"/>
        <w:rPr>
          <w:rFonts w:ascii="David" w:hAnsi="David"/>
        </w:rPr>
      </w:pPr>
      <w:r>
        <w:rPr>
          <w:rFonts w:ascii="David" w:hAnsi="David" w:hint="cs"/>
          <w:rtl/>
        </w:rPr>
        <w:t>ניתן צו להשמדת הסמים.</w:t>
      </w:r>
    </w:p>
    <w:p w14:paraId="02B561E3" w14:textId="77777777" w:rsidR="00DF1E42" w:rsidRDefault="00DF1E42" w:rsidP="00DF1E42">
      <w:pPr>
        <w:spacing w:line="360" w:lineRule="auto"/>
        <w:jc w:val="both"/>
        <w:rPr>
          <w:rFonts w:ascii="David" w:hAnsi="David"/>
          <w:b/>
          <w:bCs/>
          <w:rtl/>
        </w:rPr>
      </w:pPr>
    </w:p>
    <w:p w14:paraId="03790055" w14:textId="77777777" w:rsidR="00DF1E42" w:rsidRDefault="00DF1E42" w:rsidP="00DF1E42">
      <w:pPr>
        <w:spacing w:line="360" w:lineRule="auto"/>
        <w:jc w:val="both"/>
        <w:rPr>
          <w:rFonts w:ascii="David" w:hAnsi="David"/>
          <w:b/>
          <w:bCs/>
        </w:rPr>
      </w:pPr>
      <w:r>
        <w:rPr>
          <w:rFonts w:ascii="David" w:hAnsi="David" w:hint="cs"/>
          <w:b/>
          <w:bCs/>
          <w:rtl/>
        </w:rPr>
        <w:t>זכות ערעור כחוק תוך 45 ימים.</w:t>
      </w:r>
    </w:p>
    <w:p w14:paraId="540E7F91" w14:textId="77777777" w:rsidR="00DF1E42" w:rsidRPr="00B05847" w:rsidRDefault="00DF1E42" w:rsidP="00DF1E42">
      <w:pPr>
        <w:rPr>
          <w:rtl/>
        </w:rPr>
      </w:pPr>
    </w:p>
    <w:p w14:paraId="4B40C178" w14:textId="77777777" w:rsidR="00DF1E42" w:rsidRPr="00CF2808" w:rsidRDefault="00CF2808" w:rsidP="00DF1E42">
      <w:pPr>
        <w:rPr>
          <w:color w:val="FFFFFF"/>
          <w:sz w:val="2"/>
          <w:szCs w:val="2"/>
          <w:rtl/>
        </w:rPr>
      </w:pPr>
      <w:r w:rsidRPr="00CF2808">
        <w:rPr>
          <w:color w:val="FFFFFF"/>
          <w:sz w:val="2"/>
          <w:szCs w:val="2"/>
          <w:rtl/>
        </w:rPr>
        <w:t>5129371</w:t>
      </w:r>
    </w:p>
    <w:p w14:paraId="0E4B076B" w14:textId="77777777" w:rsidR="00DF1E42" w:rsidRPr="005D0636" w:rsidRDefault="00CF2808" w:rsidP="00DF1E42">
      <w:pPr>
        <w:rPr>
          <w:rFonts w:cs="FrankRuehl"/>
          <w:sz w:val="28"/>
          <w:szCs w:val="28"/>
          <w:rtl/>
        </w:rPr>
      </w:pPr>
      <w:r w:rsidRPr="00CF2808">
        <w:rPr>
          <w:rFonts w:ascii="Arial" w:hAnsi="Arial"/>
          <w:color w:val="FFFFFF"/>
          <w:sz w:val="2"/>
          <w:szCs w:val="2"/>
          <w:rtl/>
        </w:rPr>
        <w:t>54678313</w:t>
      </w:r>
      <w:r>
        <w:rPr>
          <w:rFonts w:ascii="Arial" w:hAnsi="Arial"/>
          <w:rtl/>
        </w:rPr>
        <w:t xml:space="preserve">ניתן היום,  ד' טבת תשע"ט, 12 דצמבר 2018, במעמד הצדדים. </w:t>
      </w:r>
    </w:p>
    <w:p w14:paraId="6F6839C8" w14:textId="77777777" w:rsidR="00DF1E42" w:rsidRDefault="00DF1E42" w:rsidP="00DF1E4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C7DAA6A" w14:textId="77777777" w:rsidR="00DF1E42" w:rsidRDefault="00DF1E42" w:rsidP="00DF1E42">
      <w:pPr>
        <w:jc w:val="center"/>
        <w:rPr>
          <w:rFonts w:ascii="Arial" w:hAnsi="Arial" w:cs="FrankRuehl"/>
          <w:sz w:val="28"/>
          <w:szCs w:val="28"/>
          <w:rtl/>
        </w:rPr>
      </w:pPr>
    </w:p>
    <w:p w14:paraId="4BFF689E" w14:textId="77777777" w:rsidR="00DF1E42" w:rsidRDefault="00DF1E42" w:rsidP="00DF1E42">
      <w:pPr>
        <w:rPr>
          <w:rFonts w:cs="FrankRuehl"/>
          <w:sz w:val="28"/>
          <w:szCs w:val="28"/>
          <w:rtl/>
        </w:rPr>
      </w:pPr>
    </w:p>
    <w:p w14:paraId="205D5383" w14:textId="77777777" w:rsidR="00DF1E42" w:rsidRDefault="00DF1E42" w:rsidP="00DF1E42">
      <w:pPr>
        <w:pStyle w:val="a3"/>
        <w:jc w:val="center"/>
        <w:rPr>
          <w:rtl/>
        </w:rPr>
      </w:pPr>
    </w:p>
    <w:p w14:paraId="37598176" w14:textId="77777777" w:rsidR="00BE0818" w:rsidRPr="00CF2808" w:rsidRDefault="00BE0818" w:rsidP="00CF2808">
      <w:pPr>
        <w:keepNext/>
        <w:rPr>
          <w:rFonts w:ascii="David" w:hAnsi="David"/>
          <w:color w:val="000000"/>
          <w:sz w:val="22"/>
          <w:szCs w:val="22"/>
          <w:rtl/>
        </w:rPr>
      </w:pPr>
    </w:p>
    <w:p w14:paraId="7FC86088" w14:textId="77777777" w:rsidR="00CF2808" w:rsidRPr="00CF2808" w:rsidRDefault="00CF2808" w:rsidP="00CF2808">
      <w:pPr>
        <w:keepNext/>
        <w:rPr>
          <w:rFonts w:ascii="David" w:hAnsi="David"/>
          <w:color w:val="000000"/>
          <w:sz w:val="22"/>
          <w:szCs w:val="22"/>
          <w:rtl/>
        </w:rPr>
      </w:pPr>
      <w:r w:rsidRPr="00CF2808">
        <w:rPr>
          <w:rFonts w:ascii="David" w:hAnsi="David"/>
          <w:color w:val="000000"/>
          <w:sz w:val="22"/>
          <w:szCs w:val="22"/>
          <w:rtl/>
        </w:rPr>
        <w:t>ה אפרת פינק 54678313</w:t>
      </w:r>
    </w:p>
    <w:p w14:paraId="452C4B59" w14:textId="77777777" w:rsidR="00CF2808" w:rsidRDefault="00CF2808" w:rsidP="00CF2808">
      <w:r w:rsidRPr="00CF2808">
        <w:rPr>
          <w:color w:val="000000"/>
          <w:rtl/>
        </w:rPr>
        <w:t>נוסח מסמך זה כפוף לשינויי ניסוח ועריכה</w:t>
      </w:r>
    </w:p>
    <w:p w14:paraId="4F537E9B" w14:textId="77777777" w:rsidR="00CF2808" w:rsidRDefault="00CF2808" w:rsidP="00CF2808">
      <w:pPr>
        <w:rPr>
          <w:rtl/>
        </w:rPr>
      </w:pPr>
    </w:p>
    <w:p w14:paraId="512CE204" w14:textId="77777777" w:rsidR="00CF2808" w:rsidRDefault="00CF2808" w:rsidP="00CF2808">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1E787E6" w14:textId="77777777" w:rsidR="00CF2808" w:rsidRPr="00CF2808" w:rsidRDefault="00CF2808" w:rsidP="00CF2808">
      <w:pPr>
        <w:jc w:val="center"/>
        <w:rPr>
          <w:color w:val="0000FF"/>
          <w:u w:val="single"/>
        </w:rPr>
      </w:pPr>
    </w:p>
    <w:sectPr w:rsidR="00CF2808" w:rsidRPr="00CF2808" w:rsidSect="00CF280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DB973" w14:textId="77777777" w:rsidR="00387DF4" w:rsidRDefault="00387DF4" w:rsidP="005E7503">
      <w:r>
        <w:separator/>
      </w:r>
    </w:p>
  </w:endnote>
  <w:endnote w:type="continuationSeparator" w:id="0">
    <w:p w14:paraId="19D44727" w14:textId="77777777" w:rsidR="00387DF4" w:rsidRDefault="00387DF4" w:rsidP="005E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89F30" w14:textId="77777777" w:rsidR="00CF2808" w:rsidRDefault="00CF2808" w:rsidP="00CF2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4FA8D0" w14:textId="77777777" w:rsidR="00CB0BCB" w:rsidRPr="00CF2808" w:rsidRDefault="00CF2808" w:rsidP="00CF2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A1C4A" w14:textId="77777777" w:rsidR="00CF2808" w:rsidRDefault="00CF2808" w:rsidP="00CF2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3230">
      <w:rPr>
        <w:rFonts w:ascii="FrankRuehl" w:hAnsi="FrankRuehl" w:cs="FrankRuehl"/>
        <w:noProof/>
        <w:rtl/>
      </w:rPr>
      <w:t>1</w:t>
    </w:r>
    <w:r>
      <w:rPr>
        <w:rFonts w:ascii="FrankRuehl" w:hAnsi="FrankRuehl" w:cs="FrankRuehl"/>
        <w:rtl/>
      </w:rPr>
      <w:fldChar w:fldCharType="end"/>
    </w:r>
  </w:p>
  <w:p w14:paraId="1C5C15AE" w14:textId="77777777" w:rsidR="00CB0BCB" w:rsidRPr="00CF2808" w:rsidRDefault="00CF2808" w:rsidP="00CF2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DFE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A13A1" w14:textId="77777777" w:rsidR="00387DF4" w:rsidRDefault="00387DF4" w:rsidP="005E7503">
      <w:r>
        <w:separator/>
      </w:r>
    </w:p>
  </w:footnote>
  <w:footnote w:type="continuationSeparator" w:id="0">
    <w:p w14:paraId="11DB435D" w14:textId="77777777" w:rsidR="00387DF4" w:rsidRDefault="00387DF4" w:rsidP="005E7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16728" w14:textId="77777777" w:rsidR="00CF2808" w:rsidRPr="00CF2808" w:rsidRDefault="00CF2808" w:rsidP="00CF2808">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(רח') 33183-03-18</w:t>
    </w:r>
    <w:r>
      <w:rPr>
        <w:rFonts w:ascii="David" w:hAnsi="David"/>
        <w:color w:val="000000"/>
        <w:sz w:val="22"/>
        <w:szCs w:val="22"/>
        <w:rtl/>
      </w:rPr>
      <w:tab/>
      <w:t xml:space="preserve"> מדינת ישראל נ' עמאד אלקאדי  הובא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A88C" w14:textId="77777777" w:rsidR="00CF2808" w:rsidRPr="00CF2808" w:rsidRDefault="00CF2808" w:rsidP="00CF28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33183-03-18</w:t>
    </w:r>
    <w:r>
      <w:rPr>
        <w:rFonts w:ascii="David" w:hAnsi="David"/>
        <w:color w:val="000000"/>
        <w:sz w:val="22"/>
        <w:szCs w:val="22"/>
        <w:rtl/>
      </w:rPr>
      <w:tab/>
      <w:t xml:space="preserve"> מדינת ישראל נ' עמאד אלקאדי  הובא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D5127"/>
    <w:multiLevelType w:val="hybridMultilevel"/>
    <w:tmpl w:val="1C2C47E0"/>
    <w:lvl w:ilvl="0" w:tplc="6082D7B0">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F723C07"/>
    <w:multiLevelType w:val="hybridMultilevel"/>
    <w:tmpl w:val="8C9CAFA4"/>
    <w:lvl w:ilvl="0" w:tplc="520879EA">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59B671D1"/>
    <w:multiLevelType w:val="hybridMultilevel"/>
    <w:tmpl w:val="FB6E5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AEB22F7"/>
    <w:multiLevelType w:val="hybridMultilevel"/>
    <w:tmpl w:val="4008F468"/>
    <w:lvl w:ilvl="0" w:tplc="42C63B38">
      <w:start w:val="1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171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9016306">
    <w:abstractNumId w:val="0"/>
  </w:num>
  <w:num w:numId="3" w16cid:durableId="207107845">
    <w:abstractNumId w:val="3"/>
  </w:num>
  <w:num w:numId="4" w16cid:durableId="1927683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1E42"/>
    <w:rsid w:val="00376981"/>
    <w:rsid w:val="00381020"/>
    <w:rsid w:val="00387DF4"/>
    <w:rsid w:val="00593E07"/>
    <w:rsid w:val="005E7503"/>
    <w:rsid w:val="006E5C09"/>
    <w:rsid w:val="00BE0818"/>
    <w:rsid w:val="00CB0BCB"/>
    <w:rsid w:val="00CF2808"/>
    <w:rsid w:val="00D33230"/>
    <w:rsid w:val="00DF1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EBD725"/>
  <w15:chartTrackingRefBased/>
  <w15:docId w15:val="{78802A40-F81A-491C-AE18-B9A88A19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E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1E42"/>
    <w:pPr>
      <w:tabs>
        <w:tab w:val="center" w:pos="4153"/>
        <w:tab w:val="right" w:pos="8306"/>
      </w:tabs>
    </w:pPr>
  </w:style>
  <w:style w:type="character" w:customStyle="1" w:styleId="a4">
    <w:name w:val="כותרת עליונה תו"/>
    <w:link w:val="a3"/>
    <w:rsid w:val="00DF1E42"/>
    <w:rPr>
      <w:rFonts w:ascii="Times New Roman" w:eastAsia="Times New Roman" w:hAnsi="Times New Roman" w:cs="David"/>
      <w:sz w:val="24"/>
      <w:szCs w:val="24"/>
    </w:rPr>
  </w:style>
  <w:style w:type="paragraph" w:styleId="a5">
    <w:name w:val="footer"/>
    <w:basedOn w:val="a"/>
    <w:link w:val="a6"/>
    <w:rsid w:val="00DF1E42"/>
    <w:pPr>
      <w:tabs>
        <w:tab w:val="center" w:pos="4153"/>
        <w:tab w:val="right" w:pos="8306"/>
      </w:tabs>
    </w:pPr>
  </w:style>
  <w:style w:type="character" w:customStyle="1" w:styleId="a6">
    <w:name w:val="כותרת תחתונה תו"/>
    <w:link w:val="a5"/>
    <w:rsid w:val="00DF1E42"/>
    <w:rPr>
      <w:rFonts w:ascii="Times New Roman" w:eastAsia="Times New Roman" w:hAnsi="Times New Roman" w:cs="David"/>
      <w:sz w:val="24"/>
      <w:szCs w:val="24"/>
    </w:rPr>
  </w:style>
  <w:style w:type="table" w:styleId="a7">
    <w:name w:val="Table Grid"/>
    <w:basedOn w:val="a1"/>
    <w:rsid w:val="00DF1E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1E42"/>
  </w:style>
  <w:style w:type="paragraph" w:styleId="a9">
    <w:name w:val="List Paragraph"/>
    <w:basedOn w:val="a"/>
    <w:qFormat/>
    <w:rsid w:val="00DF1E42"/>
    <w:pPr>
      <w:spacing w:after="160" w:line="256" w:lineRule="auto"/>
      <w:ind w:left="720"/>
      <w:contextualSpacing/>
    </w:pPr>
    <w:rPr>
      <w:rFonts w:ascii="Calibri" w:eastAsia="Calibri" w:hAnsi="Calibri" w:cs="Arial"/>
      <w:sz w:val="22"/>
      <w:szCs w:val="22"/>
    </w:rPr>
  </w:style>
  <w:style w:type="character" w:styleId="Hyperlink">
    <w:name w:val="Hyperlink"/>
    <w:rsid w:val="00CF28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960133" TargetMode="External"/><Relationship Id="rId39" Type="http://schemas.openxmlformats.org/officeDocument/2006/relationships/hyperlink" Target="http://www.nevo.co.il/case/8280957"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11223528" TargetMode="External"/><Relationship Id="rId42" Type="http://schemas.openxmlformats.org/officeDocument/2006/relationships/hyperlink" Target="http://www.nevo.co.il/case/7677960"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3791751" TargetMode="External"/><Relationship Id="rId29" Type="http://schemas.openxmlformats.org/officeDocument/2006/relationships/hyperlink" Target="http://www.nevo.co.il/case/23791752"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70301/257.1" TargetMode="External"/><Relationship Id="rId32" Type="http://schemas.openxmlformats.org/officeDocument/2006/relationships/hyperlink" Target="http://www.nevo.co.il/case/6017061" TargetMode="External"/><Relationship Id="rId37" Type="http://schemas.openxmlformats.org/officeDocument/2006/relationships/hyperlink" Target="http://www.nevo.co.il/case/16953967" TargetMode="External"/><Relationship Id="rId40" Type="http://schemas.openxmlformats.org/officeDocument/2006/relationships/hyperlink" Target="http://www.nevo.co.il/case/7953296" TargetMode="External"/><Relationship Id="rId45" Type="http://schemas.openxmlformats.org/officeDocument/2006/relationships/hyperlink" Target="http://www.nevo.co.il/law/70301/40jc.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287.a" TargetMode="External"/><Relationship Id="rId19" Type="http://schemas.openxmlformats.org/officeDocument/2006/relationships/hyperlink" Target="http://www.nevo.co.il/law/70301/406.b" TargetMode="External"/><Relationship Id="rId31" Type="http://schemas.openxmlformats.org/officeDocument/2006/relationships/hyperlink" Target="http://www.nevo.co.il/case/16999522" TargetMode="External"/><Relationship Id="rId44" Type="http://schemas.openxmlformats.org/officeDocument/2006/relationships/hyperlink" Target="http://www.nevo.co.il/case/152203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57.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287.a" TargetMode="External"/><Relationship Id="rId30" Type="http://schemas.openxmlformats.org/officeDocument/2006/relationships/hyperlink" Target="http://www.nevo.co.il/case/20778875" TargetMode="External"/><Relationship Id="rId35" Type="http://schemas.openxmlformats.org/officeDocument/2006/relationships/hyperlink" Target="http://www.nevo.co.il/case/6051623" TargetMode="External"/><Relationship Id="rId43" Type="http://schemas.openxmlformats.org/officeDocument/2006/relationships/hyperlink" Target="http://www.nevo.co.il/case/4659043" TargetMode="External"/><Relationship Id="rId48"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jc.c"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6877838" TargetMode="External"/><Relationship Id="rId38" Type="http://schemas.openxmlformats.org/officeDocument/2006/relationships/hyperlink" Target="http://www.nevo.co.il/case/11212337"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25" TargetMode="External"/><Relationship Id="rId41" Type="http://schemas.openxmlformats.org/officeDocument/2006/relationships/hyperlink" Target="http://www.nevo.co.il/case/778778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222040"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2096</Words>
  <Characters>10480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12551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6619173</vt:i4>
      </vt:variant>
      <vt:variant>
        <vt:i4>114</vt:i4>
      </vt:variant>
      <vt:variant>
        <vt:i4>0</vt:i4>
      </vt:variant>
      <vt:variant>
        <vt:i4>5</vt:i4>
      </vt:variant>
      <vt:variant>
        <vt:lpwstr>http://www.nevo.co.il/law/70301/40jc.c</vt:lpwstr>
      </vt:variant>
      <vt:variant>
        <vt:lpwstr/>
      </vt:variant>
      <vt:variant>
        <vt:i4>3276912</vt:i4>
      </vt:variant>
      <vt:variant>
        <vt:i4>111</vt:i4>
      </vt:variant>
      <vt:variant>
        <vt:i4>0</vt:i4>
      </vt:variant>
      <vt:variant>
        <vt:i4>5</vt:i4>
      </vt:variant>
      <vt:variant>
        <vt:lpwstr>http://www.nevo.co.il/case/1522031</vt:lpwstr>
      </vt:variant>
      <vt:variant>
        <vt:lpwstr/>
      </vt:variant>
      <vt:variant>
        <vt:i4>3276927</vt:i4>
      </vt:variant>
      <vt:variant>
        <vt:i4>108</vt:i4>
      </vt:variant>
      <vt:variant>
        <vt:i4>0</vt:i4>
      </vt:variant>
      <vt:variant>
        <vt:i4>5</vt:i4>
      </vt:variant>
      <vt:variant>
        <vt:lpwstr>http://www.nevo.co.il/case/4659043</vt:lpwstr>
      </vt:variant>
      <vt:variant>
        <vt:lpwstr/>
      </vt:variant>
      <vt:variant>
        <vt:i4>3735667</vt:i4>
      </vt:variant>
      <vt:variant>
        <vt:i4>105</vt:i4>
      </vt:variant>
      <vt:variant>
        <vt:i4>0</vt:i4>
      </vt:variant>
      <vt:variant>
        <vt:i4>5</vt:i4>
      </vt:variant>
      <vt:variant>
        <vt:lpwstr>http://www.nevo.co.il/case/7677960</vt:lpwstr>
      </vt:variant>
      <vt:variant>
        <vt:lpwstr/>
      </vt:variant>
      <vt:variant>
        <vt:i4>3801212</vt:i4>
      </vt:variant>
      <vt:variant>
        <vt:i4>102</vt:i4>
      </vt:variant>
      <vt:variant>
        <vt:i4>0</vt:i4>
      </vt:variant>
      <vt:variant>
        <vt:i4>5</vt:i4>
      </vt:variant>
      <vt:variant>
        <vt:lpwstr>http://www.nevo.co.il/case/7787782</vt:lpwstr>
      </vt:variant>
      <vt:variant>
        <vt:lpwstr/>
      </vt:variant>
      <vt:variant>
        <vt:i4>3539063</vt:i4>
      </vt:variant>
      <vt:variant>
        <vt:i4>99</vt:i4>
      </vt:variant>
      <vt:variant>
        <vt:i4>0</vt:i4>
      </vt:variant>
      <vt:variant>
        <vt:i4>5</vt:i4>
      </vt:variant>
      <vt:variant>
        <vt:lpwstr>http://www.nevo.co.il/case/7953296</vt:lpwstr>
      </vt:variant>
      <vt:variant>
        <vt:lpwstr/>
      </vt:variant>
      <vt:variant>
        <vt:i4>4063347</vt:i4>
      </vt:variant>
      <vt:variant>
        <vt:i4>96</vt:i4>
      </vt:variant>
      <vt:variant>
        <vt:i4>0</vt:i4>
      </vt:variant>
      <vt:variant>
        <vt:i4>5</vt:i4>
      </vt:variant>
      <vt:variant>
        <vt:lpwstr>http://www.nevo.co.il/case/8280957</vt:lpwstr>
      </vt:variant>
      <vt:variant>
        <vt:lpwstr/>
      </vt:variant>
      <vt:variant>
        <vt:i4>3276919</vt:i4>
      </vt:variant>
      <vt:variant>
        <vt:i4>93</vt:i4>
      </vt:variant>
      <vt:variant>
        <vt:i4>0</vt:i4>
      </vt:variant>
      <vt:variant>
        <vt:i4>5</vt:i4>
      </vt:variant>
      <vt:variant>
        <vt:lpwstr>http://www.nevo.co.il/case/11212337</vt:lpwstr>
      </vt:variant>
      <vt:variant>
        <vt:lpwstr/>
      </vt:variant>
      <vt:variant>
        <vt:i4>3997822</vt:i4>
      </vt:variant>
      <vt:variant>
        <vt:i4>90</vt:i4>
      </vt:variant>
      <vt:variant>
        <vt:i4>0</vt:i4>
      </vt:variant>
      <vt:variant>
        <vt:i4>5</vt:i4>
      </vt:variant>
      <vt:variant>
        <vt:lpwstr>http://www.nevo.co.il/case/16953967</vt:lpwstr>
      </vt:variant>
      <vt:variant>
        <vt:lpwstr/>
      </vt:variant>
      <vt:variant>
        <vt:i4>3539062</vt:i4>
      </vt:variant>
      <vt:variant>
        <vt:i4>87</vt:i4>
      </vt:variant>
      <vt:variant>
        <vt:i4>0</vt:i4>
      </vt:variant>
      <vt:variant>
        <vt:i4>5</vt:i4>
      </vt:variant>
      <vt:variant>
        <vt:lpwstr>http://www.nevo.co.il/case/20222040</vt:lpwstr>
      </vt:variant>
      <vt:variant>
        <vt:lpwstr/>
      </vt:variant>
      <vt:variant>
        <vt:i4>3539063</vt:i4>
      </vt:variant>
      <vt:variant>
        <vt:i4>84</vt:i4>
      </vt:variant>
      <vt:variant>
        <vt:i4>0</vt:i4>
      </vt:variant>
      <vt:variant>
        <vt:i4>5</vt:i4>
      </vt:variant>
      <vt:variant>
        <vt:lpwstr>http://www.nevo.co.il/case/6051623</vt:lpwstr>
      </vt:variant>
      <vt:variant>
        <vt:lpwstr/>
      </vt:variant>
      <vt:variant>
        <vt:i4>3276914</vt:i4>
      </vt:variant>
      <vt:variant>
        <vt:i4>81</vt:i4>
      </vt:variant>
      <vt:variant>
        <vt:i4>0</vt:i4>
      </vt:variant>
      <vt:variant>
        <vt:i4>5</vt:i4>
      </vt:variant>
      <vt:variant>
        <vt:lpwstr>http://www.nevo.co.il/case/11223528</vt:lpwstr>
      </vt:variant>
      <vt:variant>
        <vt:lpwstr/>
      </vt:variant>
      <vt:variant>
        <vt:i4>3997821</vt:i4>
      </vt:variant>
      <vt:variant>
        <vt:i4>78</vt:i4>
      </vt:variant>
      <vt:variant>
        <vt:i4>0</vt:i4>
      </vt:variant>
      <vt:variant>
        <vt:i4>5</vt:i4>
      </vt:variant>
      <vt:variant>
        <vt:lpwstr>http://www.nevo.co.il/case/16877838</vt:lpwstr>
      </vt:variant>
      <vt:variant>
        <vt:lpwstr/>
      </vt:variant>
      <vt:variant>
        <vt:i4>3539061</vt:i4>
      </vt:variant>
      <vt:variant>
        <vt:i4>75</vt:i4>
      </vt:variant>
      <vt:variant>
        <vt:i4>0</vt:i4>
      </vt:variant>
      <vt:variant>
        <vt:i4>5</vt:i4>
      </vt:variant>
      <vt:variant>
        <vt:lpwstr>http://www.nevo.co.il/case/6017061</vt:lpwstr>
      </vt:variant>
      <vt:variant>
        <vt:lpwstr/>
      </vt:variant>
      <vt:variant>
        <vt:i4>3342462</vt:i4>
      </vt:variant>
      <vt:variant>
        <vt:i4>72</vt:i4>
      </vt:variant>
      <vt:variant>
        <vt:i4>0</vt:i4>
      </vt:variant>
      <vt:variant>
        <vt:i4>5</vt:i4>
      </vt:variant>
      <vt:variant>
        <vt:lpwstr>http://www.nevo.co.il/case/16999522</vt:lpwstr>
      </vt:variant>
      <vt:variant>
        <vt:lpwstr/>
      </vt:variant>
      <vt:variant>
        <vt:i4>3801211</vt:i4>
      </vt:variant>
      <vt:variant>
        <vt:i4>69</vt:i4>
      </vt:variant>
      <vt:variant>
        <vt:i4>0</vt:i4>
      </vt:variant>
      <vt:variant>
        <vt:i4>5</vt:i4>
      </vt:variant>
      <vt:variant>
        <vt:lpwstr>http://www.nevo.co.il/case/20778875</vt:lpwstr>
      </vt:variant>
      <vt:variant>
        <vt:lpwstr/>
      </vt:variant>
      <vt:variant>
        <vt:i4>3211385</vt:i4>
      </vt:variant>
      <vt:variant>
        <vt:i4>66</vt:i4>
      </vt:variant>
      <vt:variant>
        <vt:i4>0</vt:i4>
      </vt:variant>
      <vt:variant>
        <vt:i4>5</vt:i4>
      </vt:variant>
      <vt:variant>
        <vt:lpwstr>http://www.nevo.co.il/case/23791752</vt:lpwstr>
      </vt:variant>
      <vt:variant>
        <vt:lpwstr/>
      </vt:variant>
      <vt:variant>
        <vt:i4>7995492</vt:i4>
      </vt:variant>
      <vt:variant>
        <vt:i4>63</vt:i4>
      </vt:variant>
      <vt:variant>
        <vt:i4>0</vt:i4>
      </vt:variant>
      <vt:variant>
        <vt:i4>5</vt:i4>
      </vt:variant>
      <vt:variant>
        <vt:lpwstr>http://www.nevo.co.il/law/70301</vt:lpwstr>
      </vt:variant>
      <vt:variant>
        <vt:lpwstr/>
      </vt:variant>
      <vt:variant>
        <vt:i4>4390992</vt:i4>
      </vt:variant>
      <vt:variant>
        <vt:i4>60</vt:i4>
      </vt:variant>
      <vt:variant>
        <vt:i4>0</vt:i4>
      </vt:variant>
      <vt:variant>
        <vt:i4>5</vt:i4>
      </vt:variant>
      <vt:variant>
        <vt:lpwstr>http://www.nevo.co.il/law/70301/287.a</vt:lpwstr>
      </vt:variant>
      <vt:variant>
        <vt:lpwstr/>
      </vt:variant>
      <vt:variant>
        <vt:i4>3670135</vt:i4>
      </vt:variant>
      <vt:variant>
        <vt:i4>57</vt:i4>
      </vt:variant>
      <vt:variant>
        <vt:i4>0</vt:i4>
      </vt:variant>
      <vt:variant>
        <vt:i4>5</vt:i4>
      </vt:variant>
      <vt:variant>
        <vt:lpwstr>http://www.nevo.co.il/case/24960133</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5111888</vt:i4>
      </vt:variant>
      <vt:variant>
        <vt:i4>51</vt:i4>
      </vt:variant>
      <vt:variant>
        <vt:i4>0</vt:i4>
      </vt:variant>
      <vt:variant>
        <vt:i4>5</vt:i4>
      </vt:variant>
      <vt:variant>
        <vt:lpwstr>http://www.nevo.co.il/law/70301/257.1</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4915287</vt:i4>
      </vt:variant>
      <vt:variant>
        <vt:i4>36</vt:i4>
      </vt:variant>
      <vt:variant>
        <vt:i4>0</vt:i4>
      </vt:variant>
      <vt:variant>
        <vt:i4>5</vt:i4>
      </vt:variant>
      <vt:variant>
        <vt:lpwstr>http://www.nevo.co.il/law/70301/406.b</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3211385</vt:i4>
      </vt:variant>
      <vt:variant>
        <vt:i4>27</vt:i4>
      </vt:variant>
      <vt:variant>
        <vt:i4>0</vt:i4>
      </vt:variant>
      <vt:variant>
        <vt:i4>5</vt:i4>
      </vt:variant>
      <vt:variant>
        <vt:lpwstr>http://www.nevo.co.il/case/23791751</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6619173</vt:i4>
      </vt:variant>
      <vt:variant>
        <vt:i4>15</vt:i4>
      </vt:variant>
      <vt:variant>
        <vt:i4>0</vt:i4>
      </vt:variant>
      <vt:variant>
        <vt:i4>5</vt:i4>
      </vt:variant>
      <vt:variant>
        <vt:lpwstr>http://www.nevo.co.il/law/70301/40jc.c</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5111888</vt:i4>
      </vt:variant>
      <vt:variant>
        <vt:i4>6</vt:i4>
      </vt:variant>
      <vt:variant>
        <vt:i4>0</vt:i4>
      </vt:variant>
      <vt:variant>
        <vt:i4>5</vt:i4>
      </vt:variant>
      <vt:variant>
        <vt:lpwstr>http://www.nevo.co.il/law/70301/257.1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33183;1367</vt:lpwstr>
  </property>
  <property fmtid="{D5CDD505-2E9C-101B-9397-08002B2CF9AE}" pid="6" name="NEWPARTB">
    <vt:lpwstr>03;09</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עמאד אלקאדי  </vt:lpwstr>
  </property>
  <property fmtid="{D5CDD505-2E9C-101B-9397-08002B2CF9AE}" pid="10" name="LAWYER">
    <vt:lpwstr>שירלי ברזילי ;קורל בר;ניל סיימון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20181212</vt:lpwstr>
  </property>
  <property fmtid="{D5CDD505-2E9C-101B-9397-08002B2CF9AE}" pid="14" name="TYPE_N_DATE">
    <vt:lpwstr>38020181212</vt:lpwstr>
  </property>
  <property fmtid="{D5CDD505-2E9C-101B-9397-08002B2CF9AE}" pid="15" name="CASESLISTTMP1">
    <vt:lpwstr>23791751;24960133;23791752;20778875;16999522;6017061;16877838;11223528;6051623;20222040;16953967;11212337;8280957;7953296;7787782;7677960;4659043;1522031</vt:lpwstr>
  </property>
  <property fmtid="{D5CDD505-2E9C-101B-9397-08002B2CF9AE}" pid="16" name="CASENOTES1">
    <vt:lpwstr>ProcID=74&amp;PartA=23.11.14); ת"פ (ת"א) 24100&amp;PartB=09&amp;PartC=13</vt:lpwstr>
  </property>
  <property fmtid="{D5CDD505-2E9C-101B-9397-08002B2CF9AE}" pid="17" name="CASENOTES2">
    <vt:lpwstr>ProcID=209&amp;PartA=1903&amp;PartC=09</vt:lpwstr>
  </property>
  <property fmtid="{D5CDD505-2E9C-101B-9397-08002B2CF9AE}" pid="18" name="CASENOTES3">
    <vt:lpwstr>ProcID=209&amp;PartA=1636&amp;PartC=09</vt:lpwstr>
  </property>
  <property fmtid="{D5CDD505-2E9C-101B-9397-08002B2CF9AE}" pid="19" name="WORDNUMPAGES">
    <vt:lpwstr>6</vt:lpwstr>
  </property>
  <property fmtid="{D5CDD505-2E9C-101B-9397-08002B2CF9AE}" pid="20" name="TYPE_ABS_DATE">
    <vt:lpwstr>380020181212</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70301/287.a:2;406.b;025;257.1;40jc.c</vt:lpwstr>
  </property>
  <property fmtid="{D5CDD505-2E9C-101B-9397-08002B2CF9AE}" pid="40" name="LAWLISTTMP2">
    <vt:lpwstr>4216/007.a;007.c</vt:lpwstr>
  </property>
</Properties>
</file>