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1"/>
        <w:gridCol w:w="3658"/>
        <w:gridCol w:w="99"/>
      </w:tblGrid>
      <w:tr w:rsidR="00370F3C" w:rsidRPr="009823A2" w14:paraId="2A172D2B" w14:textId="77777777" w:rsidTr="009823A2">
        <w:trPr>
          <w:gridAfter w:val="1"/>
          <w:wAfter w:w="99" w:type="dxa"/>
          <w:trHeight w:hRule="exact" w:val="418"/>
          <w:jc w:val="center"/>
        </w:trPr>
        <w:tc>
          <w:tcPr>
            <w:tcW w:w="8721" w:type="dxa"/>
            <w:gridSpan w:val="4"/>
          </w:tcPr>
          <w:p w14:paraId="492EF91A" w14:textId="77777777" w:rsidR="00370F3C" w:rsidRPr="009823A2" w:rsidRDefault="00370F3C" w:rsidP="0032242F">
            <w:pPr>
              <w:pStyle w:val="a3"/>
              <w:jc w:val="center"/>
              <w:rPr>
                <w:rFonts w:ascii="Tahoma" w:hAnsi="Tahoma"/>
                <w:color w:val="000080"/>
                <w:rtl/>
              </w:rPr>
            </w:pPr>
            <w:bookmarkStart w:id="0" w:name="LastJudge"/>
            <w:r w:rsidRPr="009823A2">
              <w:rPr>
                <w:rFonts w:ascii="Tahoma" w:hAnsi="Tahoma"/>
                <w:b/>
                <w:bCs/>
                <w:color w:val="000080"/>
                <w:rtl/>
              </w:rPr>
              <w:t>בית משפט השלום בקריות</w:t>
            </w:r>
          </w:p>
        </w:tc>
      </w:tr>
      <w:tr w:rsidR="00370F3C" w:rsidRPr="009823A2" w14:paraId="633F713D" w14:textId="77777777" w:rsidTr="009823A2">
        <w:trPr>
          <w:gridAfter w:val="1"/>
          <w:wAfter w:w="99" w:type="dxa"/>
          <w:trHeight w:val="337"/>
          <w:jc w:val="center"/>
        </w:trPr>
        <w:tc>
          <w:tcPr>
            <w:tcW w:w="5063" w:type="dxa"/>
            <w:gridSpan w:val="3"/>
          </w:tcPr>
          <w:p w14:paraId="562C927A" w14:textId="77777777" w:rsidR="00370F3C" w:rsidRPr="009823A2" w:rsidRDefault="00370F3C" w:rsidP="0032242F">
            <w:pPr>
              <w:rPr>
                <w:sz w:val="28"/>
                <w:szCs w:val="28"/>
                <w:rtl/>
              </w:rPr>
            </w:pPr>
            <w:r w:rsidRPr="009823A2">
              <w:rPr>
                <w:sz w:val="28"/>
                <w:szCs w:val="28"/>
                <w:rtl/>
              </w:rPr>
              <w:t>ת"פ</w:t>
            </w:r>
            <w:r w:rsidRPr="009823A2">
              <w:rPr>
                <w:rFonts w:hint="cs"/>
                <w:sz w:val="28"/>
                <w:szCs w:val="28"/>
                <w:rtl/>
              </w:rPr>
              <w:t xml:space="preserve"> </w:t>
            </w:r>
            <w:r w:rsidRPr="009823A2">
              <w:rPr>
                <w:sz w:val="28"/>
                <w:szCs w:val="28"/>
                <w:rtl/>
              </w:rPr>
              <w:t>27961-04-18</w:t>
            </w:r>
            <w:r w:rsidRPr="009823A2">
              <w:rPr>
                <w:rFonts w:hint="cs"/>
                <w:sz w:val="28"/>
                <w:szCs w:val="28"/>
                <w:rtl/>
              </w:rPr>
              <w:t xml:space="preserve"> </w:t>
            </w:r>
            <w:r w:rsidRPr="009823A2">
              <w:rPr>
                <w:sz w:val="28"/>
                <w:szCs w:val="28"/>
                <w:rtl/>
              </w:rPr>
              <w:t>מדינת ישראל נ' ח'טיב(עצור/אסיר בפיקוח)</w:t>
            </w:r>
          </w:p>
          <w:p w14:paraId="06FC3395" w14:textId="77777777" w:rsidR="00370F3C" w:rsidRPr="009823A2" w:rsidRDefault="00370F3C" w:rsidP="0032242F">
            <w:pPr>
              <w:pStyle w:val="a3"/>
              <w:rPr>
                <w:sz w:val="28"/>
                <w:szCs w:val="28"/>
                <w:rtl/>
              </w:rPr>
            </w:pPr>
          </w:p>
        </w:tc>
        <w:tc>
          <w:tcPr>
            <w:tcW w:w="3658" w:type="dxa"/>
          </w:tcPr>
          <w:p w14:paraId="145385C4" w14:textId="77777777" w:rsidR="00370F3C" w:rsidRPr="009823A2" w:rsidRDefault="00370F3C" w:rsidP="0032242F">
            <w:pPr>
              <w:pStyle w:val="a3"/>
              <w:jc w:val="right"/>
              <w:rPr>
                <w:sz w:val="28"/>
                <w:szCs w:val="28"/>
                <w:rtl/>
              </w:rPr>
            </w:pPr>
          </w:p>
        </w:tc>
      </w:tr>
      <w:tr w:rsidR="00370F3C" w:rsidRPr="009823A2" w14:paraId="6AD05327" w14:textId="77777777" w:rsidTr="009823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3E8247A" w14:textId="77777777" w:rsidR="00370F3C" w:rsidRPr="009823A2" w:rsidRDefault="00370F3C" w:rsidP="00370F3C">
            <w:pPr>
              <w:jc w:val="both"/>
              <w:rPr>
                <w:rFonts w:ascii="David" w:hAnsi="David"/>
                <w:sz w:val="26"/>
                <w:szCs w:val="26"/>
              </w:rPr>
            </w:pPr>
            <w:r w:rsidRPr="009823A2">
              <w:rPr>
                <w:rFonts w:hint="cs"/>
                <w:rtl/>
              </w:rPr>
              <w:t xml:space="preserve"> </w:t>
            </w:r>
            <w:r w:rsidRPr="009823A2">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BCC24B3" w14:textId="77777777" w:rsidR="00370F3C" w:rsidRPr="009823A2" w:rsidRDefault="00370F3C" w:rsidP="0032242F">
            <w:pPr>
              <w:rPr>
                <w:rFonts w:ascii="David" w:hAnsi="David"/>
                <w:b/>
                <w:bCs/>
                <w:sz w:val="26"/>
                <w:szCs w:val="26"/>
                <w:rtl/>
              </w:rPr>
            </w:pPr>
            <w:r w:rsidRPr="009823A2">
              <w:rPr>
                <w:rFonts w:ascii="David" w:hAnsi="David"/>
                <w:b/>
                <w:bCs/>
                <w:sz w:val="26"/>
                <w:szCs w:val="26"/>
                <w:rtl/>
              </w:rPr>
              <w:t>כבוד השופטת  סימי פלג קימלוב</w:t>
            </w:r>
          </w:p>
          <w:p w14:paraId="71A8D2B2" w14:textId="77777777" w:rsidR="00370F3C" w:rsidRPr="009823A2" w:rsidRDefault="00370F3C" w:rsidP="0032242F">
            <w:pPr>
              <w:rPr>
                <w:rFonts w:ascii="David" w:hAnsi="David"/>
                <w:sz w:val="26"/>
                <w:szCs w:val="26"/>
                <w:rtl/>
              </w:rPr>
            </w:pPr>
          </w:p>
          <w:p w14:paraId="74A7F78A" w14:textId="77777777" w:rsidR="00370F3C" w:rsidRPr="009823A2" w:rsidRDefault="00370F3C" w:rsidP="00370F3C">
            <w:pPr>
              <w:jc w:val="both"/>
              <w:rPr>
                <w:rFonts w:ascii="David" w:hAnsi="David"/>
                <w:sz w:val="26"/>
                <w:szCs w:val="26"/>
              </w:rPr>
            </w:pPr>
          </w:p>
        </w:tc>
      </w:tr>
      <w:tr w:rsidR="00370F3C" w:rsidRPr="009823A2" w14:paraId="307A1E34" w14:textId="77777777" w:rsidTr="009823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5130045" w14:textId="77777777" w:rsidR="00370F3C" w:rsidRPr="009823A2" w:rsidRDefault="00370F3C" w:rsidP="00370F3C">
            <w:pPr>
              <w:jc w:val="both"/>
              <w:rPr>
                <w:rFonts w:ascii="David" w:hAnsi="David"/>
                <w:sz w:val="26"/>
                <w:szCs w:val="26"/>
              </w:rPr>
            </w:pPr>
            <w:bookmarkStart w:id="1" w:name="FirstAppellant"/>
            <w:r w:rsidRPr="009823A2">
              <w:rPr>
                <w:rFonts w:ascii="David" w:hAnsi="David"/>
                <w:sz w:val="26"/>
                <w:szCs w:val="26"/>
                <w:rtl/>
              </w:rPr>
              <w:t>בעניין:</w:t>
            </w:r>
          </w:p>
        </w:tc>
        <w:tc>
          <w:tcPr>
            <w:tcW w:w="3219" w:type="dxa"/>
            <w:tcBorders>
              <w:top w:val="nil"/>
              <w:left w:val="nil"/>
              <w:bottom w:val="nil"/>
              <w:right w:val="nil"/>
            </w:tcBorders>
            <w:shd w:val="clear" w:color="auto" w:fill="auto"/>
          </w:tcPr>
          <w:p w14:paraId="54FE2FB5" w14:textId="77777777" w:rsidR="00370F3C" w:rsidRPr="009823A2" w:rsidRDefault="00370F3C" w:rsidP="00370F3C">
            <w:pPr>
              <w:suppressLineNumbers/>
            </w:pPr>
            <w:r w:rsidRPr="009823A2">
              <w:rPr>
                <w:rFonts w:ascii="Arial" w:hAnsi="Arial" w:hint="cs"/>
                <w:b/>
                <w:bCs/>
                <w:sz w:val="26"/>
                <w:szCs w:val="26"/>
                <w:rtl/>
              </w:rPr>
              <w:t>ה</w:t>
            </w:r>
            <w:r w:rsidRPr="009823A2">
              <w:rPr>
                <w:rFonts w:ascii="Arial" w:hAnsi="Arial"/>
                <w:b/>
                <w:bCs/>
                <w:sz w:val="26"/>
                <w:szCs w:val="26"/>
                <w:rtl/>
              </w:rPr>
              <w:t>מאשימה</w:t>
            </w:r>
          </w:p>
          <w:p w14:paraId="36790806" w14:textId="77777777" w:rsidR="00370F3C" w:rsidRPr="009823A2" w:rsidRDefault="00370F3C" w:rsidP="0032242F">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C359CC7" w14:textId="77777777" w:rsidR="00370F3C" w:rsidRPr="009823A2" w:rsidRDefault="00370F3C" w:rsidP="00370F3C">
            <w:pPr>
              <w:suppressLineNumbers/>
            </w:pPr>
            <w:r w:rsidRPr="009823A2">
              <w:rPr>
                <w:rFonts w:ascii="Arial" w:hAnsi="Arial"/>
                <w:b/>
                <w:bCs/>
                <w:sz w:val="26"/>
                <w:szCs w:val="26"/>
                <w:rtl/>
              </w:rPr>
              <w:t>מדינת ישראל</w:t>
            </w:r>
            <w:r w:rsidRPr="009823A2">
              <w:rPr>
                <w:rFonts w:ascii="Arial" w:hAnsi="Arial" w:hint="cs"/>
                <w:b/>
                <w:bCs/>
                <w:sz w:val="26"/>
                <w:szCs w:val="26"/>
                <w:rtl/>
              </w:rPr>
              <w:t xml:space="preserve"> </w:t>
            </w:r>
          </w:p>
          <w:p w14:paraId="0FCC6CE4" w14:textId="77777777" w:rsidR="00370F3C" w:rsidRPr="009823A2" w:rsidRDefault="00370F3C" w:rsidP="0032242F">
            <w:pPr>
              <w:rPr>
                <w:rFonts w:ascii="David" w:hAnsi="David"/>
                <w:sz w:val="26"/>
                <w:szCs w:val="26"/>
              </w:rPr>
            </w:pPr>
          </w:p>
        </w:tc>
      </w:tr>
      <w:bookmarkEnd w:id="1"/>
      <w:tr w:rsidR="00370F3C" w:rsidRPr="009823A2" w14:paraId="4D812E5A" w14:textId="77777777" w:rsidTr="009823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7E56D48" w14:textId="77777777" w:rsidR="00370F3C" w:rsidRPr="009823A2" w:rsidRDefault="00370F3C" w:rsidP="00370F3C">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79E4C6F" w14:textId="77777777" w:rsidR="00370F3C" w:rsidRPr="009823A2" w:rsidRDefault="00370F3C" w:rsidP="00370F3C">
            <w:pPr>
              <w:jc w:val="center"/>
              <w:rPr>
                <w:rFonts w:ascii="David" w:hAnsi="David"/>
                <w:b/>
                <w:bCs/>
                <w:sz w:val="26"/>
                <w:szCs w:val="26"/>
                <w:rtl/>
              </w:rPr>
            </w:pPr>
          </w:p>
          <w:p w14:paraId="2EE6F9AB" w14:textId="77777777" w:rsidR="00370F3C" w:rsidRPr="009823A2" w:rsidRDefault="00370F3C" w:rsidP="00370F3C">
            <w:pPr>
              <w:jc w:val="center"/>
              <w:rPr>
                <w:rFonts w:ascii="David" w:hAnsi="David"/>
                <w:b/>
                <w:bCs/>
                <w:sz w:val="26"/>
                <w:szCs w:val="26"/>
                <w:rtl/>
              </w:rPr>
            </w:pPr>
            <w:r w:rsidRPr="009823A2">
              <w:rPr>
                <w:rFonts w:ascii="David" w:hAnsi="David"/>
                <w:b/>
                <w:bCs/>
                <w:sz w:val="26"/>
                <w:szCs w:val="26"/>
                <w:rtl/>
              </w:rPr>
              <w:t>נגד</w:t>
            </w:r>
          </w:p>
          <w:p w14:paraId="6E04E990" w14:textId="77777777" w:rsidR="00370F3C" w:rsidRPr="009823A2" w:rsidRDefault="00370F3C" w:rsidP="00370F3C">
            <w:pPr>
              <w:jc w:val="both"/>
              <w:rPr>
                <w:rFonts w:ascii="David" w:hAnsi="David"/>
                <w:sz w:val="26"/>
                <w:szCs w:val="26"/>
              </w:rPr>
            </w:pPr>
          </w:p>
        </w:tc>
      </w:tr>
      <w:tr w:rsidR="00370F3C" w:rsidRPr="009823A2" w14:paraId="663CB5AA" w14:textId="77777777" w:rsidTr="009823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FDC020B" w14:textId="77777777" w:rsidR="00370F3C" w:rsidRPr="009823A2" w:rsidRDefault="00370F3C" w:rsidP="0032242F">
            <w:pPr>
              <w:rPr>
                <w:rFonts w:ascii="David" w:hAnsi="David"/>
                <w:sz w:val="26"/>
                <w:szCs w:val="26"/>
                <w:rtl/>
              </w:rPr>
            </w:pPr>
          </w:p>
        </w:tc>
        <w:tc>
          <w:tcPr>
            <w:tcW w:w="3219" w:type="dxa"/>
            <w:tcBorders>
              <w:top w:val="nil"/>
              <w:left w:val="nil"/>
              <w:bottom w:val="nil"/>
              <w:right w:val="nil"/>
            </w:tcBorders>
            <w:shd w:val="clear" w:color="auto" w:fill="auto"/>
          </w:tcPr>
          <w:p w14:paraId="6647478C" w14:textId="77777777" w:rsidR="00370F3C" w:rsidRPr="009823A2" w:rsidRDefault="00370F3C" w:rsidP="0032242F">
            <w:pPr>
              <w:rPr>
                <w:rFonts w:ascii="Arial" w:hAnsi="Arial"/>
                <w:b/>
                <w:bCs/>
                <w:sz w:val="26"/>
                <w:szCs w:val="26"/>
                <w:rtl/>
              </w:rPr>
            </w:pPr>
            <w:r w:rsidRPr="009823A2">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5790A0E5" w14:textId="77777777" w:rsidR="00370F3C" w:rsidRPr="009823A2" w:rsidRDefault="00370F3C" w:rsidP="00370F3C">
            <w:pPr>
              <w:suppressLineNumbers/>
            </w:pPr>
            <w:r w:rsidRPr="009823A2">
              <w:rPr>
                <w:rFonts w:ascii="Arial" w:hAnsi="Arial"/>
                <w:b/>
                <w:bCs/>
                <w:sz w:val="26"/>
                <w:szCs w:val="26"/>
                <w:rtl/>
              </w:rPr>
              <w:t xml:space="preserve">מועתאז ח'טיב </w:t>
            </w:r>
          </w:p>
          <w:p w14:paraId="627965A1" w14:textId="77777777" w:rsidR="00370F3C" w:rsidRPr="009823A2" w:rsidRDefault="00370F3C" w:rsidP="0032242F">
            <w:pPr>
              <w:rPr>
                <w:rFonts w:ascii="David" w:hAnsi="David"/>
                <w:sz w:val="26"/>
                <w:szCs w:val="26"/>
              </w:rPr>
            </w:pPr>
          </w:p>
        </w:tc>
      </w:tr>
    </w:tbl>
    <w:p w14:paraId="42123557" w14:textId="77777777" w:rsidR="009823A2" w:rsidRDefault="009823A2" w:rsidP="00656DEF">
      <w:pPr>
        <w:rPr>
          <w:rtl/>
        </w:rPr>
      </w:pPr>
    </w:p>
    <w:p w14:paraId="4F952ABD" w14:textId="77777777" w:rsidR="009823A2" w:rsidRPr="009823A2" w:rsidRDefault="009823A2" w:rsidP="009823A2">
      <w:pPr>
        <w:spacing w:after="120" w:line="240" w:lineRule="exact"/>
        <w:ind w:left="283" w:hanging="283"/>
        <w:jc w:val="both"/>
        <w:rPr>
          <w:rFonts w:ascii="FrankRuehl" w:hAnsi="FrankRuehl" w:cs="FrankRuehl"/>
          <w:rtl/>
        </w:rPr>
      </w:pPr>
    </w:p>
    <w:p w14:paraId="28957039" w14:textId="77777777" w:rsidR="00962EAB" w:rsidRPr="00962EAB" w:rsidRDefault="00962EAB" w:rsidP="00962EAB">
      <w:pPr>
        <w:spacing w:before="120" w:after="120" w:line="240" w:lineRule="exact"/>
        <w:ind w:left="283" w:hanging="283"/>
        <w:jc w:val="both"/>
        <w:rPr>
          <w:rFonts w:ascii="FrankRuehl" w:hAnsi="FrankRuehl" w:cs="FrankRuehl"/>
          <w:rtl/>
        </w:rPr>
      </w:pPr>
    </w:p>
    <w:p w14:paraId="07FF1333" w14:textId="77777777" w:rsidR="00A5412A" w:rsidRDefault="00A5412A" w:rsidP="00A5412A">
      <w:pPr>
        <w:rPr>
          <w:rtl/>
        </w:rPr>
      </w:pPr>
      <w:bookmarkStart w:id="2" w:name="LawTable"/>
      <w:bookmarkEnd w:id="2"/>
    </w:p>
    <w:p w14:paraId="5F9052DC" w14:textId="77777777" w:rsidR="00A5412A" w:rsidRPr="00A5412A" w:rsidRDefault="00A5412A" w:rsidP="00A5412A">
      <w:pPr>
        <w:spacing w:before="120" w:after="120" w:line="240" w:lineRule="exact"/>
        <w:ind w:left="283" w:hanging="283"/>
        <w:jc w:val="both"/>
        <w:rPr>
          <w:rFonts w:ascii="FrankRuehl" w:hAnsi="FrankRuehl" w:cs="FrankRuehl"/>
          <w:rtl/>
        </w:rPr>
      </w:pPr>
    </w:p>
    <w:p w14:paraId="3EC798C4" w14:textId="77777777" w:rsidR="00A5412A" w:rsidRPr="00A5412A" w:rsidRDefault="00A5412A" w:rsidP="00A5412A">
      <w:pPr>
        <w:spacing w:before="120" w:after="120" w:line="240" w:lineRule="exact"/>
        <w:ind w:left="283" w:hanging="283"/>
        <w:jc w:val="both"/>
        <w:rPr>
          <w:rFonts w:ascii="FrankRuehl" w:hAnsi="FrankRuehl" w:cs="FrankRuehl"/>
          <w:rtl/>
        </w:rPr>
      </w:pPr>
    </w:p>
    <w:p w14:paraId="0A3C5EB0" w14:textId="77777777" w:rsidR="00A5412A" w:rsidRPr="00A5412A" w:rsidRDefault="00A5412A" w:rsidP="00A5412A">
      <w:pPr>
        <w:spacing w:before="120" w:after="120" w:line="240" w:lineRule="exact"/>
        <w:ind w:left="283" w:hanging="283"/>
        <w:jc w:val="both"/>
        <w:rPr>
          <w:rFonts w:ascii="FrankRuehl" w:hAnsi="FrankRuehl" w:cs="FrankRuehl"/>
          <w:rtl/>
        </w:rPr>
      </w:pPr>
      <w:r w:rsidRPr="00A5412A">
        <w:rPr>
          <w:rFonts w:ascii="FrankRuehl" w:hAnsi="FrankRuehl" w:cs="FrankRuehl"/>
          <w:rtl/>
        </w:rPr>
        <w:t xml:space="preserve">חקיקה שאוזכרה: </w:t>
      </w:r>
    </w:p>
    <w:p w14:paraId="4909445A" w14:textId="77777777" w:rsidR="00A5412A" w:rsidRPr="00A5412A" w:rsidRDefault="00A5412A" w:rsidP="00A5412A">
      <w:pPr>
        <w:spacing w:before="120" w:after="120" w:line="240" w:lineRule="exact"/>
        <w:ind w:left="283" w:hanging="283"/>
        <w:jc w:val="both"/>
        <w:rPr>
          <w:rFonts w:ascii="FrankRuehl" w:hAnsi="FrankRuehl" w:cs="FrankRuehl"/>
          <w:rtl/>
        </w:rPr>
      </w:pPr>
      <w:hyperlink r:id="rId7" w:history="1">
        <w:r w:rsidRPr="00A5412A">
          <w:rPr>
            <w:rFonts w:ascii="FrankRuehl" w:hAnsi="FrankRuehl" w:cs="FrankRuehl"/>
            <w:color w:val="0000FF"/>
            <w:rtl/>
          </w:rPr>
          <w:t>פקודת הסמים המסוכנים [נוסח חדש], תשל"ג-1973</w:t>
        </w:r>
      </w:hyperlink>
      <w:r w:rsidRPr="00A5412A">
        <w:rPr>
          <w:rFonts w:ascii="FrankRuehl" w:hAnsi="FrankRuehl" w:cs="FrankRuehl"/>
          <w:rtl/>
        </w:rPr>
        <w:t xml:space="preserve">: סע'  </w:t>
      </w:r>
      <w:hyperlink r:id="rId8" w:history="1">
        <w:r w:rsidRPr="00A5412A">
          <w:rPr>
            <w:rFonts w:ascii="FrankRuehl" w:hAnsi="FrankRuehl" w:cs="FrankRuehl"/>
            <w:color w:val="0000FF"/>
            <w:rtl/>
          </w:rPr>
          <w:t>7(א)</w:t>
        </w:r>
      </w:hyperlink>
      <w:r w:rsidRPr="00A5412A">
        <w:rPr>
          <w:rFonts w:ascii="FrankRuehl" w:hAnsi="FrankRuehl" w:cs="FrankRuehl"/>
          <w:rtl/>
        </w:rPr>
        <w:t xml:space="preserve">, </w:t>
      </w:r>
      <w:hyperlink r:id="rId9" w:history="1">
        <w:r w:rsidRPr="00A5412A">
          <w:rPr>
            <w:rFonts w:ascii="FrankRuehl" w:hAnsi="FrankRuehl" w:cs="FrankRuehl"/>
            <w:color w:val="0000FF"/>
            <w:rtl/>
          </w:rPr>
          <w:t>7(ג)</w:t>
        </w:r>
      </w:hyperlink>
    </w:p>
    <w:p w14:paraId="0390164D" w14:textId="77777777" w:rsidR="00A5412A" w:rsidRPr="00A5412A" w:rsidRDefault="00A5412A" w:rsidP="00A5412A">
      <w:pPr>
        <w:spacing w:before="120" w:after="120" w:line="240" w:lineRule="exact"/>
        <w:ind w:left="283" w:hanging="283"/>
        <w:jc w:val="both"/>
        <w:rPr>
          <w:rFonts w:ascii="FrankRuehl" w:hAnsi="FrankRuehl" w:cs="FrankRuehl"/>
          <w:rtl/>
        </w:rPr>
      </w:pPr>
      <w:hyperlink r:id="rId10" w:history="1">
        <w:r w:rsidRPr="00A5412A">
          <w:rPr>
            <w:rFonts w:ascii="FrankRuehl" w:hAnsi="FrankRuehl" w:cs="FrankRuehl"/>
            <w:color w:val="0000FF"/>
            <w:rtl/>
          </w:rPr>
          <w:t>חוק העונשין, תשל"ז-1977</w:t>
        </w:r>
      </w:hyperlink>
      <w:r w:rsidRPr="00A5412A">
        <w:rPr>
          <w:rFonts w:ascii="FrankRuehl" w:hAnsi="FrankRuehl" w:cs="FrankRuehl"/>
          <w:rtl/>
        </w:rPr>
        <w:t xml:space="preserve">: סע'  </w:t>
      </w:r>
      <w:hyperlink r:id="rId11" w:history="1">
        <w:r w:rsidRPr="00A5412A">
          <w:rPr>
            <w:rFonts w:ascii="FrankRuehl" w:hAnsi="FrankRuehl" w:cs="FrankRuehl"/>
            <w:color w:val="0000FF"/>
            <w:rtl/>
          </w:rPr>
          <w:t>40ג(א)</w:t>
        </w:r>
      </w:hyperlink>
      <w:r w:rsidRPr="00A5412A">
        <w:rPr>
          <w:rFonts w:ascii="FrankRuehl" w:hAnsi="FrankRuehl" w:cs="FrankRuehl"/>
          <w:rtl/>
        </w:rPr>
        <w:t xml:space="preserve">, </w:t>
      </w:r>
      <w:hyperlink r:id="rId12" w:history="1">
        <w:r w:rsidRPr="00A5412A">
          <w:rPr>
            <w:rFonts w:ascii="FrankRuehl" w:hAnsi="FrankRuehl" w:cs="FrankRuehl"/>
            <w:color w:val="0000FF"/>
            <w:rtl/>
          </w:rPr>
          <w:t>40ד'</w:t>
        </w:r>
      </w:hyperlink>
    </w:p>
    <w:p w14:paraId="49B44723" w14:textId="77777777" w:rsidR="00A5412A" w:rsidRPr="00A5412A" w:rsidRDefault="00A5412A" w:rsidP="00A5412A">
      <w:pPr>
        <w:rPr>
          <w:rtl/>
        </w:rPr>
      </w:pPr>
      <w:bookmarkStart w:id="3" w:name="LawTable_End"/>
      <w:bookmarkEnd w:id="3"/>
    </w:p>
    <w:p w14:paraId="2419E847" w14:textId="77777777" w:rsidR="009823A2" w:rsidRPr="00962EAB" w:rsidRDefault="009823A2" w:rsidP="00962EA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70F3C" w:rsidRPr="009823A2" w14:paraId="4A475A26" w14:textId="77777777" w:rsidTr="00370F3C">
        <w:trPr>
          <w:trHeight w:val="355"/>
          <w:jc w:val="center"/>
        </w:trPr>
        <w:tc>
          <w:tcPr>
            <w:tcW w:w="8820" w:type="dxa"/>
            <w:tcBorders>
              <w:top w:val="nil"/>
              <w:left w:val="nil"/>
              <w:bottom w:val="nil"/>
              <w:right w:val="nil"/>
            </w:tcBorders>
            <w:shd w:val="clear" w:color="auto" w:fill="auto"/>
          </w:tcPr>
          <w:p w14:paraId="10F0A81D" w14:textId="77777777" w:rsidR="00656DEF" w:rsidRPr="009823A2" w:rsidRDefault="00656DEF" w:rsidP="00656DEF">
            <w:pPr>
              <w:jc w:val="center"/>
              <w:rPr>
                <w:rFonts w:ascii="David" w:hAnsi="David"/>
                <w:b/>
                <w:bCs/>
                <w:sz w:val="32"/>
                <w:szCs w:val="32"/>
                <w:u w:val="single"/>
                <w:rtl/>
              </w:rPr>
            </w:pPr>
            <w:bookmarkStart w:id="4" w:name="PsakDin" w:colFirst="0" w:colLast="0"/>
            <w:bookmarkEnd w:id="0"/>
            <w:r w:rsidRPr="009823A2">
              <w:rPr>
                <w:rFonts w:ascii="David" w:hAnsi="David"/>
                <w:b/>
                <w:bCs/>
                <w:sz w:val="32"/>
                <w:szCs w:val="32"/>
                <w:u w:val="single"/>
                <w:rtl/>
              </w:rPr>
              <w:t>גזר דין</w:t>
            </w:r>
          </w:p>
          <w:p w14:paraId="7B6E1C79" w14:textId="77777777" w:rsidR="00370F3C" w:rsidRPr="009823A2" w:rsidRDefault="00370F3C" w:rsidP="00656DEF">
            <w:pPr>
              <w:jc w:val="center"/>
              <w:rPr>
                <w:rFonts w:ascii="David" w:hAnsi="David"/>
                <w:bCs/>
                <w:sz w:val="32"/>
                <w:szCs w:val="32"/>
                <w:u w:val="single"/>
                <w:rtl/>
              </w:rPr>
            </w:pPr>
          </w:p>
        </w:tc>
      </w:tr>
      <w:bookmarkEnd w:id="4"/>
    </w:tbl>
    <w:p w14:paraId="2E5A37F3" w14:textId="77777777" w:rsidR="00370F3C" w:rsidRPr="009823A2" w:rsidRDefault="00370F3C" w:rsidP="00370F3C">
      <w:pPr>
        <w:rPr>
          <w:rFonts w:ascii="Arial" w:hAnsi="Arial"/>
          <w:b/>
          <w:bCs/>
          <w:sz w:val="26"/>
          <w:szCs w:val="26"/>
          <w:rtl/>
        </w:rPr>
      </w:pPr>
    </w:p>
    <w:p w14:paraId="56213E71" w14:textId="77777777" w:rsidR="00370F3C" w:rsidRPr="009823A2" w:rsidRDefault="00370F3C" w:rsidP="00370F3C">
      <w:pPr>
        <w:rPr>
          <w:rFonts w:ascii="Arial" w:hAnsi="Arial"/>
          <w:b/>
          <w:bCs/>
          <w:u w:val="single"/>
          <w:rtl/>
        </w:rPr>
      </w:pPr>
      <w:r w:rsidRPr="009823A2">
        <w:rPr>
          <w:rFonts w:ascii="Arial" w:hAnsi="Arial"/>
          <w:b/>
          <w:bCs/>
          <w:sz w:val="26"/>
          <w:szCs w:val="26"/>
          <w:rtl/>
        </w:rPr>
        <w:tab/>
      </w:r>
      <w:r w:rsidRPr="009823A2">
        <w:rPr>
          <w:rFonts w:ascii="Arial" w:hAnsi="Arial" w:hint="cs"/>
          <w:b/>
          <w:bCs/>
          <w:u w:val="single"/>
          <w:rtl/>
        </w:rPr>
        <w:t xml:space="preserve">כתב האישום  </w:t>
      </w:r>
    </w:p>
    <w:p w14:paraId="546554BC" w14:textId="77777777" w:rsidR="00370F3C" w:rsidRPr="009823A2" w:rsidRDefault="00370F3C" w:rsidP="00370F3C">
      <w:pPr>
        <w:rPr>
          <w:rFonts w:ascii="Arial" w:hAnsi="Arial"/>
          <w:b/>
          <w:bCs/>
          <w:sz w:val="26"/>
          <w:szCs w:val="26"/>
          <w:rtl/>
        </w:rPr>
      </w:pPr>
    </w:p>
    <w:p w14:paraId="4E708869" w14:textId="77777777" w:rsidR="00370F3C" w:rsidRPr="009823A2" w:rsidRDefault="00370F3C" w:rsidP="00370F3C">
      <w:pPr>
        <w:pStyle w:val="a9"/>
        <w:numPr>
          <w:ilvl w:val="0"/>
          <w:numId w:val="1"/>
        </w:numPr>
        <w:spacing w:line="360" w:lineRule="auto"/>
        <w:jc w:val="both"/>
        <w:rPr>
          <w:rFonts w:ascii="Arial" w:hAnsi="Arial"/>
          <w:b/>
          <w:bCs/>
        </w:rPr>
      </w:pPr>
      <w:bookmarkStart w:id="5" w:name="ABSTRACT_START"/>
      <w:bookmarkEnd w:id="5"/>
      <w:r w:rsidRPr="009823A2">
        <w:rPr>
          <w:rFonts w:ascii="Arial" w:hAnsi="Arial" w:hint="cs"/>
          <w:b/>
          <w:bCs/>
          <w:rtl/>
        </w:rPr>
        <w:t xml:space="preserve">הנאשם הורשע על פי הודאתו בעובדות כתב אישום במסגרת הסדר טיעון בעבירה של החזקת סמים שלא לצריכה עצמית </w:t>
      </w:r>
      <w:r w:rsidRPr="009823A2">
        <w:rPr>
          <w:rFonts w:ascii="Arial" w:hAnsi="Arial"/>
          <w:b/>
          <w:bCs/>
          <w:rtl/>
        </w:rPr>
        <w:t>–</w:t>
      </w:r>
      <w:r w:rsidRPr="009823A2">
        <w:rPr>
          <w:rFonts w:ascii="Arial" w:hAnsi="Arial" w:hint="cs"/>
          <w:b/>
          <w:bCs/>
          <w:rtl/>
        </w:rPr>
        <w:t xml:space="preserve"> עבירה לפי </w:t>
      </w:r>
      <w:hyperlink r:id="rId13" w:history="1">
        <w:r w:rsidR="009823A2" w:rsidRPr="009823A2">
          <w:rPr>
            <w:rStyle w:val="Hyperlink"/>
            <w:rFonts w:ascii="Arial" w:hAnsi="Arial" w:hint="eastAsia"/>
            <w:b/>
            <w:bCs/>
            <w:rtl/>
          </w:rPr>
          <w:t>סעיף</w:t>
        </w:r>
        <w:r w:rsidR="009823A2" w:rsidRPr="009823A2">
          <w:rPr>
            <w:rStyle w:val="Hyperlink"/>
            <w:rFonts w:ascii="Arial" w:hAnsi="Arial"/>
            <w:b/>
            <w:bCs/>
            <w:rtl/>
          </w:rPr>
          <w:t xml:space="preserve"> 7(א)</w:t>
        </w:r>
      </w:hyperlink>
      <w:r w:rsidRPr="009823A2">
        <w:rPr>
          <w:rFonts w:ascii="Arial" w:hAnsi="Arial" w:hint="cs"/>
          <w:b/>
          <w:bCs/>
          <w:rtl/>
        </w:rPr>
        <w:t xml:space="preserve"> +</w:t>
      </w:r>
      <w:hyperlink r:id="rId14" w:history="1">
        <w:r w:rsidR="009823A2" w:rsidRPr="009823A2">
          <w:rPr>
            <w:rStyle w:val="Hyperlink"/>
            <w:rFonts w:ascii="Arial" w:hAnsi="Arial"/>
            <w:b/>
            <w:bCs/>
            <w:rtl/>
          </w:rPr>
          <w:t>7(ג)</w:t>
        </w:r>
      </w:hyperlink>
      <w:r w:rsidRPr="009823A2">
        <w:rPr>
          <w:rFonts w:ascii="Arial" w:hAnsi="Arial" w:hint="cs"/>
          <w:b/>
          <w:bCs/>
          <w:rtl/>
        </w:rPr>
        <w:t xml:space="preserve"> רישא ל</w:t>
      </w:r>
      <w:hyperlink r:id="rId15" w:history="1">
        <w:r w:rsidR="00656DEF" w:rsidRPr="009823A2">
          <w:rPr>
            <w:rFonts w:ascii="Arial" w:hAnsi="Arial"/>
            <w:b/>
            <w:bCs/>
            <w:color w:val="0000FF"/>
            <w:u w:val="single"/>
            <w:rtl/>
          </w:rPr>
          <w:t>פקודת הסמים המסוכנים</w:t>
        </w:r>
      </w:hyperlink>
      <w:r w:rsidRPr="009823A2">
        <w:rPr>
          <w:rFonts w:ascii="Arial" w:hAnsi="Arial" w:hint="cs"/>
          <w:b/>
          <w:bCs/>
          <w:rtl/>
        </w:rPr>
        <w:t xml:space="preserve"> (נוסח חדש) תשל"ג </w:t>
      </w:r>
      <w:r w:rsidRPr="009823A2">
        <w:rPr>
          <w:rFonts w:ascii="Arial" w:hAnsi="Arial"/>
          <w:b/>
          <w:bCs/>
          <w:rtl/>
        </w:rPr>
        <w:t>–</w:t>
      </w:r>
      <w:r w:rsidRPr="009823A2">
        <w:rPr>
          <w:rFonts w:ascii="Arial" w:hAnsi="Arial" w:hint="cs"/>
          <w:b/>
          <w:bCs/>
          <w:rtl/>
        </w:rPr>
        <w:t xml:space="preserve"> 1973 (להלן: "פקודת הסמים"). </w:t>
      </w:r>
    </w:p>
    <w:p w14:paraId="4E2E155C" w14:textId="77777777" w:rsidR="00370F3C" w:rsidRPr="009823A2" w:rsidRDefault="00370F3C" w:rsidP="00370F3C">
      <w:pPr>
        <w:pStyle w:val="a9"/>
        <w:spacing w:line="360" w:lineRule="auto"/>
        <w:jc w:val="both"/>
        <w:rPr>
          <w:rFonts w:ascii="Arial" w:hAnsi="Arial"/>
          <w:b/>
          <w:bCs/>
        </w:rPr>
      </w:pPr>
      <w:bookmarkStart w:id="6" w:name="ABSTRACT_END"/>
      <w:bookmarkEnd w:id="6"/>
    </w:p>
    <w:p w14:paraId="58F655DE" w14:textId="77777777" w:rsidR="00370F3C" w:rsidRPr="009823A2" w:rsidRDefault="00370F3C" w:rsidP="00370F3C">
      <w:pPr>
        <w:pStyle w:val="a9"/>
        <w:numPr>
          <w:ilvl w:val="0"/>
          <w:numId w:val="1"/>
        </w:numPr>
        <w:spacing w:line="360" w:lineRule="auto"/>
        <w:jc w:val="both"/>
        <w:rPr>
          <w:rFonts w:ascii="Arial" w:hAnsi="Arial"/>
        </w:rPr>
      </w:pPr>
      <w:r w:rsidRPr="009823A2">
        <w:rPr>
          <w:rFonts w:ascii="Arial" w:hAnsi="Arial" w:hint="cs"/>
          <w:rtl/>
        </w:rPr>
        <w:t xml:space="preserve">על פי עובדות כתב האישום בתאריך 10.12.17 סמוך לשעה 20:57 ברחוב הרב עוזיאל בישוב שלומי, נתפס הנאשם על ידי שוטרים במכונית, כשהוא מחזיק בסם מסוכן מסוג קוקאין במשקל נטו של 6.954 גרם מחולק לעשר אריזות ניילון המצויות יחד בקופסת פלסטיק. </w:t>
      </w:r>
    </w:p>
    <w:p w14:paraId="7D49119E" w14:textId="77777777" w:rsidR="00370F3C" w:rsidRPr="009823A2" w:rsidRDefault="00370F3C" w:rsidP="00370F3C">
      <w:pPr>
        <w:pStyle w:val="a9"/>
        <w:rPr>
          <w:rFonts w:ascii="Arial" w:hAnsi="Arial"/>
          <w:rtl/>
        </w:rPr>
      </w:pPr>
    </w:p>
    <w:p w14:paraId="7735D0C8" w14:textId="77777777" w:rsidR="00370F3C" w:rsidRPr="009823A2" w:rsidRDefault="00370F3C" w:rsidP="00370F3C">
      <w:pPr>
        <w:pStyle w:val="a9"/>
        <w:numPr>
          <w:ilvl w:val="0"/>
          <w:numId w:val="1"/>
        </w:numPr>
        <w:spacing w:line="360" w:lineRule="auto"/>
        <w:jc w:val="both"/>
        <w:rPr>
          <w:rFonts w:ascii="Arial" w:hAnsi="Arial"/>
        </w:rPr>
      </w:pPr>
      <w:r w:rsidRPr="009823A2">
        <w:rPr>
          <w:rFonts w:ascii="Arial" w:hAnsi="Arial" w:hint="cs"/>
          <w:rtl/>
        </w:rPr>
        <w:t xml:space="preserve">כאמור הנאשם הודה בעובדות תיק זה במסגרת הסדר טיעון בו עתרה המאשימה ל </w:t>
      </w:r>
      <w:r w:rsidRPr="009823A2">
        <w:rPr>
          <w:rFonts w:ascii="Arial" w:hAnsi="Arial"/>
          <w:rtl/>
        </w:rPr>
        <w:t>–</w:t>
      </w:r>
      <w:r w:rsidRPr="009823A2">
        <w:rPr>
          <w:rFonts w:ascii="Arial" w:hAnsi="Arial" w:hint="cs"/>
          <w:rtl/>
        </w:rPr>
        <w:t xml:space="preserve"> 7 חודשי מאסר אותם יישא הנאשם בדרך של עבודות שירות ואילו ההגנה תטען באופן חופשי. </w:t>
      </w:r>
      <w:r w:rsidRPr="009823A2">
        <w:rPr>
          <w:rFonts w:ascii="Arial" w:hAnsi="Arial" w:hint="cs"/>
          <w:rtl/>
        </w:rPr>
        <w:lastRenderedPageBreak/>
        <w:t>כמו כן הופנה הנאשם לקבלת תסקיר של שירות המבחן. בהמשך לאור העובדה שנפתח תיק נוסף כנגד הנאשם (</w:t>
      </w:r>
      <w:hyperlink r:id="rId16" w:history="1">
        <w:r w:rsidR="00656DEF" w:rsidRPr="009823A2">
          <w:rPr>
            <w:rFonts w:ascii="Arial" w:hAnsi="Arial"/>
            <w:color w:val="0000FF"/>
            <w:u w:val="single"/>
            <w:rtl/>
          </w:rPr>
          <w:t>ת"פ 41657-06-20</w:t>
        </w:r>
      </w:hyperlink>
      <w:r w:rsidRPr="009823A2">
        <w:rPr>
          <w:rFonts w:ascii="Arial" w:hAnsi="Arial" w:hint="cs"/>
          <w:rtl/>
        </w:rPr>
        <w:t xml:space="preserve"> </w:t>
      </w:r>
      <w:r w:rsidRPr="009823A2">
        <w:rPr>
          <w:rFonts w:ascii="Arial" w:hAnsi="Arial"/>
          <w:rtl/>
        </w:rPr>
        <w:t>–</w:t>
      </w:r>
      <w:r w:rsidRPr="009823A2">
        <w:rPr>
          <w:rFonts w:ascii="Arial" w:hAnsi="Arial" w:hint="cs"/>
          <w:rtl/>
        </w:rPr>
        <w:t xml:space="preserve"> ת/ 2 (</w:t>
      </w:r>
      <w:r w:rsidRPr="009823A2">
        <w:rPr>
          <w:rFonts w:ascii="Arial" w:hAnsi="Arial" w:hint="cs"/>
          <w:b/>
          <w:bCs/>
          <w:rtl/>
        </w:rPr>
        <w:t>להלן: "התיק האחר")),</w:t>
      </w:r>
      <w:r w:rsidRPr="009823A2">
        <w:rPr>
          <w:rFonts w:ascii="Arial" w:hAnsi="Arial" w:hint="cs"/>
          <w:rtl/>
        </w:rPr>
        <w:t xml:space="preserve"> בוטלה הכרעת הדין על מנת שהנאשם יצרף את התיק בפני המותב האחר כבוד סגן הנשיאה השופט טורס. חרף זאת, בסופו של יום התיק לא צורף ושמיעתו הוחזרה בפני מותב זה, אשר הרשיע שוב את הנאשם ומבלי שבתיק זה המאשימה שינתה מעמדתה כפי שהוצגה במסגרת ההסדר. עוד אציין כי התיק נדחה לתקופה ממושכת לאחר ההרשעה וזאת לאור העובדה שהנאשם ריצה עונש של מאסר בדרך של עבודות שירות בגין הרשעתו בתיק האחר. </w:t>
      </w:r>
    </w:p>
    <w:p w14:paraId="6697888F" w14:textId="77777777" w:rsidR="00370F3C" w:rsidRPr="009823A2" w:rsidRDefault="00370F3C" w:rsidP="00370F3C">
      <w:pPr>
        <w:pStyle w:val="a9"/>
        <w:rPr>
          <w:rFonts w:ascii="Arial" w:hAnsi="Arial"/>
          <w:rtl/>
        </w:rPr>
      </w:pPr>
    </w:p>
    <w:p w14:paraId="5E5EB22F" w14:textId="77777777" w:rsidR="00370F3C" w:rsidRPr="009823A2" w:rsidRDefault="00370F3C" w:rsidP="00370F3C">
      <w:pPr>
        <w:pStyle w:val="a9"/>
        <w:spacing w:line="360" w:lineRule="auto"/>
        <w:jc w:val="both"/>
        <w:rPr>
          <w:rFonts w:ascii="Arial" w:hAnsi="Arial"/>
          <w:b/>
          <w:bCs/>
          <w:u w:val="single"/>
        </w:rPr>
      </w:pPr>
      <w:r w:rsidRPr="009823A2">
        <w:rPr>
          <w:rFonts w:ascii="Arial" w:hAnsi="Arial" w:hint="cs"/>
          <w:b/>
          <w:bCs/>
          <w:u w:val="single"/>
          <w:rtl/>
        </w:rPr>
        <w:t xml:space="preserve">טיעוני הצדדים לעונש </w:t>
      </w:r>
    </w:p>
    <w:p w14:paraId="71E6A5EA" w14:textId="77777777" w:rsidR="00370F3C" w:rsidRPr="009823A2" w:rsidRDefault="00370F3C" w:rsidP="00370F3C">
      <w:pPr>
        <w:pStyle w:val="a9"/>
        <w:numPr>
          <w:ilvl w:val="0"/>
          <w:numId w:val="1"/>
        </w:numPr>
        <w:spacing w:line="360" w:lineRule="auto"/>
        <w:jc w:val="both"/>
        <w:rPr>
          <w:rFonts w:ascii="Arial" w:hAnsi="Arial"/>
        </w:rPr>
      </w:pPr>
      <w:r w:rsidRPr="009823A2">
        <w:rPr>
          <w:rFonts w:ascii="Arial" w:hAnsi="Arial" w:hint="cs"/>
          <w:rtl/>
        </w:rPr>
        <w:t xml:space="preserve">ב"כ המאשימה הגישה במסגר הראיות לעונש את גיליון הרשעותיו הקודמות של הנאשם </w:t>
      </w:r>
      <w:r w:rsidRPr="009823A2">
        <w:rPr>
          <w:rFonts w:ascii="Arial" w:hAnsi="Arial" w:hint="cs"/>
          <w:b/>
          <w:bCs/>
          <w:rtl/>
        </w:rPr>
        <w:t>(ת/3),</w:t>
      </w:r>
      <w:r w:rsidRPr="009823A2">
        <w:rPr>
          <w:rFonts w:ascii="Arial" w:hAnsi="Arial" w:hint="cs"/>
          <w:rtl/>
        </w:rPr>
        <w:t xml:space="preserve"> פסיקה רלוונטית </w:t>
      </w:r>
      <w:r w:rsidRPr="009823A2">
        <w:rPr>
          <w:rFonts w:ascii="Arial" w:hAnsi="Arial" w:hint="cs"/>
          <w:b/>
          <w:bCs/>
          <w:rtl/>
        </w:rPr>
        <w:t>(ת/4)</w:t>
      </w:r>
      <w:r w:rsidRPr="009823A2">
        <w:rPr>
          <w:rFonts w:ascii="Arial" w:hAnsi="Arial" w:hint="cs"/>
          <w:rtl/>
        </w:rPr>
        <w:t xml:space="preserve"> והפנתה </w:t>
      </w:r>
      <w:r w:rsidRPr="009823A2">
        <w:rPr>
          <w:rFonts w:ascii="Arial" w:hAnsi="Arial" w:hint="cs"/>
          <w:b/>
          <w:bCs/>
          <w:rtl/>
        </w:rPr>
        <w:t>לת/2</w:t>
      </w:r>
      <w:r w:rsidRPr="009823A2">
        <w:rPr>
          <w:rFonts w:ascii="Arial" w:hAnsi="Arial" w:hint="cs"/>
          <w:rtl/>
        </w:rPr>
        <w:t xml:space="preserve"> המתייחס לגזר הדין בתיק האחר וכן הגישה את כתב האישום מושא התיק האחר (</w:t>
      </w:r>
      <w:r w:rsidRPr="009823A2">
        <w:rPr>
          <w:rFonts w:ascii="Arial" w:hAnsi="Arial" w:hint="cs"/>
          <w:b/>
          <w:bCs/>
          <w:rtl/>
        </w:rPr>
        <w:t>ת/5).</w:t>
      </w:r>
      <w:r w:rsidRPr="009823A2">
        <w:rPr>
          <w:rFonts w:ascii="Arial" w:hAnsi="Arial" w:hint="cs"/>
          <w:rtl/>
        </w:rPr>
        <w:t xml:space="preserve"> ב"כ המאשימה הדגישה את הפגיעה בערכים חברתיים מוגנים בשים לב לסוג הסם וכמותו ועתרה בנסיבות תיק זה למתחם ענישה שנע בין עונש של 6 חודשי מאסר לבין עונש של 18 חודשי מאסר בפועל ברף העליון. ב"כ הנאשם ציינה שלנאשם שלוש הרשעות קודמות . בנסיבות אלו ובהתאם להסדר הטיעון טענה המאשימה לעתירתה במסגרת הסדר הטיעון לעונש של 7 חודשי מאסר בדרך של עבודות שירות ולא להקל עימו על אף חוות דעת שלכאורה הנאשם עבר הליך שיקום. עוד עתרה המאשימה לעונש של מאסר על תנאי, קנס כספי, פסילת רישיון נהיגה בפועל וכן פסילת רישיון נהיגה על תנאי. </w:t>
      </w:r>
    </w:p>
    <w:p w14:paraId="3877F0FA" w14:textId="77777777" w:rsidR="00370F3C" w:rsidRPr="009823A2" w:rsidRDefault="00370F3C" w:rsidP="00370F3C">
      <w:pPr>
        <w:pStyle w:val="a9"/>
        <w:spacing w:line="360" w:lineRule="auto"/>
        <w:jc w:val="both"/>
        <w:rPr>
          <w:rFonts w:ascii="Arial" w:hAnsi="Arial"/>
        </w:rPr>
      </w:pPr>
    </w:p>
    <w:p w14:paraId="6C64811B" w14:textId="77777777" w:rsidR="00370F3C" w:rsidRPr="009823A2" w:rsidRDefault="00370F3C" w:rsidP="00370F3C">
      <w:pPr>
        <w:pStyle w:val="a9"/>
        <w:numPr>
          <w:ilvl w:val="0"/>
          <w:numId w:val="1"/>
        </w:numPr>
        <w:spacing w:line="360" w:lineRule="auto"/>
        <w:jc w:val="both"/>
        <w:rPr>
          <w:rFonts w:ascii="Arial" w:hAnsi="Arial"/>
        </w:rPr>
      </w:pPr>
      <w:r w:rsidRPr="009823A2">
        <w:rPr>
          <w:rFonts w:ascii="Arial" w:hAnsi="Arial" w:hint="cs"/>
          <w:rtl/>
        </w:rPr>
        <w:t xml:space="preserve">הסנגור הגיש במסגרת טיעוניו טיעון בכתב </w:t>
      </w:r>
      <w:r w:rsidRPr="009823A2">
        <w:rPr>
          <w:rFonts w:ascii="Arial" w:hAnsi="Arial" w:hint="cs"/>
          <w:b/>
          <w:bCs/>
          <w:rtl/>
        </w:rPr>
        <w:t>(נ/1).</w:t>
      </w:r>
      <w:r w:rsidRPr="009823A2">
        <w:rPr>
          <w:rFonts w:ascii="Arial" w:hAnsi="Arial" w:hint="cs"/>
          <w:rtl/>
        </w:rPr>
        <w:t xml:space="preserve"> ב"כ הנאשם ביקש לכבד את הסדר הטיעון הקיים בין הצדדים וטען כי המאשימה לקח בחשבון במסגרת טיעוניה כי ניתן להשית על הנאשם במסגרת ההסדר עונש של מאסר על תנאי ולא עונש בדרך של עבודות שירות. ב"כ הנאשם טען לנסיבותיו המיוחדות של הנאשם וציין כי כבר מתחילתו של ההליך הנאשם קיבל אחריות מלאה על מעשיו, הודה והיה עד תביעה ואף עמד על דוכן העדים. ב"כ הנאשם הפנה לתיק האחר ואת התרשמות בית המשפט מההליך הטיפולי אותו עבר והמוטיבציה של הנאשם לשיקום. בתיק זה נגזר דינו של הנאשם למאסר בדרך של עבודות שירות לאור ההליך השיקומי אותו עבר. מאז, טען הסנגור לא נפתחו לנאשם תיקים נוספים. מאז חלו לטענת הסנגור מספר משברים בחייו של הנאשם. הנאשם עבר תאונת עבודה קשה במסגרת עבודות השירות והיה מאושפז בבית חולים. זאת ועוד, הנאשם עצמו עבר אירוע אלימות טראומתי וקשה כאשר הנאשם נמצא תלוי על עץ כשהוא הפוך וחסר הכרה ועוברי אורח מצאו אותו  והגיש מסמכים </w:t>
      </w:r>
      <w:r w:rsidRPr="009823A2">
        <w:rPr>
          <w:rFonts w:ascii="Arial" w:hAnsi="Arial" w:hint="cs"/>
          <w:b/>
          <w:bCs/>
          <w:rtl/>
        </w:rPr>
        <w:t>(נ/2).</w:t>
      </w:r>
      <w:r w:rsidRPr="009823A2">
        <w:rPr>
          <w:rFonts w:ascii="Arial" w:hAnsi="Arial" w:hint="cs"/>
          <w:rtl/>
        </w:rPr>
        <w:t xml:space="preserve"> ב"כ הנאשם טען כי יש לתת משקל של ממש להליך הטיפולי אותו כבר סיים הנאשם במסגרת התיק האחר. הנאשם נמצא בזוגיות חדשה ואף נישא והוא אב לילדים קטינים. הנאשם כך נטען בחר בדרך נורמטיבית ושילם על כך מחיר אישי כבד. לעניין עתירת המאשימה לקנס כספי ביקש הסנגור לבוא לקראת הנאשם לאור </w:t>
      </w:r>
      <w:r w:rsidRPr="009823A2">
        <w:rPr>
          <w:rFonts w:ascii="Arial" w:hAnsi="Arial" w:hint="cs"/>
          <w:rtl/>
        </w:rPr>
        <w:lastRenderedPageBreak/>
        <w:t xml:space="preserve">קשייו הכלכליים של הנאשם המתמודד עם קשיי הפרנסה ועתר עוד שלא להטיל על הנאשם עונש של פסילת רישיון נהיגה. </w:t>
      </w:r>
    </w:p>
    <w:p w14:paraId="66B9E44A" w14:textId="77777777" w:rsidR="00370F3C" w:rsidRPr="009823A2" w:rsidRDefault="00370F3C" w:rsidP="00370F3C">
      <w:pPr>
        <w:pStyle w:val="a9"/>
        <w:spacing w:line="360" w:lineRule="auto"/>
        <w:jc w:val="both"/>
        <w:rPr>
          <w:rFonts w:ascii="Arial" w:hAnsi="Arial"/>
        </w:rPr>
      </w:pPr>
    </w:p>
    <w:p w14:paraId="0477D1EA" w14:textId="77777777" w:rsidR="00370F3C" w:rsidRPr="009823A2" w:rsidRDefault="00370F3C" w:rsidP="00370F3C">
      <w:pPr>
        <w:pStyle w:val="a9"/>
        <w:numPr>
          <w:ilvl w:val="0"/>
          <w:numId w:val="1"/>
        </w:numPr>
        <w:spacing w:line="360" w:lineRule="auto"/>
        <w:jc w:val="both"/>
        <w:rPr>
          <w:rFonts w:ascii="Arial" w:hAnsi="Arial"/>
        </w:rPr>
      </w:pPr>
      <w:r w:rsidRPr="009823A2">
        <w:rPr>
          <w:rFonts w:ascii="Arial" w:hAnsi="Arial" w:hint="cs"/>
          <w:rtl/>
        </w:rPr>
        <w:t xml:space="preserve">הנאשם בדברו אמר כי צו המבחן הסתיים אך הוא עדיין ממשיך ללכת לטיפול במסגרת היחידה להתמכרויות וכי הוא גאה בעצמו על כל מה שעבר אך טען כי האירועים רודפים אותו. הוסיף ואמר הנאשם את הדברים הבאים: </w:t>
      </w:r>
    </w:p>
    <w:p w14:paraId="03BCA81F" w14:textId="77777777" w:rsidR="00370F3C" w:rsidRPr="009823A2" w:rsidRDefault="00370F3C" w:rsidP="00370F3C">
      <w:pPr>
        <w:pStyle w:val="a9"/>
        <w:rPr>
          <w:rFonts w:ascii="Arial" w:hAnsi="Arial"/>
          <w:rtl/>
        </w:rPr>
      </w:pPr>
    </w:p>
    <w:p w14:paraId="778A63E2" w14:textId="77777777" w:rsidR="00370F3C" w:rsidRPr="009823A2" w:rsidRDefault="00370F3C" w:rsidP="00370F3C">
      <w:pPr>
        <w:pStyle w:val="a9"/>
        <w:spacing w:line="360" w:lineRule="auto"/>
        <w:jc w:val="both"/>
        <w:rPr>
          <w:rFonts w:ascii="Arial" w:hAnsi="Arial"/>
          <w:b/>
          <w:bCs/>
        </w:rPr>
      </w:pPr>
      <w:r w:rsidRPr="009823A2">
        <w:rPr>
          <w:rFonts w:ascii="Arial" w:hAnsi="Arial" w:hint="cs"/>
          <w:rtl/>
        </w:rPr>
        <w:t>"</w:t>
      </w:r>
      <w:r w:rsidRPr="009823A2">
        <w:rPr>
          <w:rFonts w:ascii="Arial" w:hAnsi="Arial" w:hint="cs"/>
          <w:b/>
          <w:bCs/>
          <w:rtl/>
        </w:rPr>
        <w:t xml:space="preserve">היום אני אדם אחר לגמרי, מכיר את עצמי, השיקום וההליך הטיפולי שעברתי אותו עזר לי מאד ועדיין עוזר לי בכל מיני דברים, מצבי סיכון, סוף סוף אני מרגיש שאני אבא. בכל השנים האחרונות הפסדתי את ילדי, התגרשתי. אני לא זוכר שעברתי דבר קל אחד או חיובי למעט הטיפול הזה שעזר לי. אני מתפרנס בכבוד, עובד עם קשישים בבית אבות "לי ולך" בקיבוץ יסעור. לעבוד עם אוכלוסייה  כזו עושה לי טוב, לעזור לאנשים קשישים, לקלח אותם ולעזור להם. אני עובד מיום 19.8.22. מאז שחזרתי לאחר הפציעה לעבודות השירות. זה קשה אך אני רוצה בזה. אני חושב שכל אחד שהיה בעולם זה יכול ללכת בדרך חדשה. אני מתעסק עם אנשים מסוג זה, יש לי תעודה של בוגר רשת מלונות דן, אני שף במקצועי. עבודה זו מאפשרת לי להכיר אנשים, זה מצבי סיכון שלמדתי להכיר בעצמי. העדפתי לוותר על מקצועי וללכת למקצוע חדש שאני עושה מכל הלב. עשיתי קורסים דרך העבודה אני הגבר היחיד בבית, שאר העובדים מטפלות. עברתי מבחנים. יש לי קשיים כלכליים אני מפרנס ראשי מתפרנס 6,000 ₪. אני שם את הראש על הכרית בשקט. לפני שנים לא הייתי כך".  </w:t>
      </w:r>
    </w:p>
    <w:p w14:paraId="1326BEE7" w14:textId="77777777" w:rsidR="00370F3C" w:rsidRPr="009823A2" w:rsidRDefault="00370F3C" w:rsidP="00370F3C">
      <w:pPr>
        <w:pStyle w:val="a9"/>
        <w:rPr>
          <w:rFonts w:ascii="Arial" w:hAnsi="Arial"/>
          <w:rtl/>
        </w:rPr>
      </w:pPr>
    </w:p>
    <w:p w14:paraId="507669AD" w14:textId="77777777" w:rsidR="00370F3C" w:rsidRPr="009823A2" w:rsidRDefault="00370F3C" w:rsidP="00370F3C">
      <w:pPr>
        <w:pStyle w:val="a9"/>
        <w:spacing w:line="360" w:lineRule="auto"/>
        <w:jc w:val="both"/>
        <w:rPr>
          <w:rFonts w:ascii="Arial" w:hAnsi="Arial"/>
          <w:b/>
          <w:bCs/>
          <w:u w:val="single"/>
        </w:rPr>
      </w:pPr>
      <w:r w:rsidRPr="009823A2">
        <w:rPr>
          <w:rFonts w:ascii="Arial" w:hAnsi="Arial" w:hint="cs"/>
          <w:b/>
          <w:bCs/>
          <w:u w:val="single"/>
          <w:rtl/>
        </w:rPr>
        <w:t>דיון והכרעה</w:t>
      </w:r>
    </w:p>
    <w:p w14:paraId="69C0EFCE" w14:textId="77777777" w:rsidR="00370F3C" w:rsidRPr="009823A2" w:rsidRDefault="00370F3C" w:rsidP="00370F3C">
      <w:pPr>
        <w:pStyle w:val="a9"/>
        <w:numPr>
          <w:ilvl w:val="0"/>
          <w:numId w:val="1"/>
        </w:numPr>
        <w:spacing w:line="360" w:lineRule="auto"/>
        <w:jc w:val="both"/>
      </w:pPr>
      <w:r w:rsidRPr="009823A2">
        <w:rPr>
          <w:rFonts w:hint="cs"/>
          <w:rtl/>
        </w:rPr>
        <w:t>בהיעדר מחלוקת בין הצדדים על כך שמכלול מעשיו של הנאשם מהווה "אירוע" אחד, ובהתאם לתיקון 113 ל</w:t>
      </w:r>
      <w:hyperlink r:id="rId17" w:history="1">
        <w:r w:rsidR="00656DEF" w:rsidRPr="009823A2">
          <w:rPr>
            <w:color w:val="0000FF"/>
            <w:u w:val="single"/>
            <w:rtl/>
          </w:rPr>
          <w:t>חוק העונשין</w:t>
        </w:r>
      </w:hyperlink>
      <w:r w:rsidRPr="009823A2">
        <w:rPr>
          <w:rFonts w:hint="cs"/>
          <w:rtl/>
        </w:rPr>
        <w:t xml:space="preserve">,  ובהתאם לפסיקת בית המשפט העליון ומבחן ה"קשר ההדוק" אני קובעת כי כתב האישום מגלה אירוע אחד בגינו יש לקבוע מתחם עונש אחד. </w:t>
      </w:r>
    </w:p>
    <w:p w14:paraId="29BCA980" w14:textId="77777777" w:rsidR="00370F3C" w:rsidRPr="009823A2" w:rsidRDefault="00370F3C" w:rsidP="00370F3C">
      <w:pPr>
        <w:pStyle w:val="a9"/>
        <w:spacing w:line="360" w:lineRule="auto"/>
        <w:jc w:val="both"/>
        <w:rPr>
          <w:rFonts w:ascii="David" w:hAnsi="David"/>
          <w:rtl/>
        </w:rPr>
      </w:pPr>
    </w:p>
    <w:p w14:paraId="45BF4A0C" w14:textId="77777777" w:rsidR="00370F3C" w:rsidRPr="009823A2" w:rsidRDefault="00370F3C" w:rsidP="00370F3C">
      <w:pPr>
        <w:pStyle w:val="1"/>
        <w:spacing w:before="0" w:line="360" w:lineRule="auto"/>
        <w:ind w:firstLine="720"/>
        <w:rPr>
          <w:rFonts w:ascii="David" w:eastAsia="David" w:hAnsi="David" w:cs="David"/>
          <w:sz w:val="24"/>
          <w:szCs w:val="24"/>
          <w:u w:val="single"/>
        </w:rPr>
      </w:pPr>
      <w:r w:rsidRPr="009823A2">
        <w:rPr>
          <w:rFonts w:ascii="David" w:eastAsia="David" w:hAnsi="David" w:cs="David"/>
          <w:b w:val="0"/>
          <w:sz w:val="24"/>
          <w:szCs w:val="24"/>
          <w:u w:val="single"/>
          <w:rtl/>
        </w:rPr>
        <w:t>קביעת מתחם העונש ההולם</w:t>
      </w:r>
      <w:r w:rsidRPr="009823A2">
        <w:rPr>
          <w:rFonts w:ascii="David" w:eastAsia="David" w:hAnsi="David" w:cs="David"/>
          <w:sz w:val="24"/>
          <w:szCs w:val="24"/>
          <w:u w:val="single"/>
          <w:rtl/>
        </w:rPr>
        <w:t xml:space="preserve"> </w:t>
      </w:r>
    </w:p>
    <w:p w14:paraId="56889130" w14:textId="77777777" w:rsidR="00370F3C" w:rsidRPr="009823A2" w:rsidRDefault="00370F3C" w:rsidP="00370F3C">
      <w:pPr>
        <w:pStyle w:val="a9"/>
        <w:numPr>
          <w:ilvl w:val="0"/>
          <w:numId w:val="1"/>
        </w:numPr>
        <w:spacing w:line="360" w:lineRule="auto"/>
        <w:jc w:val="both"/>
        <w:rPr>
          <w:rFonts w:ascii="David" w:eastAsia="David" w:hAnsi="David"/>
          <w:rtl/>
        </w:rPr>
      </w:pPr>
      <w:r w:rsidRPr="009823A2">
        <w:rPr>
          <w:rFonts w:hint="cs"/>
          <w:rtl/>
        </w:rPr>
        <w:t xml:space="preserve">כאמור </w:t>
      </w:r>
      <w:hyperlink r:id="rId18" w:history="1">
        <w:r w:rsidR="009823A2" w:rsidRPr="009823A2">
          <w:rPr>
            <w:rStyle w:val="Hyperlink"/>
            <w:rFonts w:hint="eastAsia"/>
            <w:rtl/>
          </w:rPr>
          <w:t>בסעיף</w:t>
        </w:r>
        <w:r w:rsidR="009823A2" w:rsidRPr="009823A2">
          <w:rPr>
            <w:rStyle w:val="Hyperlink"/>
            <w:rtl/>
          </w:rPr>
          <w:t xml:space="preserve"> 40ג(א)</w:t>
        </w:r>
      </w:hyperlink>
      <w:r w:rsidRPr="009823A2">
        <w:rPr>
          <w:rFonts w:hint="cs"/>
          <w:u w:val="single"/>
          <w:rtl/>
        </w:rPr>
        <w:t xml:space="preserve"> ל</w:t>
      </w:r>
      <w:hyperlink r:id="rId19" w:history="1">
        <w:r w:rsidR="00656DEF" w:rsidRPr="009823A2">
          <w:rPr>
            <w:color w:val="0000FF"/>
            <w:u w:val="single"/>
            <w:rtl/>
          </w:rPr>
          <w:t>חוק העונשין</w:t>
        </w:r>
      </w:hyperlink>
      <w:r w:rsidRPr="009823A2">
        <w:rPr>
          <w:rFonts w:hint="cs"/>
          <w:u w:val="single"/>
          <w:rtl/>
        </w:rPr>
        <w:t xml:space="preserve">, </w:t>
      </w:r>
      <w:r w:rsidRPr="009823A2">
        <w:rPr>
          <w:rFonts w:hint="cs"/>
          <w:rtl/>
        </w:rPr>
        <w:t>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w:t>
      </w:r>
    </w:p>
    <w:p w14:paraId="5036CEAE" w14:textId="77777777" w:rsidR="00370F3C" w:rsidRPr="009823A2" w:rsidRDefault="00370F3C" w:rsidP="00370F3C">
      <w:pPr>
        <w:pStyle w:val="a9"/>
        <w:spacing w:line="360" w:lineRule="auto"/>
        <w:jc w:val="both"/>
      </w:pPr>
    </w:p>
    <w:p w14:paraId="61A3C6CB" w14:textId="77777777" w:rsidR="00370F3C" w:rsidRPr="009823A2" w:rsidRDefault="00370F3C" w:rsidP="00370F3C">
      <w:pPr>
        <w:pStyle w:val="a9"/>
        <w:numPr>
          <w:ilvl w:val="0"/>
          <w:numId w:val="1"/>
        </w:numPr>
        <w:spacing w:line="360" w:lineRule="auto"/>
        <w:jc w:val="both"/>
        <w:rPr>
          <w:rFonts w:ascii="David" w:eastAsia="David" w:hAnsi="David"/>
        </w:rPr>
      </w:pPr>
      <w:r w:rsidRPr="009823A2">
        <w:rPr>
          <w:rFonts w:hint="cs"/>
          <w:rtl/>
        </w:rPr>
        <w:t>בכל הנוגע</w:t>
      </w:r>
      <w:r w:rsidRPr="009823A2">
        <w:rPr>
          <w:rFonts w:hint="cs"/>
          <w:b/>
          <w:bCs/>
          <w:rtl/>
        </w:rPr>
        <w:t xml:space="preserve"> לערכים החברתיים המוגנים</w:t>
      </w:r>
      <w:r w:rsidRPr="009823A2">
        <w:rPr>
          <w:rFonts w:hint="cs"/>
          <w:rtl/>
        </w:rPr>
        <w:t xml:space="preserve"> אשר נפגעו כתוצאה ממעשיו של הנאשם, נדמה כי אין צורך להכביר מילים על אודות החומרה הרבה הכרוכה בעבירות הסמים. </w:t>
      </w:r>
      <w:hyperlink r:id="rId20" w:history="1">
        <w:r w:rsidR="00656DEF" w:rsidRPr="009823A2">
          <w:rPr>
            <w:color w:val="0000FF"/>
            <w:u w:val="single"/>
            <w:rtl/>
          </w:rPr>
          <w:t>פקודת הסמים המסוכנים</w:t>
        </w:r>
      </w:hyperlink>
      <w:r w:rsidRPr="009823A2">
        <w:rPr>
          <w:rFonts w:hint="cs"/>
          <w:rtl/>
        </w:rPr>
        <w:t xml:space="preserve"> נחקקה על מנת להגן על ערכים חברתיים מרכזיים ובראשם החובה להגן על שלומו של הציבור, בריאותו, ביטחונו האישי ועל רכושו.</w:t>
      </w:r>
    </w:p>
    <w:p w14:paraId="630E54ED" w14:textId="77777777" w:rsidR="00370F3C" w:rsidRPr="009823A2" w:rsidRDefault="00370F3C" w:rsidP="00370F3C">
      <w:pPr>
        <w:pStyle w:val="a9"/>
        <w:rPr>
          <w:rtl/>
        </w:rPr>
      </w:pPr>
    </w:p>
    <w:p w14:paraId="37DCF99D" w14:textId="77777777" w:rsidR="00370F3C" w:rsidRPr="009823A2" w:rsidRDefault="00370F3C" w:rsidP="00370F3C">
      <w:pPr>
        <w:pStyle w:val="a9"/>
        <w:numPr>
          <w:ilvl w:val="0"/>
          <w:numId w:val="1"/>
        </w:numPr>
        <w:spacing w:line="360" w:lineRule="auto"/>
        <w:jc w:val="both"/>
      </w:pPr>
      <w:r w:rsidRPr="009823A2">
        <w:rPr>
          <w:rFonts w:hint="cs"/>
          <w:rtl/>
        </w:rPr>
        <w:t xml:space="preserve">בבחינת </w:t>
      </w:r>
      <w:r w:rsidRPr="009823A2">
        <w:rPr>
          <w:rFonts w:hint="cs"/>
          <w:b/>
          <w:bCs/>
          <w:rtl/>
        </w:rPr>
        <w:t xml:space="preserve">הנסיבות הקשורות בביצוע </w:t>
      </w:r>
      <w:r w:rsidRPr="009823A2">
        <w:rPr>
          <w:rFonts w:hint="cs"/>
          <w:rtl/>
        </w:rPr>
        <w:t xml:space="preserve"> </w:t>
      </w:r>
      <w:r w:rsidRPr="009823A2">
        <w:rPr>
          <w:rFonts w:hint="cs"/>
          <w:b/>
          <w:bCs/>
          <w:rtl/>
        </w:rPr>
        <w:t>העבירה,</w:t>
      </w:r>
      <w:r w:rsidRPr="009823A2">
        <w:rPr>
          <w:rFonts w:hint="cs"/>
          <w:rtl/>
        </w:rPr>
        <w:t xml:space="preserve"> נתתי דעתי בראש ובראשונה לסוג הסם אותו החזיק הנאשם.  המדובר בסם מסוכן מסוג קוקאין הנמנה עם "הסמים הקשים".  החזיק הנאשם במקום ציבורי ברחוב שביישוב שלומי סם מסוכן מסוג קוקאין, במשקל כולל של 6.954  גרם נטו מחולק לעשר אריזות ניילון שנמצאו בתוך קופסא וזאת שלא לצריכתו העצמית.  </w:t>
      </w:r>
    </w:p>
    <w:p w14:paraId="3360DCFE" w14:textId="77777777" w:rsidR="00370F3C" w:rsidRPr="009823A2" w:rsidRDefault="00370F3C" w:rsidP="00370F3C">
      <w:pPr>
        <w:pStyle w:val="a9"/>
        <w:rPr>
          <w:rtl/>
        </w:rPr>
      </w:pPr>
    </w:p>
    <w:p w14:paraId="260AD7C3" w14:textId="77777777" w:rsidR="00370F3C" w:rsidRPr="009823A2" w:rsidRDefault="00370F3C" w:rsidP="00370F3C">
      <w:pPr>
        <w:pStyle w:val="a9"/>
        <w:numPr>
          <w:ilvl w:val="0"/>
          <w:numId w:val="1"/>
        </w:numPr>
        <w:spacing w:line="360" w:lineRule="auto"/>
        <w:jc w:val="both"/>
        <w:rPr>
          <w:b/>
          <w:bCs/>
        </w:rPr>
      </w:pPr>
      <w:r w:rsidRPr="009823A2">
        <w:rPr>
          <w:rFonts w:hint="cs"/>
          <w:b/>
          <w:bCs/>
          <w:rtl/>
        </w:rPr>
        <w:t>באשר למדיניות הענישה הנהוגה בגין החזקה של סם מסוכן מסוג הרואין או קוקאין שלא לצריכה עצמית, בכמויות של עשרות גרמים, כבר קבע בית משפט העליון ב</w:t>
      </w:r>
      <w:hyperlink r:id="rId21" w:history="1">
        <w:r w:rsidR="00656DEF" w:rsidRPr="009823A2">
          <w:rPr>
            <w:b/>
            <w:bCs/>
            <w:color w:val="0000FF"/>
            <w:u w:val="single"/>
            <w:rtl/>
          </w:rPr>
          <w:t>ע"פ 4592/15</w:t>
        </w:r>
      </w:hyperlink>
      <w:r w:rsidRPr="009823A2">
        <w:rPr>
          <w:rFonts w:hint="cs"/>
          <w:b/>
          <w:bCs/>
          <w:rtl/>
        </w:rPr>
        <w:t xml:space="preserve"> אשר מסעוד פדידה נ' מדינת ישראל (8.2.16) כדלקמן –</w:t>
      </w:r>
    </w:p>
    <w:p w14:paraId="0904255E" w14:textId="77777777" w:rsidR="00370F3C" w:rsidRPr="009823A2" w:rsidRDefault="00370F3C" w:rsidP="00370F3C">
      <w:pPr>
        <w:pStyle w:val="a9"/>
        <w:spacing w:line="360" w:lineRule="auto"/>
        <w:ind w:left="1440"/>
        <w:jc w:val="both"/>
        <w:rPr>
          <w:rFonts w:ascii="David" w:hAnsi="David"/>
        </w:rPr>
      </w:pPr>
      <w:r w:rsidRPr="009823A2">
        <w:rPr>
          <w:rFonts w:ascii="Miriam" w:hAnsi="Miriam"/>
          <w:rtl/>
        </w:rPr>
        <w:t>"מסקירת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w:t>
      </w:r>
      <w:hyperlink r:id="rId22" w:history="1">
        <w:r w:rsidR="00656DEF" w:rsidRPr="009823A2">
          <w:rPr>
            <w:rFonts w:ascii="Miriam" w:hAnsi="Miriam"/>
            <w:color w:val="0000FF"/>
            <w:u w:val="single"/>
            <w:rtl/>
          </w:rPr>
          <w:t>ע"פ 8820/14</w:t>
        </w:r>
      </w:hyperlink>
      <w:r w:rsidRPr="009823A2">
        <w:rPr>
          <w:rFonts w:ascii="Miriam" w:hAnsi="Miriam"/>
          <w:rtl/>
        </w:rPr>
        <w:t xml:space="preserve"> זהר שחר נ' מדינת ישראל [פורסם בנבו] (2015) בפסקה 12 וההפניות שם; </w:t>
      </w:r>
      <w:hyperlink r:id="rId23" w:history="1">
        <w:r w:rsidR="00962EAB" w:rsidRPr="00962EAB">
          <w:rPr>
            <w:rFonts w:ascii="Miriam" w:hAnsi="Miriam"/>
            <w:color w:val="0000FF"/>
            <w:u w:val="single"/>
            <w:rtl/>
          </w:rPr>
          <w:t xml:space="preserve">1313/14 </w:t>
        </w:r>
      </w:hyperlink>
      <w:r w:rsidRPr="009823A2">
        <w:rPr>
          <w:rFonts w:ascii="Miriam" w:hAnsi="Miriam"/>
          <w:rtl/>
        </w:rPr>
        <w:t xml:space="preserve"> גמאל בהתימי נ' מדינת ישראל [פורסם בנבו] (2015); עניין פיצו, בפסקה 14 וההפניות שם; </w:t>
      </w:r>
      <w:hyperlink r:id="rId24" w:history="1">
        <w:r w:rsidR="00656DEF" w:rsidRPr="009823A2">
          <w:rPr>
            <w:rFonts w:ascii="Miriam" w:hAnsi="Miriam"/>
            <w:color w:val="0000FF"/>
            <w:u w:val="single"/>
            <w:rtl/>
          </w:rPr>
          <w:t>ע"פ 5374/12</w:t>
        </w:r>
      </w:hyperlink>
      <w:r w:rsidRPr="009823A2">
        <w:rPr>
          <w:rFonts w:ascii="Miriam" w:hAnsi="Miriam"/>
          <w:rtl/>
        </w:rPr>
        <w:t xml:space="preserve"> אברג'יל נ' מדינת ישראל [פורסם בנבו] (2013); </w:t>
      </w:r>
      <w:hyperlink r:id="rId25" w:history="1">
        <w:r w:rsidR="00656DEF" w:rsidRPr="009823A2">
          <w:rPr>
            <w:rFonts w:ascii="Miriam" w:hAnsi="Miriam"/>
            <w:color w:val="0000FF"/>
            <w:u w:val="single"/>
            <w:rtl/>
          </w:rPr>
          <w:t>ע"פ 11469/05</w:t>
        </w:r>
      </w:hyperlink>
      <w:r w:rsidRPr="009823A2">
        <w:rPr>
          <w:rFonts w:ascii="Miriam" w:hAnsi="Miriam"/>
          <w:rtl/>
        </w:rPr>
        <w:t xml:space="preserve"> מדינת ישראל נ' עייש [פורסם בנבו] (2006); </w:t>
      </w:r>
      <w:hyperlink r:id="rId26" w:history="1">
        <w:r w:rsidR="00962EAB" w:rsidRPr="00962EAB">
          <w:rPr>
            <w:rFonts w:ascii="Miriam" w:hAnsi="Miriam"/>
            <w:color w:val="0000FF"/>
            <w:u w:val="single"/>
            <w:rtl/>
          </w:rPr>
          <w:t xml:space="preserve">5958/13 </w:t>
        </w:r>
      </w:hyperlink>
      <w:r w:rsidRPr="009823A2">
        <w:rPr>
          <w:rFonts w:ascii="Miriam" w:hAnsi="Miriam"/>
          <w:rtl/>
        </w:rPr>
        <w:t xml:space="preserve"> גיא שרגא סבג נ' מדינת ישראל [פורסם בנבו] (2014); </w:t>
      </w:r>
      <w:hyperlink r:id="rId27" w:history="1">
        <w:r w:rsidR="00962EAB" w:rsidRPr="00962EAB">
          <w:rPr>
            <w:rFonts w:ascii="Miriam" w:hAnsi="Miriam"/>
            <w:color w:val="0000FF"/>
            <w:u w:val="single"/>
            <w:rtl/>
          </w:rPr>
          <w:t xml:space="preserve">4203/14 </w:t>
        </w:r>
      </w:hyperlink>
      <w:r w:rsidRPr="009823A2">
        <w:rPr>
          <w:rFonts w:ascii="Miriam" w:hAnsi="Miriam"/>
          <w:rtl/>
        </w:rPr>
        <w:t xml:space="preserve"> אליהו כהן נ' מדינת ישראל [פורסם בנבו] (2015))".</w:t>
      </w:r>
    </w:p>
    <w:p w14:paraId="7F1A2C3C" w14:textId="77777777" w:rsidR="00370F3C" w:rsidRPr="009823A2" w:rsidRDefault="00370F3C" w:rsidP="00370F3C">
      <w:pPr>
        <w:spacing w:line="360" w:lineRule="auto"/>
        <w:jc w:val="both"/>
      </w:pPr>
    </w:p>
    <w:p w14:paraId="2A1FF6A1" w14:textId="77777777" w:rsidR="00370F3C" w:rsidRPr="009823A2" w:rsidRDefault="00370F3C" w:rsidP="00370F3C">
      <w:pPr>
        <w:pStyle w:val="a9"/>
        <w:numPr>
          <w:ilvl w:val="0"/>
          <w:numId w:val="1"/>
        </w:numPr>
        <w:spacing w:line="360" w:lineRule="auto"/>
        <w:jc w:val="both"/>
      </w:pPr>
      <w:r w:rsidRPr="009823A2">
        <w:rPr>
          <w:rFonts w:hint="cs"/>
          <w:rtl/>
        </w:rPr>
        <w:t xml:space="preserve">באשר למדיניות הענישה אפנה למקרים הבאים אשר בחלקם מדובר בנסיבות חמורות הרבה יותר מענייננו: </w:t>
      </w:r>
    </w:p>
    <w:p w14:paraId="274549A5" w14:textId="77777777" w:rsidR="00370F3C" w:rsidRPr="009823A2" w:rsidRDefault="00370F3C" w:rsidP="00370F3C">
      <w:pPr>
        <w:pStyle w:val="a9"/>
        <w:spacing w:line="360" w:lineRule="auto"/>
        <w:jc w:val="both"/>
        <w:rPr>
          <w:rtl/>
        </w:rPr>
      </w:pPr>
      <w:r w:rsidRPr="009823A2">
        <w:rPr>
          <w:rFonts w:hint="cs"/>
          <w:rtl/>
        </w:rPr>
        <w:t>ב</w:t>
      </w:r>
      <w:hyperlink r:id="rId28" w:history="1">
        <w:r w:rsidR="00656DEF" w:rsidRPr="009823A2">
          <w:rPr>
            <w:color w:val="0000FF"/>
            <w:u w:val="single"/>
            <w:rtl/>
          </w:rPr>
          <w:t>רע"פ 1273/08</w:t>
        </w:r>
      </w:hyperlink>
      <w:r w:rsidRPr="009823A2">
        <w:rPr>
          <w:rtl/>
        </w:rPr>
        <w:t xml:space="preserve"> </w:t>
      </w:r>
      <w:r w:rsidRPr="009823A2">
        <w:rPr>
          <w:rFonts w:hint="cs"/>
          <w:b/>
          <w:bCs/>
          <w:rtl/>
        </w:rPr>
        <w:t>חמאמדה נ' מדינת ישראל</w:t>
      </w:r>
      <w:r w:rsidRPr="009823A2">
        <w:rPr>
          <w:rFonts w:hint="cs"/>
          <w:rtl/>
        </w:rPr>
        <w:t xml:space="preserve"> (11.2.08), אישר בית המשפט העליון את פסק דינו של בית המשפט המחוזי, אשר דחה ערעור על פסק דינו של בית משפט השלום שהשית על נאשם בעל עבר מכביד, שהורשע על יסוד הודאתו בעבירה של החזקת סם שלא לצריכה עצמית (נתפס כשהוא מחזיק סם מסוכן מסוג הרואין במשקל 32.3857 גרם, סם מסוכן מסוג קוקאין במשקל 1.3588 גרם, וסם מסוכן מסוג חשיש במשקל 9.2808 גרם) וצירף תיק נוסף בו הודה בהחזקת סם מסוכן מסוג קוקאין במשקל של 2.3 גרם וסם מסוכן מסוג קנבוס במשקל 14 גרם, 12 חודשי מאסר בפועל, תוך הפעלה בחופף של מאסר על תנאי בן 8 חודשים.</w:t>
      </w:r>
    </w:p>
    <w:p w14:paraId="2826F98A" w14:textId="77777777" w:rsidR="00370F3C" w:rsidRPr="009823A2" w:rsidRDefault="00370F3C" w:rsidP="00370F3C">
      <w:pPr>
        <w:pStyle w:val="a9"/>
        <w:spacing w:line="360" w:lineRule="auto"/>
        <w:jc w:val="both"/>
        <w:rPr>
          <w:rFonts w:ascii="David" w:hAnsi="David"/>
        </w:rPr>
      </w:pPr>
    </w:p>
    <w:p w14:paraId="7A3FD841" w14:textId="77777777" w:rsidR="00370F3C" w:rsidRPr="009823A2" w:rsidRDefault="00370F3C" w:rsidP="00370F3C">
      <w:pPr>
        <w:spacing w:line="360" w:lineRule="auto"/>
        <w:ind w:left="720"/>
        <w:jc w:val="both"/>
      </w:pPr>
      <w:r w:rsidRPr="009823A2">
        <w:rPr>
          <w:rFonts w:hint="cs"/>
          <w:rtl/>
        </w:rPr>
        <w:t>ב</w:t>
      </w:r>
      <w:hyperlink r:id="rId29" w:history="1">
        <w:r w:rsidR="00656DEF" w:rsidRPr="009823A2">
          <w:rPr>
            <w:color w:val="0000FF"/>
            <w:u w:val="single"/>
            <w:rtl/>
          </w:rPr>
          <w:t>רע"פ 6374/08</w:t>
        </w:r>
      </w:hyperlink>
      <w:r w:rsidRPr="009823A2">
        <w:rPr>
          <w:rtl/>
        </w:rPr>
        <w:t xml:space="preserve"> </w:t>
      </w:r>
      <w:r w:rsidRPr="009823A2">
        <w:rPr>
          <w:rFonts w:hint="cs"/>
          <w:b/>
          <w:bCs/>
          <w:rtl/>
        </w:rPr>
        <w:t>גנני נ' מדינת ישראל</w:t>
      </w:r>
      <w:r w:rsidRPr="009823A2">
        <w:rPr>
          <w:rFonts w:hint="cs"/>
          <w:rtl/>
        </w:rPr>
        <w:t xml:space="preserve"> (6.2.12), התקבל ערעור על גזר דינו של בית המשפט המחוזי אשר קיבל את ערעור המדינה על קולת העונש והשית על נאשם שהודה והורשע בעבירה של החזקת סם מסוג חשיש במשקל 1693.24 גרם נטו שלא לשימוש עצמי עונש של 6 חודשי מאסר לריצוי בעבודות שירות תחת 12 חודשי מאסר על תנאי שהשית בית המשפט השלום. בית המשפט העליון קבע כי ככל שהנאשם ריצה את צו השל"צ שהושת עליו, לא ניתן להטיל עליו עונש מאסר בעת הערעור.</w:t>
      </w:r>
    </w:p>
    <w:p w14:paraId="7E582D7F" w14:textId="77777777" w:rsidR="00370F3C" w:rsidRPr="009823A2" w:rsidRDefault="00370F3C" w:rsidP="00370F3C">
      <w:pPr>
        <w:spacing w:line="360" w:lineRule="auto"/>
        <w:jc w:val="both"/>
        <w:rPr>
          <w:rFonts w:ascii="David" w:hAnsi="David"/>
          <w:rtl/>
        </w:rPr>
      </w:pPr>
    </w:p>
    <w:p w14:paraId="17D652F5" w14:textId="77777777" w:rsidR="00370F3C" w:rsidRPr="009823A2" w:rsidRDefault="00370F3C" w:rsidP="00370F3C">
      <w:pPr>
        <w:spacing w:line="360" w:lineRule="auto"/>
        <w:ind w:left="720"/>
        <w:jc w:val="both"/>
      </w:pPr>
      <w:r w:rsidRPr="009823A2">
        <w:rPr>
          <w:rFonts w:hint="cs"/>
          <w:rtl/>
        </w:rPr>
        <w:t>ב</w:t>
      </w:r>
      <w:hyperlink r:id="rId30" w:history="1">
        <w:r w:rsidR="00656DEF" w:rsidRPr="009823A2">
          <w:rPr>
            <w:color w:val="0000FF"/>
            <w:u w:val="single"/>
            <w:rtl/>
          </w:rPr>
          <w:t>רע"פ 1273/08</w:t>
        </w:r>
      </w:hyperlink>
      <w:r w:rsidRPr="009823A2">
        <w:rPr>
          <w:rtl/>
        </w:rPr>
        <w:t xml:space="preserve"> </w:t>
      </w:r>
      <w:r w:rsidRPr="009823A2">
        <w:rPr>
          <w:rFonts w:hint="cs"/>
          <w:b/>
          <w:bCs/>
          <w:rtl/>
        </w:rPr>
        <w:t>חמאמדה נ' מדינת ישראל</w:t>
      </w:r>
      <w:r w:rsidRPr="009823A2">
        <w:rPr>
          <w:rFonts w:hint="cs"/>
          <w:rtl/>
        </w:rPr>
        <w:t xml:space="preserve"> (11.2.08), אישר בית המשפט העליון את פסק דינו של בית המשפט המחוזי, אשר דחה ערעור על פסק דינו של בית משפט השלום שהשית על נאשם בעל עבר מכביד, שהורשע על יסוד הודאתו בעבירה של החזקת סם שלא לצריכה עצמית (נתפס כשהוא מחזיק סם מסוכן מסוג הרואין במשקל 32.3857 גרם, סם מסוכן מסוג קוקאין במשקל 1.3588 גרם, וסם מסוכן מסוג חשיש במשקל 9.2808 גרם) וצירף תיק נוסף בו הודה בהחזקת סם מסוכן מסוג קוקאין במשקל של 2.3 גרם וסם מסוכן מסוג קנבוס במשקל 14 גרם, 12 חודשי מאסר בפועל, תוך הפעלה בחופף של מאסר על תנאי בן 8 חודשים.</w:t>
      </w:r>
    </w:p>
    <w:p w14:paraId="14393130" w14:textId="77777777" w:rsidR="00370F3C" w:rsidRPr="009823A2" w:rsidRDefault="00656DEF" w:rsidP="00370F3C">
      <w:pPr>
        <w:spacing w:line="360" w:lineRule="auto"/>
        <w:ind w:left="720"/>
        <w:jc w:val="both"/>
        <w:rPr>
          <w:rFonts w:ascii="David" w:hAnsi="David"/>
          <w:rtl/>
        </w:rPr>
      </w:pPr>
      <w:hyperlink r:id="rId31" w:history="1">
        <w:r w:rsidRPr="009823A2">
          <w:rPr>
            <w:color w:val="0000FF"/>
            <w:u w:val="single"/>
            <w:rtl/>
          </w:rPr>
          <w:t>עפ"ג 7474-09-17</w:t>
        </w:r>
      </w:hyperlink>
      <w:r w:rsidR="00370F3C" w:rsidRPr="009823A2">
        <w:rPr>
          <w:rFonts w:hint="cs"/>
          <w:rtl/>
        </w:rPr>
        <w:t xml:space="preserve"> </w:t>
      </w:r>
      <w:r w:rsidR="00370F3C" w:rsidRPr="009823A2">
        <w:rPr>
          <w:rFonts w:hint="cs"/>
          <w:b/>
          <w:bCs/>
          <w:rtl/>
        </w:rPr>
        <w:t>מדינת ישראל נ' שגב</w:t>
      </w:r>
      <w:r w:rsidR="00370F3C" w:rsidRPr="009823A2">
        <w:rPr>
          <w:rFonts w:hint="cs"/>
          <w:rtl/>
        </w:rPr>
        <w:t xml:space="preserve"> (26.2.17) בו הורשע נאשם בעבירה של החזקת סם מסוג קוקאין במשקל של 31.37 גרם, ולאור הליך שיקום משמעותי נידון הנאשם ל-6 חודשי עבודות שירות.</w:t>
      </w:r>
    </w:p>
    <w:p w14:paraId="7120AA0B" w14:textId="77777777" w:rsidR="00370F3C" w:rsidRPr="009823A2" w:rsidRDefault="00370F3C" w:rsidP="00370F3C">
      <w:pPr>
        <w:spacing w:line="360" w:lineRule="auto"/>
        <w:ind w:left="720"/>
        <w:jc w:val="both"/>
      </w:pPr>
    </w:p>
    <w:p w14:paraId="0D285D43" w14:textId="77777777" w:rsidR="00370F3C" w:rsidRPr="009823A2" w:rsidRDefault="00370F3C" w:rsidP="00370F3C">
      <w:pPr>
        <w:spacing w:line="360" w:lineRule="auto"/>
        <w:ind w:left="720"/>
        <w:jc w:val="both"/>
      </w:pPr>
      <w:r w:rsidRPr="009823A2">
        <w:rPr>
          <w:rFonts w:hint="cs"/>
          <w:rtl/>
        </w:rPr>
        <w:t xml:space="preserve">עפ"ג </w:t>
      </w:r>
      <w:hyperlink r:id="rId32" w:history="1">
        <w:r w:rsidR="00962EAB" w:rsidRPr="00962EAB">
          <w:rPr>
            <w:color w:val="0000FF"/>
            <w:u w:val="single"/>
            <w:rtl/>
          </w:rPr>
          <w:t xml:space="preserve">4757-09-12 </w:t>
        </w:r>
      </w:hyperlink>
      <w:r w:rsidRPr="009823A2">
        <w:rPr>
          <w:rFonts w:hint="cs"/>
          <w:rtl/>
        </w:rPr>
        <w:t xml:space="preserve"> </w:t>
      </w:r>
      <w:r w:rsidRPr="009823A2">
        <w:rPr>
          <w:rFonts w:hint="cs"/>
          <w:b/>
          <w:bCs/>
          <w:rtl/>
        </w:rPr>
        <w:t xml:space="preserve">דהן נ' מדינת ישראל </w:t>
      </w:r>
      <w:r w:rsidRPr="009823A2">
        <w:rPr>
          <w:rFonts w:hint="cs"/>
          <w:rtl/>
        </w:rPr>
        <w:t>(21.3.13) נידון עניינו של נאשם שהורשע בהחזקת סם מסוג קוקאין במשקל של 17.2 גרם נטו מחולק ל-6 אריזות ונידון ל-12 חודשי מאסר בפועל.</w:t>
      </w:r>
    </w:p>
    <w:p w14:paraId="608E9127" w14:textId="77777777" w:rsidR="00370F3C" w:rsidRPr="009823A2" w:rsidRDefault="00370F3C" w:rsidP="00370F3C">
      <w:pPr>
        <w:spacing w:line="360" w:lineRule="auto"/>
        <w:jc w:val="both"/>
        <w:rPr>
          <w:rtl/>
        </w:rPr>
      </w:pPr>
    </w:p>
    <w:p w14:paraId="58637FC0" w14:textId="77777777" w:rsidR="00370F3C" w:rsidRPr="009823A2" w:rsidRDefault="00656DEF" w:rsidP="00370F3C">
      <w:pPr>
        <w:pStyle w:val="a9"/>
        <w:spacing w:line="360" w:lineRule="auto"/>
        <w:jc w:val="both"/>
        <w:rPr>
          <w:rtl/>
        </w:rPr>
      </w:pPr>
      <w:hyperlink r:id="rId33" w:history="1">
        <w:r w:rsidRPr="009823A2">
          <w:rPr>
            <w:color w:val="0000FF"/>
            <w:u w:val="single"/>
            <w:rtl/>
          </w:rPr>
          <w:t>ת"פ 40959-05-19</w:t>
        </w:r>
      </w:hyperlink>
      <w:r w:rsidR="00370F3C" w:rsidRPr="009823A2">
        <w:rPr>
          <w:rFonts w:hint="cs"/>
          <w:rtl/>
        </w:rPr>
        <w:t xml:space="preserve"> </w:t>
      </w:r>
      <w:r w:rsidR="00370F3C" w:rsidRPr="009823A2">
        <w:rPr>
          <w:rFonts w:hint="cs"/>
          <w:b/>
          <w:bCs/>
          <w:rtl/>
        </w:rPr>
        <w:t>מדינת ישראל נ' גבאי –</w:t>
      </w:r>
      <w:r w:rsidR="00370F3C" w:rsidRPr="009823A2">
        <w:rPr>
          <w:rFonts w:hint="cs"/>
          <w:rtl/>
        </w:rPr>
        <w:t xml:space="preserve"> הורשע נאשם בהחזקת 20 גרם של סם מסוכן מסוג קוקאין ובנוסף הורשע בהחזקת סם מסוג קנבוס במקומות שונים בביתו ובמספרה השייכת לאביו. נקבע מתחם ענישה שבין 9 חודשי מאסר שניתן לשאת בדרך של עבודות שירות במקרים מתאימים ועד לעונש של 24 חודשי מאסר בפועל ברף העליון. על הנאשם הושת עונש של 5 חודשי מאסר בדרך של עבודות שירות בשל חריגה משיקולי שיקום. </w:t>
      </w:r>
    </w:p>
    <w:p w14:paraId="7C28C8E1" w14:textId="77777777" w:rsidR="00370F3C" w:rsidRPr="009823A2" w:rsidRDefault="00370F3C" w:rsidP="00370F3C">
      <w:pPr>
        <w:pStyle w:val="a9"/>
        <w:spacing w:line="360" w:lineRule="auto"/>
        <w:jc w:val="both"/>
        <w:rPr>
          <w:rtl/>
        </w:rPr>
      </w:pPr>
    </w:p>
    <w:p w14:paraId="43AF61AA" w14:textId="77777777" w:rsidR="00370F3C" w:rsidRPr="009823A2" w:rsidRDefault="00370F3C" w:rsidP="00370F3C">
      <w:pPr>
        <w:pStyle w:val="a9"/>
        <w:spacing w:line="360" w:lineRule="auto"/>
        <w:jc w:val="both"/>
        <w:rPr>
          <w:b/>
          <w:bCs/>
          <w:rtl/>
        </w:rPr>
      </w:pPr>
      <w:r w:rsidRPr="009823A2">
        <w:rPr>
          <w:rFonts w:hint="cs"/>
          <w:b/>
          <w:bCs/>
          <w:rtl/>
        </w:rPr>
        <w:t xml:space="preserve">לאור כל זאת, אני בדעה כי מתחם הענישה ההולם את העבירות בענייננו, תוך התחשבות בכמות הסם, ומהותו הוא 6  חודשי מאסר שניתן במקרים מתאימים לשאת בדרך של עבודות שירות ועד 18  חודשי  מאסר בפועל בצירוף ענישה נלווית. </w:t>
      </w:r>
    </w:p>
    <w:p w14:paraId="3A428F66" w14:textId="77777777" w:rsidR="00370F3C" w:rsidRPr="009823A2" w:rsidRDefault="00370F3C" w:rsidP="00370F3C">
      <w:pPr>
        <w:spacing w:line="360" w:lineRule="auto"/>
        <w:jc w:val="both"/>
        <w:rPr>
          <w:b/>
          <w:bCs/>
          <w:rtl/>
        </w:rPr>
      </w:pPr>
      <w:r w:rsidRPr="009823A2">
        <w:rPr>
          <w:rFonts w:hint="cs"/>
          <w:b/>
          <w:bCs/>
          <w:rtl/>
        </w:rPr>
        <w:tab/>
      </w:r>
    </w:p>
    <w:p w14:paraId="26841153" w14:textId="77777777" w:rsidR="00370F3C" w:rsidRPr="009823A2" w:rsidRDefault="00370F3C" w:rsidP="00370F3C">
      <w:pPr>
        <w:pStyle w:val="a9"/>
        <w:numPr>
          <w:ilvl w:val="0"/>
          <w:numId w:val="1"/>
        </w:numPr>
        <w:spacing w:line="360" w:lineRule="auto"/>
        <w:jc w:val="both"/>
      </w:pPr>
      <w:r w:rsidRPr="009823A2">
        <w:rPr>
          <w:rFonts w:hint="cs"/>
          <w:rtl/>
        </w:rPr>
        <w:t xml:space="preserve">בהינתן מתחם העונש ההולם יש לבחון האם מתקיימים שיקולים לחריגה ממנו, ובעניינו של הנאשם דנן יש סיכוי של ממש שהשתקם או שהנאשם השתקם.  </w:t>
      </w:r>
    </w:p>
    <w:p w14:paraId="33996BC1" w14:textId="77777777" w:rsidR="00370F3C" w:rsidRPr="009823A2" w:rsidRDefault="00370F3C" w:rsidP="00370F3C">
      <w:pPr>
        <w:pStyle w:val="a9"/>
        <w:spacing w:after="160" w:line="360" w:lineRule="auto"/>
        <w:jc w:val="both"/>
        <w:rPr>
          <w:rtl/>
        </w:rPr>
      </w:pPr>
      <w:r w:rsidRPr="009823A2">
        <w:rPr>
          <w:rtl/>
        </w:rPr>
        <w:t xml:space="preserve">בהתאם </w:t>
      </w:r>
      <w:hyperlink r:id="rId34" w:history="1">
        <w:r w:rsidR="009823A2" w:rsidRPr="009823A2">
          <w:rPr>
            <w:rStyle w:val="Hyperlink"/>
            <w:rtl/>
          </w:rPr>
          <w:t>לסעיף 40ד'</w:t>
        </w:r>
      </w:hyperlink>
      <w:r w:rsidRPr="009823A2">
        <w:rPr>
          <w:rtl/>
        </w:rPr>
        <w:t xml:space="preserve"> ל</w:t>
      </w:r>
      <w:hyperlink r:id="rId35" w:history="1">
        <w:r w:rsidR="00656DEF" w:rsidRPr="009823A2">
          <w:rPr>
            <w:color w:val="0000FF"/>
            <w:u w:val="single"/>
            <w:rtl/>
          </w:rPr>
          <w:t>חוק העונשין</w:t>
        </w:r>
      </w:hyperlink>
      <w:r w:rsidRPr="009823A2">
        <w:rPr>
          <w:rtl/>
        </w:rPr>
        <w:t xml:space="preserve"> רשאי בית המשפט לחרוג לקולה ממתחם העונש ההולם שקבע, אם מצא כי "</w:t>
      </w:r>
      <w:r w:rsidRPr="009823A2">
        <w:rPr>
          <w:rFonts w:ascii="Miriam" w:hAnsi="Miriam" w:hint="cs"/>
          <w:rtl/>
        </w:rPr>
        <w:t xml:space="preserve">הנאשם השתקם או כי יש סיכוי של ממש שישתקם". </w:t>
      </w:r>
      <w:r w:rsidRPr="009823A2">
        <w:rPr>
          <w:rtl/>
        </w:rPr>
        <w:t xml:space="preserve">על קיומו של פוטנציאל שיקומי ניתן ללמוד בין היתר  מעברו הפלילי של הנאשם, שיתוף הפעולה עם גורמי הטיפול ורשויות החוק ומקיומה של תמיכה משפחתית לצדו של הנאשם (ראו </w:t>
      </w:r>
      <w:hyperlink r:id="rId36" w:history="1">
        <w:r w:rsidR="00656DEF" w:rsidRPr="009823A2">
          <w:rPr>
            <w:color w:val="0000FF"/>
            <w:u w:val="single"/>
            <w:rtl/>
          </w:rPr>
          <w:t>רע"פ 7683/13</w:t>
        </w:r>
      </w:hyperlink>
      <w:r w:rsidRPr="009823A2">
        <w:rPr>
          <w:rtl/>
        </w:rPr>
        <w:t xml:space="preserve"> </w:t>
      </w:r>
      <w:r w:rsidRPr="009823A2">
        <w:rPr>
          <w:b/>
          <w:bCs/>
          <w:rtl/>
        </w:rPr>
        <w:t>דוד פרלמן נ' מדינת ישראל</w:t>
      </w:r>
      <w:r w:rsidRPr="009823A2">
        <w:rPr>
          <w:rtl/>
        </w:rPr>
        <w:t xml:space="preserve"> (23.2.14)). </w:t>
      </w:r>
    </w:p>
    <w:p w14:paraId="1FC79359" w14:textId="77777777" w:rsidR="00370F3C" w:rsidRPr="009823A2" w:rsidRDefault="00370F3C" w:rsidP="00370F3C">
      <w:pPr>
        <w:pStyle w:val="a9"/>
        <w:spacing w:line="360" w:lineRule="auto"/>
        <w:jc w:val="both"/>
        <w:rPr>
          <w:rtl/>
        </w:rPr>
      </w:pPr>
    </w:p>
    <w:p w14:paraId="466C74B4" w14:textId="77777777" w:rsidR="00370F3C" w:rsidRPr="009823A2" w:rsidRDefault="00370F3C" w:rsidP="00370F3C">
      <w:pPr>
        <w:pStyle w:val="a9"/>
        <w:numPr>
          <w:ilvl w:val="0"/>
          <w:numId w:val="1"/>
        </w:numPr>
        <w:spacing w:line="360" w:lineRule="auto"/>
        <w:jc w:val="both"/>
      </w:pPr>
      <w:r w:rsidRPr="009823A2">
        <w:rPr>
          <w:rFonts w:hint="cs"/>
          <w:rtl/>
        </w:rPr>
        <w:t xml:space="preserve">בענייננו אני סבורה שלא רק שיש סיכוי של ממש שהנאשם ישתקם, אלא שכעולה מהנתונים שבפני הנאשם סיים את ההליך הטיפולי וצו המבחן במסגרת התיק האחר וכי הוא ממשיך במסגרת היחידה להתמכרויות את ההליך הטיפולי ונראה כי עלה על דרך המלך ומבקש לחיות חיים נורמטיביים. דומה כי רצונו לערוך שינוי בחייו עלה לו במחיר כבד מבחינה רפואית והפציעה הקשה שעבר לאחר שחווה אירוע טראומתי כמפורט בטיעוני ההגנה לעונש ומהתצלומים שהונחו בפני. כמו כן יש ליתן את הדעת לחלוף הזמן המשמעותי מאז בוצעה העבירה (בשנת 2017) . עיינתי בגזר הדין בתיק האחר. בית המשפט הנכבד מציין בגזר הדין כי חל שינוי משמעותי שעבר הנאשם כמפורט בגזר הדין. בתיק האחר המליץ שירות המבחן בין היתר על צו מבחן אותו כאמור הנאשם סיים בהצלחה. </w:t>
      </w:r>
    </w:p>
    <w:p w14:paraId="49C60025" w14:textId="77777777" w:rsidR="00370F3C" w:rsidRPr="009823A2" w:rsidRDefault="00370F3C" w:rsidP="00370F3C">
      <w:pPr>
        <w:pStyle w:val="a9"/>
        <w:spacing w:line="360" w:lineRule="auto"/>
        <w:jc w:val="both"/>
      </w:pPr>
    </w:p>
    <w:p w14:paraId="4C0074B7" w14:textId="77777777" w:rsidR="00370F3C" w:rsidRPr="009823A2" w:rsidRDefault="00370F3C" w:rsidP="00370F3C">
      <w:pPr>
        <w:pStyle w:val="a9"/>
        <w:numPr>
          <w:ilvl w:val="0"/>
          <w:numId w:val="1"/>
        </w:numPr>
        <w:spacing w:line="360" w:lineRule="auto"/>
        <w:jc w:val="both"/>
      </w:pPr>
      <w:r w:rsidRPr="009823A2">
        <w:rPr>
          <w:rFonts w:hint="cs"/>
          <w:rtl/>
        </w:rPr>
        <w:t xml:space="preserve">במסגרת קביעת עונשו של הנאשם שקלתי את הודאת הנאשם בהזדמנות הראשונה ולקיחת האחריות. וכן את נסיבותיו האישיות כפי שנטענו על ידי סנגורו. כמו כן שקלתי לקולא את חלוף הזמן מעת ביצוע העבירה על ידי הנאשם  אשר בוצעה בשנת 2017 .  לחומרא לקחתי בחשבון את העובדה שלנאשם עבר פלילי הכולל הרשעות קודמות. יחד עם זאת אינני סבורה שעונש של מאסר על תנאי כפי שעותר לו הסנגור הולם את חומרת העבירה ולפיכך, הגם שאני חורגת ממתחם העונש הראוי, אני סבורה שיש להשית על הנאשם עונש הרתעתי בדמות מאסר בדרך של עבודות שירות לתקופה אשר מחד, יש בו כדי להוות גורם הרתעתי ומאידך תוך התחשבות במצבו האישי המשפחתי והכלכלי בתקופה זו.  </w:t>
      </w:r>
    </w:p>
    <w:p w14:paraId="488A7230" w14:textId="77777777" w:rsidR="00370F3C" w:rsidRPr="009823A2" w:rsidRDefault="00370F3C" w:rsidP="00370F3C">
      <w:pPr>
        <w:pStyle w:val="a9"/>
        <w:rPr>
          <w:rtl/>
        </w:rPr>
      </w:pPr>
    </w:p>
    <w:p w14:paraId="024B6FE3" w14:textId="77777777" w:rsidR="00370F3C" w:rsidRPr="009823A2" w:rsidRDefault="00370F3C" w:rsidP="00370F3C">
      <w:pPr>
        <w:pStyle w:val="a9"/>
        <w:numPr>
          <w:ilvl w:val="0"/>
          <w:numId w:val="1"/>
        </w:numPr>
        <w:spacing w:line="360" w:lineRule="auto"/>
        <w:jc w:val="both"/>
        <w:rPr>
          <w:rtl/>
        </w:rPr>
      </w:pPr>
      <w:r w:rsidRPr="009823A2">
        <w:rPr>
          <w:rFonts w:hint="cs"/>
          <w:rtl/>
        </w:rPr>
        <w:t xml:space="preserve">לתיק בית המשפט הוגשה חוות דעת של הממונה על עבודות השירות ממנה ניתן ללמוד שהנאשם מתאים לביצוע עבודות שירות. </w:t>
      </w:r>
    </w:p>
    <w:p w14:paraId="230FFFC7" w14:textId="77777777" w:rsidR="00370F3C" w:rsidRPr="009823A2" w:rsidRDefault="00370F3C" w:rsidP="00370F3C">
      <w:pPr>
        <w:pStyle w:val="a9"/>
        <w:spacing w:line="360" w:lineRule="auto"/>
        <w:jc w:val="both"/>
        <w:rPr>
          <w:rtl/>
        </w:rPr>
      </w:pPr>
    </w:p>
    <w:p w14:paraId="37D4447F" w14:textId="77777777" w:rsidR="00370F3C" w:rsidRPr="009823A2" w:rsidRDefault="00370F3C" w:rsidP="00370F3C">
      <w:pPr>
        <w:pStyle w:val="a9"/>
        <w:numPr>
          <w:ilvl w:val="0"/>
          <w:numId w:val="1"/>
        </w:numPr>
        <w:spacing w:line="360" w:lineRule="auto"/>
        <w:jc w:val="both"/>
        <w:rPr>
          <w:rFonts w:ascii="Arial" w:hAnsi="Arial"/>
        </w:rPr>
      </w:pPr>
      <w:r w:rsidRPr="009823A2">
        <w:rPr>
          <w:rFonts w:ascii="Arial" w:hAnsi="Arial" w:hint="cs"/>
          <w:rtl/>
        </w:rPr>
        <w:t>אשר על כן , במכלול כל השיקולים, אני גוזרת על הנאשם את העונשים הבאים:</w:t>
      </w:r>
    </w:p>
    <w:p w14:paraId="65548664" w14:textId="77777777" w:rsidR="00370F3C" w:rsidRPr="009823A2" w:rsidRDefault="00370F3C" w:rsidP="00370F3C">
      <w:pPr>
        <w:pStyle w:val="a9"/>
        <w:spacing w:line="360" w:lineRule="auto"/>
        <w:jc w:val="both"/>
        <w:rPr>
          <w:rFonts w:ascii="Arial" w:hAnsi="Arial"/>
        </w:rPr>
      </w:pPr>
    </w:p>
    <w:p w14:paraId="76B48464" w14:textId="77777777" w:rsidR="00370F3C" w:rsidRPr="009823A2" w:rsidRDefault="00370F3C" w:rsidP="00370F3C">
      <w:pPr>
        <w:pStyle w:val="a9"/>
        <w:spacing w:line="360" w:lineRule="auto"/>
        <w:jc w:val="both"/>
        <w:rPr>
          <w:rFonts w:ascii="Arial" w:hAnsi="Arial"/>
          <w:b/>
          <w:bCs/>
        </w:rPr>
      </w:pPr>
      <w:r w:rsidRPr="009823A2">
        <w:rPr>
          <w:rFonts w:ascii="Arial" w:hAnsi="Arial" w:hint="cs"/>
          <w:b/>
          <w:bCs/>
          <w:rtl/>
        </w:rPr>
        <w:t xml:space="preserve">3 חודשי מאסר  אשר ירוצו בעבודות שירות. </w:t>
      </w:r>
    </w:p>
    <w:p w14:paraId="0647D6E9" w14:textId="77777777" w:rsidR="00370F3C" w:rsidRPr="009823A2" w:rsidRDefault="00370F3C" w:rsidP="00370F3C">
      <w:pPr>
        <w:pStyle w:val="a9"/>
        <w:spacing w:line="360" w:lineRule="auto"/>
        <w:jc w:val="both"/>
        <w:rPr>
          <w:rFonts w:ascii="Arial" w:hAnsi="Arial"/>
          <w:b/>
          <w:bCs/>
          <w:rtl/>
        </w:rPr>
      </w:pPr>
    </w:p>
    <w:p w14:paraId="0D0C4F63" w14:textId="77777777" w:rsidR="00370F3C" w:rsidRPr="009823A2" w:rsidRDefault="00370F3C" w:rsidP="00370F3C">
      <w:pPr>
        <w:pStyle w:val="a9"/>
        <w:spacing w:line="360" w:lineRule="auto"/>
        <w:jc w:val="both"/>
        <w:rPr>
          <w:rFonts w:ascii="Arial" w:hAnsi="Arial"/>
          <w:b/>
          <w:bCs/>
          <w:rtl/>
        </w:rPr>
      </w:pPr>
      <w:r w:rsidRPr="009823A2">
        <w:rPr>
          <w:rFonts w:ascii="Arial" w:hAnsi="Arial" w:hint="cs"/>
          <w:b/>
          <w:bCs/>
          <w:rtl/>
        </w:rPr>
        <w:t xml:space="preserve">עבודות השירות תבוצענה בהתאם לחוות הדעת של הממונה על עבודות השירות. </w:t>
      </w:r>
    </w:p>
    <w:p w14:paraId="2C4E38EC" w14:textId="77777777" w:rsidR="00370F3C" w:rsidRPr="009823A2" w:rsidRDefault="00370F3C" w:rsidP="00370F3C">
      <w:pPr>
        <w:pStyle w:val="a9"/>
        <w:spacing w:line="360" w:lineRule="auto"/>
        <w:jc w:val="both"/>
        <w:rPr>
          <w:rFonts w:ascii="Arial" w:hAnsi="Arial"/>
          <w:b/>
          <w:bCs/>
          <w:rtl/>
        </w:rPr>
      </w:pPr>
    </w:p>
    <w:p w14:paraId="4FEA72CD" w14:textId="77777777" w:rsidR="00370F3C" w:rsidRPr="009823A2" w:rsidRDefault="00370F3C" w:rsidP="00370F3C">
      <w:pPr>
        <w:pStyle w:val="a9"/>
        <w:spacing w:line="360" w:lineRule="auto"/>
        <w:jc w:val="both"/>
        <w:rPr>
          <w:rFonts w:ascii="Arial" w:hAnsi="Arial"/>
          <w:b/>
          <w:bCs/>
          <w:rtl/>
        </w:rPr>
      </w:pPr>
      <w:r w:rsidRPr="009823A2">
        <w:rPr>
          <w:rFonts w:ascii="Arial" w:hAnsi="Arial" w:hint="cs"/>
          <w:b/>
          <w:bCs/>
          <w:rtl/>
        </w:rPr>
        <w:t xml:space="preserve">הובהר לנאשם שעליו לבצע את עבודות השירות לשביעות רצון הממונה וכי אם לא יעשה כן ניתן יהיה להפקיע את העונש והוא יישא ביתרת התקופה בכליאה. </w:t>
      </w:r>
    </w:p>
    <w:p w14:paraId="7042FDBC" w14:textId="77777777" w:rsidR="00370F3C" w:rsidRPr="009823A2" w:rsidRDefault="00370F3C" w:rsidP="00370F3C">
      <w:pPr>
        <w:pStyle w:val="a9"/>
        <w:spacing w:line="360" w:lineRule="auto"/>
        <w:jc w:val="both"/>
        <w:rPr>
          <w:rFonts w:ascii="Arial" w:hAnsi="Arial"/>
          <w:b/>
          <w:bCs/>
          <w:rtl/>
        </w:rPr>
      </w:pPr>
    </w:p>
    <w:p w14:paraId="550CF847" w14:textId="77777777" w:rsidR="00370F3C" w:rsidRPr="009823A2" w:rsidRDefault="00370F3C" w:rsidP="00370F3C">
      <w:pPr>
        <w:pStyle w:val="a9"/>
        <w:spacing w:line="360" w:lineRule="auto"/>
        <w:jc w:val="both"/>
        <w:rPr>
          <w:rFonts w:ascii="Arial" w:hAnsi="Arial"/>
          <w:b/>
          <w:bCs/>
          <w:rtl/>
        </w:rPr>
      </w:pPr>
      <w:r w:rsidRPr="009823A2">
        <w:rPr>
          <w:rFonts w:ascii="Arial" w:hAnsi="Arial" w:hint="cs"/>
          <w:b/>
          <w:bCs/>
          <w:rtl/>
        </w:rPr>
        <w:t xml:space="preserve">הנאשם יתייצב לריצוי עבודות השירות ביום 30.4.23  בשעה 08:00 במשרדי הממונה על עבודות השירות ומקום ההשמה נקבע : מרכז אזורי לקשיש עכו.  </w:t>
      </w:r>
    </w:p>
    <w:p w14:paraId="6D9D93AE" w14:textId="77777777" w:rsidR="00370F3C" w:rsidRPr="009823A2" w:rsidRDefault="00370F3C" w:rsidP="00370F3C">
      <w:pPr>
        <w:pStyle w:val="a9"/>
        <w:spacing w:line="360" w:lineRule="auto"/>
        <w:jc w:val="both"/>
        <w:rPr>
          <w:rFonts w:ascii="Arial" w:hAnsi="Arial"/>
        </w:rPr>
      </w:pPr>
    </w:p>
    <w:p w14:paraId="51377CE3" w14:textId="77777777" w:rsidR="00370F3C" w:rsidRPr="009823A2" w:rsidRDefault="00370F3C" w:rsidP="00370F3C">
      <w:pPr>
        <w:pStyle w:val="a9"/>
        <w:spacing w:line="360" w:lineRule="auto"/>
        <w:jc w:val="both"/>
        <w:rPr>
          <w:rFonts w:ascii="Arial" w:hAnsi="Arial"/>
          <w:b/>
          <w:bCs/>
          <w:rtl/>
        </w:rPr>
      </w:pPr>
      <w:r w:rsidRPr="009823A2">
        <w:rPr>
          <w:rFonts w:ascii="Arial" w:hAnsi="Arial" w:hint="cs"/>
          <w:b/>
          <w:bCs/>
          <w:rtl/>
        </w:rPr>
        <w:t xml:space="preserve">מאסר על תנאי למשך 6 חודשים והתנאי הוא שהנאשם לא יעבור במשך 3 שנים עבירה על פקודת הסמים מסוג פשע ויורשע בה. </w:t>
      </w:r>
    </w:p>
    <w:p w14:paraId="58BEE1E9" w14:textId="77777777" w:rsidR="00370F3C" w:rsidRPr="009823A2" w:rsidRDefault="00370F3C" w:rsidP="00370F3C">
      <w:pPr>
        <w:pStyle w:val="a9"/>
        <w:spacing w:line="360" w:lineRule="auto"/>
        <w:jc w:val="both"/>
        <w:rPr>
          <w:rFonts w:ascii="Arial" w:hAnsi="Arial"/>
          <w:b/>
          <w:bCs/>
          <w:rtl/>
        </w:rPr>
      </w:pPr>
    </w:p>
    <w:p w14:paraId="2DED927E" w14:textId="77777777" w:rsidR="00370F3C" w:rsidRPr="009823A2" w:rsidRDefault="00370F3C" w:rsidP="00370F3C">
      <w:pPr>
        <w:pStyle w:val="a9"/>
        <w:spacing w:line="360" w:lineRule="auto"/>
        <w:jc w:val="both"/>
        <w:rPr>
          <w:rFonts w:ascii="Arial" w:hAnsi="Arial"/>
          <w:b/>
          <w:bCs/>
          <w:rtl/>
        </w:rPr>
      </w:pPr>
      <w:r w:rsidRPr="009823A2">
        <w:rPr>
          <w:rFonts w:ascii="Arial" w:hAnsi="Arial" w:hint="cs"/>
          <w:b/>
          <w:bCs/>
          <w:rtl/>
        </w:rPr>
        <w:t xml:space="preserve">קנס כספי בסך של 2,000  ₪ או חודש מאסר תמורתו . הקנס ישולם ב </w:t>
      </w:r>
      <w:r w:rsidRPr="009823A2">
        <w:rPr>
          <w:rFonts w:ascii="Arial" w:hAnsi="Arial"/>
          <w:b/>
          <w:bCs/>
          <w:rtl/>
        </w:rPr>
        <w:t>–</w:t>
      </w:r>
      <w:r w:rsidRPr="009823A2">
        <w:rPr>
          <w:rFonts w:ascii="Arial" w:hAnsi="Arial" w:hint="cs"/>
          <w:b/>
          <w:bCs/>
          <w:rtl/>
        </w:rPr>
        <w:t xml:space="preserve"> 4 תשלומים חודשיים רצופים ושווים החל מיום 1.7.23 ובכל 1 לחודש שלאחריו.  </w:t>
      </w:r>
    </w:p>
    <w:p w14:paraId="0E19C65D" w14:textId="77777777" w:rsidR="00370F3C" w:rsidRPr="009823A2" w:rsidRDefault="00370F3C" w:rsidP="00370F3C">
      <w:pPr>
        <w:pStyle w:val="a9"/>
        <w:spacing w:line="360" w:lineRule="auto"/>
        <w:jc w:val="both"/>
        <w:rPr>
          <w:rFonts w:ascii="Arial" w:hAnsi="Arial"/>
          <w:b/>
          <w:bCs/>
          <w:rtl/>
        </w:rPr>
      </w:pPr>
      <w:r w:rsidRPr="009823A2">
        <w:rPr>
          <w:rFonts w:ascii="Arial" w:hAnsi="Arial" w:hint="cs"/>
          <w:b/>
          <w:bCs/>
          <w:rtl/>
        </w:rPr>
        <w:t xml:space="preserve">היה והקנס או חלקו לא ישולם במועד, תעמוד יתרת הקנס לתשלום מיידי. </w:t>
      </w:r>
    </w:p>
    <w:p w14:paraId="0DDBA86B" w14:textId="77777777" w:rsidR="00370F3C" w:rsidRPr="009823A2" w:rsidRDefault="00370F3C" w:rsidP="00370F3C">
      <w:pPr>
        <w:pStyle w:val="a9"/>
        <w:spacing w:line="360" w:lineRule="auto"/>
        <w:jc w:val="both"/>
        <w:rPr>
          <w:rFonts w:ascii="Arial" w:hAnsi="Arial"/>
          <w:rtl/>
        </w:rPr>
      </w:pPr>
    </w:p>
    <w:p w14:paraId="3ED8C10D" w14:textId="77777777" w:rsidR="00370F3C" w:rsidRPr="009823A2" w:rsidRDefault="00370F3C" w:rsidP="00370F3C">
      <w:pPr>
        <w:pStyle w:val="a9"/>
        <w:spacing w:line="360" w:lineRule="auto"/>
        <w:jc w:val="both"/>
        <w:rPr>
          <w:rFonts w:ascii="Arial" w:hAnsi="Arial"/>
          <w:b/>
          <w:bCs/>
          <w:rtl/>
        </w:rPr>
      </w:pPr>
      <w:r w:rsidRPr="009823A2">
        <w:rPr>
          <w:rFonts w:ascii="Arial" w:hAnsi="Arial" w:hint="cs"/>
          <w:b/>
          <w:bCs/>
          <w:rtl/>
        </w:rPr>
        <w:t xml:space="preserve">בנסיבות תיק זה ולאור נימוקי אינני גוזרת על הנאשם עונש של פסילת רישיון נהיגה בפועל. אני גוזרת על הנאשם עונש של פסילת רישיון נהיגה על תנאי של 3 חודשים למשך שנתיים והתנאי הוא שלא יעבור הנאשם עבירה על פי פקודת הסמים ויורשע בה. </w:t>
      </w:r>
    </w:p>
    <w:p w14:paraId="1C72E1B2" w14:textId="77777777" w:rsidR="00370F3C" w:rsidRPr="009823A2" w:rsidRDefault="00370F3C" w:rsidP="00370F3C">
      <w:pPr>
        <w:pStyle w:val="a9"/>
        <w:spacing w:line="360" w:lineRule="auto"/>
        <w:jc w:val="both"/>
        <w:rPr>
          <w:rFonts w:ascii="Arial" w:hAnsi="Arial"/>
          <w:b/>
          <w:bCs/>
          <w:rtl/>
        </w:rPr>
      </w:pPr>
    </w:p>
    <w:p w14:paraId="7E49388F" w14:textId="77777777" w:rsidR="00370F3C" w:rsidRPr="009823A2" w:rsidRDefault="00370F3C" w:rsidP="00370F3C">
      <w:pPr>
        <w:pStyle w:val="a9"/>
        <w:spacing w:line="360" w:lineRule="auto"/>
        <w:jc w:val="both"/>
        <w:rPr>
          <w:rFonts w:ascii="Arial" w:hAnsi="Arial"/>
          <w:b/>
          <w:bCs/>
          <w:rtl/>
        </w:rPr>
      </w:pPr>
      <w:r w:rsidRPr="009823A2">
        <w:rPr>
          <w:rFonts w:ascii="Arial" w:hAnsi="Arial" w:hint="cs"/>
          <w:b/>
          <w:bCs/>
          <w:rtl/>
        </w:rPr>
        <w:t>בחלוף תקופת הערעור, ניתן להשמיד את המוצגים - הסמים .</w:t>
      </w:r>
    </w:p>
    <w:p w14:paraId="5A0BD06A" w14:textId="77777777" w:rsidR="00370F3C" w:rsidRPr="009823A2" w:rsidRDefault="00370F3C" w:rsidP="00370F3C">
      <w:pPr>
        <w:spacing w:line="360" w:lineRule="auto"/>
        <w:ind w:firstLine="720"/>
        <w:jc w:val="both"/>
        <w:rPr>
          <w:rFonts w:ascii="Arial" w:hAnsi="Arial"/>
          <w:b/>
          <w:bCs/>
          <w:u w:val="single"/>
          <w:rtl/>
        </w:rPr>
      </w:pPr>
    </w:p>
    <w:p w14:paraId="12476620" w14:textId="77777777" w:rsidR="00370F3C" w:rsidRPr="009823A2" w:rsidRDefault="00656DEF" w:rsidP="00370F3C">
      <w:pPr>
        <w:spacing w:line="360" w:lineRule="auto"/>
        <w:ind w:firstLine="720"/>
        <w:jc w:val="both"/>
        <w:rPr>
          <w:rFonts w:ascii="Arial" w:hAnsi="Arial"/>
          <w:b/>
          <w:bCs/>
          <w:u w:val="single"/>
          <w:rtl/>
        </w:rPr>
      </w:pPr>
      <w:r w:rsidRPr="009823A2">
        <w:rPr>
          <w:rFonts w:ascii="Arial" w:hAnsi="Arial"/>
          <w:b/>
          <w:bCs/>
          <w:color w:val="FFFFFF"/>
          <w:sz w:val="2"/>
          <w:szCs w:val="2"/>
          <w:u w:val="single"/>
          <w:rtl/>
        </w:rPr>
        <w:t>5129371</w:t>
      </w:r>
      <w:r w:rsidR="00370F3C" w:rsidRPr="009823A2">
        <w:rPr>
          <w:rFonts w:ascii="Arial" w:hAnsi="Arial" w:hint="cs"/>
          <w:b/>
          <w:bCs/>
          <w:u w:val="single"/>
          <w:rtl/>
        </w:rPr>
        <w:t>זכות ערעור בתוך 45 יום.</w:t>
      </w:r>
    </w:p>
    <w:p w14:paraId="58259784" w14:textId="77777777" w:rsidR="00370F3C" w:rsidRPr="009823A2" w:rsidRDefault="00656DEF" w:rsidP="00370F3C">
      <w:pPr>
        <w:spacing w:line="360" w:lineRule="auto"/>
        <w:ind w:firstLine="720"/>
        <w:jc w:val="both"/>
        <w:rPr>
          <w:rFonts w:ascii="Arial" w:hAnsi="Arial"/>
          <w:b/>
          <w:bCs/>
          <w:u w:val="single"/>
          <w:rtl/>
        </w:rPr>
      </w:pPr>
      <w:r w:rsidRPr="009823A2">
        <w:rPr>
          <w:rFonts w:ascii="Arial" w:hAnsi="Arial"/>
          <w:b/>
          <w:bCs/>
          <w:color w:val="FFFFFF"/>
          <w:sz w:val="2"/>
          <w:szCs w:val="2"/>
          <w:u w:val="single"/>
          <w:rtl/>
        </w:rPr>
        <w:t>54678313</w:t>
      </w:r>
      <w:r w:rsidR="00370F3C" w:rsidRPr="009823A2">
        <w:rPr>
          <w:rFonts w:ascii="Arial" w:hAnsi="Arial" w:hint="cs"/>
          <w:b/>
          <w:bCs/>
          <w:u w:val="single"/>
          <w:rtl/>
        </w:rPr>
        <w:t>מזכירות בימ"ש תשלח העתק מגזר הדין לממונה על עבודות השרות.</w:t>
      </w:r>
    </w:p>
    <w:p w14:paraId="35327E24" w14:textId="77777777" w:rsidR="00370F3C" w:rsidRPr="009823A2" w:rsidRDefault="00370F3C" w:rsidP="00370F3C">
      <w:pPr>
        <w:spacing w:line="360" w:lineRule="auto"/>
        <w:ind w:firstLine="720"/>
        <w:jc w:val="both"/>
        <w:rPr>
          <w:rFonts w:ascii="Arial" w:hAnsi="Arial"/>
          <w:b/>
          <w:bCs/>
          <w:u w:val="single"/>
          <w:rtl/>
        </w:rPr>
      </w:pPr>
      <w:r w:rsidRPr="009823A2">
        <w:rPr>
          <w:rFonts w:ascii="Arial" w:hAnsi="Arial" w:hint="cs"/>
          <w:b/>
          <w:bCs/>
          <w:u w:val="single"/>
          <w:rtl/>
        </w:rPr>
        <w:t xml:space="preserve">מזכירות בימ"ש תשלח העתק מגזר הדין למשרד הרישוי. </w:t>
      </w:r>
    </w:p>
    <w:p w14:paraId="6D1E0716" w14:textId="77777777" w:rsidR="00370F3C" w:rsidRPr="009823A2" w:rsidRDefault="00656DEF" w:rsidP="00370F3C">
      <w:pPr>
        <w:spacing w:line="360" w:lineRule="auto"/>
        <w:jc w:val="both"/>
        <w:rPr>
          <w:rFonts w:ascii="Arial" w:hAnsi="Arial"/>
          <w:b/>
          <w:bCs/>
          <w:sz w:val="26"/>
          <w:szCs w:val="26"/>
          <w:rtl/>
        </w:rPr>
      </w:pPr>
      <w:bookmarkStart w:id="7" w:name="Nitan"/>
      <w:r w:rsidRPr="009823A2">
        <w:rPr>
          <w:rFonts w:ascii="Arial" w:hAnsi="Arial"/>
          <w:b/>
          <w:bCs/>
          <w:sz w:val="26"/>
          <w:szCs w:val="26"/>
          <w:rtl/>
        </w:rPr>
        <w:t xml:space="preserve">ניתן היום,  י"ט אדר תשפ"ג, 12 מרץ 2023, בנוכחות  הצדדים. </w:t>
      </w:r>
      <w:bookmarkEnd w:id="7"/>
      <w:r w:rsidR="00370F3C" w:rsidRPr="009823A2">
        <w:rPr>
          <w:rFonts w:ascii="Arial" w:hAnsi="Arial"/>
          <w:b/>
          <w:bCs/>
          <w:sz w:val="26"/>
          <w:szCs w:val="26"/>
          <w:rtl/>
        </w:rPr>
        <w:tab/>
      </w:r>
      <w:r w:rsidR="00370F3C" w:rsidRPr="009823A2">
        <w:rPr>
          <w:rFonts w:ascii="Arial" w:hAnsi="Arial"/>
          <w:b/>
          <w:bCs/>
          <w:sz w:val="26"/>
          <w:szCs w:val="26"/>
          <w:rtl/>
        </w:rPr>
        <w:tab/>
      </w:r>
      <w:r w:rsidR="00370F3C" w:rsidRPr="009823A2">
        <w:rPr>
          <w:rFonts w:ascii="Arial" w:hAnsi="Arial"/>
          <w:b/>
          <w:bCs/>
          <w:sz w:val="26"/>
          <w:szCs w:val="26"/>
          <w:rtl/>
        </w:rPr>
        <w:tab/>
      </w:r>
      <w:r w:rsidR="00370F3C" w:rsidRPr="009823A2">
        <w:rPr>
          <w:rFonts w:ascii="Arial" w:hAnsi="Arial"/>
          <w:b/>
          <w:bCs/>
          <w:sz w:val="26"/>
          <w:szCs w:val="26"/>
          <w:rtl/>
        </w:rPr>
        <w:tab/>
      </w:r>
      <w:r w:rsidR="00370F3C" w:rsidRPr="009823A2">
        <w:rPr>
          <w:rFonts w:ascii="Arial" w:hAnsi="Arial"/>
          <w:b/>
          <w:bCs/>
          <w:sz w:val="26"/>
          <w:szCs w:val="26"/>
          <w:rtl/>
        </w:rPr>
        <w:tab/>
      </w:r>
      <w:r w:rsidR="00370F3C" w:rsidRPr="009823A2">
        <w:rPr>
          <w:rFonts w:ascii="Arial" w:hAnsi="Arial"/>
          <w:b/>
          <w:bCs/>
          <w:sz w:val="26"/>
          <w:szCs w:val="26"/>
          <w:rtl/>
        </w:rPr>
        <w:tab/>
      </w:r>
      <w:r w:rsidR="00370F3C" w:rsidRPr="009823A2">
        <w:rPr>
          <w:rFonts w:ascii="Arial" w:hAnsi="Arial"/>
          <w:b/>
          <w:bCs/>
          <w:sz w:val="26"/>
          <w:szCs w:val="26"/>
          <w:rtl/>
        </w:rPr>
        <w:tab/>
      </w:r>
      <w:r w:rsidR="00370F3C" w:rsidRPr="009823A2">
        <w:rPr>
          <w:rFonts w:ascii="Arial" w:hAnsi="Arial" w:hint="cs"/>
          <w:b/>
          <w:bCs/>
          <w:sz w:val="26"/>
          <w:szCs w:val="26"/>
          <w:rtl/>
        </w:rPr>
        <w:t xml:space="preserve">         </w:t>
      </w:r>
    </w:p>
    <w:p w14:paraId="3402D94B" w14:textId="77777777" w:rsidR="00656DEF" w:rsidRPr="009823A2" w:rsidRDefault="00656DEF" w:rsidP="00656DEF">
      <w:pPr>
        <w:rPr>
          <w:rtl/>
        </w:rPr>
      </w:pPr>
    </w:p>
    <w:p w14:paraId="6C56E74A" w14:textId="77777777" w:rsidR="00656DEF" w:rsidRPr="009823A2" w:rsidRDefault="00656DEF" w:rsidP="00656DEF">
      <w:pPr>
        <w:jc w:val="center"/>
        <w:rPr>
          <w:color w:val="0000FF"/>
          <w:u w:val="single"/>
        </w:rPr>
      </w:pPr>
      <w:hyperlink r:id="rId37" w:history="1">
        <w:r w:rsidRPr="009823A2">
          <w:rPr>
            <w:color w:val="0000FF"/>
            <w:u w:val="single"/>
            <w:rtl/>
          </w:rPr>
          <w:t>בעניין עריכה ושינויים במסמכי פסיקה, חקיקה ועוד באתר נבו – הקש כאן</w:t>
        </w:r>
      </w:hyperlink>
    </w:p>
    <w:p w14:paraId="5CF3E1F1" w14:textId="77777777" w:rsidR="009823A2" w:rsidRPr="009823A2" w:rsidRDefault="009823A2" w:rsidP="009823A2">
      <w:pPr>
        <w:keepNext/>
        <w:rPr>
          <w:rFonts w:ascii="David" w:hAnsi="David"/>
          <w:color w:val="000000"/>
          <w:sz w:val="22"/>
          <w:szCs w:val="22"/>
          <w:rtl/>
        </w:rPr>
      </w:pPr>
    </w:p>
    <w:p w14:paraId="132FAF4C" w14:textId="77777777" w:rsidR="009823A2" w:rsidRPr="009823A2" w:rsidRDefault="009823A2" w:rsidP="009823A2">
      <w:pPr>
        <w:keepNext/>
        <w:rPr>
          <w:rFonts w:ascii="David" w:hAnsi="David"/>
          <w:color w:val="000000"/>
          <w:sz w:val="22"/>
          <w:szCs w:val="22"/>
          <w:rtl/>
        </w:rPr>
      </w:pPr>
      <w:r w:rsidRPr="009823A2">
        <w:rPr>
          <w:rFonts w:ascii="David" w:hAnsi="David"/>
          <w:color w:val="000000"/>
          <w:sz w:val="22"/>
          <w:szCs w:val="22"/>
          <w:rtl/>
        </w:rPr>
        <w:t>סימי פלג קימלוב 54678313-/</w:t>
      </w:r>
    </w:p>
    <w:p w14:paraId="2764BACC" w14:textId="77777777" w:rsidR="00656DEF" w:rsidRPr="009823A2" w:rsidRDefault="009823A2" w:rsidP="009823A2">
      <w:pPr>
        <w:rPr>
          <w:color w:val="0000FF"/>
          <w:u w:val="single"/>
        </w:rPr>
      </w:pPr>
      <w:r w:rsidRPr="009823A2">
        <w:rPr>
          <w:color w:val="000000"/>
          <w:u w:val="single"/>
          <w:rtl/>
        </w:rPr>
        <w:t>נוסח מסמך זה כפוף לשינויי ניסוח ועריכה</w:t>
      </w:r>
    </w:p>
    <w:sectPr w:rsidR="00656DEF" w:rsidRPr="009823A2" w:rsidSect="009823A2">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150E1" w14:textId="77777777" w:rsidR="006B5116" w:rsidRDefault="006B5116" w:rsidP="00774B3D">
      <w:r>
        <w:separator/>
      </w:r>
    </w:p>
  </w:endnote>
  <w:endnote w:type="continuationSeparator" w:id="0">
    <w:p w14:paraId="0B9C2454" w14:textId="77777777" w:rsidR="006B5116" w:rsidRDefault="006B5116" w:rsidP="00774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5513F" w14:textId="77777777" w:rsidR="009823A2" w:rsidRDefault="009823A2" w:rsidP="009823A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FAA7C3" w14:textId="77777777" w:rsidR="0032242F" w:rsidRPr="009823A2" w:rsidRDefault="009823A2" w:rsidP="009823A2">
    <w:pPr>
      <w:pStyle w:val="a5"/>
      <w:pBdr>
        <w:top w:val="single" w:sz="4" w:space="1" w:color="auto"/>
        <w:between w:val="single" w:sz="4" w:space="0" w:color="auto"/>
      </w:pBdr>
      <w:spacing w:after="60"/>
      <w:jc w:val="center"/>
      <w:rPr>
        <w:rFonts w:ascii="FrankRuehl" w:hAnsi="FrankRuehl" w:cs="FrankRuehl"/>
        <w:color w:val="000000"/>
      </w:rPr>
    </w:pPr>
    <w:r w:rsidRPr="009823A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30546" w14:textId="77777777" w:rsidR="009823A2" w:rsidRDefault="009823A2" w:rsidP="009823A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A691B">
      <w:rPr>
        <w:rFonts w:ascii="FrankRuehl" w:hAnsi="FrankRuehl" w:cs="FrankRuehl"/>
        <w:noProof/>
        <w:rtl/>
      </w:rPr>
      <w:t>1</w:t>
    </w:r>
    <w:r>
      <w:rPr>
        <w:rFonts w:ascii="FrankRuehl" w:hAnsi="FrankRuehl" w:cs="FrankRuehl"/>
        <w:rtl/>
      </w:rPr>
      <w:fldChar w:fldCharType="end"/>
    </w:r>
  </w:p>
  <w:p w14:paraId="1D6E46EB" w14:textId="77777777" w:rsidR="0032242F" w:rsidRPr="009823A2" w:rsidRDefault="009823A2" w:rsidP="009823A2">
    <w:pPr>
      <w:pStyle w:val="a5"/>
      <w:pBdr>
        <w:top w:val="single" w:sz="4" w:space="1" w:color="auto"/>
        <w:between w:val="single" w:sz="4" w:space="0" w:color="auto"/>
      </w:pBdr>
      <w:spacing w:after="60"/>
      <w:jc w:val="center"/>
      <w:rPr>
        <w:rFonts w:ascii="FrankRuehl" w:hAnsi="FrankRuehl" w:cs="FrankRuehl"/>
        <w:color w:val="000000"/>
      </w:rPr>
    </w:pPr>
    <w:r w:rsidRPr="009823A2">
      <w:rPr>
        <w:rFonts w:ascii="FrankRuehl" w:hAnsi="FrankRuehl" w:cs="FrankRuehl"/>
        <w:color w:val="000000"/>
      </w:rPr>
      <w:pict w14:anchorId="2A950F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093C3" w14:textId="77777777" w:rsidR="006B5116" w:rsidRDefault="006B5116" w:rsidP="00774B3D">
      <w:r>
        <w:separator/>
      </w:r>
    </w:p>
  </w:footnote>
  <w:footnote w:type="continuationSeparator" w:id="0">
    <w:p w14:paraId="6DCDA004" w14:textId="77777777" w:rsidR="006B5116" w:rsidRDefault="006B5116" w:rsidP="00774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0E71E" w14:textId="77777777" w:rsidR="00656DEF" w:rsidRPr="009823A2" w:rsidRDefault="009823A2" w:rsidP="009823A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27961-04-18</w:t>
    </w:r>
    <w:r>
      <w:rPr>
        <w:rFonts w:ascii="David" w:hAnsi="David"/>
        <w:color w:val="000000"/>
        <w:sz w:val="22"/>
        <w:szCs w:val="22"/>
        <w:rtl/>
      </w:rPr>
      <w:tab/>
      <w:t xml:space="preserve"> מדינת ישראל נ' מועתאז ח'טיב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C581D" w14:textId="77777777" w:rsidR="00656DEF" w:rsidRPr="009823A2" w:rsidRDefault="009823A2" w:rsidP="009823A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27961-04-18</w:t>
    </w:r>
    <w:r>
      <w:rPr>
        <w:rFonts w:ascii="David" w:hAnsi="David"/>
        <w:color w:val="000000"/>
        <w:sz w:val="22"/>
        <w:szCs w:val="22"/>
        <w:rtl/>
      </w:rPr>
      <w:tab/>
      <w:t xml:space="preserve"> מדינת ישראל נ' מועתאז ח'טיב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342BD"/>
    <w:multiLevelType w:val="hybridMultilevel"/>
    <w:tmpl w:val="3FA06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38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0F3C"/>
    <w:rsid w:val="00063E0A"/>
    <w:rsid w:val="001B5A3B"/>
    <w:rsid w:val="0032242F"/>
    <w:rsid w:val="00370F3C"/>
    <w:rsid w:val="00456D37"/>
    <w:rsid w:val="004C77EF"/>
    <w:rsid w:val="00656DEF"/>
    <w:rsid w:val="006B5116"/>
    <w:rsid w:val="00774B3D"/>
    <w:rsid w:val="007C2CBB"/>
    <w:rsid w:val="00962EAB"/>
    <w:rsid w:val="009823A2"/>
    <w:rsid w:val="00A5412A"/>
    <w:rsid w:val="00AB4158"/>
    <w:rsid w:val="00BA691B"/>
    <w:rsid w:val="00C62C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30CD9F"/>
  <w15:chartTrackingRefBased/>
  <w15:docId w15:val="{6CBF949B-00D4-451B-96FE-392D114E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0F3C"/>
    <w:pPr>
      <w:bidi/>
    </w:pPr>
    <w:rPr>
      <w:rFonts w:ascii="Times New Roman" w:eastAsia="Times New Roman" w:hAnsi="Times New Roman" w:cs="David"/>
      <w:sz w:val="24"/>
      <w:szCs w:val="24"/>
    </w:rPr>
  </w:style>
  <w:style w:type="paragraph" w:styleId="1">
    <w:name w:val="heading 1"/>
    <w:basedOn w:val="a"/>
    <w:next w:val="a"/>
    <w:link w:val="10"/>
    <w:qFormat/>
    <w:rsid w:val="00370F3C"/>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70F3C"/>
    <w:rPr>
      <w:rFonts w:ascii="Arial" w:eastAsia="Times New Roman" w:hAnsi="Arial" w:cs="Arial"/>
      <w:b/>
      <w:bCs/>
      <w:kern w:val="32"/>
      <w:sz w:val="32"/>
      <w:szCs w:val="32"/>
    </w:rPr>
  </w:style>
  <w:style w:type="paragraph" w:styleId="a3">
    <w:name w:val="header"/>
    <w:basedOn w:val="a"/>
    <w:link w:val="a4"/>
    <w:rsid w:val="00370F3C"/>
    <w:pPr>
      <w:tabs>
        <w:tab w:val="center" w:pos="4153"/>
        <w:tab w:val="right" w:pos="8306"/>
      </w:tabs>
    </w:pPr>
  </w:style>
  <w:style w:type="character" w:customStyle="1" w:styleId="a4">
    <w:name w:val="כותרת עליונה תו"/>
    <w:link w:val="a3"/>
    <w:rsid w:val="00370F3C"/>
    <w:rPr>
      <w:rFonts w:ascii="Times New Roman" w:eastAsia="Times New Roman" w:hAnsi="Times New Roman" w:cs="David"/>
      <w:sz w:val="24"/>
      <w:szCs w:val="24"/>
    </w:rPr>
  </w:style>
  <w:style w:type="paragraph" w:styleId="a5">
    <w:name w:val="footer"/>
    <w:basedOn w:val="a"/>
    <w:link w:val="a6"/>
    <w:rsid w:val="00370F3C"/>
    <w:pPr>
      <w:tabs>
        <w:tab w:val="center" w:pos="4153"/>
        <w:tab w:val="right" w:pos="8306"/>
      </w:tabs>
    </w:pPr>
  </w:style>
  <w:style w:type="character" w:customStyle="1" w:styleId="a6">
    <w:name w:val="כותרת תחתונה תו"/>
    <w:link w:val="a5"/>
    <w:rsid w:val="00370F3C"/>
    <w:rPr>
      <w:rFonts w:ascii="Times New Roman" w:eastAsia="Times New Roman" w:hAnsi="Times New Roman" w:cs="David"/>
      <w:sz w:val="24"/>
      <w:szCs w:val="24"/>
    </w:rPr>
  </w:style>
  <w:style w:type="table" w:styleId="a7">
    <w:name w:val="Table Grid"/>
    <w:basedOn w:val="a1"/>
    <w:rsid w:val="00370F3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70F3C"/>
  </w:style>
  <w:style w:type="paragraph" w:styleId="a9">
    <w:name w:val="List Paragraph"/>
    <w:basedOn w:val="a"/>
    <w:link w:val="aa"/>
    <w:qFormat/>
    <w:rsid w:val="00370F3C"/>
    <w:pPr>
      <w:ind w:left="720"/>
      <w:contextualSpacing/>
    </w:pPr>
  </w:style>
  <w:style w:type="character" w:styleId="Hyperlink">
    <w:name w:val="Hyperlink"/>
    <w:rsid w:val="00370F3C"/>
    <w:rPr>
      <w:color w:val="0000FF"/>
      <w:u w:val="single"/>
    </w:rPr>
  </w:style>
  <w:style w:type="character" w:customStyle="1" w:styleId="aa">
    <w:name w:val="פיסקת רשימה תו"/>
    <w:link w:val="a9"/>
    <w:locked/>
    <w:rsid w:val="00370F3C"/>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40c.a" TargetMode="External"/><Relationship Id="rId26" Type="http://schemas.openxmlformats.org/officeDocument/2006/relationships/hyperlink" Target="http://www.nevo.co.il/case/7980156" TargetMode="External"/><Relationship Id="rId39" Type="http://schemas.openxmlformats.org/officeDocument/2006/relationships/header" Target="header2.xml"/><Relationship Id="rId21" Type="http://schemas.openxmlformats.org/officeDocument/2006/relationships/hyperlink" Target="http://www.nevo.co.il/case/20412551" TargetMode="External"/><Relationship Id="rId34" Type="http://schemas.openxmlformats.org/officeDocument/2006/relationships/hyperlink" Target="http://www.nevo.co.il/law/70301/40d"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6765444" TargetMode="External"/><Relationship Id="rId20" Type="http://schemas.openxmlformats.org/officeDocument/2006/relationships/hyperlink" Target="http://www.nevo.co.il/law/4216" TargetMode="External"/><Relationship Id="rId29" Type="http://schemas.openxmlformats.org/officeDocument/2006/relationships/hyperlink" Target="http://www.nevo.co.il/case/5576370"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5590128" TargetMode="External"/><Relationship Id="rId32" Type="http://schemas.openxmlformats.org/officeDocument/2006/relationships/hyperlink" Target="http://www.nevo.co.il/case/4140033"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2063973" TargetMode="External"/><Relationship Id="rId28" Type="http://schemas.openxmlformats.org/officeDocument/2006/relationships/hyperlink" Target="http://www.nevo.co.il/case/5758255" TargetMode="External"/><Relationship Id="rId36" Type="http://schemas.openxmlformats.org/officeDocument/2006/relationships/hyperlink" Target="http://www.nevo.co.il/case/10459128"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295632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18753213" TargetMode="External"/><Relationship Id="rId27" Type="http://schemas.openxmlformats.org/officeDocument/2006/relationships/hyperlink" Target="http://www.nevo.co.il/case/20061696" TargetMode="External"/><Relationship Id="rId30" Type="http://schemas.openxmlformats.org/officeDocument/2006/relationships/hyperlink" Target="http://www.nevo.co.il/case/5758255"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180833" TargetMode="External"/><Relationship Id="rId33" Type="http://schemas.openxmlformats.org/officeDocument/2006/relationships/hyperlink" Target="http://www.nevo.co.il/case/25705593"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2292</Words>
  <Characters>11461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13726</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4063344</vt:i4>
      </vt:variant>
      <vt:variant>
        <vt:i4>87</vt:i4>
      </vt:variant>
      <vt:variant>
        <vt:i4>0</vt:i4>
      </vt:variant>
      <vt:variant>
        <vt:i4>5</vt:i4>
      </vt:variant>
      <vt:variant>
        <vt:lpwstr>http://www.nevo.co.il/case/10459128</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http://www.nevo.co.il/law/70301/40d</vt:lpwstr>
      </vt:variant>
      <vt:variant>
        <vt:lpwstr/>
      </vt:variant>
      <vt:variant>
        <vt:i4>3735668</vt:i4>
      </vt:variant>
      <vt:variant>
        <vt:i4>78</vt:i4>
      </vt:variant>
      <vt:variant>
        <vt:i4>0</vt:i4>
      </vt:variant>
      <vt:variant>
        <vt:i4>5</vt:i4>
      </vt:variant>
      <vt:variant>
        <vt:lpwstr>http://www.nevo.co.il/case/25705593</vt:lpwstr>
      </vt:variant>
      <vt:variant>
        <vt:lpwstr/>
      </vt:variant>
      <vt:variant>
        <vt:i4>3342454</vt:i4>
      </vt:variant>
      <vt:variant>
        <vt:i4>75</vt:i4>
      </vt:variant>
      <vt:variant>
        <vt:i4>0</vt:i4>
      </vt:variant>
      <vt:variant>
        <vt:i4>5</vt:i4>
      </vt:variant>
      <vt:variant>
        <vt:lpwstr>http://www.nevo.co.il/case/4140033</vt:lpwstr>
      </vt:variant>
      <vt:variant>
        <vt:lpwstr/>
      </vt:variant>
      <vt:variant>
        <vt:i4>4128880</vt:i4>
      </vt:variant>
      <vt:variant>
        <vt:i4>72</vt:i4>
      </vt:variant>
      <vt:variant>
        <vt:i4>0</vt:i4>
      </vt:variant>
      <vt:variant>
        <vt:i4>5</vt:i4>
      </vt:variant>
      <vt:variant>
        <vt:lpwstr>http://www.nevo.co.il/case/22956321</vt:lpwstr>
      </vt:variant>
      <vt:variant>
        <vt:lpwstr/>
      </vt:variant>
      <vt:variant>
        <vt:i4>3604606</vt:i4>
      </vt:variant>
      <vt:variant>
        <vt:i4>69</vt:i4>
      </vt:variant>
      <vt:variant>
        <vt:i4>0</vt:i4>
      </vt:variant>
      <vt:variant>
        <vt:i4>5</vt:i4>
      </vt:variant>
      <vt:variant>
        <vt:lpwstr>http://www.nevo.co.il/case/5758255</vt:lpwstr>
      </vt:variant>
      <vt:variant>
        <vt:lpwstr/>
      </vt:variant>
      <vt:variant>
        <vt:i4>3211376</vt:i4>
      </vt:variant>
      <vt:variant>
        <vt:i4>66</vt:i4>
      </vt:variant>
      <vt:variant>
        <vt:i4>0</vt:i4>
      </vt:variant>
      <vt:variant>
        <vt:i4>5</vt:i4>
      </vt:variant>
      <vt:variant>
        <vt:lpwstr>http://www.nevo.co.il/case/5576370</vt:lpwstr>
      </vt:variant>
      <vt:variant>
        <vt:lpwstr/>
      </vt:variant>
      <vt:variant>
        <vt:i4>3604606</vt:i4>
      </vt:variant>
      <vt:variant>
        <vt:i4>63</vt:i4>
      </vt:variant>
      <vt:variant>
        <vt:i4>0</vt:i4>
      </vt:variant>
      <vt:variant>
        <vt:i4>5</vt:i4>
      </vt:variant>
      <vt:variant>
        <vt:lpwstr>http://www.nevo.co.il/case/5758255</vt:lpwstr>
      </vt:variant>
      <vt:variant>
        <vt:lpwstr/>
      </vt:variant>
      <vt:variant>
        <vt:i4>3801204</vt:i4>
      </vt:variant>
      <vt:variant>
        <vt:i4>60</vt:i4>
      </vt:variant>
      <vt:variant>
        <vt:i4>0</vt:i4>
      </vt:variant>
      <vt:variant>
        <vt:i4>5</vt:i4>
      </vt:variant>
      <vt:variant>
        <vt:lpwstr>http://www.nevo.co.il/case/20061696</vt:lpwstr>
      </vt:variant>
      <vt:variant>
        <vt:lpwstr/>
      </vt:variant>
      <vt:variant>
        <vt:i4>3670136</vt:i4>
      </vt:variant>
      <vt:variant>
        <vt:i4>57</vt:i4>
      </vt:variant>
      <vt:variant>
        <vt:i4>0</vt:i4>
      </vt:variant>
      <vt:variant>
        <vt:i4>5</vt:i4>
      </vt:variant>
      <vt:variant>
        <vt:lpwstr>http://www.nevo.co.il/case/7980156</vt:lpwstr>
      </vt:variant>
      <vt:variant>
        <vt:lpwstr/>
      </vt:variant>
      <vt:variant>
        <vt:i4>3473526</vt:i4>
      </vt:variant>
      <vt:variant>
        <vt:i4>54</vt:i4>
      </vt:variant>
      <vt:variant>
        <vt:i4>0</vt:i4>
      </vt:variant>
      <vt:variant>
        <vt:i4>5</vt:i4>
      </vt:variant>
      <vt:variant>
        <vt:lpwstr>http://www.nevo.co.il/case/6180833</vt:lpwstr>
      </vt:variant>
      <vt:variant>
        <vt:lpwstr/>
      </vt:variant>
      <vt:variant>
        <vt:i4>3473523</vt:i4>
      </vt:variant>
      <vt:variant>
        <vt:i4>51</vt:i4>
      </vt:variant>
      <vt:variant>
        <vt:i4>0</vt:i4>
      </vt:variant>
      <vt:variant>
        <vt:i4>5</vt:i4>
      </vt:variant>
      <vt:variant>
        <vt:lpwstr>http://www.nevo.co.il/case/5590128</vt:lpwstr>
      </vt:variant>
      <vt:variant>
        <vt:lpwstr/>
      </vt:variant>
      <vt:variant>
        <vt:i4>3473529</vt:i4>
      </vt:variant>
      <vt:variant>
        <vt:i4>48</vt:i4>
      </vt:variant>
      <vt:variant>
        <vt:i4>0</vt:i4>
      </vt:variant>
      <vt:variant>
        <vt:i4>5</vt:i4>
      </vt:variant>
      <vt:variant>
        <vt:lpwstr>http://www.nevo.co.il/case/12063973</vt:lpwstr>
      </vt:variant>
      <vt:variant>
        <vt:lpwstr/>
      </vt:variant>
      <vt:variant>
        <vt:i4>3407995</vt:i4>
      </vt:variant>
      <vt:variant>
        <vt:i4>45</vt:i4>
      </vt:variant>
      <vt:variant>
        <vt:i4>0</vt:i4>
      </vt:variant>
      <vt:variant>
        <vt:i4>5</vt:i4>
      </vt:variant>
      <vt:variant>
        <vt:lpwstr>http://www.nevo.co.il/case/18753213</vt:lpwstr>
      </vt:variant>
      <vt:variant>
        <vt:lpwstr/>
      </vt:variant>
      <vt:variant>
        <vt:i4>3211376</vt:i4>
      </vt:variant>
      <vt:variant>
        <vt:i4>42</vt:i4>
      </vt:variant>
      <vt:variant>
        <vt:i4>0</vt:i4>
      </vt:variant>
      <vt:variant>
        <vt:i4>5</vt:i4>
      </vt:variant>
      <vt:variant>
        <vt:lpwstr>http://www.nevo.co.il/case/20412551</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7995492</vt:i4>
      </vt:variant>
      <vt:variant>
        <vt:i4>30</vt:i4>
      </vt:variant>
      <vt:variant>
        <vt:i4>0</vt:i4>
      </vt:variant>
      <vt:variant>
        <vt:i4>5</vt:i4>
      </vt:variant>
      <vt:variant>
        <vt:lpwstr>http://www.nevo.co.il/law/70301</vt:lpwstr>
      </vt:variant>
      <vt:variant>
        <vt:lpwstr/>
      </vt:variant>
      <vt:variant>
        <vt:i4>3407984</vt:i4>
      </vt:variant>
      <vt:variant>
        <vt:i4>27</vt:i4>
      </vt:variant>
      <vt:variant>
        <vt:i4>0</vt:i4>
      </vt:variant>
      <vt:variant>
        <vt:i4>5</vt:i4>
      </vt:variant>
      <vt:variant>
        <vt:lpwstr>http://www.nevo.co.il/case/26765444</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2025-04-22T23:44:00Z</dcterms:created>
  <dcterms:modified xsi:type="dcterms:W3CDTF">2025-04-22T23:44:00Z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27961</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מועתאז ח'טיב</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20230312</vt:lpwstr>
  </property>
  <property fmtid="{D5CDD505-2E9C-101B-9397-08002B2CF9AE}" pid="13" name="TYPE_N_DATE">
    <vt:lpwstr>38020230312</vt:lpwstr>
  </property>
  <property fmtid="{D5CDD505-2E9C-101B-9397-08002B2CF9AE}" pid="14" name="WORDNUMPAGES">
    <vt:lpwstr>7</vt:lpwstr>
  </property>
  <property fmtid="{D5CDD505-2E9C-101B-9397-08002B2CF9AE}" pid="15" name="TYPE_ABS_DATE">
    <vt:lpwstr>380020230312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26765444;20412551;18753213;12063973;5590128;6180833;7980156;20061696;5758255:2;5576370;22956321;4140033;25705593;10459128</vt:lpwstr>
  </property>
  <property fmtid="{D5CDD505-2E9C-101B-9397-08002B2CF9AE}" pid="36" name="LAWLISTTMP1">
    <vt:lpwstr>4216/007.a;007.c</vt:lpwstr>
  </property>
  <property fmtid="{D5CDD505-2E9C-101B-9397-08002B2CF9AE}" pid="37" name="LAWLISTTMP2">
    <vt:lpwstr>70301/040c.a;040d</vt:lpwstr>
  </property>
</Properties>
</file>