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217090" w:rsidRPr="00521C82" w14:paraId="0C3C583F" w14:textId="77777777" w:rsidTr="00E34D92">
        <w:trPr>
          <w:trHeight w:hRule="exact" w:val="418"/>
          <w:jc w:val="center"/>
        </w:trPr>
        <w:tc>
          <w:tcPr>
            <w:tcW w:w="8721" w:type="dxa"/>
            <w:gridSpan w:val="2"/>
          </w:tcPr>
          <w:p w14:paraId="515D8822" w14:textId="77777777" w:rsidR="00217090" w:rsidRPr="00521C82" w:rsidRDefault="00217090" w:rsidP="000E483A">
            <w:pPr>
              <w:pStyle w:val="a3"/>
              <w:jc w:val="center"/>
              <w:rPr>
                <w:rFonts w:ascii="Tahoma" w:hAnsi="Tahoma" w:cs="Tahoma"/>
                <w:color w:val="000080"/>
                <w:rtl/>
              </w:rPr>
            </w:pPr>
            <w:bookmarkStart w:id="0" w:name="LastJudge"/>
            <w:r w:rsidRPr="00521C82">
              <w:rPr>
                <w:rFonts w:ascii="Tahoma" w:hAnsi="Tahoma" w:cs="Tahoma"/>
                <w:b/>
                <w:bCs/>
                <w:color w:val="000080"/>
                <w:rtl/>
              </w:rPr>
              <w:t>בית משפט השלום בבית שמש</w:t>
            </w:r>
          </w:p>
        </w:tc>
      </w:tr>
      <w:tr w:rsidR="00217090" w:rsidRPr="00521C82" w14:paraId="302DDF1A" w14:textId="77777777" w:rsidTr="00E34D92">
        <w:trPr>
          <w:trHeight w:val="337"/>
          <w:jc w:val="center"/>
        </w:trPr>
        <w:tc>
          <w:tcPr>
            <w:tcW w:w="5062" w:type="dxa"/>
          </w:tcPr>
          <w:p w14:paraId="02121ED7" w14:textId="77777777" w:rsidR="00217090" w:rsidRPr="00521C82" w:rsidRDefault="00217090" w:rsidP="000E483A">
            <w:pPr>
              <w:rPr>
                <w:rFonts w:cs="FrankRuehl"/>
                <w:sz w:val="28"/>
                <w:szCs w:val="28"/>
                <w:rtl/>
              </w:rPr>
            </w:pPr>
            <w:r w:rsidRPr="00521C82">
              <w:rPr>
                <w:rFonts w:cs="FrankRuehl"/>
                <w:sz w:val="28"/>
                <w:szCs w:val="28"/>
                <w:rtl/>
              </w:rPr>
              <w:t>ת"פ</w:t>
            </w:r>
            <w:r w:rsidRPr="00521C82">
              <w:rPr>
                <w:rFonts w:cs="FrankRuehl" w:hint="cs"/>
                <w:sz w:val="28"/>
                <w:szCs w:val="28"/>
                <w:rtl/>
              </w:rPr>
              <w:t xml:space="preserve"> </w:t>
            </w:r>
            <w:r w:rsidRPr="00521C82">
              <w:rPr>
                <w:rFonts w:cs="FrankRuehl"/>
                <w:sz w:val="28"/>
                <w:szCs w:val="28"/>
                <w:rtl/>
              </w:rPr>
              <w:t>3302-04-18</w:t>
            </w:r>
            <w:r w:rsidRPr="00521C82">
              <w:rPr>
                <w:rFonts w:cs="FrankRuehl" w:hint="cs"/>
                <w:sz w:val="28"/>
                <w:szCs w:val="28"/>
                <w:rtl/>
              </w:rPr>
              <w:t xml:space="preserve"> </w:t>
            </w:r>
            <w:r w:rsidRPr="00521C82">
              <w:rPr>
                <w:rFonts w:cs="FrankRuehl"/>
                <w:sz w:val="28"/>
                <w:szCs w:val="28"/>
                <w:rtl/>
              </w:rPr>
              <w:t>מדינת ישראל נ' סופיר(אחר/נוסף)</w:t>
            </w:r>
          </w:p>
          <w:p w14:paraId="0C35C931" w14:textId="77777777" w:rsidR="00217090" w:rsidRPr="00521C82" w:rsidRDefault="00217090" w:rsidP="000E483A">
            <w:pPr>
              <w:pStyle w:val="a3"/>
              <w:rPr>
                <w:rFonts w:cs="FrankRuehl"/>
                <w:sz w:val="28"/>
                <w:szCs w:val="28"/>
                <w:rtl/>
              </w:rPr>
            </w:pPr>
          </w:p>
        </w:tc>
        <w:tc>
          <w:tcPr>
            <w:tcW w:w="3659" w:type="dxa"/>
          </w:tcPr>
          <w:p w14:paraId="0674214B" w14:textId="77777777" w:rsidR="00217090" w:rsidRPr="00521C82" w:rsidRDefault="00217090" w:rsidP="000E483A">
            <w:pPr>
              <w:pStyle w:val="a3"/>
              <w:jc w:val="right"/>
              <w:rPr>
                <w:rFonts w:cs="FrankRuehl"/>
                <w:sz w:val="28"/>
                <w:szCs w:val="28"/>
                <w:rtl/>
              </w:rPr>
            </w:pPr>
          </w:p>
        </w:tc>
      </w:tr>
    </w:tbl>
    <w:p w14:paraId="6AD4C11C" w14:textId="77777777" w:rsidR="00217090" w:rsidRPr="00521C82" w:rsidRDefault="00217090" w:rsidP="00217090">
      <w:pPr>
        <w:pStyle w:val="a3"/>
        <w:rPr>
          <w:rtl/>
        </w:rPr>
      </w:pPr>
      <w:r w:rsidRPr="00521C82">
        <w:rPr>
          <w:rFonts w:hint="cs"/>
          <w:rtl/>
        </w:rPr>
        <w:t xml:space="preserve"> </w:t>
      </w:r>
    </w:p>
    <w:p w14:paraId="7F015238" w14:textId="77777777" w:rsidR="00217090" w:rsidRPr="00521C82" w:rsidRDefault="00217090" w:rsidP="00217090">
      <w:pPr>
        <w:spacing w:line="360" w:lineRule="auto"/>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17090" w:rsidRPr="00521C82" w14:paraId="728150A8" w14:textId="77777777" w:rsidTr="00217090">
        <w:trPr>
          <w:trHeight w:val="295"/>
          <w:jc w:val="center"/>
        </w:trPr>
        <w:tc>
          <w:tcPr>
            <w:tcW w:w="923" w:type="dxa"/>
            <w:tcBorders>
              <w:top w:val="nil"/>
              <w:left w:val="nil"/>
              <w:bottom w:val="nil"/>
              <w:right w:val="nil"/>
            </w:tcBorders>
            <w:shd w:val="clear" w:color="auto" w:fill="auto"/>
          </w:tcPr>
          <w:p w14:paraId="70BC22B4" w14:textId="77777777" w:rsidR="00217090" w:rsidRPr="00521C82" w:rsidRDefault="00217090" w:rsidP="00217090">
            <w:pPr>
              <w:spacing w:line="360" w:lineRule="auto"/>
              <w:jc w:val="both"/>
              <w:rPr>
                <w:rFonts w:ascii="Arial" w:hAnsi="Arial" w:cs="Arial"/>
              </w:rPr>
            </w:pPr>
            <w:r w:rsidRPr="00521C82">
              <w:rPr>
                <w:rFonts w:ascii="Arial" w:hAnsi="Arial" w:cs="Arial"/>
                <w:rtl/>
              </w:rPr>
              <w:t xml:space="preserve">בפני </w:t>
            </w:r>
          </w:p>
        </w:tc>
        <w:tc>
          <w:tcPr>
            <w:tcW w:w="7897" w:type="dxa"/>
            <w:gridSpan w:val="2"/>
            <w:tcBorders>
              <w:top w:val="nil"/>
              <w:left w:val="nil"/>
              <w:bottom w:val="nil"/>
              <w:right w:val="nil"/>
            </w:tcBorders>
            <w:shd w:val="clear" w:color="auto" w:fill="auto"/>
          </w:tcPr>
          <w:p w14:paraId="7C8C5709" w14:textId="77777777" w:rsidR="00217090" w:rsidRPr="00521C82" w:rsidRDefault="00217090" w:rsidP="00217090">
            <w:pPr>
              <w:spacing w:line="360" w:lineRule="auto"/>
              <w:rPr>
                <w:rFonts w:ascii="Arial" w:hAnsi="Arial" w:cs="Arial"/>
                <w:b/>
                <w:bCs/>
                <w:rtl/>
              </w:rPr>
            </w:pPr>
            <w:r w:rsidRPr="00521C82">
              <w:rPr>
                <w:rFonts w:ascii="Arial" w:hAnsi="Arial" w:cs="Arial"/>
                <w:b/>
                <w:bCs/>
                <w:rtl/>
              </w:rPr>
              <w:t>כבוד הסגנית נשיא  דורית פיינשטיין</w:t>
            </w:r>
          </w:p>
          <w:p w14:paraId="2EF3FA05" w14:textId="77777777" w:rsidR="00217090" w:rsidRPr="00521C82" w:rsidRDefault="00217090" w:rsidP="00217090">
            <w:pPr>
              <w:spacing w:line="360" w:lineRule="auto"/>
              <w:rPr>
                <w:rFonts w:ascii="Arial" w:hAnsi="Arial" w:cs="Arial"/>
                <w:rtl/>
              </w:rPr>
            </w:pPr>
          </w:p>
          <w:p w14:paraId="60CB4E22" w14:textId="77777777" w:rsidR="00217090" w:rsidRPr="00521C82" w:rsidRDefault="00217090" w:rsidP="00217090">
            <w:pPr>
              <w:spacing w:line="360" w:lineRule="auto"/>
              <w:jc w:val="both"/>
              <w:rPr>
                <w:rFonts w:ascii="Arial" w:hAnsi="Arial" w:cs="Arial"/>
              </w:rPr>
            </w:pPr>
          </w:p>
        </w:tc>
      </w:tr>
      <w:tr w:rsidR="00217090" w:rsidRPr="00521C82" w14:paraId="31D1704A" w14:textId="77777777" w:rsidTr="00217090">
        <w:trPr>
          <w:trHeight w:val="355"/>
          <w:jc w:val="center"/>
        </w:trPr>
        <w:tc>
          <w:tcPr>
            <w:tcW w:w="923" w:type="dxa"/>
            <w:tcBorders>
              <w:top w:val="nil"/>
              <w:left w:val="nil"/>
              <w:bottom w:val="nil"/>
              <w:right w:val="nil"/>
            </w:tcBorders>
            <w:shd w:val="clear" w:color="auto" w:fill="auto"/>
          </w:tcPr>
          <w:p w14:paraId="660022DB" w14:textId="77777777" w:rsidR="00217090" w:rsidRPr="00521C82" w:rsidRDefault="00217090" w:rsidP="00217090">
            <w:pPr>
              <w:spacing w:line="360" w:lineRule="auto"/>
              <w:jc w:val="both"/>
              <w:rPr>
                <w:rFonts w:ascii="Arial" w:hAnsi="Arial" w:cs="Arial"/>
              </w:rPr>
            </w:pPr>
            <w:bookmarkStart w:id="1" w:name="FirstAppellant"/>
            <w:r w:rsidRPr="00521C82">
              <w:rPr>
                <w:rFonts w:ascii="Arial" w:hAnsi="Arial" w:cs="Arial"/>
                <w:rtl/>
              </w:rPr>
              <w:t>בעניין:</w:t>
            </w:r>
          </w:p>
        </w:tc>
        <w:tc>
          <w:tcPr>
            <w:tcW w:w="4126" w:type="dxa"/>
            <w:tcBorders>
              <w:top w:val="nil"/>
              <w:left w:val="nil"/>
              <w:bottom w:val="nil"/>
              <w:right w:val="nil"/>
            </w:tcBorders>
            <w:shd w:val="clear" w:color="auto" w:fill="auto"/>
          </w:tcPr>
          <w:p w14:paraId="2E462611" w14:textId="77777777" w:rsidR="00217090" w:rsidRPr="00521C82" w:rsidRDefault="00217090" w:rsidP="00217090">
            <w:pPr>
              <w:spacing w:line="360" w:lineRule="auto"/>
              <w:rPr>
                <w:rFonts w:ascii="Arial" w:hAnsi="Arial" w:cs="Arial"/>
              </w:rPr>
            </w:pPr>
            <w:r w:rsidRPr="00521C82">
              <w:rPr>
                <w:rFonts w:ascii="Arial" w:hAnsi="Arial" w:cs="Arial"/>
                <w:rtl/>
              </w:rPr>
              <w:t>מדינת ישראל</w:t>
            </w:r>
          </w:p>
        </w:tc>
        <w:tc>
          <w:tcPr>
            <w:tcW w:w="3771" w:type="dxa"/>
            <w:tcBorders>
              <w:top w:val="nil"/>
              <w:left w:val="nil"/>
              <w:bottom w:val="nil"/>
              <w:right w:val="nil"/>
            </w:tcBorders>
            <w:shd w:val="clear" w:color="auto" w:fill="auto"/>
          </w:tcPr>
          <w:p w14:paraId="542F3357" w14:textId="77777777" w:rsidR="00217090" w:rsidRPr="00521C82" w:rsidRDefault="00217090" w:rsidP="00217090">
            <w:pPr>
              <w:spacing w:line="360" w:lineRule="auto"/>
              <w:jc w:val="both"/>
              <w:rPr>
                <w:rFonts w:ascii="Arial" w:hAnsi="Arial" w:cs="Arial"/>
              </w:rPr>
            </w:pPr>
          </w:p>
        </w:tc>
      </w:tr>
      <w:bookmarkEnd w:id="1"/>
      <w:tr w:rsidR="00217090" w:rsidRPr="00521C82" w14:paraId="4A61B28D" w14:textId="77777777" w:rsidTr="00217090">
        <w:trPr>
          <w:trHeight w:val="355"/>
          <w:jc w:val="center"/>
        </w:trPr>
        <w:tc>
          <w:tcPr>
            <w:tcW w:w="923" w:type="dxa"/>
            <w:tcBorders>
              <w:top w:val="nil"/>
              <w:left w:val="nil"/>
              <w:bottom w:val="nil"/>
              <w:right w:val="nil"/>
            </w:tcBorders>
            <w:shd w:val="clear" w:color="auto" w:fill="auto"/>
          </w:tcPr>
          <w:p w14:paraId="4ACD9F00" w14:textId="77777777" w:rsidR="00217090" w:rsidRPr="00521C82" w:rsidRDefault="00217090" w:rsidP="00217090">
            <w:pPr>
              <w:spacing w:line="360" w:lineRule="auto"/>
              <w:jc w:val="both"/>
              <w:rPr>
                <w:rFonts w:ascii="Arial" w:hAnsi="Arial" w:cs="Arial"/>
                <w:rtl/>
              </w:rPr>
            </w:pPr>
          </w:p>
        </w:tc>
        <w:tc>
          <w:tcPr>
            <w:tcW w:w="4126" w:type="dxa"/>
            <w:tcBorders>
              <w:top w:val="nil"/>
              <w:left w:val="nil"/>
              <w:bottom w:val="nil"/>
              <w:right w:val="nil"/>
            </w:tcBorders>
            <w:shd w:val="clear" w:color="auto" w:fill="auto"/>
          </w:tcPr>
          <w:p w14:paraId="4D598DDA" w14:textId="77777777" w:rsidR="00217090" w:rsidRPr="00521C82" w:rsidRDefault="00217090" w:rsidP="00217090">
            <w:pPr>
              <w:spacing w:line="360" w:lineRule="auto"/>
              <w:jc w:val="both"/>
              <w:rPr>
                <w:rFonts w:ascii="Arial" w:hAnsi="Arial" w:cs="Arial"/>
                <w:rtl/>
              </w:rPr>
            </w:pPr>
          </w:p>
        </w:tc>
        <w:tc>
          <w:tcPr>
            <w:tcW w:w="3771" w:type="dxa"/>
            <w:tcBorders>
              <w:top w:val="nil"/>
              <w:left w:val="nil"/>
              <w:bottom w:val="nil"/>
              <w:right w:val="nil"/>
            </w:tcBorders>
            <w:shd w:val="clear" w:color="auto" w:fill="auto"/>
          </w:tcPr>
          <w:p w14:paraId="7FA3CFA4" w14:textId="77777777" w:rsidR="00217090" w:rsidRPr="00521C82" w:rsidRDefault="00217090" w:rsidP="00217090">
            <w:pPr>
              <w:spacing w:line="360" w:lineRule="auto"/>
              <w:jc w:val="right"/>
              <w:rPr>
                <w:rFonts w:ascii="Arial" w:hAnsi="Arial" w:cs="Arial"/>
                <w:rtl/>
              </w:rPr>
            </w:pPr>
            <w:r w:rsidRPr="00521C82">
              <w:rPr>
                <w:rFonts w:ascii="Arial" w:hAnsi="Arial" w:cs="Arial"/>
                <w:rtl/>
              </w:rPr>
              <w:t>המאשימה</w:t>
            </w:r>
          </w:p>
        </w:tc>
      </w:tr>
      <w:tr w:rsidR="00217090" w:rsidRPr="00521C82" w14:paraId="169222CB" w14:textId="77777777" w:rsidTr="00217090">
        <w:trPr>
          <w:trHeight w:val="355"/>
          <w:jc w:val="center"/>
        </w:trPr>
        <w:tc>
          <w:tcPr>
            <w:tcW w:w="923" w:type="dxa"/>
            <w:tcBorders>
              <w:top w:val="nil"/>
              <w:left w:val="nil"/>
              <w:bottom w:val="nil"/>
              <w:right w:val="nil"/>
            </w:tcBorders>
            <w:shd w:val="clear" w:color="auto" w:fill="auto"/>
          </w:tcPr>
          <w:p w14:paraId="210B9B53" w14:textId="77777777" w:rsidR="00217090" w:rsidRPr="00521C82" w:rsidRDefault="00217090" w:rsidP="00217090">
            <w:pPr>
              <w:spacing w:line="360" w:lineRule="auto"/>
              <w:jc w:val="both"/>
              <w:rPr>
                <w:rFonts w:ascii="Arial" w:hAnsi="Arial" w:cs="Arial"/>
                <w:rtl/>
              </w:rPr>
            </w:pPr>
          </w:p>
        </w:tc>
        <w:tc>
          <w:tcPr>
            <w:tcW w:w="7897" w:type="dxa"/>
            <w:gridSpan w:val="2"/>
            <w:tcBorders>
              <w:top w:val="nil"/>
              <w:left w:val="nil"/>
              <w:bottom w:val="nil"/>
              <w:right w:val="nil"/>
            </w:tcBorders>
            <w:shd w:val="clear" w:color="auto" w:fill="auto"/>
          </w:tcPr>
          <w:p w14:paraId="5552794C" w14:textId="77777777" w:rsidR="00217090" w:rsidRPr="00521C82" w:rsidRDefault="00217090" w:rsidP="00217090">
            <w:pPr>
              <w:spacing w:line="360" w:lineRule="auto"/>
              <w:jc w:val="center"/>
              <w:rPr>
                <w:rFonts w:ascii="Arial" w:hAnsi="Arial" w:cs="Arial"/>
                <w:b/>
                <w:bCs/>
                <w:rtl/>
              </w:rPr>
            </w:pPr>
          </w:p>
          <w:p w14:paraId="580430A6" w14:textId="77777777" w:rsidR="00217090" w:rsidRPr="00521C82" w:rsidRDefault="00217090" w:rsidP="00217090">
            <w:pPr>
              <w:spacing w:line="360" w:lineRule="auto"/>
              <w:jc w:val="center"/>
              <w:rPr>
                <w:rFonts w:ascii="Arial" w:hAnsi="Arial" w:cs="Arial"/>
                <w:b/>
                <w:bCs/>
                <w:rtl/>
              </w:rPr>
            </w:pPr>
            <w:r w:rsidRPr="00521C82">
              <w:rPr>
                <w:rFonts w:ascii="Arial" w:hAnsi="Arial" w:cs="Arial"/>
                <w:b/>
                <w:bCs/>
                <w:rtl/>
              </w:rPr>
              <w:t>נגד</w:t>
            </w:r>
          </w:p>
          <w:p w14:paraId="33CB3A8E" w14:textId="77777777" w:rsidR="00217090" w:rsidRPr="00521C82" w:rsidRDefault="00217090" w:rsidP="00217090">
            <w:pPr>
              <w:spacing w:line="360" w:lineRule="auto"/>
              <w:jc w:val="both"/>
              <w:rPr>
                <w:rFonts w:ascii="Arial" w:hAnsi="Arial" w:cs="Arial"/>
              </w:rPr>
            </w:pPr>
          </w:p>
        </w:tc>
      </w:tr>
      <w:tr w:rsidR="00217090" w:rsidRPr="00521C82" w14:paraId="7D0941A3" w14:textId="77777777" w:rsidTr="00217090">
        <w:trPr>
          <w:trHeight w:val="355"/>
          <w:jc w:val="center"/>
        </w:trPr>
        <w:tc>
          <w:tcPr>
            <w:tcW w:w="923" w:type="dxa"/>
            <w:tcBorders>
              <w:top w:val="nil"/>
              <w:left w:val="nil"/>
              <w:bottom w:val="nil"/>
              <w:right w:val="nil"/>
            </w:tcBorders>
            <w:shd w:val="clear" w:color="auto" w:fill="auto"/>
          </w:tcPr>
          <w:p w14:paraId="7F4D8AFA" w14:textId="77777777" w:rsidR="00217090" w:rsidRPr="00521C82" w:rsidRDefault="00217090" w:rsidP="00217090">
            <w:pPr>
              <w:spacing w:line="360" w:lineRule="auto"/>
              <w:rPr>
                <w:rFonts w:ascii="Arial" w:hAnsi="Arial" w:cs="Arial"/>
                <w:rtl/>
              </w:rPr>
            </w:pPr>
          </w:p>
        </w:tc>
        <w:tc>
          <w:tcPr>
            <w:tcW w:w="4126" w:type="dxa"/>
            <w:tcBorders>
              <w:top w:val="nil"/>
              <w:left w:val="nil"/>
              <w:bottom w:val="nil"/>
              <w:right w:val="nil"/>
            </w:tcBorders>
            <w:shd w:val="clear" w:color="auto" w:fill="auto"/>
          </w:tcPr>
          <w:p w14:paraId="5CD992BA" w14:textId="77777777" w:rsidR="00217090" w:rsidRPr="00521C82" w:rsidRDefault="00217090" w:rsidP="00217090">
            <w:pPr>
              <w:spacing w:line="360" w:lineRule="auto"/>
              <w:rPr>
                <w:rFonts w:ascii="Arial" w:hAnsi="Arial" w:cs="Arial"/>
                <w:rtl/>
              </w:rPr>
            </w:pPr>
            <w:r w:rsidRPr="00521C82">
              <w:rPr>
                <w:rFonts w:ascii="Arial" w:hAnsi="Arial" w:cs="Arial"/>
                <w:rtl/>
              </w:rPr>
              <w:t>צפריר סופיר (אחר/נוסף)</w:t>
            </w:r>
          </w:p>
        </w:tc>
        <w:tc>
          <w:tcPr>
            <w:tcW w:w="3771" w:type="dxa"/>
            <w:tcBorders>
              <w:top w:val="nil"/>
              <w:left w:val="nil"/>
              <w:bottom w:val="nil"/>
              <w:right w:val="nil"/>
            </w:tcBorders>
            <w:shd w:val="clear" w:color="auto" w:fill="auto"/>
          </w:tcPr>
          <w:p w14:paraId="21DED7CB" w14:textId="77777777" w:rsidR="00217090" w:rsidRPr="00521C82" w:rsidRDefault="00217090" w:rsidP="00217090">
            <w:pPr>
              <w:spacing w:line="360" w:lineRule="auto"/>
              <w:jc w:val="right"/>
              <w:rPr>
                <w:rFonts w:ascii="Arial" w:hAnsi="Arial" w:cs="Arial"/>
              </w:rPr>
            </w:pPr>
          </w:p>
        </w:tc>
      </w:tr>
      <w:tr w:rsidR="00217090" w:rsidRPr="00521C82" w14:paraId="256379A8" w14:textId="77777777" w:rsidTr="00217090">
        <w:trPr>
          <w:trHeight w:val="355"/>
          <w:jc w:val="center"/>
        </w:trPr>
        <w:tc>
          <w:tcPr>
            <w:tcW w:w="923" w:type="dxa"/>
            <w:tcBorders>
              <w:top w:val="nil"/>
              <w:left w:val="nil"/>
              <w:bottom w:val="nil"/>
              <w:right w:val="nil"/>
            </w:tcBorders>
            <w:shd w:val="clear" w:color="auto" w:fill="auto"/>
          </w:tcPr>
          <w:p w14:paraId="67280193" w14:textId="77777777" w:rsidR="00217090" w:rsidRPr="00521C82" w:rsidRDefault="00217090" w:rsidP="00217090">
            <w:pPr>
              <w:spacing w:line="360" w:lineRule="auto"/>
              <w:jc w:val="both"/>
              <w:rPr>
                <w:rFonts w:ascii="Arial" w:hAnsi="Arial" w:cs="Arial"/>
                <w:rtl/>
              </w:rPr>
            </w:pPr>
          </w:p>
        </w:tc>
        <w:tc>
          <w:tcPr>
            <w:tcW w:w="4126" w:type="dxa"/>
            <w:tcBorders>
              <w:top w:val="nil"/>
              <w:left w:val="nil"/>
              <w:bottom w:val="nil"/>
              <w:right w:val="nil"/>
            </w:tcBorders>
            <w:shd w:val="clear" w:color="auto" w:fill="auto"/>
          </w:tcPr>
          <w:p w14:paraId="04D14BE2" w14:textId="77777777" w:rsidR="00217090" w:rsidRPr="00521C82" w:rsidRDefault="00217090" w:rsidP="00217090">
            <w:pPr>
              <w:spacing w:line="360" w:lineRule="auto"/>
              <w:jc w:val="both"/>
              <w:rPr>
                <w:rFonts w:ascii="Arial" w:hAnsi="Arial" w:cs="Arial"/>
                <w:rtl/>
              </w:rPr>
            </w:pPr>
          </w:p>
        </w:tc>
        <w:tc>
          <w:tcPr>
            <w:tcW w:w="3771" w:type="dxa"/>
            <w:tcBorders>
              <w:top w:val="nil"/>
              <w:left w:val="nil"/>
              <w:bottom w:val="nil"/>
              <w:right w:val="nil"/>
            </w:tcBorders>
            <w:shd w:val="clear" w:color="auto" w:fill="auto"/>
          </w:tcPr>
          <w:p w14:paraId="6C58CAA8" w14:textId="77777777" w:rsidR="00217090" w:rsidRPr="00521C82" w:rsidRDefault="00217090" w:rsidP="00217090">
            <w:pPr>
              <w:spacing w:line="360" w:lineRule="auto"/>
              <w:jc w:val="right"/>
              <w:rPr>
                <w:rFonts w:ascii="Arial" w:hAnsi="Arial" w:cs="Arial"/>
              </w:rPr>
            </w:pPr>
            <w:r w:rsidRPr="00521C82">
              <w:rPr>
                <w:rFonts w:ascii="Arial" w:hAnsi="Arial" w:cs="Arial"/>
                <w:rtl/>
              </w:rPr>
              <w:t>הנאשמים</w:t>
            </w:r>
          </w:p>
        </w:tc>
      </w:tr>
    </w:tbl>
    <w:p w14:paraId="743EE7C9" w14:textId="77777777" w:rsidR="00E34D92" w:rsidRDefault="00E34D92" w:rsidP="00217090">
      <w:pPr>
        <w:spacing w:line="360" w:lineRule="auto"/>
        <w:rPr>
          <w:rFonts w:ascii="Arial" w:hAnsi="Arial" w:cs="Arial"/>
          <w:rtl/>
        </w:rPr>
      </w:pPr>
    </w:p>
    <w:p w14:paraId="2C4F0E58" w14:textId="77777777" w:rsidR="00E34D92" w:rsidRPr="00E34D92" w:rsidRDefault="00E34D92" w:rsidP="00E34D92">
      <w:pPr>
        <w:spacing w:after="120" w:line="240" w:lineRule="exact"/>
        <w:ind w:left="283" w:hanging="283"/>
        <w:jc w:val="both"/>
        <w:rPr>
          <w:rFonts w:ascii="FrankRuehl" w:hAnsi="FrankRuehl" w:cs="FrankRuehl"/>
          <w:rtl/>
        </w:rPr>
      </w:pPr>
    </w:p>
    <w:p w14:paraId="6FE6176A" w14:textId="77777777" w:rsidR="00D13577" w:rsidRPr="00D13577" w:rsidRDefault="00D13577" w:rsidP="00D13577">
      <w:pPr>
        <w:spacing w:before="120" w:after="120" w:line="240" w:lineRule="exact"/>
        <w:ind w:left="283" w:hanging="283"/>
        <w:jc w:val="both"/>
        <w:rPr>
          <w:rFonts w:ascii="FrankRuehl" w:hAnsi="FrankRuehl" w:cs="FrankRuehl"/>
          <w:rtl/>
        </w:rPr>
      </w:pPr>
      <w:bookmarkStart w:id="2" w:name="LawTable"/>
      <w:bookmarkEnd w:id="2"/>
    </w:p>
    <w:p w14:paraId="691D285A" w14:textId="77777777" w:rsidR="00D13577" w:rsidRPr="00D13577" w:rsidRDefault="00D13577" w:rsidP="00D13577">
      <w:pPr>
        <w:spacing w:before="120" w:after="120" w:line="240" w:lineRule="exact"/>
        <w:ind w:left="283" w:hanging="283"/>
        <w:jc w:val="both"/>
        <w:rPr>
          <w:rFonts w:ascii="FrankRuehl" w:hAnsi="FrankRuehl" w:cs="FrankRuehl"/>
          <w:rtl/>
        </w:rPr>
      </w:pPr>
    </w:p>
    <w:p w14:paraId="1EA205CD" w14:textId="77777777" w:rsidR="00D13577" w:rsidRPr="00D13577" w:rsidRDefault="00D13577" w:rsidP="00D13577">
      <w:pPr>
        <w:spacing w:before="120" w:after="120" w:line="240" w:lineRule="exact"/>
        <w:ind w:left="283" w:hanging="283"/>
        <w:jc w:val="both"/>
        <w:rPr>
          <w:rFonts w:ascii="FrankRuehl" w:hAnsi="FrankRuehl" w:cs="FrankRuehl"/>
          <w:rtl/>
        </w:rPr>
      </w:pPr>
      <w:r w:rsidRPr="00D13577">
        <w:rPr>
          <w:rFonts w:ascii="FrankRuehl" w:hAnsi="FrankRuehl" w:cs="FrankRuehl"/>
          <w:rtl/>
        </w:rPr>
        <w:t xml:space="preserve">חקיקה שאוזכרה: </w:t>
      </w:r>
    </w:p>
    <w:p w14:paraId="48C53BAD" w14:textId="77777777" w:rsidR="00D13577" w:rsidRPr="00D13577" w:rsidRDefault="00D13577" w:rsidP="00D13577">
      <w:pPr>
        <w:spacing w:before="120" w:after="120" w:line="240" w:lineRule="exact"/>
        <w:ind w:left="283" w:hanging="283"/>
        <w:jc w:val="both"/>
        <w:rPr>
          <w:rFonts w:ascii="FrankRuehl" w:hAnsi="FrankRuehl" w:cs="FrankRuehl"/>
          <w:color w:val="0000FF"/>
          <w:u w:val="single"/>
          <w:rtl/>
        </w:rPr>
      </w:pPr>
      <w:hyperlink r:id="rId6" w:history="1">
        <w:r w:rsidRPr="00D13577">
          <w:rPr>
            <w:rStyle w:val="Hyperlink"/>
            <w:rFonts w:ascii="FrankRuehl" w:hAnsi="FrankRuehl" w:cs="FrankRuehl"/>
            <w:rtl/>
          </w:rPr>
          <w:t>פקודת הסמים המסוכנים [נוסח חדש], תשל"ג-1973</w:t>
        </w:r>
      </w:hyperlink>
      <w:r w:rsidRPr="00D13577">
        <w:rPr>
          <w:rFonts w:ascii="FrankRuehl" w:hAnsi="FrankRuehl" w:cs="FrankRuehl"/>
          <w:color w:val="0000FF"/>
          <w:u w:val="single"/>
          <w:rtl/>
        </w:rPr>
        <w:t xml:space="preserve">: סע'  </w:t>
      </w:r>
      <w:hyperlink r:id="rId7" w:history="1">
        <w:r w:rsidRPr="00D13577">
          <w:rPr>
            <w:rStyle w:val="Hyperlink"/>
            <w:rFonts w:ascii="FrankRuehl" w:hAnsi="FrankRuehl" w:cs="FrankRuehl"/>
          </w:rPr>
          <w:t>7.</w:t>
        </w:r>
        <w:r w:rsidRPr="00D13577">
          <w:rPr>
            <w:rStyle w:val="Hyperlink"/>
            <w:rFonts w:ascii="FrankRuehl" w:hAnsi="FrankRuehl" w:cs="FrankRuehl"/>
            <w:rtl/>
          </w:rPr>
          <w:t>א</w:t>
        </w:r>
        <w:r w:rsidRPr="00D13577">
          <w:rPr>
            <w:rStyle w:val="Hyperlink"/>
            <w:rFonts w:ascii="FrankRuehl" w:hAnsi="FrankRuehl" w:cs="FrankRuehl"/>
          </w:rPr>
          <w:t>.</w:t>
        </w:r>
      </w:hyperlink>
      <w:r w:rsidRPr="00D13577">
        <w:rPr>
          <w:rFonts w:ascii="FrankRuehl" w:hAnsi="FrankRuehl" w:cs="FrankRuehl"/>
          <w:color w:val="0000FF"/>
          <w:u w:val="single"/>
          <w:rtl/>
        </w:rPr>
        <w:t xml:space="preserve">, </w:t>
      </w:r>
      <w:hyperlink r:id="rId8" w:history="1">
        <w:r w:rsidRPr="00D13577">
          <w:rPr>
            <w:rStyle w:val="Hyperlink"/>
            <w:rFonts w:ascii="FrankRuehl" w:hAnsi="FrankRuehl" w:cs="FrankRuehl"/>
          </w:rPr>
          <w:t>7.</w:t>
        </w:r>
        <w:r w:rsidRPr="00D13577">
          <w:rPr>
            <w:rStyle w:val="Hyperlink"/>
            <w:rFonts w:ascii="FrankRuehl" w:hAnsi="FrankRuehl" w:cs="FrankRuehl"/>
            <w:rtl/>
          </w:rPr>
          <w:t>ג</w:t>
        </w:r>
      </w:hyperlink>
    </w:p>
    <w:p w14:paraId="518F2A26" w14:textId="77777777" w:rsidR="00217090" w:rsidRPr="00D13577" w:rsidRDefault="00217090" w:rsidP="00D13577">
      <w:pPr>
        <w:spacing w:line="360" w:lineRule="auto"/>
        <w:rPr>
          <w:rFonts w:ascii="Arial" w:hAnsi="Arial" w:cs="Aria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7090" w:rsidRPr="0033683C" w14:paraId="541288E3" w14:textId="77777777" w:rsidTr="00217090">
        <w:trPr>
          <w:trHeight w:val="355"/>
          <w:jc w:val="center"/>
        </w:trPr>
        <w:tc>
          <w:tcPr>
            <w:tcW w:w="8820" w:type="dxa"/>
            <w:tcBorders>
              <w:top w:val="nil"/>
              <w:left w:val="nil"/>
              <w:bottom w:val="nil"/>
              <w:right w:val="nil"/>
            </w:tcBorders>
            <w:shd w:val="clear" w:color="auto" w:fill="auto"/>
          </w:tcPr>
          <w:p w14:paraId="7C50C686" w14:textId="77777777" w:rsidR="00521C82" w:rsidRPr="00521C82" w:rsidRDefault="00521C82" w:rsidP="00521C82">
            <w:pPr>
              <w:spacing w:line="360" w:lineRule="auto"/>
              <w:jc w:val="center"/>
              <w:rPr>
                <w:rFonts w:ascii="Arial" w:hAnsi="Arial" w:cs="Arial"/>
                <w:b/>
                <w:bCs/>
                <w:u w:val="single"/>
                <w:rtl/>
              </w:rPr>
            </w:pPr>
            <w:bookmarkStart w:id="4" w:name="PsakDin" w:colFirst="0" w:colLast="0"/>
            <w:bookmarkEnd w:id="0"/>
            <w:r w:rsidRPr="00521C82">
              <w:rPr>
                <w:rFonts w:ascii="Arial" w:hAnsi="Arial" w:cs="Arial"/>
                <w:b/>
                <w:bCs/>
                <w:u w:val="single"/>
                <w:rtl/>
              </w:rPr>
              <w:t>גזר דין</w:t>
            </w:r>
          </w:p>
          <w:p w14:paraId="41DCF0E6" w14:textId="77777777" w:rsidR="00217090" w:rsidRPr="00521C82" w:rsidRDefault="00217090" w:rsidP="00521C82">
            <w:pPr>
              <w:spacing w:line="360" w:lineRule="auto"/>
              <w:jc w:val="center"/>
              <w:rPr>
                <w:rFonts w:ascii="Arial" w:hAnsi="Arial" w:cs="Arial"/>
                <w:bCs/>
                <w:u w:val="single"/>
                <w:rtl/>
              </w:rPr>
            </w:pPr>
          </w:p>
        </w:tc>
      </w:tr>
      <w:bookmarkEnd w:id="4"/>
    </w:tbl>
    <w:p w14:paraId="661A446E" w14:textId="77777777" w:rsidR="00217090" w:rsidRPr="00217090" w:rsidRDefault="00217090" w:rsidP="00217090">
      <w:pPr>
        <w:spacing w:line="360" w:lineRule="auto"/>
        <w:rPr>
          <w:rFonts w:ascii="Arial" w:hAnsi="Arial" w:cs="Arial"/>
          <w:rtl/>
        </w:rPr>
      </w:pPr>
    </w:p>
    <w:p w14:paraId="18C0133E" w14:textId="77777777" w:rsidR="00217090" w:rsidRPr="00217090" w:rsidRDefault="00217090" w:rsidP="00217090">
      <w:pPr>
        <w:spacing w:line="360" w:lineRule="auto"/>
        <w:rPr>
          <w:rFonts w:ascii="Arial" w:hAnsi="Arial" w:cs="Arial"/>
          <w:rtl/>
        </w:rPr>
      </w:pPr>
    </w:p>
    <w:p w14:paraId="1BAEFEDA"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 xml:space="preserve">1. </w:t>
      </w:r>
      <w:r w:rsidRPr="00217090">
        <w:rPr>
          <w:rFonts w:ascii="Arial" w:hAnsi="Arial" w:cs="Arial"/>
          <w:rtl/>
        </w:rPr>
        <w:tab/>
      </w:r>
      <w:bookmarkStart w:id="5" w:name="ABSTRACT_START"/>
      <w:bookmarkEnd w:id="5"/>
      <w:r w:rsidRPr="00217090">
        <w:rPr>
          <w:rFonts w:ascii="Arial" w:hAnsi="Arial" w:cs="Arial"/>
          <w:rtl/>
        </w:rPr>
        <w:t xml:space="preserve">הנאשם הודה והורשע על פי כתב האישום המתוקן בשני אישומים. על פי האישום הראשון הורשע הנאשם בעבירה של החזקת סמים שלא לצריכה עצמית לפי סעיף </w:t>
      </w:r>
      <w:hyperlink r:id="rId9" w:history="1">
        <w:r w:rsidR="00E34D92" w:rsidRPr="00E34D92">
          <w:rPr>
            <w:rFonts w:ascii="Arial" w:hAnsi="Arial" w:cs="Arial"/>
            <w:color w:val="0000FF"/>
            <w:u w:val="single"/>
            <w:rtl/>
          </w:rPr>
          <w:t>7(א) + 7(ג)</w:t>
        </w:r>
      </w:hyperlink>
      <w:r w:rsidRPr="00217090">
        <w:rPr>
          <w:rFonts w:ascii="Arial" w:hAnsi="Arial" w:cs="Arial"/>
          <w:rtl/>
        </w:rPr>
        <w:t xml:space="preserve"> רישא ל</w:t>
      </w:r>
      <w:hyperlink r:id="rId10" w:history="1">
        <w:r w:rsidR="00521C82" w:rsidRPr="00521C82">
          <w:rPr>
            <w:rFonts w:ascii="Arial" w:hAnsi="Arial" w:cs="Arial"/>
            <w:color w:val="0000FF"/>
            <w:u w:val="single"/>
            <w:rtl/>
          </w:rPr>
          <w:t>פקודת הסמים המסוכנים</w:t>
        </w:r>
      </w:hyperlink>
      <w:r w:rsidRPr="00217090">
        <w:rPr>
          <w:rFonts w:ascii="Arial" w:hAnsi="Arial" w:cs="Arial"/>
          <w:rtl/>
        </w:rPr>
        <w:t xml:space="preserve"> (נוסח חדש), תשל"ג – 1973 וזאת בגין החזקה של הרואין במשקל כולל של 10.512 גרם נט</w:t>
      </w:r>
      <w:r w:rsidRPr="00217090">
        <w:rPr>
          <w:rFonts w:ascii="Arial" w:hAnsi="Arial" w:cs="Arial" w:hint="cs"/>
          <w:rtl/>
        </w:rPr>
        <w:t>ו,</w:t>
      </w:r>
      <w:r w:rsidRPr="00217090">
        <w:rPr>
          <w:rFonts w:ascii="Arial" w:hAnsi="Arial" w:cs="Arial"/>
          <w:rtl/>
        </w:rPr>
        <w:t xml:space="preserve"> וכן החזקה של קוקאין במשקל כולל של 2.1106 ג'. על פי האישום השני הורשע הנאשם בהפרת הוראה חוקית שעה </w:t>
      </w:r>
      <w:bookmarkStart w:id="6" w:name="ABSTRACT_END"/>
      <w:bookmarkEnd w:id="6"/>
      <w:r w:rsidRPr="00217090">
        <w:rPr>
          <w:rFonts w:ascii="Arial" w:hAnsi="Arial" w:cs="Arial"/>
          <w:rtl/>
        </w:rPr>
        <w:lastRenderedPageBreak/>
        <w:t>שהפר את תנאי מעצר הבית שנקבעו לו, ובהחזקת סם לצריכה עצמית לפי הסעיפים דלעיל סיפה, שעה שנתפס כשהוא מחזיק ב0.3658 ג' קוקאין.</w:t>
      </w:r>
    </w:p>
    <w:p w14:paraId="2373B60E" w14:textId="77777777" w:rsidR="00217090" w:rsidRPr="00217090" w:rsidRDefault="00217090" w:rsidP="00217090">
      <w:pPr>
        <w:spacing w:line="360" w:lineRule="auto"/>
        <w:ind w:left="720" w:hanging="720"/>
        <w:jc w:val="both"/>
        <w:rPr>
          <w:rFonts w:ascii="Arial" w:hAnsi="Arial" w:cs="Arial"/>
          <w:rtl/>
        </w:rPr>
      </w:pPr>
    </w:p>
    <w:p w14:paraId="291C0E28" w14:textId="77777777" w:rsidR="00217090" w:rsidRPr="00217090" w:rsidRDefault="00217090" w:rsidP="00217090">
      <w:pPr>
        <w:spacing w:line="360" w:lineRule="auto"/>
        <w:ind w:left="720" w:hanging="720"/>
        <w:jc w:val="both"/>
        <w:rPr>
          <w:rFonts w:ascii="Arial" w:hAnsi="Arial" w:cs="Arial"/>
          <w:b/>
          <w:bCs/>
          <w:rtl/>
        </w:rPr>
      </w:pPr>
      <w:r w:rsidRPr="00217090">
        <w:rPr>
          <w:rFonts w:ascii="Arial" w:hAnsi="Arial" w:cs="Arial"/>
          <w:b/>
          <w:bCs/>
          <w:rtl/>
        </w:rPr>
        <w:t>דיון והכרעה:</w:t>
      </w:r>
    </w:p>
    <w:p w14:paraId="3457CA8E" w14:textId="77777777" w:rsidR="00217090" w:rsidRPr="00217090" w:rsidRDefault="00217090" w:rsidP="00217090">
      <w:pPr>
        <w:spacing w:line="360" w:lineRule="auto"/>
        <w:ind w:left="720" w:hanging="720"/>
        <w:jc w:val="both"/>
        <w:rPr>
          <w:rFonts w:ascii="Arial" w:hAnsi="Arial" w:cs="Arial"/>
          <w:b/>
          <w:bCs/>
          <w:rtl/>
        </w:rPr>
      </w:pPr>
    </w:p>
    <w:p w14:paraId="27028201"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2.</w:t>
      </w:r>
      <w:r w:rsidRPr="00217090">
        <w:rPr>
          <w:rFonts w:ascii="Arial" w:hAnsi="Arial" w:cs="Arial"/>
          <w:b/>
          <w:bCs/>
          <w:rtl/>
        </w:rPr>
        <w:tab/>
      </w:r>
      <w:r w:rsidRPr="00217090">
        <w:rPr>
          <w:rFonts w:ascii="Arial" w:hAnsi="Arial" w:cs="Arial"/>
          <w:rtl/>
        </w:rPr>
        <w:t xml:space="preserve">בית המשפט העליון התייחס במספר רב של פסק דין לצורך במיגור תופעת הסמים וכי החזקת סם מסוכן שלא לשימוש עצמי פוגעת בשלום הציבור והגנה עליו מפני נזקים חברתיים, ישירים ועקיפים, אשר נגרמים כתוצאה משימוש בסמים מסוכנים. </w:t>
      </w:r>
    </w:p>
    <w:p w14:paraId="264220BB" w14:textId="77777777" w:rsidR="00217090" w:rsidRPr="00217090" w:rsidRDefault="00217090" w:rsidP="00217090">
      <w:pPr>
        <w:spacing w:line="360" w:lineRule="auto"/>
        <w:ind w:left="720" w:hanging="720"/>
        <w:jc w:val="both"/>
        <w:rPr>
          <w:rFonts w:ascii="Arial" w:hAnsi="Arial" w:cs="Arial"/>
          <w:rtl/>
        </w:rPr>
      </w:pPr>
    </w:p>
    <w:p w14:paraId="51EE5A88"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3.</w:t>
      </w:r>
      <w:r w:rsidRPr="00217090">
        <w:rPr>
          <w:rFonts w:ascii="Arial" w:hAnsi="Arial" w:cs="Arial"/>
          <w:rtl/>
        </w:rPr>
        <w:tab/>
        <w:t>בענייננו יש להתחשב גם בכך שסוג הסמים שנמצאו אצל הנאשם היו סמים המוגדרים כ"קשים". יש להתחשב אף בכך שהנאשם הפר הוראה חוקית כיום לאחר שבית המשפט ציווה עליו לשהות במעצר בית, דבר שיש בו כדי לפגוע בשלטון החוק ובעבודת המשטרה.</w:t>
      </w:r>
      <w:r w:rsidRPr="00217090">
        <w:rPr>
          <w:rFonts w:ascii="Arial" w:hAnsi="Arial" w:cs="Arial"/>
          <w:rtl/>
        </w:rPr>
        <w:tab/>
      </w:r>
    </w:p>
    <w:p w14:paraId="401400E0"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 xml:space="preserve"> </w:t>
      </w:r>
    </w:p>
    <w:p w14:paraId="5A7279AD" w14:textId="77777777" w:rsidR="00217090" w:rsidRPr="00217090" w:rsidRDefault="00217090" w:rsidP="00217090">
      <w:pPr>
        <w:spacing w:line="360" w:lineRule="auto"/>
        <w:ind w:left="720" w:hanging="720"/>
        <w:jc w:val="both"/>
        <w:rPr>
          <w:rFonts w:ascii="Arial" w:hAnsi="Arial" w:cs="Arial"/>
          <w:rtl/>
        </w:rPr>
      </w:pPr>
    </w:p>
    <w:p w14:paraId="74B2B5B1" w14:textId="77777777" w:rsidR="00217090" w:rsidRPr="00217090" w:rsidRDefault="00217090" w:rsidP="00217090">
      <w:pPr>
        <w:spacing w:line="360" w:lineRule="auto"/>
        <w:ind w:left="720" w:hanging="720"/>
        <w:jc w:val="both"/>
        <w:rPr>
          <w:rFonts w:ascii="Arial" w:hAnsi="Arial" w:cs="Arial"/>
          <w:b/>
          <w:bCs/>
          <w:rtl/>
        </w:rPr>
      </w:pPr>
      <w:r w:rsidRPr="00217090">
        <w:rPr>
          <w:rFonts w:ascii="Arial" w:hAnsi="Arial" w:cs="Arial"/>
          <w:b/>
          <w:bCs/>
          <w:rtl/>
        </w:rPr>
        <w:t xml:space="preserve">מתחם הענישה: </w:t>
      </w:r>
    </w:p>
    <w:p w14:paraId="06F12AF6" w14:textId="77777777" w:rsidR="00217090" w:rsidRPr="00217090" w:rsidRDefault="00217090" w:rsidP="00217090">
      <w:pPr>
        <w:spacing w:line="360" w:lineRule="auto"/>
        <w:ind w:left="720" w:hanging="720"/>
        <w:jc w:val="both"/>
        <w:rPr>
          <w:rFonts w:ascii="Arial" w:hAnsi="Arial" w:cs="Arial"/>
          <w:rtl/>
        </w:rPr>
      </w:pPr>
    </w:p>
    <w:p w14:paraId="6D09C2F5"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2.</w:t>
      </w:r>
      <w:r w:rsidRPr="00217090">
        <w:rPr>
          <w:rFonts w:ascii="Arial" w:hAnsi="Arial" w:cs="Arial"/>
          <w:rtl/>
        </w:rPr>
        <w:tab/>
        <w:t xml:space="preserve">המאשימה טוענת כי מתחם הענישה בגין האישום הראשון הוא 10 עד 24 חודשים מאסר בפועל, ולגבי האישום השני מתחם הענישה 3 עד 8 חודשי מאסר בפועל ועל כן מבקשת המאשימה כי ביתה משפט ישית על הנאשם 12 חודשי מאסר בפועל, מאסר על תנאי, קנס, פסילת רישיון נהיגה ופסילה על תנאי. </w:t>
      </w:r>
    </w:p>
    <w:p w14:paraId="2A89158F" w14:textId="77777777" w:rsidR="00217090" w:rsidRPr="00217090" w:rsidRDefault="00217090" w:rsidP="00217090">
      <w:pPr>
        <w:spacing w:line="360" w:lineRule="auto"/>
        <w:rPr>
          <w:rFonts w:ascii="Arial" w:hAnsi="Arial" w:cs="Arial"/>
          <w:rtl/>
        </w:rPr>
      </w:pPr>
    </w:p>
    <w:p w14:paraId="680CDFCB" w14:textId="77777777" w:rsidR="00217090" w:rsidRPr="00217090" w:rsidRDefault="00217090" w:rsidP="00217090">
      <w:pPr>
        <w:spacing w:line="360" w:lineRule="auto"/>
        <w:ind w:left="720" w:hanging="720"/>
        <w:rPr>
          <w:rFonts w:ascii="Arial" w:hAnsi="Arial" w:cs="Arial"/>
          <w:rtl/>
        </w:rPr>
      </w:pPr>
      <w:r w:rsidRPr="00217090">
        <w:rPr>
          <w:rFonts w:ascii="Arial" w:hAnsi="Arial" w:cs="Arial"/>
          <w:rtl/>
        </w:rPr>
        <w:t>3.</w:t>
      </w:r>
      <w:r w:rsidRPr="00217090">
        <w:rPr>
          <w:rFonts w:ascii="Arial" w:hAnsi="Arial" w:cs="Arial"/>
          <w:rtl/>
        </w:rPr>
        <w:tab/>
        <w:t xml:space="preserve">הנאשם טוען כי יש לראות בשני האישומים אירוע אחד, שכן הוא נרקומן, והנאשם מכור לסם וזקוק לו. לטענת הנאשם מתחם הענישה אינו מחייב מאסר בפועל וניתן להסתפק במאסר שיבוצע בעבודות שירות או בשירות לתועלת הציבור. </w:t>
      </w:r>
    </w:p>
    <w:p w14:paraId="50F26E93" w14:textId="77777777" w:rsidR="00217090" w:rsidRPr="00217090" w:rsidRDefault="00217090" w:rsidP="00217090">
      <w:pPr>
        <w:spacing w:line="360" w:lineRule="auto"/>
        <w:ind w:left="720" w:hanging="720"/>
        <w:rPr>
          <w:rFonts w:ascii="Arial" w:hAnsi="Arial" w:cs="Arial"/>
          <w:rtl/>
        </w:rPr>
      </w:pPr>
    </w:p>
    <w:p w14:paraId="7F88D298"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4.</w:t>
      </w:r>
      <w:r w:rsidRPr="00217090">
        <w:rPr>
          <w:rFonts w:ascii="Arial" w:hAnsi="Arial" w:cs="Arial"/>
          <w:rtl/>
        </w:rPr>
        <w:tab/>
        <w:t xml:space="preserve">אפתח ואומר כי בניגוד לנטען על ידי הנאשם הרי שאין המדובר באירוע אחד, אלא בשני אירועים נפרדים בהם החזיק הנאשם בסמים מסוכנים. האירוע הראשון היה ביום 22.3.18 והאירוע השני היה שלושה ימים לאחר מכן, שעה שהנאשם היה אמור להיות במעצר בית. הטענה שהנאשם מכור לסמים ולכן יש לראות בשני המקרים בהם נתפס </w:t>
      </w:r>
      <w:r w:rsidRPr="00217090">
        <w:rPr>
          <w:rFonts w:ascii="Arial" w:hAnsi="Arial" w:cs="Arial"/>
          <w:rtl/>
        </w:rPr>
        <w:lastRenderedPageBreak/>
        <w:t xml:space="preserve">עם סמים, אירוע אחד, היא טענה שאין להיענות לה. מדובר בשני אירועים נפרדים הן בזמן, והן בנסיבותיהם, שבהם הנאשם הסתובב מחוץ לביתו כאשר באמתחתו סמים מסוגים מסוכנים, ובפעם הראשונה אף דובר בשני סוגים ובכמות גדולה. </w:t>
      </w:r>
    </w:p>
    <w:p w14:paraId="3F03FF37" w14:textId="77777777" w:rsidR="00217090" w:rsidRPr="00217090" w:rsidRDefault="00217090" w:rsidP="00217090">
      <w:pPr>
        <w:spacing w:line="360" w:lineRule="auto"/>
        <w:ind w:left="720" w:hanging="720"/>
        <w:jc w:val="both"/>
        <w:rPr>
          <w:rFonts w:ascii="Arial" w:hAnsi="Arial" w:cs="Arial"/>
          <w:rtl/>
        </w:rPr>
      </w:pPr>
    </w:p>
    <w:p w14:paraId="1762AD56"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5.</w:t>
      </w:r>
      <w:r w:rsidRPr="00217090">
        <w:rPr>
          <w:rFonts w:ascii="Arial" w:hAnsi="Arial" w:cs="Arial"/>
          <w:rtl/>
        </w:rPr>
        <w:tab/>
        <w:t xml:space="preserve">מכאן שבכל הנוגע למתחם הענישה אני רואה בשני האירועים, אירועים נפרדים. </w:t>
      </w:r>
    </w:p>
    <w:p w14:paraId="3FA0733D" w14:textId="77777777" w:rsidR="00217090" w:rsidRPr="00217090" w:rsidRDefault="00217090" w:rsidP="00217090">
      <w:pPr>
        <w:spacing w:line="360" w:lineRule="auto"/>
        <w:ind w:left="720" w:hanging="720"/>
        <w:jc w:val="both"/>
        <w:rPr>
          <w:rFonts w:ascii="Arial" w:hAnsi="Arial" w:cs="Arial"/>
          <w:rtl/>
        </w:rPr>
      </w:pPr>
    </w:p>
    <w:p w14:paraId="0971D171"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6.</w:t>
      </w:r>
      <w:r w:rsidRPr="00217090">
        <w:rPr>
          <w:rFonts w:ascii="Arial" w:hAnsi="Arial" w:cs="Arial"/>
          <w:rtl/>
        </w:rPr>
        <w:tab/>
        <w:t>המאשימה לא הפנתה לפסיקה התומכת בטענותיה בדבר מתחם הענישה. לעומתה הסניגור הגיש רשימה של פסקי דין בהם בית המשפט השית על נאשמים של"צ או מאסר שיכול ויבוצע בעבודות שירות. בחנתי את הפסיקה אליה הפנה הסניגור וחלקה הניכר אינו רלבנטי לעניינו. ב</w:t>
      </w:r>
      <w:hyperlink r:id="rId11" w:history="1">
        <w:r w:rsidR="00521C82" w:rsidRPr="00521C82">
          <w:rPr>
            <w:rFonts w:ascii="Arial" w:hAnsi="Arial" w:cs="Arial"/>
            <w:color w:val="0000FF"/>
            <w:u w:val="single"/>
            <w:rtl/>
          </w:rPr>
          <w:t>ע"פ 8092/04</w:t>
        </w:r>
      </w:hyperlink>
      <w:r w:rsidRPr="00217090">
        <w:rPr>
          <w:rFonts w:ascii="Arial" w:hAnsi="Arial" w:cs="Arial"/>
          <w:rtl/>
        </w:rPr>
        <w:t xml:space="preserve"> </w:t>
      </w:r>
      <w:r w:rsidRPr="00217090">
        <w:rPr>
          <w:rFonts w:ascii="Arial" w:hAnsi="Arial" w:cs="Arial"/>
          <w:b/>
          <w:bCs/>
          <w:rtl/>
        </w:rPr>
        <w:t>חביב נ' מדינת ישראל</w:t>
      </w:r>
      <w:r w:rsidRPr="00217090">
        <w:rPr>
          <w:rFonts w:ascii="Arial" w:hAnsi="Arial" w:cs="Arial"/>
          <w:rtl/>
        </w:rPr>
        <w:t>, ( ניתן ביום 10.9.06) דובר בעבירות סחר של קנבוס בכמויות גדולות, ובית המשפט קבע כי "</w:t>
      </w:r>
      <w:r w:rsidRPr="00217090">
        <w:rPr>
          <w:rFonts w:ascii="Arial" w:hAnsi="Arial" w:cs="Arial"/>
          <w:b/>
          <w:bCs/>
          <w:rtl/>
        </w:rPr>
        <w:t xml:space="preserve">גם אם חומרת העבירות בהן הורשע המערער ורקעו הפלילי המכביד הקודם היו מצדיקים במצב אחר עונש מחמיר ומאסר בפועל ארוך, הרי הישגי השיקום המיוחדים שהושגו כאן, וההשקעה הרבה ...מצדיקים באיזון כולל מתן משקל נכבד לגורם זה".  </w:t>
      </w:r>
      <w:r w:rsidRPr="00217090">
        <w:rPr>
          <w:rFonts w:ascii="Arial" w:hAnsi="Arial" w:cs="Arial"/>
          <w:rtl/>
        </w:rPr>
        <w:t xml:space="preserve">בית המשפט השית על הנאשם בגין עבירות הסמים צו מבחן טהור לתקופה של 18 חודשים והבהיר למערער כי אם יורשה ב"עבירה נוספת" הוא צפוי לענישה ממשית בגין עבירות הסמים בהן הורשע בהליך זה. בעת מתן פסק הדין בעניינו של חביב טרם נקבע המונח "מתחם הענישה" בחוק, אך עולה בבירור מפסק הדין כי הוא חורג לקולא ממתחם הענישה ואלמלא הליך השיקום המשמעותי היה מושת על הנאשם מאסר ארוך בפועל. גם בעניין </w:t>
      </w:r>
      <w:hyperlink r:id="rId12" w:history="1">
        <w:r w:rsidR="00521C82" w:rsidRPr="00521C82">
          <w:rPr>
            <w:rFonts w:ascii="Arial" w:hAnsi="Arial" w:cs="Arial"/>
            <w:b/>
            <w:bCs/>
            <w:color w:val="0000FF"/>
            <w:u w:val="single"/>
            <w:rtl/>
          </w:rPr>
          <w:t>ע"פ 7722/11</w:t>
        </w:r>
      </w:hyperlink>
      <w:r w:rsidRPr="00217090">
        <w:rPr>
          <w:rFonts w:ascii="Arial" w:hAnsi="Arial" w:cs="Arial"/>
          <w:b/>
          <w:bCs/>
          <w:rtl/>
        </w:rPr>
        <w:t xml:space="preserve"> מדינת ישראל נ' אביחי ביזאוי (ניתן ביום 19.6.12)</w:t>
      </w:r>
      <w:r w:rsidRPr="00217090">
        <w:rPr>
          <w:rFonts w:ascii="Arial" w:hAnsi="Arial" w:cs="Arial"/>
          <w:rtl/>
        </w:rPr>
        <w:t xml:space="preserve"> נקבע כי גזר הדין שבו הושתו על הנאשם 6 חודשי מאסר אשר יבוצעו בעבודות שירות הוא פסק דין מקל ומצוי ברף התחתון של הענישה בגין עבירות מסוג זה אך התחשבו בנסיבותיו האישיות של הנאשם.  גם </w:t>
      </w:r>
      <w:hyperlink r:id="rId13" w:history="1">
        <w:r w:rsidR="00521C82" w:rsidRPr="00521C82">
          <w:rPr>
            <w:rFonts w:ascii="Arial" w:hAnsi="Arial" w:cs="Arial"/>
            <w:color w:val="0000FF"/>
            <w:u w:val="single"/>
            <w:rtl/>
          </w:rPr>
          <w:t>תפ(י-ם)44404-01-16</w:t>
        </w:r>
      </w:hyperlink>
      <w:r w:rsidRPr="00217090">
        <w:rPr>
          <w:rFonts w:ascii="Arial" w:hAnsi="Arial" w:cs="Arial"/>
          <w:rtl/>
        </w:rPr>
        <w:t xml:space="preserve"> אין בו כדי לסייע לנאשם שכן נקבע בו מתחם ענישה לעבירות סחר בסמים, והעונש שהושת על הנאשם באותו עניין היה תוך סטייה ממתחם הענישה משיקול שיקום. אף בעניין </w:t>
      </w:r>
      <w:hyperlink r:id="rId14" w:history="1">
        <w:r w:rsidR="00521C82" w:rsidRPr="00521C82">
          <w:rPr>
            <w:rFonts w:ascii="Arial" w:hAnsi="Arial" w:cs="Arial"/>
            <w:b/>
            <w:bCs/>
            <w:color w:val="0000FF"/>
            <w:u w:val="single"/>
            <w:rtl/>
          </w:rPr>
          <w:t>תפ (ת"א) 6322-04-16</w:t>
        </w:r>
      </w:hyperlink>
      <w:r w:rsidRPr="00217090">
        <w:rPr>
          <w:rFonts w:ascii="Arial" w:hAnsi="Arial" w:cs="Arial"/>
          <w:b/>
          <w:bCs/>
          <w:rtl/>
        </w:rPr>
        <w:t xml:space="preserve"> מדינת ישראל נ' שלמה כהן,</w:t>
      </w:r>
      <w:r w:rsidRPr="00217090">
        <w:rPr>
          <w:rFonts w:ascii="Arial" w:hAnsi="Arial" w:cs="Arial"/>
          <w:rtl/>
        </w:rPr>
        <w:t xml:space="preserve"> שניתן ביום  22.1.18 </w:t>
      </w:r>
      <w:r w:rsidRPr="00217090">
        <w:rPr>
          <w:rFonts w:ascii="Arial" w:hAnsi="Arial" w:cs="Arial"/>
          <w:b/>
          <w:bCs/>
          <w:rtl/>
        </w:rPr>
        <w:t>וב</w:t>
      </w:r>
      <w:hyperlink r:id="rId15" w:history="1">
        <w:r w:rsidR="00521C82" w:rsidRPr="00521C82">
          <w:rPr>
            <w:rFonts w:ascii="Arial" w:hAnsi="Arial" w:cs="Arial"/>
            <w:b/>
            <w:bCs/>
            <w:color w:val="0000FF"/>
            <w:u w:val="single"/>
            <w:rtl/>
          </w:rPr>
          <w:t>תפ 63255-11-16</w:t>
        </w:r>
      </w:hyperlink>
      <w:r w:rsidRPr="00217090">
        <w:rPr>
          <w:rFonts w:ascii="Arial" w:hAnsi="Arial" w:cs="Arial"/>
          <w:b/>
          <w:bCs/>
          <w:rtl/>
        </w:rPr>
        <w:t xml:space="preserve"> מדינת ישראל נ' טורז'מן</w:t>
      </w:r>
      <w:r w:rsidRPr="00217090">
        <w:rPr>
          <w:rFonts w:ascii="Arial" w:hAnsi="Arial" w:cs="Arial"/>
          <w:rtl/>
        </w:rPr>
        <w:t xml:space="preserve">, שניתן ביום 7.2.18 נקבע כי יש לסטות ממתחם הענישה משיקולי שיקום. מכאן שכל פסקי הדין אליהם הפנה הסניגור יפים וטובים לסטייה ממתחם הענישה, שעה שהנאשם עבר הליכי שיקום משמעותיים, אך אין בהם כדי לסייע לנאשם בטענותיו בדבר קביעת מתחם הענישה עצמו. </w:t>
      </w:r>
    </w:p>
    <w:p w14:paraId="6E7C8D34" w14:textId="77777777" w:rsidR="00217090" w:rsidRPr="00217090" w:rsidRDefault="00217090" w:rsidP="00217090">
      <w:pPr>
        <w:spacing w:line="360" w:lineRule="auto"/>
        <w:ind w:left="720" w:hanging="720"/>
        <w:jc w:val="both"/>
        <w:rPr>
          <w:rFonts w:ascii="Arial" w:hAnsi="Arial" w:cs="Arial"/>
          <w:rtl/>
        </w:rPr>
      </w:pPr>
    </w:p>
    <w:p w14:paraId="3B41E3B9"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7.</w:t>
      </w:r>
      <w:r w:rsidRPr="00217090">
        <w:rPr>
          <w:rFonts w:ascii="Arial" w:hAnsi="Arial" w:cs="Arial"/>
          <w:rtl/>
        </w:rPr>
        <w:tab/>
        <w:t xml:space="preserve">כפי שעולה גם מפסקי הדין דלעיל, וגם מפסיקה נוספת שבחנתי, שעה שמדובר בעבירות של החזקה שלא לצריכה עצמית, של סם מסוכן בכמות לא קטנה הרי שהרף התחתון הוא 10 חודשי מאסר בפועל עד 18 חודשים כתלות בכמות הסמים. בעניינו מדובר בשני אירועים של החזקת סמים קשים האירוע הראשון שלא לצריכה עצמית והשני לצריכה עצמית. שתי אלו יחדיו יש בהן כדי לקבוע כי מתחם הענישה בנסיבות אלו לעבירות הסמים הוא 10 חודשי מאסר בפועל עד 20 חודשים (וראו לעניין זה את </w:t>
      </w:r>
      <w:hyperlink r:id="rId16" w:history="1">
        <w:r w:rsidR="00521C82" w:rsidRPr="00521C82">
          <w:rPr>
            <w:rFonts w:ascii="Arial" w:hAnsi="Arial" w:cs="Arial"/>
            <w:color w:val="0000FF"/>
            <w:u w:val="single"/>
            <w:rtl/>
          </w:rPr>
          <w:t>עפ"ג (חיפה) 53142-12-16</w:t>
        </w:r>
      </w:hyperlink>
      <w:r w:rsidRPr="00217090">
        <w:rPr>
          <w:rFonts w:ascii="Arial" w:hAnsi="Arial" w:cs="Arial"/>
          <w:rtl/>
        </w:rPr>
        <w:t xml:space="preserve">; </w:t>
      </w:r>
      <w:hyperlink r:id="rId17" w:history="1">
        <w:r w:rsidR="00521C82" w:rsidRPr="00521C82">
          <w:rPr>
            <w:rFonts w:ascii="Arial" w:hAnsi="Arial" w:cs="Arial"/>
            <w:color w:val="0000FF"/>
            <w:u w:val="single"/>
            <w:rtl/>
          </w:rPr>
          <w:t>רע"פ  1122/17</w:t>
        </w:r>
      </w:hyperlink>
      <w:r w:rsidRPr="00217090">
        <w:rPr>
          <w:rFonts w:ascii="Arial" w:hAnsi="Arial" w:cs="Arial"/>
          <w:rtl/>
        </w:rPr>
        <w:t xml:space="preserve">, וגם </w:t>
      </w:r>
      <w:hyperlink r:id="rId18" w:history="1">
        <w:r w:rsidR="00521C82" w:rsidRPr="00521C82">
          <w:rPr>
            <w:rFonts w:ascii="Arial" w:hAnsi="Arial" w:cs="Arial"/>
            <w:color w:val="0000FF"/>
            <w:u w:val="single"/>
            <w:rtl/>
          </w:rPr>
          <w:t>רע"פ 6869/17</w:t>
        </w:r>
      </w:hyperlink>
      <w:r w:rsidRPr="00217090">
        <w:rPr>
          <w:rFonts w:ascii="Arial" w:hAnsi="Arial" w:cs="Arial"/>
          <w:rtl/>
        </w:rPr>
        <w:t xml:space="preserve"> פילברג נ' מ"י (מיום 11.9.2017): "</w:t>
      </w:r>
      <w:r w:rsidRPr="00217090">
        <w:rPr>
          <w:rFonts w:ascii="Arial" w:hAnsi="Arial" w:cs="Arial"/>
          <w:b/>
          <w:bCs/>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Pr="00217090">
        <w:rPr>
          <w:rFonts w:ascii="Arial" w:hAnsi="Arial" w:cs="Arial"/>
          <w:rtl/>
        </w:rPr>
        <w:t>" (ס' 8 להחלטה).</w:t>
      </w:r>
    </w:p>
    <w:p w14:paraId="69CA1655" w14:textId="77777777" w:rsidR="00217090" w:rsidRPr="00217090" w:rsidRDefault="00217090" w:rsidP="00217090">
      <w:pPr>
        <w:spacing w:line="360" w:lineRule="auto"/>
        <w:rPr>
          <w:rFonts w:ascii="Arial" w:hAnsi="Arial" w:cs="Arial"/>
          <w:rtl/>
        </w:rPr>
      </w:pPr>
    </w:p>
    <w:p w14:paraId="08C7AAD3"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 xml:space="preserve">8. </w:t>
      </w:r>
      <w:r w:rsidRPr="00217090">
        <w:rPr>
          <w:rFonts w:ascii="Arial" w:hAnsi="Arial" w:cs="Arial"/>
          <w:rtl/>
        </w:rPr>
        <w:tab/>
        <w:t xml:space="preserve">בכל הנוגע להפרת ההוראה החוקית מתחם הענישה הינו בין מאסר על תנאי ועל למאסר של חודשים ספורים ( ראו של </w:t>
      </w:r>
      <w:hyperlink r:id="rId19" w:history="1">
        <w:r w:rsidR="00521C82" w:rsidRPr="00521C82">
          <w:rPr>
            <w:rFonts w:ascii="Arial" w:hAnsi="Arial" w:cs="Arial"/>
            <w:color w:val="0000FF"/>
            <w:u w:val="single"/>
            <w:rtl/>
          </w:rPr>
          <w:t>רע"פ 5023/18</w:t>
        </w:r>
      </w:hyperlink>
      <w:r w:rsidRPr="00217090">
        <w:rPr>
          <w:rFonts w:ascii="Arial" w:hAnsi="Arial" w:cs="Arial"/>
          <w:rtl/>
        </w:rPr>
        <w:t xml:space="preserve"> ).</w:t>
      </w:r>
    </w:p>
    <w:p w14:paraId="6EF1225D" w14:textId="77777777" w:rsidR="00217090" w:rsidRPr="00217090" w:rsidRDefault="00217090" w:rsidP="00217090">
      <w:pPr>
        <w:spacing w:line="360" w:lineRule="auto"/>
        <w:ind w:left="720" w:hanging="720"/>
        <w:rPr>
          <w:rFonts w:ascii="Arial" w:hAnsi="Arial" w:cs="Arial"/>
          <w:rtl/>
        </w:rPr>
      </w:pPr>
    </w:p>
    <w:p w14:paraId="33C02F17" w14:textId="77777777" w:rsidR="00217090" w:rsidRPr="00217090" w:rsidRDefault="00217090" w:rsidP="00217090">
      <w:pPr>
        <w:spacing w:line="360" w:lineRule="auto"/>
        <w:ind w:left="720" w:hanging="720"/>
        <w:rPr>
          <w:rFonts w:ascii="Arial" w:hAnsi="Arial" w:cs="Arial"/>
          <w:b/>
          <w:bCs/>
          <w:rtl/>
        </w:rPr>
      </w:pPr>
      <w:r w:rsidRPr="00217090">
        <w:rPr>
          <w:rFonts w:ascii="Arial" w:hAnsi="Arial" w:cs="Arial"/>
          <w:b/>
          <w:bCs/>
          <w:rtl/>
        </w:rPr>
        <w:t xml:space="preserve">נסיבותיו האישיות של הנאשם: </w:t>
      </w:r>
    </w:p>
    <w:p w14:paraId="6EDB4F02" w14:textId="77777777" w:rsidR="00217090" w:rsidRPr="00217090" w:rsidRDefault="00217090" w:rsidP="00217090">
      <w:pPr>
        <w:spacing w:line="360" w:lineRule="auto"/>
        <w:rPr>
          <w:rFonts w:ascii="Arial" w:hAnsi="Arial" w:cs="Arial"/>
          <w:rtl/>
        </w:rPr>
      </w:pPr>
    </w:p>
    <w:p w14:paraId="6E72EEC5"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9.</w:t>
      </w:r>
      <w:r w:rsidRPr="00217090">
        <w:rPr>
          <w:rFonts w:ascii="Arial" w:hAnsi="Arial" w:cs="Arial"/>
          <w:rtl/>
        </w:rPr>
        <w:tab/>
        <w:t xml:space="preserve"> כפי שציינתי הנאשם מכור לסמים קשים. בעניינו של הנאשם הגיש שירות המבחן תסקיר וממנו עולה כי הוא "מנהל אורח חיים שולי והתמכרותי ובשנים האחרונות מטופל בתחליף סם". עוד עולה מהתסקיר כי הנאשם ניסה מספר פעמים להיגמל ללא הצלחה, לא התמיד במקומות עבודה, ומזה למעלה משנה אינו עובד בשל בעיות בריאותיות. הנאשם טען בפני כי הוא עובד מזה 5 שנים בעירייה, אך גם מדבריו וגם מדו"ח שירות המבחן עולה כי מזה שנה אינו עובד בשל בעיות בריאות. עוד עולה כי הנאשם צורך תרופות נגד כאבים במרשם רופא, אך לא מכיר בסכנה שבכך אף כי הוא מכור לסמים. יש לציין כי הנאשם מוכר לשירות המבחן מזה כעשר שנים, ובשים לב לעבירות קודמות שביצע, אליהן אתייחס בהמשך. </w:t>
      </w:r>
    </w:p>
    <w:p w14:paraId="4A3EDCE6" w14:textId="77777777" w:rsidR="00217090" w:rsidRPr="00217090" w:rsidRDefault="00217090" w:rsidP="00217090">
      <w:pPr>
        <w:spacing w:line="360" w:lineRule="auto"/>
        <w:rPr>
          <w:rFonts w:ascii="Arial" w:hAnsi="Arial" w:cs="Arial"/>
          <w:rtl/>
        </w:rPr>
      </w:pPr>
    </w:p>
    <w:p w14:paraId="68AD3B98"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10.</w:t>
      </w:r>
      <w:r w:rsidRPr="00217090">
        <w:rPr>
          <w:rFonts w:ascii="Arial" w:hAnsi="Arial" w:cs="Arial"/>
          <w:rtl/>
        </w:rPr>
        <w:tab/>
        <w:t xml:space="preserve">שירות המבחן קבע כי בהתייחס לגורמי הסיכון הרי ש"סנקציות עונשיות בעבר שהוטלו עליו לא הרתיעו אותו מלשוב לנקוט בהתנהגות בעייתית ולהשתלב כראוי במסגרת גמילה מסמים. כן התרשמנו מקשייו בוויסות דחפים...". שירות המבחן קבע כי אינו בא בהמלצה שיקומית בעניינו של הנאשם שכן הוא אינו ער לחומרת מצבו ומעשיו ושולל בעייתיות באורח חייו והתנהגותו "במיוחד בכל הקשור לשימושו בתרופות ממכרות כשהוא מתייחס לזה כדרך תקניה לפתרון בעייתו". </w:t>
      </w:r>
    </w:p>
    <w:p w14:paraId="58D42077" w14:textId="77777777" w:rsidR="00217090" w:rsidRPr="00217090" w:rsidRDefault="00217090" w:rsidP="00217090">
      <w:pPr>
        <w:spacing w:line="360" w:lineRule="auto"/>
        <w:ind w:left="720" w:hanging="720"/>
        <w:rPr>
          <w:rFonts w:ascii="Arial" w:hAnsi="Arial" w:cs="Arial"/>
          <w:rtl/>
        </w:rPr>
      </w:pPr>
    </w:p>
    <w:p w14:paraId="5CEE64CC"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11.</w:t>
      </w:r>
      <w:r w:rsidRPr="00217090">
        <w:rPr>
          <w:rFonts w:ascii="Arial" w:hAnsi="Arial" w:cs="Arial"/>
          <w:rtl/>
        </w:rPr>
        <w:tab/>
        <w:t>בכל הנוגע לרישום הפלילי של הנאשם הרי שעומדות לחובתו מספר הרשעות בגין עבירות רכוש, בגינן הושתו עליו גם עונשי מאסר בפועל. בעבירה של החזקת סמים שלא לצריכה עצמית הוא הורשע פעם אחת בשנת 2006.</w:t>
      </w:r>
    </w:p>
    <w:p w14:paraId="409DD1B5" w14:textId="77777777" w:rsidR="00217090" w:rsidRPr="00217090" w:rsidRDefault="00217090" w:rsidP="00217090">
      <w:pPr>
        <w:spacing w:line="360" w:lineRule="auto"/>
        <w:ind w:left="720" w:hanging="720"/>
        <w:jc w:val="both"/>
        <w:rPr>
          <w:rFonts w:ascii="Arial" w:hAnsi="Arial" w:cs="Arial"/>
          <w:rtl/>
        </w:rPr>
      </w:pPr>
    </w:p>
    <w:p w14:paraId="0182E04E"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12.</w:t>
      </w:r>
      <w:r w:rsidRPr="00217090">
        <w:rPr>
          <w:rFonts w:ascii="Arial" w:hAnsi="Arial" w:cs="Arial"/>
          <w:rtl/>
        </w:rPr>
        <w:tab/>
        <w:t xml:space="preserve">מכאן שאין אפשרות לעת הזאת להליך של שיקום בעניין של הנאשם. הנסיבות היחידות שניתן לשקול לזכותו הינן מצבו הרפואי והעובדה שהוא מקיים זוגיות מזה חמש שנים ואב לילדים. עוד אוסיף כי הנאשם חסך מזמנו של בית המשפט, שעה שהודה בעבירות אותן ביצע. </w:t>
      </w:r>
    </w:p>
    <w:p w14:paraId="14E3B1C2" w14:textId="77777777" w:rsidR="00217090" w:rsidRPr="00217090" w:rsidRDefault="00217090" w:rsidP="00217090">
      <w:pPr>
        <w:spacing w:line="360" w:lineRule="auto"/>
        <w:rPr>
          <w:rFonts w:ascii="Arial" w:hAnsi="Arial" w:cs="Arial"/>
          <w:rtl/>
        </w:rPr>
      </w:pPr>
    </w:p>
    <w:p w14:paraId="7E271366" w14:textId="77777777" w:rsidR="00217090" w:rsidRPr="00217090" w:rsidRDefault="00217090" w:rsidP="00217090">
      <w:pPr>
        <w:spacing w:line="360" w:lineRule="auto"/>
        <w:ind w:left="720" w:hanging="720"/>
        <w:jc w:val="both"/>
        <w:rPr>
          <w:rFonts w:ascii="Arial" w:hAnsi="Arial" w:cs="Arial"/>
          <w:rtl/>
        </w:rPr>
      </w:pPr>
      <w:r w:rsidRPr="00217090">
        <w:rPr>
          <w:rFonts w:ascii="Arial" w:hAnsi="Arial" w:cs="Arial"/>
          <w:rtl/>
        </w:rPr>
        <w:t>13.</w:t>
      </w:r>
      <w:r w:rsidRPr="00217090">
        <w:rPr>
          <w:rFonts w:ascii="Arial" w:hAnsi="Arial" w:cs="Arial"/>
          <w:rtl/>
        </w:rPr>
        <w:tab/>
        <w:t>בשים לב לאלו אני משיתה על הנאשם את העונשים הבאים</w:t>
      </w:r>
      <w:r w:rsidRPr="00217090">
        <w:rPr>
          <w:rFonts w:ascii="Arial" w:hAnsi="Arial" w:cs="Arial" w:hint="cs"/>
          <w:rtl/>
        </w:rPr>
        <w:t>, שהינם בתוך מתחם הענישה אך ברף הנמוך</w:t>
      </w:r>
      <w:r w:rsidRPr="00217090">
        <w:rPr>
          <w:rFonts w:ascii="Arial" w:hAnsi="Arial" w:cs="Arial"/>
          <w:rtl/>
        </w:rPr>
        <w:t>:</w:t>
      </w:r>
    </w:p>
    <w:p w14:paraId="3C20370A" w14:textId="77777777" w:rsidR="00217090" w:rsidRPr="00217090" w:rsidRDefault="00217090" w:rsidP="00217090">
      <w:pPr>
        <w:spacing w:line="360" w:lineRule="auto"/>
        <w:rPr>
          <w:rFonts w:ascii="Arial" w:hAnsi="Arial" w:cs="Arial"/>
          <w:rtl/>
        </w:rPr>
      </w:pPr>
    </w:p>
    <w:p w14:paraId="3AEC49FC" w14:textId="77777777" w:rsidR="00217090" w:rsidRPr="00217090" w:rsidRDefault="00217090" w:rsidP="00217090">
      <w:pPr>
        <w:spacing w:line="360" w:lineRule="auto"/>
        <w:ind w:left="1440" w:hanging="720"/>
        <w:jc w:val="both"/>
        <w:rPr>
          <w:rFonts w:ascii="Arial" w:hAnsi="Arial" w:cs="Arial"/>
          <w:rtl/>
        </w:rPr>
      </w:pPr>
      <w:r w:rsidRPr="00217090">
        <w:rPr>
          <w:rFonts w:ascii="Arial" w:hAnsi="Arial" w:cs="Arial"/>
          <w:rtl/>
        </w:rPr>
        <w:t>א.</w:t>
      </w:r>
      <w:r w:rsidRPr="00217090">
        <w:rPr>
          <w:rFonts w:ascii="Arial" w:hAnsi="Arial" w:cs="Arial"/>
          <w:rtl/>
        </w:rPr>
        <w:tab/>
        <w:t>מאסר ש</w:t>
      </w:r>
      <w:r w:rsidRPr="00217090">
        <w:rPr>
          <w:rFonts w:ascii="Arial" w:hAnsi="Arial" w:cs="Arial" w:hint="cs"/>
          <w:rtl/>
        </w:rPr>
        <w:t xml:space="preserve">ל </w:t>
      </w:r>
      <w:r w:rsidRPr="00217090">
        <w:rPr>
          <w:rFonts w:ascii="Arial" w:hAnsi="Arial" w:cs="Arial"/>
          <w:rtl/>
        </w:rPr>
        <w:t xml:space="preserve"> </w:t>
      </w:r>
      <w:r w:rsidRPr="00217090">
        <w:rPr>
          <w:rFonts w:ascii="Arial" w:hAnsi="Arial" w:cs="Arial" w:hint="cs"/>
          <w:rtl/>
        </w:rPr>
        <w:t xml:space="preserve">12 </w:t>
      </w:r>
      <w:r w:rsidRPr="00217090">
        <w:rPr>
          <w:rFonts w:ascii="Arial" w:hAnsi="Arial" w:cs="Arial"/>
          <w:rtl/>
        </w:rPr>
        <w:t>חודשים</w:t>
      </w:r>
      <w:r w:rsidRPr="00217090">
        <w:rPr>
          <w:rFonts w:ascii="Arial" w:hAnsi="Arial" w:cs="Arial" w:hint="cs"/>
          <w:rtl/>
        </w:rPr>
        <w:t xml:space="preserve"> ועוד יום אחד</w:t>
      </w:r>
      <w:r w:rsidRPr="00217090">
        <w:rPr>
          <w:rFonts w:ascii="Arial" w:hAnsi="Arial" w:cs="Arial"/>
          <w:rtl/>
        </w:rPr>
        <w:t xml:space="preserve"> בפועל בגין עבירות הסמים נשוא כתב האישום המתוקן</w:t>
      </w:r>
      <w:r w:rsidRPr="00217090">
        <w:rPr>
          <w:rFonts w:ascii="Arial" w:hAnsi="Arial" w:cs="Arial" w:hint="cs"/>
          <w:rtl/>
        </w:rPr>
        <w:t xml:space="preserve">. יש לנכות מתקופה זו את ימי המעצר שריצה בפועל במסגרת מעצר הימים והמעצר עד תום ההליכים. </w:t>
      </w:r>
    </w:p>
    <w:p w14:paraId="15DF09BD" w14:textId="77777777" w:rsidR="00217090" w:rsidRPr="00217090" w:rsidRDefault="00217090" w:rsidP="00217090">
      <w:pPr>
        <w:spacing w:line="360" w:lineRule="auto"/>
        <w:rPr>
          <w:rFonts w:ascii="Arial" w:hAnsi="Arial" w:cs="Arial"/>
          <w:rtl/>
        </w:rPr>
      </w:pPr>
    </w:p>
    <w:p w14:paraId="28854C30" w14:textId="77777777" w:rsidR="00217090" w:rsidRPr="00217090" w:rsidRDefault="00217090" w:rsidP="00217090">
      <w:pPr>
        <w:spacing w:line="360" w:lineRule="auto"/>
        <w:ind w:left="1440" w:hanging="720"/>
        <w:jc w:val="both"/>
        <w:rPr>
          <w:rFonts w:ascii="Arial" w:hAnsi="Arial" w:cs="Arial"/>
          <w:rtl/>
        </w:rPr>
      </w:pPr>
      <w:r w:rsidRPr="00217090">
        <w:rPr>
          <w:rFonts w:ascii="Arial" w:hAnsi="Arial" w:cs="Arial"/>
          <w:rtl/>
        </w:rPr>
        <w:t xml:space="preserve">ב. </w:t>
      </w:r>
      <w:r w:rsidRPr="00217090">
        <w:rPr>
          <w:rFonts w:ascii="Arial" w:hAnsi="Arial" w:cs="Arial"/>
          <w:rtl/>
        </w:rPr>
        <w:tab/>
        <w:t>מאסר על תנאי לתקופה של 6 חודשים היה ויישוב ויבצע עבירות סמים מכל סוג שהוא במשך 24 חודשים ממועד שחרורו ממאסר.</w:t>
      </w:r>
    </w:p>
    <w:p w14:paraId="1CC88D94" w14:textId="77777777" w:rsidR="00217090" w:rsidRPr="00217090" w:rsidRDefault="00217090" w:rsidP="00217090">
      <w:pPr>
        <w:spacing w:line="360" w:lineRule="auto"/>
        <w:ind w:left="1440" w:hanging="720"/>
        <w:rPr>
          <w:rFonts w:ascii="Arial" w:hAnsi="Arial" w:cs="Arial"/>
          <w:rtl/>
        </w:rPr>
      </w:pPr>
    </w:p>
    <w:p w14:paraId="54EC2CD3" w14:textId="77777777" w:rsidR="00217090" w:rsidRPr="00217090" w:rsidRDefault="00217090" w:rsidP="00217090">
      <w:pPr>
        <w:spacing w:line="360" w:lineRule="auto"/>
        <w:ind w:left="1440" w:hanging="720"/>
        <w:jc w:val="both"/>
        <w:rPr>
          <w:rFonts w:ascii="Arial" w:hAnsi="Arial" w:cs="Arial"/>
          <w:rtl/>
        </w:rPr>
      </w:pPr>
      <w:r w:rsidRPr="00217090">
        <w:rPr>
          <w:rFonts w:ascii="Arial" w:hAnsi="Arial" w:cs="Arial"/>
          <w:rtl/>
        </w:rPr>
        <w:t>ג.</w:t>
      </w:r>
      <w:r w:rsidRPr="00217090">
        <w:rPr>
          <w:rFonts w:ascii="Arial" w:hAnsi="Arial" w:cs="Arial"/>
          <w:rtl/>
        </w:rPr>
        <w:tab/>
        <w:t xml:space="preserve">מאסר על תנאי לתקופה של 2 חודשים היה וישוב ויבצע עבירה של הפרת הוראה חוקית במשך 24 חודשים ממועד שחרורו ממאסר. </w:t>
      </w:r>
    </w:p>
    <w:p w14:paraId="03806E20" w14:textId="77777777" w:rsidR="00217090" w:rsidRPr="00217090" w:rsidRDefault="00217090" w:rsidP="00217090">
      <w:pPr>
        <w:spacing w:line="360" w:lineRule="auto"/>
        <w:ind w:left="1440" w:hanging="720"/>
        <w:rPr>
          <w:rFonts w:ascii="Arial" w:hAnsi="Arial" w:cs="Arial"/>
          <w:rtl/>
        </w:rPr>
      </w:pPr>
    </w:p>
    <w:p w14:paraId="710D826F" w14:textId="77777777" w:rsidR="00217090" w:rsidRPr="00217090" w:rsidRDefault="00217090" w:rsidP="00217090">
      <w:pPr>
        <w:spacing w:line="360" w:lineRule="auto"/>
        <w:ind w:left="1440" w:hanging="720"/>
        <w:rPr>
          <w:rFonts w:ascii="Arial" w:hAnsi="Arial" w:cs="Arial"/>
          <w:rtl/>
        </w:rPr>
      </w:pPr>
      <w:r w:rsidRPr="00217090">
        <w:rPr>
          <w:rFonts w:ascii="Arial" w:hAnsi="Arial" w:cs="Arial"/>
          <w:rtl/>
        </w:rPr>
        <w:t>ד.</w:t>
      </w:r>
      <w:r w:rsidRPr="00217090">
        <w:rPr>
          <w:rFonts w:ascii="Arial" w:hAnsi="Arial" w:cs="Arial"/>
          <w:rtl/>
        </w:rPr>
        <w:tab/>
        <w:t xml:space="preserve">פסילת רישיון בפועל לתקופה של שנה ממועד שחרורו ממאסר. </w:t>
      </w:r>
    </w:p>
    <w:p w14:paraId="2E51E119" w14:textId="77777777" w:rsidR="00217090" w:rsidRPr="00217090" w:rsidRDefault="00217090" w:rsidP="00217090">
      <w:pPr>
        <w:spacing w:line="360" w:lineRule="auto"/>
        <w:ind w:left="1440" w:hanging="720"/>
        <w:rPr>
          <w:rFonts w:ascii="Arial" w:hAnsi="Arial" w:cs="Arial"/>
          <w:rtl/>
        </w:rPr>
      </w:pPr>
    </w:p>
    <w:p w14:paraId="163550D4" w14:textId="77777777" w:rsidR="00217090" w:rsidRPr="00217090" w:rsidRDefault="00217090" w:rsidP="00217090">
      <w:pPr>
        <w:spacing w:line="360" w:lineRule="auto"/>
        <w:jc w:val="both"/>
        <w:rPr>
          <w:rFonts w:ascii="Arial" w:hAnsi="Arial" w:cs="Arial"/>
          <w:rtl/>
        </w:rPr>
      </w:pPr>
      <w:r w:rsidRPr="00217090">
        <w:rPr>
          <w:rFonts w:ascii="Arial" w:hAnsi="Arial" w:cs="Arial"/>
          <w:rtl/>
        </w:rPr>
        <w:t xml:space="preserve">הנאשם יחל בריצוי עונשו לא לפני יום </w:t>
      </w:r>
      <w:r w:rsidRPr="00217090">
        <w:rPr>
          <w:rFonts w:ascii="Arial" w:hAnsi="Arial" w:cs="Arial" w:hint="cs"/>
          <w:rtl/>
        </w:rPr>
        <w:t>15.8</w:t>
      </w:r>
      <w:r w:rsidRPr="00217090">
        <w:rPr>
          <w:rFonts w:ascii="Arial" w:hAnsi="Arial" w:cs="Arial"/>
          <w:rtl/>
        </w:rPr>
        <w:t>.19 . הנאשם יתאם כניסתו למאסר עם ענף אבחון ומיון של שירות בתי הסוהר בטלפונים 08-9787377 או 08-9787336. ככל שלא יקבל הנאשם הנחיה אחרת, עליו להתייצב עד השעה 9:00 במתקן המעצר בבית סוהר ניצן ברמלה, עם תעודה מזהה והעתק גזר הדין.</w:t>
      </w:r>
    </w:p>
    <w:p w14:paraId="166A9934" w14:textId="77777777" w:rsidR="00217090" w:rsidRPr="00217090" w:rsidRDefault="00217090" w:rsidP="00217090">
      <w:pPr>
        <w:spacing w:line="360" w:lineRule="auto"/>
        <w:jc w:val="both"/>
        <w:rPr>
          <w:rFonts w:ascii="Arial" w:hAnsi="Arial" w:cs="Arial"/>
          <w:rtl/>
        </w:rPr>
      </w:pPr>
    </w:p>
    <w:p w14:paraId="12841E9C" w14:textId="77777777" w:rsidR="00217090" w:rsidRPr="00217090" w:rsidRDefault="00521C82" w:rsidP="00217090">
      <w:pPr>
        <w:spacing w:line="360" w:lineRule="auto"/>
        <w:jc w:val="both"/>
        <w:rPr>
          <w:rFonts w:ascii="Arial" w:hAnsi="Arial" w:cs="Arial"/>
          <w:rtl/>
        </w:rPr>
      </w:pPr>
      <w:r w:rsidRPr="00521C82">
        <w:rPr>
          <w:rFonts w:ascii="Arial" w:hAnsi="Arial" w:cs="Arial"/>
          <w:color w:val="FFFFFF"/>
          <w:sz w:val="2"/>
          <w:szCs w:val="2"/>
          <w:rtl/>
        </w:rPr>
        <w:t>5129371</w:t>
      </w:r>
      <w:r w:rsidR="00217090" w:rsidRPr="00217090">
        <w:rPr>
          <w:rFonts w:ascii="Arial" w:hAnsi="Arial" w:cs="Arial" w:hint="cs"/>
          <w:rtl/>
        </w:rPr>
        <w:t xml:space="preserve">מורה על השבת הפקדון לידי המשיב וחילוט הסמים. </w:t>
      </w:r>
    </w:p>
    <w:p w14:paraId="7196FB6B" w14:textId="77777777" w:rsidR="00217090" w:rsidRPr="00521C82" w:rsidRDefault="00521C82" w:rsidP="00217090">
      <w:pPr>
        <w:spacing w:line="360" w:lineRule="auto"/>
        <w:jc w:val="both"/>
        <w:rPr>
          <w:rFonts w:ascii="Arial" w:hAnsi="Arial" w:cs="Arial"/>
          <w:color w:val="FFFFFF"/>
          <w:sz w:val="2"/>
          <w:szCs w:val="2"/>
          <w:rtl/>
        </w:rPr>
      </w:pPr>
      <w:r w:rsidRPr="00521C82">
        <w:rPr>
          <w:rFonts w:ascii="Arial" w:hAnsi="Arial" w:cs="Arial"/>
          <w:color w:val="FFFFFF"/>
          <w:sz w:val="2"/>
          <w:szCs w:val="2"/>
          <w:rtl/>
        </w:rPr>
        <w:t>54678313</w:t>
      </w:r>
    </w:p>
    <w:p w14:paraId="48383347" w14:textId="77777777" w:rsidR="00217090" w:rsidRPr="00217090" w:rsidRDefault="00217090" w:rsidP="00217090">
      <w:pPr>
        <w:spacing w:line="360" w:lineRule="auto"/>
        <w:jc w:val="both"/>
        <w:rPr>
          <w:rFonts w:ascii="Arial" w:hAnsi="Arial" w:cs="Arial"/>
          <w:rtl/>
        </w:rPr>
      </w:pPr>
      <w:r w:rsidRPr="00217090">
        <w:rPr>
          <w:rFonts w:ascii="Arial" w:hAnsi="Arial" w:cs="Arial"/>
          <w:rtl/>
        </w:rPr>
        <w:t>זכות ערעור כחוק.</w:t>
      </w:r>
    </w:p>
    <w:p w14:paraId="2F140AED" w14:textId="77777777" w:rsidR="00217090" w:rsidRPr="00217090" w:rsidRDefault="00521C82" w:rsidP="00217090">
      <w:pPr>
        <w:spacing w:line="360" w:lineRule="auto"/>
        <w:rPr>
          <w:rFonts w:ascii="Arial" w:hAnsi="Arial" w:cs="Arial"/>
          <w:rtl/>
        </w:rPr>
      </w:pPr>
      <w:r>
        <w:rPr>
          <w:rFonts w:ascii="Arial" w:hAnsi="Arial" w:cs="Arial"/>
          <w:rtl/>
        </w:rPr>
        <w:t xml:space="preserve">ניתן היום,  כ"ד ניסן תשע"ט, 29 אפריל 2019, בהעדר הצדדים. </w:t>
      </w:r>
    </w:p>
    <w:p w14:paraId="2EF401A9" w14:textId="77777777" w:rsidR="00521C82" w:rsidRDefault="00521C82" w:rsidP="00521C82">
      <w:pPr>
        <w:rPr>
          <w:rtl/>
        </w:rPr>
      </w:pPr>
    </w:p>
    <w:p w14:paraId="61F088E2" w14:textId="77777777" w:rsidR="00521C82" w:rsidRDefault="00521C82" w:rsidP="00521C82">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3C033CB" w14:textId="77777777" w:rsidR="00E34D92" w:rsidRPr="00E34D92" w:rsidRDefault="00E34D92" w:rsidP="00E34D92">
      <w:pPr>
        <w:keepNext/>
        <w:rPr>
          <w:rFonts w:ascii="David" w:hAnsi="David"/>
          <w:color w:val="000000"/>
          <w:sz w:val="22"/>
          <w:szCs w:val="22"/>
          <w:rtl/>
        </w:rPr>
      </w:pPr>
    </w:p>
    <w:p w14:paraId="5F8FEFF3" w14:textId="77777777" w:rsidR="00E34D92" w:rsidRPr="00E34D92" w:rsidRDefault="00E34D92" w:rsidP="00E34D92">
      <w:pPr>
        <w:keepNext/>
        <w:rPr>
          <w:rFonts w:ascii="David" w:hAnsi="David"/>
          <w:color w:val="000000"/>
          <w:sz w:val="22"/>
          <w:szCs w:val="22"/>
          <w:rtl/>
        </w:rPr>
      </w:pPr>
      <w:r w:rsidRPr="00E34D92">
        <w:rPr>
          <w:rFonts w:ascii="David" w:hAnsi="David"/>
          <w:color w:val="000000"/>
          <w:sz w:val="22"/>
          <w:szCs w:val="22"/>
          <w:rtl/>
        </w:rPr>
        <w:t>דורית פיינשטיין 54678313-/</w:t>
      </w:r>
      <w:r w:rsidR="00EC18E7">
        <w:rPr>
          <w:rFonts w:ascii="David" w:hAnsi="David" w:hint="cs"/>
          <w:color w:val="000000"/>
          <w:sz w:val="22"/>
          <w:szCs w:val="22"/>
          <w:rtl/>
        </w:rPr>
        <w:t xml:space="preserve">           </w:t>
      </w:r>
    </w:p>
    <w:p w14:paraId="2FF52B20" w14:textId="77777777" w:rsidR="00521C82" w:rsidRPr="00521C82" w:rsidRDefault="00E34D92" w:rsidP="00E34D92">
      <w:pPr>
        <w:rPr>
          <w:color w:val="0000FF"/>
          <w:u w:val="single"/>
        </w:rPr>
      </w:pPr>
      <w:r w:rsidRPr="00E34D92">
        <w:rPr>
          <w:color w:val="000000"/>
          <w:u w:val="single"/>
          <w:rtl/>
        </w:rPr>
        <w:t>נוסח מסמך זה כפוף לשינויי ניסוח ועריכה</w:t>
      </w:r>
    </w:p>
    <w:sectPr w:rsidR="00521C82" w:rsidRPr="00521C82" w:rsidSect="00E34D92">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5136A" w14:textId="77777777" w:rsidR="00DA0DA8" w:rsidRDefault="00DA0DA8" w:rsidP="008717F6">
      <w:r>
        <w:separator/>
      </w:r>
    </w:p>
  </w:endnote>
  <w:endnote w:type="continuationSeparator" w:id="0">
    <w:p w14:paraId="77014A4F" w14:textId="77777777" w:rsidR="00DA0DA8" w:rsidRDefault="00DA0DA8" w:rsidP="0087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0F5C6" w14:textId="77777777" w:rsidR="00E34D92" w:rsidRDefault="00E34D92" w:rsidP="00E34D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F179F6" w14:textId="77777777" w:rsidR="000E483A" w:rsidRPr="00E34D92" w:rsidRDefault="00E34D92" w:rsidP="00E34D92">
    <w:pPr>
      <w:pStyle w:val="a5"/>
      <w:pBdr>
        <w:top w:val="single" w:sz="4" w:space="1" w:color="auto"/>
        <w:between w:val="single" w:sz="4" w:space="0" w:color="auto"/>
      </w:pBdr>
      <w:spacing w:after="60"/>
      <w:jc w:val="center"/>
      <w:rPr>
        <w:rFonts w:ascii="FrankRuehl" w:hAnsi="FrankRuehl" w:cs="FrankRuehl"/>
        <w:color w:val="000000"/>
      </w:rPr>
    </w:pPr>
    <w:r w:rsidRPr="00E34D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0FA6A" w14:textId="77777777" w:rsidR="00E34D92" w:rsidRDefault="00E34D92" w:rsidP="00E34D9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7530">
      <w:rPr>
        <w:rFonts w:ascii="FrankRuehl" w:hAnsi="FrankRuehl" w:cs="FrankRuehl"/>
        <w:noProof/>
        <w:rtl/>
      </w:rPr>
      <w:t>1</w:t>
    </w:r>
    <w:r>
      <w:rPr>
        <w:rFonts w:ascii="FrankRuehl" w:hAnsi="FrankRuehl" w:cs="FrankRuehl"/>
        <w:rtl/>
      </w:rPr>
      <w:fldChar w:fldCharType="end"/>
    </w:r>
  </w:p>
  <w:p w14:paraId="7D639DEE" w14:textId="77777777" w:rsidR="000E483A" w:rsidRPr="00E34D92" w:rsidRDefault="00E34D92" w:rsidP="00E34D92">
    <w:pPr>
      <w:pStyle w:val="a5"/>
      <w:pBdr>
        <w:top w:val="single" w:sz="4" w:space="1" w:color="auto"/>
        <w:between w:val="single" w:sz="4" w:space="0" w:color="auto"/>
      </w:pBdr>
      <w:spacing w:after="60"/>
      <w:jc w:val="center"/>
      <w:rPr>
        <w:rFonts w:ascii="FrankRuehl" w:hAnsi="FrankRuehl" w:cs="FrankRuehl"/>
        <w:color w:val="000000"/>
      </w:rPr>
    </w:pPr>
    <w:r w:rsidRPr="00E34D92">
      <w:rPr>
        <w:rFonts w:ascii="FrankRuehl" w:hAnsi="FrankRuehl" w:cs="FrankRuehl"/>
        <w:color w:val="000000"/>
      </w:rPr>
      <w:pict w14:anchorId="3DB6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74A3C" w14:textId="77777777" w:rsidR="00DA0DA8" w:rsidRDefault="00DA0DA8" w:rsidP="008717F6">
      <w:r>
        <w:separator/>
      </w:r>
    </w:p>
  </w:footnote>
  <w:footnote w:type="continuationSeparator" w:id="0">
    <w:p w14:paraId="1039DFB7" w14:textId="77777777" w:rsidR="00DA0DA8" w:rsidRDefault="00DA0DA8" w:rsidP="00871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914DB" w14:textId="77777777" w:rsidR="00521C82" w:rsidRPr="00E34D92" w:rsidRDefault="00E34D92" w:rsidP="00E34D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3302-04-18</w:t>
    </w:r>
    <w:r>
      <w:rPr>
        <w:rFonts w:ascii="David" w:hAnsi="David"/>
        <w:color w:val="000000"/>
        <w:sz w:val="22"/>
        <w:szCs w:val="22"/>
        <w:rtl/>
      </w:rPr>
      <w:tab/>
      <w:t xml:space="preserve"> מדינת ישראל נ' צפריר סופיר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4C552" w14:textId="77777777" w:rsidR="00521C82" w:rsidRPr="00E34D92" w:rsidRDefault="00E34D92" w:rsidP="00E34D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3302-04-18</w:t>
    </w:r>
    <w:r>
      <w:rPr>
        <w:rFonts w:ascii="David" w:hAnsi="David"/>
        <w:color w:val="000000"/>
        <w:sz w:val="22"/>
        <w:szCs w:val="22"/>
        <w:rtl/>
      </w:rPr>
      <w:tab/>
      <w:t xml:space="preserve"> מדינת ישראל נ' צפריר סופיר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7090"/>
    <w:rsid w:val="000E483A"/>
    <w:rsid w:val="00217090"/>
    <w:rsid w:val="00381020"/>
    <w:rsid w:val="00521C82"/>
    <w:rsid w:val="0053483D"/>
    <w:rsid w:val="00747ADC"/>
    <w:rsid w:val="008717F6"/>
    <w:rsid w:val="009C69EE"/>
    <w:rsid w:val="00CB595D"/>
    <w:rsid w:val="00CF7530"/>
    <w:rsid w:val="00D13577"/>
    <w:rsid w:val="00DA0DA8"/>
    <w:rsid w:val="00E34D92"/>
    <w:rsid w:val="00EC18E7"/>
    <w:rsid w:val="00F06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83803C"/>
  <w15:chartTrackingRefBased/>
  <w15:docId w15:val="{4FCD7072-B1CA-4F34-94C0-D093C153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70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7090"/>
    <w:pPr>
      <w:tabs>
        <w:tab w:val="center" w:pos="4153"/>
        <w:tab w:val="right" w:pos="8306"/>
      </w:tabs>
    </w:pPr>
  </w:style>
  <w:style w:type="character" w:customStyle="1" w:styleId="a4">
    <w:name w:val="כותרת עליונה תו"/>
    <w:link w:val="a3"/>
    <w:rsid w:val="00217090"/>
    <w:rPr>
      <w:rFonts w:ascii="Times New Roman" w:eastAsia="Times New Roman" w:hAnsi="Times New Roman" w:cs="David"/>
      <w:sz w:val="24"/>
      <w:szCs w:val="24"/>
    </w:rPr>
  </w:style>
  <w:style w:type="paragraph" w:styleId="a5">
    <w:name w:val="footer"/>
    <w:basedOn w:val="a"/>
    <w:link w:val="a6"/>
    <w:rsid w:val="00217090"/>
    <w:pPr>
      <w:tabs>
        <w:tab w:val="center" w:pos="4153"/>
        <w:tab w:val="right" w:pos="8306"/>
      </w:tabs>
    </w:pPr>
  </w:style>
  <w:style w:type="character" w:customStyle="1" w:styleId="a6">
    <w:name w:val="כותרת תחתונה תו"/>
    <w:link w:val="a5"/>
    <w:rsid w:val="00217090"/>
    <w:rPr>
      <w:rFonts w:ascii="Times New Roman" w:eastAsia="Times New Roman" w:hAnsi="Times New Roman" w:cs="David"/>
      <w:sz w:val="24"/>
      <w:szCs w:val="24"/>
    </w:rPr>
  </w:style>
  <w:style w:type="table" w:styleId="a7">
    <w:name w:val="Table Grid"/>
    <w:basedOn w:val="a1"/>
    <w:rsid w:val="002170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7090"/>
  </w:style>
  <w:style w:type="character" w:styleId="Hyperlink">
    <w:name w:val="Hyperlink"/>
    <w:rsid w:val="00521C8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20902194" TargetMode="External"/><Relationship Id="rId18" Type="http://schemas.openxmlformats.org/officeDocument/2006/relationships/hyperlink" Target="http://www.nevo.co.il/case/22961877"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case/5599404" TargetMode="External"/><Relationship Id="rId17" Type="http://schemas.openxmlformats.org/officeDocument/2006/relationships/hyperlink" Target="http://www.nevo.co.il/case/2221795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1827077"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12059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1694329" TargetMode="External"/><Relationship Id="rId23"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case/24345650" TargetMode="Externa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yperlink" Target="http://www.nevo.co.il/case/2127485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6801</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8145</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3211378</vt:i4>
      </vt:variant>
      <vt:variant>
        <vt:i4>39</vt:i4>
      </vt:variant>
      <vt:variant>
        <vt:i4>0</vt:i4>
      </vt:variant>
      <vt:variant>
        <vt:i4>5</vt:i4>
      </vt:variant>
      <vt:variant>
        <vt:lpwstr>http://www.nevo.co.il/case/24345650</vt:lpwstr>
      </vt:variant>
      <vt:variant>
        <vt:lpwstr/>
      </vt:variant>
      <vt:variant>
        <vt:i4>3997816</vt:i4>
      </vt:variant>
      <vt:variant>
        <vt:i4>36</vt:i4>
      </vt:variant>
      <vt:variant>
        <vt:i4>0</vt:i4>
      </vt:variant>
      <vt:variant>
        <vt:i4>5</vt:i4>
      </vt:variant>
      <vt:variant>
        <vt:lpwstr>http://www.nevo.co.il/case/22961877</vt:lpwstr>
      </vt:variant>
      <vt:variant>
        <vt:lpwstr/>
      </vt:variant>
      <vt:variant>
        <vt:i4>3276926</vt:i4>
      </vt:variant>
      <vt:variant>
        <vt:i4>33</vt:i4>
      </vt:variant>
      <vt:variant>
        <vt:i4>0</vt:i4>
      </vt:variant>
      <vt:variant>
        <vt:i4>5</vt:i4>
      </vt:variant>
      <vt:variant>
        <vt:lpwstr>http://www.nevo.co.il/case/22217955</vt:lpwstr>
      </vt:variant>
      <vt:variant>
        <vt:lpwstr/>
      </vt:variant>
      <vt:variant>
        <vt:i4>3801207</vt:i4>
      </vt:variant>
      <vt:variant>
        <vt:i4>30</vt:i4>
      </vt:variant>
      <vt:variant>
        <vt:i4>0</vt:i4>
      </vt:variant>
      <vt:variant>
        <vt:i4>5</vt:i4>
      </vt:variant>
      <vt:variant>
        <vt:lpwstr>http://www.nevo.co.il/case/21827077</vt:lpwstr>
      </vt:variant>
      <vt:variant>
        <vt:lpwstr/>
      </vt:variant>
      <vt:variant>
        <vt:i4>3276927</vt:i4>
      </vt:variant>
      <vt:variant>
        <vt:i4>27</vt:i4>
      </vt:variant>
      <vt:variant>
        <vt:i4>0</vt:i4>
      </vt:variant>
      <vt:variant>
        <vt:i4>5</vt:i4>
      </vt:variant>
      <vt:variant>
        <vt:lpwstr>http://www.nevo.co.il/case/21694329</vt:lpwstr>
      </vt:variant>
      <vt:variant>
        <vt:lpwstr/>
      </vt:variant>
      <vt:variant>
        <vt:i4>3211386</vt:i4>
      </vt:variant>
      <vt:variant>
        <vt:i4>24</vt:i4>
      </vt:variant>
      <vt:variant>
        <vt:i4>0</vt:i4>
      </vt:variant>
      <vt:variant>
        <vt:i4>5</vt:i4>
      </vt:variant>
      <vt:variant>
        <vt:lpwstr>http://www.nevo.co.il/case/21274851</vt:lpwstr>
      </vt:variant>
      <vt:variant>
        <vt:lpwstr/>
      </vt:variant>
      <vt:variant>
        <vt:i4>3145845</vt:i4>
      </vt:variant>
      <vt:variant>
        <vt:i4>21</vt:i4>
      </vt:variant>
      <vt:variant>
        <vt:i4>0</vt:i4>
      </vt:variant>
      <vt:variant>
        <vt:i4>5</vt:i4>
      </vt:variant>
      <vt:variant>
        <vt:lpwstr>http://www.nevo.co.il/case/20902194</vt:lpwstr>
      </vt:variant>
      <vt:variant>
        <vt:lpwstr/>
      </vt:variant>
      <vt:variant>
        <vt:i4>3932280</vt:i4>
      </vt:variant>
      <vt:variant>
        <vt:i4>18</vt:i4>
      </vt:variant>
      <vt:variant>
        <vt:i4>0</vt:i4>
      </vt:variant>
      <vt:variant>
        <vt:i4>5</vt:i4>
      </vt:variant>
      <vt:variant>
        <vt:lpwstr>http://www.nevo.co.il/case/5599404</vt:lpwstr>
      </vt:variant>
      <vt:variant>
        <vt:lpwstr/>
      </vt:variant>
      <vt:variant>
        <vt:i4>3145852</vt:i4>
      </vt:variant>
      <vt:variant>
        <vt:i4>15</vt:i4>
      </vt:variant>
      <vt:variant>
        <vt:i4>0</vt:i4>
      </vt:variant>
      <vt:variant>
        <vt:i4>5</vt:i4>
      </vt:variant>
      <vt:variant>
        <vt:lpwstr>http://www.nevo.co.il/case/6120591</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3302</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צפריר סופיר </vt:lpwstr>
  </property>
  <property fmtid="{D5CDD505-2E9C-101B-9397-08002B2CF9AE}" pid="10" name="JUDGE">
    <vt:lpwstr>דורית פיינשטיין</vt:lpwstr>
  </property>
  <property fmtid="{D5CDD505-2E9C-101B-9397-08002B2CF9AE}" pid="11" name="CITY">
    <vt:lpwstr>בי"ש</vt:lpwstr>
  </property>
  <property fmtid="{D5CDD505-2E9C-101B-9397-08002B2CF9AE}" pid="12" name="DATE">
    <vt:lpwstr>20190429</vt:lpwstr>
  </property>
  <property fmtid="{D5CDD505-2E9C-101B-9397-08002B2CF9AE}" pid="13" name="TYPE_N_DATE">
    <vt:lpwstr>38020190429</vt:lpwstr>
  </property>
  <property fmtid="{D5CDD505-2E9C-101B-9397-08002B2CF9AE}" pid="14" name="WORDNUMPAGES">
    <vt:lpwstr>6</vt:lpwstr>
  </property>
  <property fmtid="{D5CDD505-2E9C-101B-9397-08002B2CF9AE}" pid="15" name="TYPE_ABS_DATE">
    <vt:lpwstr>380020190429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6120591;5599404;20902194;21274851;21694329;21827077;22217955;22961877;24345650</vt:lpwstr>
  </property>
  <property fmtid="{D5CDD505-2E9C-101B-9397-08002B2CF9AE}" pid="36" name="LAWLISTTMP1">
    <vt:lpwstr>4216/007.a;007.c</vt:lpwstr>
  </property>
</Properties>
</file>