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8716B" w:rsidRPr="005C5A9F" w14:paraId="6B81378F" w14:textId="77777777" w:rsidTr="00A25CCA">
        <w:trPr>
          <w:trHeight w:hRule="exact" w:val="418"/>
          <w:jc w:val="center"/>
        </w:trPr>
        <w:tc>
          <w:tcPr>
            <w:tcW w:w="8721" w:type="dxa"/>
            <w:gridSpan w:val="2"/>
          </w:tcPr>
          <w:p w14:paraId="031F86C0" w14:textId="77777777" w:rsidR="0008716B" w:rsidRPr="005C5A9F" w:rsidRDefault="0008716B" w:rsidP="000034AF">
            <w:pPr>
              <w:pStyle w:val="a3"/>
              <w:jc w:val="center"/>
              <w:rPr>
                <w:rFonts w:ascii="Tahoma" w:hAnsi="Tahoma" w:cs="Tahoma"/>
                <w:color w:val="000080"/>
                <w:rtl/>
              </w:rPr>
            </w:pPr>
            <w:bookmarkStart w:id="0" w:name="LastJudge"/>
            <w:r w:rsidRPr="005C5A9F">
              <w:rPr>
                <w:rFonts w:ascii="Tahoma" w:hAnsi="Tahoma" w:cs="Tahoma"/>
                <w:b/>
                <w:bCs/>
                <w:color w:val="000080"/>
                <w:rtl/>
              </w:rPr>
              <w:t>בית משפט השלום בקריות</w:t>
            </w:r>
          </w:p>
        </w:tc>
      </w:tr>
      <w:tr w:rsidR="0008716B" w:rsidRPr="005C5A9F" w14:paraId="217C77D1" w14:textId="77777777" w:rsidTr="00A25CCA">
        <w:trPr>
          <w:trHeight w:val="337"/>
          <w:jc w:val="center"/>
        </w:trPr>
        <w:tc>
          <w:tcPr>
            <w:tcW w:w="5054" w:type="dxa"/>
          </w:tcPr>
          <w:p w14:paraId="573D518D" w14:textId="77777777" w:rsidR="0008716B" w:rsidRPr="005C5A9F" w:rsidRDefault="0008716B" w:rsidP="000034AF">
            <w:pPr>
              <w:rPr>
                <w:rFonts w:cs="FrankRuehl"/>
                <w:sz w:val="28"/>
                <w:szCs w:val="28"/>
                <w:rtl/>
              </w:rPr>
            </w:pPr>
            <w:r w:rsidRPr="005C5A9F">
              <w:rPr>
                <w:rFonts w:cs="FrankRuehl"/>
                <w:sz w:val="28"/>
                <w:szCs w:val="28"/>
                <w:rtl/>
              </w:rPr>
              <w:t>ת"פ</w:t>
            </w:r>
            <w:r w:rsidRPr="005C5A9F">
              <w:rPr>
                <w:rFonts w:cs="FrankRuehl" w:hint="cs"/>
                <w:sz w:val="28"/>
                <w:szCs w:val="28"/>
                <w:rtl/>
              </w:rPr>
              <w:t xml:space="preserve"> </w:t>
            </w:r>
            <w:r w:rsidRPr="005C5A9F">
              <w:rPr>
                <w:rFonts w:cs="FrankRuehl"/>
                <w:sz w:val="28"/>
                <w:szCs w:val="28"/>
                <w:rtl/>
              </w:rPr>
              <w:t>33839-04-18</w:t>
            </w:r>
            <w:r w:rsidRPr="005C5A9F">
              <w:rPr>
                <w:rFonts w:cs="FrankRuehl" w:hint="cs"/>
                <w:sz w:val="28"/>
                <w:szCs w:val="28"/>
                <w:rtl/>
              </w:rPr>
              <w:t xml:space="preserve"> </w:t>
            </w:r>
            <w:r w:rsidRPr="005C5A9F">
              <w:rPr>
                <w:rFonts w:cs="FrankRuehl"/>
                <w:sz w:val="28"/>
                <w:szCs w:val="28"/>
                <w:rtl/>
              </w:rPr>
              <w:t>מדינת ישראל נ' מנשרוב</w:t>
            </w:r>
          </w:p>
          <w:p w14:paraId="666E6EA7" w14:textId="77777777" w:rsidR="0008716B" w:rsidRPr="005C5A9F" w:rsidRDefault="0008716B" w:rsidP="000034AF">
            <w:pPr>
              <w:pStyle w:val="a3"/>
              <w:rPr>
                <w:rFonts w:cs="FrankRuehl"/>
                <w:sz w:val="28"/>
                <w:szCs w:val="28"/>
                <w:rtl/>
              </w:rPr>
            </w:pPr>
          </w:p>
        </w:tc>
        <w:tc>
          <w:tcPr>
            <w:tcW w:w="3667" w:type="dxa"/>
          </w:tcPr>
          <w:p w14:paraId="3597F41B" w14:textId="77777777" w:rsidR="0008716B" w:rsidRPr="005C5A9F" w:rsidRDefault="0008716B" w:rsidP="000034AF">
            <w:pPr>
              <w:pStyle w:val="a3"/>
              <w:jc w:val="right"/>
              <w:rPr>
                <w:rFonts w:cs="FrankRuehl"/>
                <w:sz w:val="28"/>
                <w:szCs w:val="28"/>
                <w:rtl/>
              </w:rPr>
            </w:pPr>
          </w:p>
        </w:tc>
      </w:tr>
    </w:tbl>
    <w:p w14:paraId="3F0D55C2" w14:textId="77777777" w:rsidR="0008716B" w:rsidRPr="005C5A9F" w:rsidRDefault="0008716B" w:rsidP="0008716B">
      <w:pPr>
        <w:pStyle w:val="a3"/>
        <w:rPr>
          <w:rtl/>
        </w:rPr>
      </w:pPr>
      <w:r w:rsidRPr="005C5A9F">
        <w:rPr>
          <w:rFonts w:hint="cs"/>
          <w:rtl/>
        </w:rPr>
        <w:t xml:space="preserve"> </w:t>
      </w:r>
    </w:p>
    <w:p w14:paraId="7D9FBC3A" w14:textId="77777777" w:rsidR="0008716B" w:rsidRPr="005C5A9F" w:rsidRDefault="0008716B" w:rsidP="0008716B">
      <w:pPr>
        <w:rPr>
          <w:rFonts w:ascii="David" w:hAnsi="David"/>
          <w:b/>
          <w:bCs/>
          <w:rtl/>
        </w:rPr>
      </w:pPr>
    </w:p>
    <w:p w14:paraId="74050B95" w14:textId="77777777" w:rsidR="0008716B" w:rsidRPr="005C5A9F" w:rsidRDefault="0008716B" w:rsidP="0008716B">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8716B" w:rsidRPr="005C5A9F" w14:paraId="721F8D17" w14:textId="77777777" w:rsidTr="0008716B">
        <w:trPr>
          <w:trHeight w:val="295"/>
          <w:jc w:val="center"/>
        </w:trPr>
        <w:tc>
          <w:tcPr>
            <w:tcW w:w="923" w:type="dxa"/>
            <w:tcBorders>
              <w:top w:val="nil"/>
              <w:left w:val="nil"/>
              <w:bottom w:val="nil"/>
              <w:right w:val="nil"/>
            </w:tcBorders>
            <w:shd w:val="clear" w:color="auto" w:fill="auto"/>
          </w:tcPr>
          <w:p w14:paraId="009A3F8E" w14:textId="77777777" w:rsidR="0008716B" w:rsidRPr="005C5A9F" w:rsidRDefault="0008716B" w:rsidP="0008716B">
            <w:pPr>
              <w:jc w:val="both"/>
              <w:rPr>
                <w:rFonts w:ascii="David" w:hAnsi="David"/>
                <w:b/>
                <w:bCs/>
              </w:rPr>
            </w:pPr>
            <w:r w:rsidRPr="005C5A9F">
              <w:rPr>
                <w:rFonts w:ascii="David" w:hAnsi="David"/>
                <w:b/>
                <w:bCs/>
                <w:rtl/>
              </w:rPr>
              <w:t xml:space="preserve">בפני </w:t>
            </w:r>
          </w:p>
        </w:tc>
        <w:tc>
          <w:tcPr>
            <w:tcW w:w="7897" w:type="dxa"/>
            <w:gridSpan w:val="2"/>
            <w:tcBorders>
              <w:top w:val="nil"/>
              <w:left w:val="nil"/>
              <w:bottom w:val="nil"/>
              <w:right w:val="nil"/>
            </w:tcBorders>
            <w:shd w:val="clear" w:color="auto" w:fill="auto"/>
          </w:tcPr>
          <w:p w14:paraId="3884D7C5" w14:textId="77777777" w:rsidR="0008716B" w:rsidRPr="005C5A9F" w:rsidRDefault="0008716B" w:rsidP="000034AF">
            <w:pPr>
              <w:rPr>
                <w:rFonts w:ascii="David" w:hAnsi="David"/>
                <w:b/>
                <w:bCs/>
                <w:rtl/>
              </w:rPr>
            </w:pPr>
            <w:r w:rsidRPr="005C5A9F">
              <w:rPr>
                <w:rFonts w:ascii="David" w:hAnsi="David"/>
                <w:b/>
                <w:bCs/>
                <w:rtl/>
              </w:rPr>
              <w:t>כבוד השופט  יוסי טורס</w:t>
            </w:r>
          </w:p>
          <w:p w14:paraId="5B566859" w14:textId="77777777" w:rsidR="0008716B" w:rsidRPr="005C5A9F" w:rsidRDefault="0008716B" w:rsidP="000034AF">
            <w:pPr>
              <w:rPr>
                <w:rFonts w:ascii="David" w:hAnsi="David"/>
                <w:b/>
                <w:bCs/>
                <w:rtl/>
              </w:rPr>
            </w:pPr>
          </w:p>
          <w:p w14:paraId="1CEE0416" w14:textId="77777777" w:rsidR="0008716B" w:rsidRPr="005C5A9F" w:rsidRDefault="0008716B" w:rsidP="0008716B">
            <w:pPr>
              <w:jc w:val="both"/>
              <w:rPr>
                <w:rFonts w:ascii="David" w:hAnsi="David"/>
                <w:b/>
                <w:bCs/>
              </w:rPr>
            </w:pPr>
          </w:p>
        </w:tc>
      </w:tr>
      <w:tr w:rsidR="0008716B" w:rsidRPr="005C5A9F" w14:paraId="39569404" w14:textId="77777777" w:rsidTr="0008716B">
        <w:trPr>
          <w:trHeight w:val="355"/>
          <w:jc w:val="center"/>
        </w:trPr>
        <w:tc>
          <w:tcPr>
            <w:tcW w:w="923" w:type="dxa"/>
            <w:tcBorders>
              <w:top w:val="nil"/>
              <w:left w:val="nil"/>
              <w:bottom w:val="nil"/>
              <w:right w:val="nil"/>
            </w:tcBorders>
            <w:shd w:val="clear" w:color="auto" w:fill="auto"/>
          </w:tcPr>
          <w:p w14:paraId="3F74A809" w14:textId="77777777" w:rsidR="0008716B" w:rsidRPr="005C5A9F" w:rsidRDefault="0008716B" w:rsidP="0008716B">
            <w:pPr>
              <w:jc w:val="both"/>
              <w:rPr>
                <w:rFonts w:ascii="David" w:hAnsi="David"/>
                <w:b/>
                <w:bCs/>
              </w:rPr>
            </w:pPr>
            <w:bookmarkStart w:id="1" w:name="FirstAppellant"/>
            <w:r w:rsidRPr="005C5A9F">
              <w:rPr>
                <w:rFonts w:ascii="David" w:hAnsi="David"/>
                <w:b/>
                <w:bCs/>
                <w:rtl/>
              </w:rPr>
              <w:t>בעניין:</w:t>
            </w:r>
          </w:p>
        </w:tc>
        <w:tc>
          <w:tcPr>
            <w:tcW w:w="4126" w:type="dxa"/>
            <w:tcBorders>
              <w:top w:val="nil"/>
              <w:left w:val="nil"/>
              <w:bottom w:val="nil"/>
              <w:right w:val="nil"/>
            </w:tcBorders>
            <w:shd w:val="clear" w:color="auto" w:fill="auto"/>
          </w:tcPr>
          <w:p w14:paraId="795F44B2" w14:textId="77777777" w:rsidR="0008716B" w:rsidRPr="005C5A9F" w:rsidRDefault="0008716B" w:rsidP="000034AF">
            <w:pPr>
              <w:rPr>
                <w:rFonts w:ascii="David" w:hAnsi="David"/>
                <w:b/>
                <w:bCs/>
              </w:rPr>
            </w:pPr>
            <w:r w:rsidRPr="005C5A9F">
              <w:rPr>
                <w:rFonts w:ascii="David" w:hAnsi="David"/>
                <w:b/>
                <w:bCs/>
                <w:rtl/>
              </w:rPr>
              <w:t>מדינת ישראל</w:t>
            </w:r>
          </w:p>
        </w:tc>
        <w:tc>
          <w:tcPr>
            <w:tcW w:w="3771" w:type="dxa"/>
            <w:tcBorders>
              <w:top w:val="nil"/>
              <w:left w:val="nil"/>
              <w:bottom w:val="nil"/>
              <w:right w:val="nil"/>
            </w:tcBorders>
            <w:shd w:val="clear" w:color="auto" w:fill="auto"/>
          </w:tcPr>
          <w:p w14:paraId="56DB624A" w14:textId="77777777" w:rsidR="0008716B" w:rsidRPr="005C5A9F" w:rsidRDefault="0008716B" w:rsidP="0008716B">
            <w:pPr>
              <w:jc w:val="both"/>
              <w:rPr>
                <w:rFonts w:ascii="David" w:hAnsi="David"/>
                <w:b/>
                <w:bCs/>
              </w:rPr>
            </w:pPr>
          </w:p>
        </w:tc>
      </w:tr>
      <w:bookmarkEnd w:id="1"/>
      <w:tr w:rsidR="0008716B" w:rsidRPr="005C5A9F" w14:paraId="0354507E" w14:textId="77777777" w:rsidTr="0008716B">
        <w:trPr>
          <w:trHeight w:val="355"/>
          <w:jc w:val="center"/>
        </w:trPr>
        <w:tc>
          <w:tcPr>
            <w:tcW w:w="923" w:type="dxa"/>
            <w:tcBorders>
              <w:top w:val="nil"/>
              <w:left w:val="nil"/>
              <w:bottom w:val="nil"/>
              <w:right w:val="nil"/>
            </w:tcBorders>
            <w:shd w:val="clear" w:color="auto" w:fill="auto"/>
          </w:tcPr>
          <w:p w14:paraId="49791CD8" w14:textId="77777777" w:rsidR="0008716B" w:rsidRPr="005C5A9F" w:rsidRDefault="0008716B" w:rsidP="0008716B">
            <w:pPr>
              <w:jc w:val="both"/>
              <w:rPr>
                <w:rFonts w:ascii="David" w:hAnsi="David"/>
                <w:b/>
                <w:bCs/>
                <w:rtl/>
              </w:rPr>
            </w:pPr>
          </w:p>
        </w:tc>
        <w:tc>
          <w:tcPr>
            <w:tcW w:w="4126" w:type="dxa"/>
            <w:tcBorders>
              <w:top w:val="nil"/>
              <w:left w:val="nil"/>
              <w:bottom w:val="nil"/>
              <w:right w:val="nil"/>
            </w:tcBorders>
            <w:shd w:val="clear" w:color="auto" w:fill="auto"/>
          </w:tcPr>
          <w:p w14:paraId="46545792" w14:textId="77777777" w:rsidR="0008716B" w:rsidRPr="005C5A9F" w:rsidRDefault="0008716B" w:rsidP="0008716B">
            <w:pPr>
              <w:jc w:val="both"/>
              <w:rPr>
                <w:rFonts w:ascii="David" w:hAnsi="David"/>
                <w:b/>
                <w:bCs/>
                <w:rtl/>
              </w:rPr>
            </w:pPr>
          </w:p>
        </w:tc>
        <w:tc>
          <w:tcPr>
            <w:tcW w:w="3771" w:type="dxa"/>
            <w:tcBorders>
              <w:top w:val="nil"/>
              <w:left w:val="nil"/>
              <w:bottom w:val="nil"/>
              <w:right w:val="nil"/>
            </w:tcBorders>
            <w:shd w:val="clear" w:color="auto" w:fill="auto"/>
          </w:tcPr>
          <w:p w14:paraId="2CB0525C" w14:textId="77777777" w:rsidR="0008716B" w:rsidRPr="005C5A9F" w:rsidRDefault="0008716B" w:rsidP="0008716B">
            <w:pPr>
              <w:jc w:val="right"/>
              <w:rPr>
                <w:rFonts w:ascii="David" w:hAnsi="David"/>
                <w:b/>
                <w:bCs/>
                <w:rtl/>
              </w:rPr>
            </w:pPr>
            <w:r w:rsidRPr="005C5A9F">
              <w:rPr>
                <w:rFonts w:ascii="David" w:hAnsi="David"/>
                <w:b/>
                <w:bCs/>
                <w:rtl/>
              </w:rPr>
              <w:t>המאשימה</w:t>
            </w:r>
          </w:p>
        </w:tc>
      </w:tr>
      <w:tr w:rsidR="0008716B" w:rsidRPr="005C5A9F" w14:paraId="5E58F064" w14:textId="77777777" w:rsidTr="0008716B">
        <w:trPr>
          <w:trHeight w:val="355"/>
          <w:jc w:val="center"/>
        </w:trPr>
        <w:tc>
          <w:tcPr>
            <w:tcW w:w="923" w:type="dxa"/>
            <w:tcBorders>
              <w:top w:val="nil"/>
              <w:left w:val="nil"/>
              <w:bottom w:val="nil"/>
              <w:right w:val="nil"/>
            </w:tcBorders>
            <w:shd w:val="clear" w:color="auto" w:fill="auto"/>
          </w:tcPr>
          <w:p w14:paraId="54A0A6AC" w14:textId="77777777" w:rsidR="0008716B" w:rsidRPr="005C5A9F" w:rsidRDefault="0008716B" w:rsidP="0008716B">
            <w:pPr>
              <w:jc w:val="both"/>
              <w:rPr>
                <w:rFonts w:ascii="David" w:hAnsi="David"/>
                <w:b/>
                <w:bCs/>
                <w:rtl/>
              </w:rPr>
            </w:pPr>
          </w:p>
        </w:tc>
        <w:tc>
          <w:tcPr>
            <w:tcW w:w="7897" w:type="dxa"/>
            <w:gridSpan w:val="2"/>
            <w:tcBorders>
              <w:top w:val="nil"/>
              <w:left w:val="nil"/>
              <w:bottom w:val="nil"/>
              <w:right w:val="nil"/>
            </w:tcBorders>
            <w:shd w:val="clear" w:color="auto" w:fill="auto"/>
          </w:tcPr>
          <w:p w14:paraId="3226F778" w14:textId="77777777" w:rsidR="0008716B" w:rsidRPr="005C5A9F" w:rsidRDefault="0008716B" w:rsidP="0008716B">
            <w:pPr>
              <w:jc w:val="center"/>
              <w:rPr>
                <w:rFonts w:ascii="David" w:hAnsi="David"/>
                <w:b/>
                <w:bCs/>
                <w:rtl/>
              </w:rPr>
            </w:pPr>
          </w:p>
          <w:p w14:paraId="1BF07F0D" w14:textId="77777777" w:rsidR="0008716B" w:rsidRPr="005C5A9F" w:rsidRDefault="0008716B" w:rsidP="0008716B">
            <w:pPr>
              <w:jc w:val="center"/>
              <w:rPr>
                <w:rFonts w:ascii="David" w:hAnsi="David"/>
                <w:b/>
                <w:bCs/>
                <w:rtl/>
              </w:rPr>
            </w:pPr>
            <w:r w:rsidRPr="005C5A9F">
              <w:rPr>
                <w:rFonts w:ascii="David" w:hAnsi="David"/>
                <w:b/>
                <w:bCs/>
                <w:rtl/>
              </w:rPr>
              <w:t>נגד</w:t>
            </w:r>
          </w:p>
          <w:p w14:paraId="7446E1FF" w14:textId="77777777" w:rsidR="0008716B" w:rsidRPr="005C5A9F" w:rsidRDefault="0008716B" w:rsidP="0008716B">
            <w:pPr>
              <w:jc w:val="both"/>
              <w:rPr>
                <w:rFonts w:ascii="David" w:hAnsi="David"/>
                <w:b/>
                <w:bCs/>
              </w:rPr>
            </w:pPr>
          </w:p>
        </w:tc>
      </w:tr>
      <w:tr w:rsidR="0008716B" w:rsidRPr="005C5A9F" w14:paraId="51D47F74" w14:textId="77777777" w:rsidTr="0008716B">
        <w:trPr>
          <w:trHeight w:val="355"/>
          <w:jc w:val="center"/>
        </w:trPr>
        <w:tc>
          <w:tcPr>
            <w:tcW w:w="923" w:type="dxa"/>
            <w:tcBorders>
              <w:top w:val="nil"/>
              <w:left w:val="nil"/>
              <w:bottom w:val="nil"/>
              <w:right w:val="nil"/>
            </w:tcBorders>
            <w:shd w:val="clear" w:color="auto" w:fill="auto"/>
          </w:tcPr>
          <w:p w14:paraId="150B16CE" w14:textId="77777777" w:rsidR="0008716B" w:rsidRPr="005C5A9F" w:rsidRDefault="0008716B" w:rsidP="000034AF">
            <w:pPr>
              <w:rPr>
                <w:rFonts w:ascii="David" w:hAnsi="David"/>
                <w:b/>
                <w:bCs/>
                <w:rtl/>
              </w:rPr>
            </w:pPr>
          </w:p>
        </w:tc>
        <w:tc>
          <w:tcPr>
            <w:tcW w:w="4126" w:type="dxa"/>
            <w:tcBorders>
              <w:top w:val="nil"/>
              <w:left w:val="nil"/>
              <w:bottom w:val="nil"/>
              <w:right w:val="nil"/>
            </w:tcBorders>
            <w:shd w:val="clear" w:color="auto" w:fill="auto"/>
          </w:tcPr>
          <w:p w14:paraId="65769495" w14:textId="77777777" w:rsidR="0008716B" w:rsidRPr="005C5A9F" w:rsidRDefault="0008716B" w:rsidP="000034AF">
            <w:pPr>
              <w:rPr>
                <w:rFonts w:ascii="David" w:hAnsi="David"/>
                <w:b/>
                <w:bCs/>
                <w:rtl/>
              </w:rPr>
            </w:pPr>
            <w:r w:rsidRPr="005C5A9F">
              <w:rPr>
                <w:rFonts w:ascii="David" w:hAnsi="David"/>
                <w:b/>
                <w:bCs/>
                <w:rtl/>
              </w:rPr>
              <w:t>מיכאל מנשרוב</w:t>
            </w:r>
          </w:p>
        </w:tc>
        <w:tc>
          <w:tcPr>
            <w:tcW w:w="3771" w:type="dxa"/>
            <w:tcBorders>
              <w:top w:val="nil"/>
              <w:left w:val="nil"/>
              <w:bottom w:val="nil"/>
              <w:right w:val="nil"/>
            </w:tcBorders>
            <w:shd w:val="clear" w:color="auto" w:fill="auto"/>
          </w:tcPr>
          <w:p w14:paraId="112EF75E" w14:textId="77777777" w:rsidR="0008716B" w:rsidRPr="005C5A9F" w:rsidRDefault="0008716B" w:rsidP="0008716B">
            <w:pPr>
              <w:jc w:val="right"/>
              <w:rPr>
                <w:rFonts w:ascii="David" w:hAnsi="David"/>
                <w:b/>
                <w:bCs/>
              </w:rPr>
            </w:pPr>
          </w:p>
        </w:tc>
      </w:tr>
      <w:tr w:rsidR="0008716B" w:rsidRPr="005C5A9F" w14:paraId="0AD6E8DE" w14:textId="77777777" w:rsidTr="0008716B">
        <w:trPr>
          <w:trHeight w:val="355"/>
          <w:jc w:val="center"/>
        </w:trPr>
        <w:tc>
          <w:tcPr>
            <w:tcW w:w="923" w:type="dxa"/>
            <w:tcBorders>
              <w:top w:val="nil"/>
              <w:left w:val="nil"/>
              <w:bottom w:val="nil"/>
              <w:right w:val="nil"/>
            </w:tcBorders>
            <w:shd w:val="clear" w:color="auto" w:fill="auto"/>
          </w:tcPr>
          <w:p w14:paraId="602A68B8" w14:textId="77777777" w:rsidR="0008716B" w:rsidRPr="005C5A9F" w:rsidRDefault="0008716B" w:rsidP="0008716B">
            <w:pPr>
              <w:jc w:val="both"/>
              <w:rPr>
                <w:rFonts w:ascii="David" w:hAnsi="David"/>
                <w:b/>
                <w:bCs/>
                <w:rtl/>
              </w:rPr>
            </w:pPr>
          </w:p>
        </w:tc>
        <w:tc>
          <w:tcPr>
            <w:tcW w:w="4126" w:type="dxa"/>
            <w:tcBorders>
              <w:top w:val="nil"/>
              <w:left w:val="nil"/>
              <w:bottom w:val="nil"/>
              <w:right w:val="nil"/>
            </w:tcBorders>
            <w:shd w:val="clear" w:color="auto" w:fill="auto"/>
          </w:tcPr>
          <w:p w14:paraId="5600440B" w14:textId="77777777" w:rsidR="0008716B" w:rsidRPr="005C5A9F" w:rsidRDefault="0008716B" w:rsidP="0008716B">
            <w:pPr>
              <w:jc w:val="both"/>
              <w:rPr>
                <w:rFonts w:ascii="David" w:hAnsi="David"/>
                <w:b/>
                <w:bCs/>
                <w:rtl/>
              </w:rPr>
            </w:pPr>
          </w:p>
        </w:tc>
        <w:tc>
          <w:tcPr>
            <w:tcW w:w="3771" w:type="dxa"/>
            <w:tcBorders>
              <w:top w:val="nil"/>
              <w:left w:val="nil"/>
              <w:bottom w:val="nil"/>
              <w:right w:val="nil"/>
            </w:tcBorders>
            <w:shd w:val="clear" w:color="auto" w:fill="auto"/>
          </w:tcPr>
          <w:p w14:paraId="633F34BC" w14:textId="77777777" w:rsidR="0008716B" w:rsidRPr="005C5A9F" w:rsidRDefault="0008716B" w:rsidP="0008716B">
            <w:pPr>
              <w:jc w:val="right"/>
              <w:rPr>
                <w:rFonts w:ascii="David" w:hAnsi="David"/>
                <w:b/>
                <w:bCs/>
              </w:rPr>
            </w:pPr>
            <w:r w:rsidRPr="005C5A9F">
              <w:rPr>
                <w:rFonts w:ascii="David" w:hAnsi="David"/>
                <w:b/>
                <w:bCs/>
                <w:rtl/>
              </w:rPr>
              <w:t>הנאש</w:t>
            </w:r>
            <w:r w:rsidRPr="005C5A9F">
              <w:rPr>
                <w:rFonts w:ascii="David" w:hAnsi="David" w:hint="cs"/>
                <w:b/>
                <w:bCs/>
                <w:rtl/>
              </w:rPr>
              <w:t>ם</w:t>
            </w:r>
          </w:p>
        </w:tc>
      </w:tr>
    </w:tbl>
    <w:p w14:paraId="71B03495" w14:textId="77777777" w:rsidR="0008716B" w:rsidRPr="005C5A9F" w:rsidRDefault="0008716B" w:rsidP="0008716B">
      <w:pPr>
        <w:rPr>
          <w:rFonts w:ascii="David" w:hAnsi="David"/>
          <w:b/>
          <w:bCs/>
        </w:rPr>
      </w:pPr>
    </w:p>
    <w:p w14:paraId="0FDE3137" w14:textId="77777777" w:rsidR="005C5A9F" w:rsidRDefault="005C5A9F" w:rsidP="0008716B">
      <w:pPr>
        <w:rPr>
          <w:rFonts w:ascii="Arial" w:hAnsi="Arial"/>
          <w:rtl/>
        </w:rPr>
      </w:pPr>
      <w:bookmarkStart w:id="2" w:name="Links_Kitvei_Start"/>
    </w:p>
    <w:p w14:paraId="5A12D2D6" w14:textId="77777777" w:rsidR="005C5A9F" w:rsidRPr="005C5A9F" w:rsidRDefault="005C5A9F" w:rsidP="005C5A9F">
      <w:pPr>
        <w:spacing w:after="120" w:line="240" w:lineRule="exact"/>
        <w:ind w:left="283" w:hanging="283"/>
        <w:jc w:val="both"/>
        <w:rPr>
          <w:rFonts w:ascii="FrankRuehl" w:hAnsi="FrankRuehl" w:cs="FrankRuehl"/>
          <w:rtl/>
        </w:rPr>
      </w:pPr>
    </w:p>
    <w:bookmarkEnd w:id="2"/>
    <w:p w14:paraId="1F2F3D00" w14:textId="77777777" w:rsidR="005C5A9F" w:rsidRPr="005C5A9F" w:rsidRDefault="005C5A9F" w:rsidP="005C5A9F">
      <w:pPr>
        <w:spacing w:after="120" w:line="240" w:lineRule="exact"/>
        <w:ind w:left="283" w:hanging="283"/>
        <w:jc w:val="both"/>
        <w:rPr>
          <w:rStyle w:val="Hyperlink"/>
          <w:rFonts w:ascii="FrankRuehl" w:hAnsi="FrankRuehl" w:cs="FrankRuehl"/>
          <w:rtl/>
        </w:rPr>
      </w:pPr>
      <w:r w:rsidRPr="005C5A9F">
        <w:rPr>
          <w:rFonts w:ascii="FrankRuehl" w:hAnsi="FrankRuehl" w:cs="FrankRuehl"/>
          <w:rtl/>
        </w:rPr>
        <w:t>כתבי עת:</w:t>
      </w:r>
      <w:r w:rsidRPr="005C5A9F">
        <w:rPr>
          <w:rFonts w:ascii="FrankRuehl" w:hAnsi="FrankRuehl" w:cs="FrankRuehl"/>
          <w:u w:val="single"/>
          <w:rtl/>
        </w:rPr>
        <w:fldChar w:fldCharType="begin"/>
      </w:r>
      <w:r w:rsidRPr="005C5A9F">
        <w:rPr>
          <w:rFonts w:ascii="FrankRuehl" w:hAnsi="FrankRuehl" w:cs="FrankRuehl"/>
          <w:u w:val="single"/>
          <w:rtl/>
        </w:rPr>
        <w:instrText xml:space="preserve"> </w:instrText>
      </w:r>
      <w:r w:rsidRPr="005C5A9F">
        <w:rPr>
          <w:rFonts w:ascii="FrankRuehl" w:hAnsi="FrankRuehl" w:cs="FrankRuehl"/>
          <w:u w:val="single"/>
        </w:rPr>
        <w:instrText xml:space="preserve">HYPERLINK </w:instrText>
      </w:r>
      <w:r w:rsidRPr="005C5A9F">
        <w:rPr>
          <w:rFonts w:ascii="FrankRuehl" w:hAnsi="FrankRuehl" w:cs="FrankRuehl"/>
          <w:u w:val="single"/>
          <w:rtl/>
        </w:rPr>
        <w:instrText>"</w:instrText>
      </w:r>
      <w:r w:rsidRPr="005C5A9F">
        <w:rPr>
          <w:rFonts w:ascii="FrankRuehl" w:hAnsi="FrankRuehl" w:cs="FrankRuehl"/>
          <w:u w:val="single"/>
        </w:rPr>
        <w:instrText>http://www.nevo.co.il/safrut/book/30035"</w:instrText>
      </w:r>
      <w:r w:rsidRPr="005C5A9F">
        <w:rPr>
          <w:rFonts w:ascii="FrankRuehl" w:hAnsi="FrankRuehl" w:cs="FrankRuehl"/>
          <w:u w:val="single"/>
          <w:rtl/>
        </w:rPr>
        <w:instrText xml:space="preserve"> </w:instrText>
      </w:r>
      <w:r w:rsidRPr="005C5A9F">
        <w:rPr>
          <w:rFonts w:ascii="FrankRuehl" w:hAnsi="FrankRuehl" w:cs="FrankRuehl"/>
          <w:u w:val="single"/>
          <w:rtl/>
        </w:rPr>
      </w:r>
      <w:r w:rsidRPr="005C5A9F">
        <w:rPr>
          <w:rFonts w:ascii="FrankRuehl" w:hAnsi="FrankRuehl" w:cs="FrankRuehl"/>
          <w:u w:val="single"/>
          <w:rtl/>
        </w:rPr>
        <w:fldChar w:fldCharType="separate"/>
      </w:r>
    </w:p>
    <w:p w14:paraId="7243F9FF" w14:textId="77777777" w:rsidR="005C5A9F" w:rsidRPr="005C5A9F" w:rsidRDefault="005C5A9F" w:rsidP="005C5A9F">
      <w:pPr>
        <w:spacing w:after="120" w:line="240" w:lineRule="exact"/>
        <w:ind w:left="283" w:hanging="283"/>
        <w:jc w:val="both"/>
        <w:rPr>
          <w:rFonts w:ascii="FrankRuehl" w:hAnsi="FrankRuehl" w:cs="FrankRuehl"/>
          <w:rtl/>
        </w:rPr>
      </w:pPr>
      <w:r w:rsidRPr="005C5A9F">
        <w:rPr>
          <w:rStyle w:val="Hyperlink"/>
          <w:rFonts w:ascii="FrankRuehl" w:hAnsi="FrankRuehl" w:cs="FrankRuehl"/>
          <w:rtl/>
        </w:rPr>
        <w:t>אורן גזל-אייל, "חריגה ממתחם העונש ההולם", ספר דורית ביניש,  (אונ' בר אילן, נבו, 2018) 539</w:t>
      </w:r>
      <w:r w:rsidRPr="005C5A9F">
        <w:rPr>
          <w:rFonts w:ascii="FrankRuehl" w:hAnsi="FrankRuehl" w:cs="FrankRuehl"/>
          <w:u w:val="single"/>
          <w:rtl/>
        </w:rPr>
        <w:fldChar w:fldCharType="end"/>
      </w:r>
    </w:p>
    <w:p w14:paraId="34DA930A" w14:textId="77777777" w:rsidR="005C5A9F" w:rsidRPr="005C5A9F" w:rsidRDefault="005C5A9F" w:rsidP="005C5A9F">
      <w:pPr>
        <w:spacing w:after="120" w:line="240" w:lineRule="exact"/>
        <w:ind w:left="283" w:hanging="283"/>
        <w:jc w:val="both"/>
        <w:rPr>
          <w:rFonts w:ascii="FrankRuehl" w:hAnsi="FrankRuehl" w:cs="FrankRuehl"/>
          <w:rtl/>
        </w:rPr>
      </w:pPr>
      <w:bookmarkStart w:id="3" w:name="Links_Kitvei_End"/>
      <w:bookmarkEnd w:id="3"/>
    </w:p>
    <w:p w14:paraId="4047B396" w14:textId="77777777" w:rsidR="005C5A9F" w:rsidRPr="005C5A9F" w:rsidRDefault="005C5A9F" w:rsidP="005C5A9F">
      <w:pPr>
        <w:rPr>
          <w:rFonts w:ascii="Arial" w:hAnsi="Arial"/>
          <w:rtl/>
        </w:rPr>
      </w:pPr>
    </w:p>
    <w:p w14:paraId="19C149E0" w14:textId="77777777" w:rsidR="00A25CCA" w:rsidRPr="00A25CCA" w:rsidRDefault="00A25CCA" w:rsidP="00A25CCA">
      <w:pPr>
        <w:spacing w:before="120" w:after="120" w:line="240" w:lineRule="exact"/>
        <w:ind w:left="283" w:hanging="283"/>
        <w:jc w:val="both"/>
        <w:rPr>
          <w:rFonts w:ascii="FrankRuehl" w:hAnsi="FrankRuehl" w:cs="FrankRuehl"/>
          <w:rtl/>
        </w:rPr>
      </w:pPr>
      <w:bookmarkStart w:id="4" w:name="LawTable"/>
      <w:bookmarkEnd w:id="4"/>
      <w:r w:rsidRPr="00A25CCA">
        <w:rPr>
          <w:rFonts w:ascii="FrankRuehl" w:hAnsi="FrankRuehl" w:cs="FrankRuehl"/>
          <w:rtl/>
        </w:rPr>
        <w:t xml:space="preserve">חקיקה שאוזכרה: </w:t>
      </w:r>
    </w:p>
    <w:p w14:paraId="273BDBAF" w14:textId="77777777" w:rsidR="00A25CCA" w:rsidRPr="00A25CCA" w:rsidRDefault="00A25CCA" w:rsidP="00A25CCA">
      <w:pPr>
        <w:spacing w:before="120" w:after="120" w:line="240" w:lineRule="exact"/>
        <w:ind w:left="283" w:hanging="283"/>
        <w:jc w:val="both"/>
        <w:rPr>
          <w:rFonts w:ascii="FrankRuehl" w:hAnsi="FrankRuehl" w:cs="FrankRuehl"/>
          <w:rtl/>
        </w:rPr>
      </w:pPr>
      <w:hyperlink r:id="rId7" w:history="1">
        <w:r w:rsidRPr="00A25CCA">
          <w:rPr>
            <w:rFonts w:ascii="FrankRuehl" w:hAnsi="FrankRuehl" w:cs="FrankRuehl"/>
            <w:color w:val="0000FF"/>
            <w:u w:val="single"/>
            <w:rtl/>
          </w:rPr>
          <w:t>פקודת הסמים המסוכנים [נוסח חדש], תשל"ג-1973</w:t>
        </w:r>
      </w:hyperlink>
      <w:r w:rsidRPr="00A25CCA">
        <w:rPr>
          <w:rFonts w:ascii="FrankRuehl" w:hAnsi="FrankRuehl" w:cs="FrankRuehl"/>
          <w:rtl/>
        </w:rPr>
        <w:t xml:space="preserve">: סע'  </w:t>
      </w:r>
      <w:hyperlink r:id="rId8" w:history="1">
        <w:r w:rsidRPr="00A25CCA">
          <w:rPr>
            <w:rFonts w:ascii="FrankRuehl" w:hAnsi="FrankRuehl" w:cs="FrankRuehl"/>
            <w:color w:val="0000FF"/>
            <w:u w:val="single"/>
            <w:rtl/>
          </w:rPr>
          <w:t>6</w:t>
        </w:r>
      </w:hyperlink>
      <w:r w:rsidRPr="00A25CCA">
        <w:rPr>
          <w:rFonts w:ascii="FrankRuehl" w:hAnsi="FrankRuehl" w:cs="FrankRuehl"/>
          <w:rtl/>
        </w:rPr>
        <w:t xml:space="preserve">, </w:t>
      </w:r>
      <w:hyperlink r:id="rId9" w:history="1">
        <w:r w:rsidRPr="00A25CCA">
          <w:rPr>
            <w:rFonts w:ascii="FrankRuehl" w:hAnsi="FrankRuehl" w:cs="FrankRuehl"/>
            <w:color w:val="0000FF"/>
            <w:u w:val="single"/>
            <w:rtl/>
          </w:rPr>
          <w:t>10</w:t>
        </w:r>
      </w:hyperlink>
    </w:p>
    <w:p w14:paraId="3E67A317" w14:textId="77777777" w:rsidR="00A25CCA" w:rsidRPr="00A25CCA" w:rsidRDefault="00A25CCA" w:rsidP="00A25CCA">
      <w:pPr>
        <w:spacing w:before="120" w:after="120" w:line="240" w:lineRule="exact"/>
        <w:ind w:left="283" w:hanging="283"/>
        <w:jc w:val="both"/>
        <w:rPr>
          <w:rFonts w:ascii="FrankRuehl" w:hAnsi="FrankRuehl" w:cs="FrankRuehl"/>
          <w:rtl/>
        </w:rPr>
      </w:pPr>
      <w:hyperlink r:id="rId10" w:history="1">
        <w:r w:rsidRPr="00A25CCA">
          <w:rPr>
            <w:rFonts w:ascii="FrankRuehl" w:hAnsi="FrankRuehl" w:cs="FrankRuehl"/>
            <w:color w:val="0000FF"/>
            <w:u w:val="single"/>
            <w:rtl/>
          </w:rPr>
          <w:t>חוק העונשין, תשל"ז-1977</w:t>
        </w:r>
      </w:hyperlink>
      <w:r w:rsidRPr="00A25CCA">
        <w:rPr>
          <w:rFonts w:ascii="FrankRuehl" w:hAnsi="FrankRuehl" w:cs="FrankRuehl"/>
          <w:rtl/>
        </w:rPr>
        <w:t xml:space="preserve">: סע'  </w:t>
      </w:r>
      <w:hyperlink r:id="rId11" w:history="1">
        <w:r w:rsidRPr="00A25CCA">
          <w:rPr>
            <w:rFonts w:ascii="FrankRuehl" w:hAnsi="FrankRuehl" w:cs="FrankRuehl"/>
            <w:color w:val="0000FF"/>
            <w:u w:val="single"/>
            <w:rtl/>
          </w:rPr>
          <w:t>40.ט.4</w:t>
        </w:r>
      </w:hyperlink>
      <w:r w:rsidRPr="00A25CCA">
        <w:rPr>
          <w:rFonts w:ascii="FrankRuehl" w:hAnsi="FrankRuehl" w:cs="FrankRuehl"/>
          <w:rtl/>
        </w:rPr>
        <w:t xml:space="preserve">, </w:t>
      </w:r>
      <w:hyperlink r:id="rId12" w:history="1">
        <w:r w:rsidRPr="00A25CCA">
          <w:rPr>
            <w:rFonts w:ascii="FrankRuehl" w:hAnsi="FrankRuehl" w:cs="FrankRuehl"/>
            <w:color w:val="0000FF"/>
            <w:u w:val="single"/>
            <w:rtl/>
          </w:rPr>
          <w:t>40ד'</w:t>
        </w:r>
      </w:hyperlink>
      <w:r w:rsidRPr="00A25CCA">
        <w:rPr>
          <w:rFonts w:ascii="FrankRuehl" w:hAnsi="FrankRuehl" w:cs="FrankRuehl"/>
          <w:rtl/>
        </w:rPr>
        <w:t xml:space="preserve">, </w:t>
      </w:r>
      <w:hyperlink r:id="rId13" w:history="1">
        <w:r w:rsidRPr="00A25CCA">
          <w:rPr>
            <w:rFonts w:ascii="FrankRuehl" w:hAnsi="FrankRuehl" w:cs="FrankRuehl"/>
            <w:color w:val="0000FF"/>
            <w:u w:val="single"/>
            <w:rtl/>
          </w:rPr>
          <w:t>40ט'</w:t>
        </w:r>
      </w:hyperlink>
      <w:r w:rsidRPr="00A25CCA">
        <w:rPr>
          <w:rFonts w:ascii="FrankRuehl" w:hAnsi="FrankRuehl" w:cs="FrankRuehl"/>
          <w:rtl/>
        </w:rPr>
        <w:t xml:space="preserve">, </w:t>
      </w:r>
      <w:hyperlink r:id="rId14" w:history="1">
        <w:r w:rsidRPr="00A25CCA">
          <w:rPr>
            <w:rFonts w:ascii="FrankRuehl" w:hAnsi="FrankRuehl" w:cs="FrankRuehl"/>
            <w:color w:val="0000FF"/>
            <w:u w:val="single"/>
            <w:rtl/>
          </w:rPr>
          <w:t>40ט.3.</w:t>
        </w:r>
      </w:hyperlink>
      <w:r w:rsidRPr="00A25CCA">
        <w:rPr>
          <w:rFonts w:ascii="FrankRuehl" w:hAnsi="FrankRuehl" w:cs="FrankRuehl"/>
          <w:rtl/>
        </w:rPr>
        <w:t xml:space="preserve">, </w:t>
      </w:r>
      <w:hyperlink r:id="rId15" w:history="1">
        <w:r w:rsidRPr="00A25CCA">
          <w:rPr>
            <w:rFonts w:ascii="FrankRuehl" w:hAnsi="FrankRuehl" w:cs="FrankRuehl"/>
            <w:color w:val="0000FF"/>
            <w:u w:val="single"/>
            <w:rtl/>
          </w:rPr>
          <w:t>40ט'(5)</w:t>
        </w:r>
      </w:hyperlink>
      <w:r w:rsidRPr="00A25CCA">
        <w:rPr>
          <w:rFonts w:ascii="FrankRuehl" w:hAnsi="FrankRuehl" w:cs="FrankRuehl"/>
          <w:rtl/>
        </w:rPr>
        <w:t xml:space="preserve">, </w:t>
      </w:r>
      <w:hyperlink r:id="rId16" w:history="1">
        <w:r w:rsidRPr="00A25CCA">
          <w:rPr>
            <w:rFonts w:ascii="FrankRuehl" w:hAnsi="FrankRuehl" w:cs="FrankRuehl"/>
            <w:color w:val="0000FF"/>
            <w:u w:val="single"/>
            <w:rtl/>
          </w:rPr>
          <w:t>40י</w:t>
        </w:r>
      </w:hyperlink>
    </w:p>
    <w:p w14:paraId="28E86D04" w14:textId="77777777" w:rsidR="0008716B" w:rsidRDefault="0008716B" w:rsidP="00A25CCA">
      <w:pPr>
        <w:rPr>
          <w:rFonts w:ascii="Arial" w:hAnsi="Arial" w:hint="cs"/>
          <w:rtl/>
        </w:rPr>
      </w:pPr>
      <w:bookmarkStart w:id="5" w:name="LawTable_End"/>
      <w:bookmarkEnd w:id="5"/>
    </w:p>
    <w:p w14:paraId="77AB0D1D" w14:textId="77777777" w:rsidR="00A25CCA" w:rsidRDefault="00A25CCA" w:rsidP="00A25CCA">
      <w:pPr>
        <w:rPr>
          <w:rFonts w:ascii="Arial" w:hAnsi="Arial" w:hint="cs"/>
          <w:rtl/>
        </w:rPr>
      </w:pPr>
    </w:p>
    <w:p w14:paraId="7823097E" w14:textId="77777777" w:rsidR="00A25CCA" w:rsidRDefault="00A25CCA" w:rsidP="00A25CCA">
      <w:pPr>
        <w:rPr>
          <w:rFonts w:ascii="Arial" w:hAnsi="Arial" w:hint="cs"/>
          <w:rtl/>
        </w:rPr>
      </w:pPr>
    </w:p>
    <w:p w14:paraId="73301FA1" w14:textId="77777777" w:rsidR="00A25CCA" w:rsidRPr="00A25CCA" w:rsidRDefault="00A25CCA" w:rsidP="00A25CCA">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716B" w:rsidRPr="00B21DEC" w14:paraId="37B1E460" w14:textId="77777777" w:rsidTr="0008716B">
        <w:trPr>
          <w:trHeight w:val="355"/>
          <w:jc w:val="center"/>
        </w:trPr>
        <w:tc>
          <w:tcPr>
            <w:tcW w:w="8820" w:type="dxa"/>
            <w:tcBorders>
              <w:top w:val="nil"/>
              <w:left w:val="nil"/>
              <w:bottom w:val="nil"/>
              <w:right w:val="nil"/>
            </w:tcBorders>
            <w:shd w:val="clear" w:color="auto" w:fill="auto"/>
          </w:tcPr>
          <w:p w14:paraId="183A633E" w14:textId="77777777" w:rsidR="005C5A9F" w:rsidRPr="005C5A9F" w:rsidRDefault="005C5A9F" w:rsidP="005C5A9F">
            <w:pPr>
              <w:jc w:val="center"/>
              <w:rPr>
                <w:rFonts w:ascii="David" w:hAnsi="David"/>
                <w:b/>
                <w:bCs/>
                <w:sz w:val="32"/>
                <w:szCs w:val="32"/>
                <w:u w:val="single"/>
                <w:rtl/>
              </w:rPr>
            </w:pPr>
            <w:bookmarkStart w:id="6" w:name="PsakDin" w:colFirst="0" w:colLast="0"/>
            <w:bookmarkEnd w:id="0"/>
            <w:r w:rsidRPr="005C5A9F">
              <w:rPr>
                <w:rFonts w:ascii="David" w:hAnsi="David"/>
                <w:b/>
                <w:bCs/>
                <w:sz w:val="32"/>
                <w:szCs w:val="32"/>
                <w:u w:val="single"/>
                <w:rtl/>
              </w:rPr>
              <w:t>גזר דין</w:t>
            </w:r>
          </w:p>
          <w:p w14:paraId="12FE0FD4" w14:textId="77777777" w:rsidR="0008716B" w:rsidRPr="005C5A9F" w:rsidRDefault="0008716B" w:rsidP="005C5A9F">
            <w:pPr>
              <w:jc w:val="center"/>
              <w:rPr>
                <w:rFonts w:ascii="David" w:hAnsi="David"/>
                <w:b/>
                <w:bCs/>
                <w:u w:val="single"/>
                <w:rtl/>
              </w:rPr>
            </w:pPr>
          </w:p>
        </w:tc>
      </w:tr>
      <w:bookmarkEnd w:id="6"/>
    </w:tbl>
    <w:p w14:paraId="3E92FEBB" w14:textId="77777777" w:rsidR="0008716B" w:rsidRPr="00B05847" w:rsidRDefault="0008716B" w:rsidP="0008716B">
      <w:pPr>
        <w:rPr>
          <w:rFonts w:ascii="Arial" w:hAnsi="Arial"/>
          <w:rtl/>
        </w:rPr>
      </w:pPr>
    </w:p>
    <w:p w14:paraId="28432D31" w14:textId="77777777" w:rsidR="0008716B" w:rsidRPr="00B21DEC" w:rsidRDefault="0008716B" w:rsidP="0008716B">
      <w:pPr>
        <w:rPr>
          <w:b/>
          <w:bCs/>
          <w:u w:val="single"/>
          <w:rtl/>
        </w:rPr>
      </w:pPr>
      <w:r w:rsidRPr="00B21DEC">
        <w:rPr>
          <w:rFonts w:hint="cs"/>
          <w:b/>
          <w:bCs/>
          <w:u w:val="single"/>
          <w:rtl/>
        </w:rPr>
        <w:t>כתב האישום וההליכים</w:t>
      </w:r>
    </w:p>
    <w:p w14:paraId="342981CD" w14:textId="77777777" w:rsidR="0008716B" w:rsidRDefault="0008716B" w:rsidP="0008716B">
      <w:pPr>
        <w:rPr>
          <w:b/>
          <w:bCs/>
          <w:rtl/>
        </w:rPr>
      </w:pPr>
    </w:p>
    <w:p w14:paraId="37655683" w14:textId="77777777" w:rsidR="0008716B" w:rsidRPr="00B21DEC" w:rsidRDefault="0008716B" w:rsidP="0008716B">
      <w:pPr>
        <w:rPr>
          <w:b/>
          <w:bCs/>
          <w:rtl/>
        </w:rPr>
      </w:pPr>
    </w:p>
    <w:p w14:paraId="45B4AC8B" w14:textId="77777777" w:rsidR="0008716B" w:rsidRDefault="0008716B" w:rsidP="0008716B">
      <w:pPr>
        <w:pStyle w:val="a9"/>
        <w:numPr>
          <w:ilvl w:val="0"/>
          <w:numId w:val="1"/>
        </w:numPr>
        <w:spacing w:line="360" w:lineRule="auto"/>
        <w:jc w:val="both"/>
      </w:pPr>
      <w:bookmarkStart w:id="7" w:name="ABSTRACT_START"/>
      <w:bookmarkEnd w:id="7"/>
      <w:r w:rsidRPr="007E1D70">
        <w:rPr>
          <w:rtl/>
        </w:rPr>
        <w:t xml:space="preserve">הנאשם הורשע על פי הודאתו בעבירות של גידול, ייצור, הכנת סמים מסוכנים, לפי </w:t>
      </w:r>
      <w:hyperlink r:id="rId17" w:history="1">
        <w:r w:rsidR="00A25CCA" w:rsidRPr="00A25CCA">
          <w:rPr>
            <w:color w:val="0000FF"/>
            <w:u w:val="single"/>
            <w:rtl/>
          </w:rPr>
          <w:t>סעיף 6</w:t>
        </w:r>
      </w:hyperlink>
      <w:r w:rsidRPr="007E1D70">
        <w:rPr>
          <w:rtl/>
        </w:rPr>
        <w:t xml:space="preserve"> ל</w:t>
      </w:r>
      <w:hyperlink r:id="rId18" w:history="1">
        <w:r w:rsidR="005C5A9F" w:rsidRPr="005C5A9F">
          <w:rPr>
            <w:color w:val="0000FF"/>
            <w:u w:val="single"/>
            <w:rtl/>
          </w:rPr>
          <w:t>פקודת הסמים המסוכנים</w:t>
        </w:r>
      </w:hyperlink>
      <w:r>
        <w:rPr>
          <w:rtl/>
        </w:rPr>
        <w:t xml:space="preserve"> (נוסח חדש)</w:t>
      </w:r>
      <w:r>
        <w:rPr>
          <w:rFonts w:hint="cs"/>
          <w:rtl/>
        </w:rPr>
        <w:t>,</w:t>
      </w:r>
      <w:r>
        <w:rPr>
          <w:rtl/>
        </w:rPr>
        <w:t xml:space="preserve"> תשל"ג-1973 (להלן</w:t>
      </w:r>
      <w:r>
        <w:rPr>
          <w:rFonts w:hint="cs"/>
          <w:rtl/>
        </w:rPr>
        <w:t xml:space="preserve"> </w:t>
      </w:r>
      <w:r>
        <w:rPr>
          <w:rtl/>
        </w:rPr>
        <w:t>–</w:t>
      </w:r>
      <w:r>
        <w:rPr>
          <w:rFonts w:hint="cs"/>
          <w:rtl/>
        </w:rPr>
        <w:t xml:space="preserve"> </w:t>
      </w:r>
      <w:r w:rsidRPr="007E1D70">
        <w:rPr>
          <w:rtl/>
        </w:rPr>
        <w:t xml:space="preserve"> </w:t>
      </w:r>
      <w:r w:rsidRPr="007E1D70">
        <w:rPr>
          <w:rFonts w:cs="Miriam"/>
          <w:rtl/>
        </w:rPr>
        <w:t>פקודת הסמים</w:t>
      </w:r>
      <w:r w:rsidRPr="007E1D70">
        <w:rPr>
          <w:rtl/>
        </w:rPr>
        <w:t>)</w:t>
      </w:r>
      <w:r>
        <w:rPr>
          <w:rFonts w:hint="cs"/>
          <w:rtl/>
        </w:rPr>
        <w:t xml:space="preserve"> ובעבירה של החזקת כלים להכנת סם שלא לצריכה עצמית, לפי </w:t>
      </w:r>
      <w:hyperlink r:id="rId19" w:history="1">
        <w:r w:rsidR="00A25CCA" w:rsidRPr="00A25CCA">
          <w:rPr>
            <w:color w:val="0000FF"/>
            <w:u w:val="single"/>
            <w:rtl/>
          </w:rPr>
          <w:t>סעיף 10</w:t>
        </w:r>
      </w:hyperlink>
      <w:r>
        <w:rPr>
          <w:rFonts w:hint="cs"/>
          <w:rtl/>
        </w:rPr>
        <w:t xml:space="preserve"> רישא לפקודת הסמים</w:t>
      </w:r>
      <w:r w:rsidRPr="007E1D70">
        <w:rPr>
          <w:rtl/>
        </w:rPr>
        <w:t>. בהתאם לעובדות</w:t>
      </w:r>
      <w:r>
        <w:rPr>
          <w:rFonts w:hint="cs"/>
          <w:rtl/>
        </w:rPr>
        <w:t xml:space="preserve"> כתב</w:t>
      </w:r>
      <w:r w:rsidRPr="007E1D70">
        <w:rPr>
          <w:rtl/>
        </w:rPr>
        <w:t xml:space="preserve"> האישום, ביום </w:t>
      </w:r>
      <w:r>
        <w:rPr>
          <w:rFonts w:hint="cs"/>
          <w:rtl/>
        </w:rPr>
        <w:t>5.9.1</w:t>
      </w:r>
      <w:r w:rsidRPr="007E1D70">
        <w:rPr>
          <w:rtl/>
        </w:rPr>
        <w:t xml:space="preserve">7 </w:t>
      </w:r>
      <w:r>
        <w:rPr>
          <w:rFonts w:hint="cs"/>
          <w:rtl/>
        </w:rPr>
        <w:t>שכר הנאשם מחסן ושילם עבורו דמי שכירות בעלות של 2,500 ₪ לחודש. כחודשיים עובר ליום 11.4.18 ייעד הנאשם את המחסן לצורך הקמת מעבדה לגידול סם מסוכן מסוג קנבוס. במעמד זה גידל</w:t>
      </w:r>
      <w:r w:rsidRPr="007E1D70">
        <w:rPr>
          <w:rtl/>
        </w:rPr>
        <w:t xml:space="preserve"> הנאשם </w:t>
      </w:r>
      <w:r>
        <w:rPr>
          <w:rFonts w:hint="cs"/>
          <w:rtl/>
        </w:rPr>
        <w:t>45</w:t>
      </w:r>
      <w:r w:rsidRPr="007E1D70">
        <w:rPr>
          <w:rtl/>
        </w:rPr>
        <w:t xml:space="preserve"> שתילים שהכילו סם מסוכן מסוג קנבוס במשקל כולל של </w:t>
      </w:r>
      <w:r>
        <w:rPr>
          <w:rFonts w:hint="cs"/>
          <w:rtl/>
        </w:rPr>
        <w:lastRenderedPageBreak/>
        <w:t>3714.86 גרם</w:t>
      </w:r>
      <w:r w:rsidRPr="007E1D70">
        <w:rPr>
          <w:rtl/>
        </w:rPr>
        <w:t>. כן נמצאו במקום</w:t>
      </w:r>
      <w:r>
        <w:rPr>
          <w:rFonts w:hint="cs"/>
          <w:rtl/>
        </w:rPr>
        <w:t xml:space="preserve"> כלים להכנת הסם, ובהם </w:t>
      </w:r>
      <w:r>
        <w:rPr>
          <w:rtl/>
        </w:rPr>
        <w:t>–</w:t>
      </w:r>
      <w:r>
        <w:rPr>
          <w:rFonts w:hint="cs"/>
          <w:rtl/>
        </w:rPr>
        <w:t xml:space="preserve"> 15 מנורות חימום; 10 שנאי חשמל; </w:t>
      </w:r>
      <w:bookmarkStart w:id="8" w:name="ABSTRACT_END"/>
      <w:bookmarkEnd w:id="8"/>
      <w:r>
        <w:rPr>
          <w:rFonts w:hint="cs"/>
          <w:rtl/>
        </w:rPr>
        <w:t xml:space="preserve">2 מאווררים גדולים; 21 מאווררים קטנים; פילטרים; מפוחי אוויר; שעוני שבת; מד לחות; מזגן גדול; מיכלי דישון; מחשב השקיה ומיכל מים. </w:t>
      </w:r>
    </w:p>
    <w:p w14:paraId="3F4C18E1" w14:textId="77777777" w:rsidR="0008716B" w:rsidRDefault="0008716B" w:rsidP="0008716B">
      <w:pPr>
        <w:pStyle w:val="a9"/>
        <w:spacing w:line="360" w:lineRule="auto"/>
        <w:ind w:left="0"/>
        <w:jc w:val="both"/>
      </w:pPr>
    </w:p>
    <w:p w14:paraId="6563350C" w14:textId="77777777" w:rsidR="0008716B" w:rsidRPr="00B05847" w:rsidRDefault="0008716B" w:rsidP="0008716B">
      <w:pPr>
        <w:pStyle w:val="a9"/>
        <w:numPr>
          <w:ilvl w:val="0"/>
          <w:numId w:val="1"/>
        </w:numPr>
        <w:spacing w:line="360" w:lineRule="auto"/>
        <w:jc w:val="both"/>
        <w:rPr>
          <w:rtl/>
        </w:rPr>
      </w:pPr>
      <w:r>
        <w:rPr>
          <w:rFonts w:hint="cs"/>
          <w:rtl/>
        </w:rPr>
        <w:t xml:space="preserve">הודאת הנאשם באה על רקע הסדר טיעון, לפיו הוסכם על הפנייתו לשירות המבחן לצורך עריכת תסקיר בעניינו. כן הגבילה עצמה המאשימה לטעון לעונש מקסימלי בן 8 חודשי מאסר, תוך שההגנה מצידה תוכל לטעון באופן חופשי. </w:t>
      </w:r>
    </w:p>
    <w:p w14:paraId="29F6E7E0" w14:textId="77777777" w:rsidR="0008716B" w:rsidRPr="00B05847" w:rsidRDefault="0008716B" w:rsidP="0008716B">
      <w:pPr>
        <w:spacing w:line="360" w:lineRule="auto"/>
        <w:jc w:val="both"/>
        <w:rPr>
          <w:rtl/>
        </w:rPr>
      </w:pPr>
    </w:p>
    <w:p w14:paraId="002A400A" w14:textId="77777777" w:rsidR="0008716B" w:rsidRPr="00990C48" w:rsidRDefault="0008716B" w:rsidP="0008716B">
      <w:pPr>
        <w:spacing w:line="360" w:lineRule="auto"/>
        <w:jc w:val="both"/>
        <w:rPr>
          <w:rFonts w:ascii="Arial" w:hAnsi="Arial"/>
          <w:b/>
          <w:bCs/>
          <w:u w:val="single"/>
          <w:rtl/>
        </w:rPr>
      </w:pPr>
      <w:r w:rsidRPr="00990C48">
        <w:rPr>
          <w:rFonts w:ascii="Arial" w:hAnsi="Arial"/>
          <w:b/>
          <w:bCs/>
          <w:u w:val="single"/>
          <w:rtl/>
        </w:rPr>
        <w:t>תסקירי שירות המבחן</w:t>
      </w:r>
    </w:p>
    <w:p w14:paraId="6FE773EE" w14:textId="77777777" w:rsidR="0008716B" w:rsidRDefault="0008716B" w:rsidP="0008716B">
      <w:pPr>
        <w:spacing w:line="360" w:lineRule="auto"/>
        <w:jc w:val="both"/>
        <w:rPr>
          <w:rtl/>
        </w:rPr>
      </w:pPr>
    </w:p>
    <w:p w14:paraId="1D57696D" w14:textId="77777777" w:rsidR="0008716B" w:rsidRDefault="0008716B" w:rsidP="0008716B">
      <w:pPr>
        <w:pStyle w:val="a9"/>
        <w:numPr>
          <w:ilvl w:val="0"/>
          <w:numId w:val="1"/>
        </w:numPr>
        <w:spacing w:line="360" w:lineRule="auto"/>
        <w:jc w:val="both"/>
      </w:pPr>
      <w:r>
        <w:rPr>
          <w:rFonts w:ascii="Arial" w:hAnsi="Arial"/>
          <w:rtl/>
        </w:rPr>
        <w:t xml:space="preserve">שירות המבחן הגיש </w:t>
      </w:r>
      <w:r>
        <w:rPr>
          <w:rFonts w:ascii="Arial" w:hAnsi="Arial" w:hint="cs"/>
          <w:rtl/>
        </w:rPr>
        <w:t>3</w:t>
      </w:r>
      <w:r>
        <w:rPr>
          <w:rFonts w:ascii="Arial" w:hAnsi="Arial"/>
          <w:rtl/>
        </w:rPr>
        <w:t xml:space="preserve"> תסקירים בעניינו של הנאשם</w:t>
      </w:r>
      <w:r>
        <w:rPr>
          <w:rFonts w:hint="cs"/>
          <w:rtl/>
        </w:rPr>
        <w:t xml:space="preserve"> ומטעמים של צנעת הפרט לא אפרט בהרחבה את שנכתב בהם. בתמצית ייאמר כי הנאשם כבן 33, נעדר עבר פלילי, גרוש ועובד למחייתו כמנהל אירועים ובעל עסק לממכר אלכוהול לסיטונאים. ביחס לביצוע העבירות הביע הנאשם צער וחרטה. שירות המבחן העריך כי שילוב הנאשם בהליך טיפולי עשוי לסייע במזעור רמת הסיכון להישנות עבירות, והמליץ על דחיית הדיונים מעת לעת לצורך כך. הנאשם שולב בהליך טיפולי במסגרת היחידה להתמכרויות והדיווח שהתקבל בעניינו היה חיובי. ניכר כי הוא החל לערוך שינוי בהתנהלותו ושירות המבחן התרשם כי נסיבות ביצוע העבירות היו לסיפוק צרכיו ההתמכרותיים בלבד. ברוח דברים אלו המליץ שירות המבחן להעמיד את הנאשם בצו מבחן למשך שנה ולהטיל עליו ענישה חינוכית בדמות צו של"צ. </w:t>
      </w:r>
    </w:p>
    <w:p w14:paraId="3D74351E" w14:textId="77777777" w:rsidR="0008716B" w:rsidRDefault="0008716B" w:rsidP="0008716B">
      <w:pPr>
        <w:pStyle w:val="a9"/>
        <w:spacing w:line="360" w:lineRule="auto"/>
        <w:ind w:left="0"/>
        <w:jc w:val="both"/>
      </w:pPr>
    </w:p>
    <w:p w14:paraId="2E26946B" w14:textId="77777777" w:rsidR="0008716B" w:rsidRDefault="0008716B" w:rsidP="0008716B">
      <w:pPr>
        <w:pStyle w:val="a9"/>
        <w:numPr>
          <w:ilvl w:val="0"/>
          <w:numId w:val="1"/>
        </w:numPr>
        <w:spacing w:line="360" w:lineRule="auto"/>
        <w:jc w:val="both"/>
      </w:pPr>
      <w:r>
        <w:rPr>
          <w:rFonts w:hint="cs"/>
          <w:rtl/>
        </w:rPr>
        <w:t xml:space="preserve">עם זאת, ראוי להדגיש כבר עתה כי </w:t>
      </w:r>
      <w:r>
        <w:rPr>
          <w:rtl/>
        </w:rPr>
        <w:t xml:space="preserve">בכתב האישום בו הודה הנאשם צוין במפורש </w:t>
      </w:r>
      <w:r>
        <w:rPr>
          <w:rFonts w:hint="cs"/>
          <w:rtl/>
        </w:rPr>
        <w:t xml:space="preserve">כי החזקת הכלים הייתה לצורך הכנת סמים </w:t>
      </w:r>
      <w:r w:rsidRPr="00B7155E">
        <w:rPr>
          <w:rFonts w:hint="cs"/>
          <w:u w:val="single"/>
          <w:rtl/>
        </w:rPr>
        <w:t>שלא</w:t>
      </w:r>
      <w:r>
        <w:rPr>
          <w:rFonts w:hint="cs"/>
          <w:rtl/>
        </w:rPr>
        <w:t xml:space="preserve"> לצריכה עצמית וסעיף העבירה בו הורשע הנאשם תאם זאת. ציינתי עובדה זו </w:t>
      </w:r>
      <w:r>
        <w:rPr>
          <w:rtl/>
        </w:rPr>
        <w:t>שכן הליכי השיקום להם נדרש שירות המבחן</w:t>
      </w:r>
      <w:r>
        <w:rPr>
          <w:rFonts w:hint="cs"/>
          <w:rtl/>
        </w:rPr>
        <w:t xml:space="preserve">, כמו גם המלצתו העונשית, </w:t>
      </w:r>
      <w:r>
        <w:rPr>
          <w:rtl/>
        </w:rPr>
        <w:t>יצאו מנקודת הנחה שהעבירה מקורה בהתמכרותו של הנאשם לסם</w:t>
      </w:r>
      <w:r>
        <w:rPr>
          <w:rFonts w:hint="cs"/>
          <w:rtl/>
        </w:rPr>
        <w:t xml:space="preserve"> בלבד</w:t>
      </w:r>
      <w:r>
        <w:rPr>
          <w:rtl/>
        </w:rPr>
        <w:t xml:space="preserve">, </w:t>
      </w:r>
      <w:r>
        <w:rPr>
          <w:rFonts w:hint="cs"/>
          <w:rtl/>
        </w:rPr>
        <w:t>כאשר כתב האישום מציין אחרת. לנושא זה אתייחס בהמשך.</w:t>
      </w:r>
    </w:p>
    <w:p w14:paraId="1918A284" w14:textId="77777777" w:rsidR="0008716B" w:rsidRPr="00B7155E" w:rsidRDefault="0008716B" w:rsidP="0008716B">
      <w:pPr>
        <w:pStyle w:val="a9"/>
        <w:spacing w:line="360" w:lineRule="auto"/>
        <w:ind w:left="0"/>
        <w:jc w:val="both"/>
        <w:rPr>
          <w:rtl/>
        </w:rPr>
      </w:pPr>
    </w:p>
    <w:p w14:paraId="611F6D08" w14:textId="77777777" w:rsidR="0008716B" w:rsidRDefault="0008716B" w:rsidP="0008716B">
      <w:pPr>
        <w:pStyle w:val="a9"/>
        <w:spacing w:line="360" w:lineRule="auto"/>
        <w:ind w:left="0"/>
        <w:jc w:val="both"/>
        <w:rPr>
          <w:rtl/>
        </w:rPr>
      </w:pPr>
      <w:r w:rsidRPr="00465140">
        <w:rPr>
          <w:b/>
          <w:bCs/>
          <w:u w:val="single"/>
          <w:rtl/>
        </w:rPr>
        <w:t xml:space="preserve">טיעוני הצדדים לעונש והראיות </w:t>
      </w:r>
    </w:p>
    <w:p w14:paraId="0DA6A5E6" w14:textId="77777777" w:rsidR="0008716B" w:rsidRDefault="0008716B" w:rsidP="0008716B">
      <w:pPr>
        <w:pStyle w:val="a9"/>
        <w:spacing w:line="360" w:lineRule="auto"/>
        <w:ind w:left="0"/>
        <w:jc w:val="both"/>
        <w:rPr>
          <w:rtl/>
        </w:rPr>
      </w:pPr>
    </w:p>
    <w:p w14:paraId="4D3721CD" w14:textId="77777777" w:rsidR="0008716B" w:rsidRDefault="0008716B" w:rsidP="0008716B">
      <w:pPr>
        <w:pStyle w:val="a9"/>
        <w:numPr>
          <w:ilvl w:val="0"/>
          <w:numId w:val="1"/>
        </w:numPr>
        <w:spacing w:line="360" w:lineRule="auto"/>
        <w:jc w:val="both"/>
      </w:pPr>
      <w:r>
        <w:rPr>
          <w:rFonts w:hint="cs"/>
          <w:rtl/>
        </w:rPr>
        <w:t xml:space="preserve">ב"כ המאשימה הדגיש את חומרת העבירות ואת התכנון המוקדם שקדם לביצוען (הוגשו תמונות של המעבדה- ע/1). כן נטען כי קיימת סתירה בין הדברים שנכתבו בתסקיר שירות המבחן בנוגע לנסיבות ביצוע העבירות, לבין עובדות כתב האישום, בהן הודה הנאשם. ביחס למתחם העונש ההולם נטען כי בעבירות מסוג זה עותרת המאשימה למתחם שנע בין 8 חודשי מאסר בפועל ועד 24 חודשי מאסר בפועל, ובמקרה זה, לאור הסדר הטיעון שבין הצדדים והתסקיר החיובי בעניינו של הנאשם, עותרת היא לעונש מאסר למשך 8 חודשים, שיכול וירוצה בדרך של עבודות שירות, וזאת על </w:t>
      </w:r>
      <w:r>
        <w:rPr>
          <w:rFonts w:hint="cs"/>
          <w:rtl/>
        </w:rPr>
        <w:lastRenderedPageBreak/>
        <w:t xml:space="preserve">מנת שלא לגדוע את הליך הטיפול בו החל הנאשם. כן עתרה המאשימה להעמיד את הנאשם בצו מבחן, כהמלצת שירות המבחן ולהטיל עליו מאסר על תנאי, קנס, פסילה על תנאי והתחייבות. </w:t>
      </w:r>
    </w:p>
    <w:p w14:paraId="5718869E" w14:textId="77777777" w:rsidR="0008716B" w:rsidRDefault="0008716B" w:rsidP="0008716B">
      <w:pPr>
        <w:pStyle w:val="a9"/>
        <w:spacing w:line="360" w:lineRule="auto"/>
        <w:ind w:left="0"/>
        <w:jc w:val="both"/>
      </w:pPr>
    </w:p>
    <w:p w14:paraId="62F150BC" w14:textId="77777777" w:rsidR="0008716B" w:rsidRDefault="0008716B" w:rsidP="0008716B">
      <w:pPr>
        <w:pStyle w:val="a9"/>
        <w:numPr>
          <w:ilvl w:val="0"/>
          <w:numId w:val="1"/>
        </w:numPr>
        <w:spacing w:line="360" w:lineRule="auto"/>
        <w:jc w:val="both"/>
      </w:pPr>
      <w:r>
        <w:rPr>
          <w:rtl/>
        </w:rPr>
        <w:t xml:space="preserve">ב"כ הנאשם הפנה לגילו הצעיר של הנאשם, לעברו הפלילי </w:t>
      </w:r>
      <w:r>
        <w:rPr>
          <w:rFonts w:hint="cs"/>
          <w:rtl/>
        </w:rPr>
        <w:t>הנקי</w:t>
      </w:r>
      <w:r>
        <w:rPr>
          <w:rtl/>
        </w:rPr>
        <w:t xml:space="preserve">, ולכך שהודה בהזדמנות הראשונה וקיבל אחריות למעשיו. כן נטען כי הנאשם היה עצור למשך </w:t>
      </w:r>
      <w:r>
        <w:rPr>
          <w:rFonts w:hint="cs"/>
          <w:rtl/>
        </w:rPr>
        <w:t>4</w:t>
      </w:r>
      <w:r>
        <w:rPr>
          <w:rtl/>
        </w:rPr>
        <w:t xml:space="preserve"> ימים ולאחר מכן שהה במעצר בית למעלה מ-</w:t>
      </w:r>
      <w:r>
        <w:rPr>
          <w:rFonts w:hint="cs"/>
          <w:rtl/>
        </w:rPr>
        <w:t>7</w:t>
      </w:r>
      <w:r>
        <w:rPr>
          <w:rtl/>
        </w:rPr>
        <w:t xml:space="preserve"> חודשים</w:t>
      </w:r>
      <w:r>
        <w:rPr>
          <w:rFonts w:hint="cs"/>
          <w:rtl/>
        </w:rPr>
        <w:t xml:space="preserve">. נטען כי הנאשם נמצא בעיצומו של הליך טיפולי המסייע לו, ויש חשיבות להמשיך בדרך זו. ההגנה ביקשה לאמץ את המלצות שירות המבחן ולאפשר לנאשם להמשיך בשיקום חייו. </w:t>
      </w:r>
    </w:p>
    <w:p w14:paraId="5EB3275E" w14:textId="77777777" w:rsidR="0008716B" w:rsidRDefault="0008716B" w:rsidP="0008716B">
      <w:pPr>
        <w:pStyle w:val="a9"/>
        <w:spacing w:line="360" w:lineRule="auto"/>
        <w:ind w:left="0"/>
        <w:jc w:val="both"/>
      </w:pPr>
    </w:p>
    <w:p w14:paraId="19FA30A5" w14:textId="77777777" w:rsidR="0008716B" w:rsidRDefault="0008716B" w:rsidP="0008716B">
      <w:pPr>
        <w:pStyle w:val="a9"/>
        <w:numPr>
          <w:ilvl w:val="0"/>
          <w:numId w:val="1"/>
        </w:numPr>
        <w:spacing w:line="360" w:lineRule="auto"/>
        <w:jc w:val="both"/>
        <w:rPr>
          <w:rtl/>
        </w:rPr>
      </w:pPr>
      <w:r w:rsidRPr="00854CB5">
        <w:rPr>
          <w:rtl/>
        </w:rPr>
        <w:t xml:space="preserve">הנאשם בדברו האחרון הצר על מעשיו, הביע בושה </w:t>
      </w:r>
      <w:r>
        <w:rPr>
          <w:rFonts w:hint="cs"/>
          <w:rtl/>
        </w:rPr>
        <w:t xml:space="preserve">וחרטה. כן </w:t>
      </w:r>
      <w:r w:rsidRPr="00854CB5">
        <w:rPr>
          <w:rtl/>
        </w:rPr>
        <w:t xml:space="preserve">ציין כי </w:t>
      </w:r>
      <w:r>
        <w:rPr>
          <w:rFonts w:hint="cs"/>
          <w:rtl/>
        </w:rPr>
        <w:t>הוא נתרם רבות מהטיפול במסגרת שירות המבחן וביקש לאפשר לו להמשיך בטיפול.</w:t>
      </w:r>
    </w:p>
    <w:p w14:paraId="2E28E835" w14:textId="77777777" w:rsidR="0008716B" w:rsidRDefault="0008716B" w:rsidP="0008716B">
      <w:pPr>
        <w:spacing w:line="360" w:lineRule="auto"/>
        <w:jc w:val="both"/>
        <w:rPr>
          <w:b/>
          <w:bCs/>
          <w:u w:val="single"/>
          <w:rtl/>
        </w:rPr>
      </w:pPr>
    </w:p>
    <w:p w14:paraId="726110EB" w14:textId="77777777" w:rsidR="0008716B" w:rsidRDefault="0008716B" w:rsidP="0008716B">
      <w:pPr>
        <w:spacing w:line="360" w:lineRule="auto"/>
        <w:jc w:val="both"/>
        <w:rPr>
          <w:b/>
          <w:bCs/>
          <w:u w:val="single"/>
          <w:rtl/>
        </w:rPr>
      </w:pPr>
    </w:p>
    <w:p w14:paraId="10D2F525" w14:textId="77777777" w:rsidR="0008716B" w:rsidRDefault="0008716B" w:rsidP="0008716B">
      <w:pPr>
        <w:spacing w:line="360" w:lineRule="auto"/>
        <w:jc w:val="both"/>
        <w:rPr>
          <w:b/>
          <w:bCs/>
          <w:u w:val="single"/>
          <w:rtl/>
        </w:rPr>
      </w:pPr>
    </w:p>
    <w:p w14:paraId="081343F8" w14:textId="77777777" w:rsidR="0008716B" w:rsidRDefault="0008716B" w:rsidP="0008716B">
      <w:pPr>
        <w:spacing w:line="360" w:lineRule="auto"/>
        <w:jc w:val="both"/>
        <w:rPr>
          <w:b/>
          <w:bCs/>
          <w:u w:val="single"/>
          <w:rtl/>
        </w:rPr>
      </w:pPr>
    </w:p>
    <w:p w14:paraId="6623250F" w14:textId="77777777" w:rsidR="0008716B" w:rsidRPr="00CE5516" w:rsidRDefault="0008716B" w:rsidP="0008716B">
      <w:pPr>
        <w:spacing w:line="360" w:lineRule="auto"/>
        <w:jc w:val="both"/>
        <w:rPr>
          <w:b/>
          <w:bCs/>
          <w:u w:val="single"/>
          <w:rtl/>
        </w:rPr>
      </w:pPr>
      <w:r w:rsidRPr="00CE5516">
        <w:rPr>
          <w:b/>
          <w:bCs/>
          <w:u w:val="single"/>
          <w:rtl/>
        </w:rPr>
        <w:t>דיון והכרעה</w:t>
      </w:r>
    </w:p>
    <w:p w14:paraId="6D51917B" w14:textId="77777777" w:rsidR="0008716B" w:rsidRDefault="0008716B" w:rsidP="0008716B">
      <w:pPr>
        <w:spacing w:line="360" w:lineRule="auto"/>
        <w:jc w:val="both"/>
        <w:rPr>
          <w:b/>
          <w:bCs/>
          <w:u w:val="single"/>
          <w:rtl/>
        </w:rPr>
      </w:pPr>
      <w:r w:rsidRPr="00CE5516">
        <w:rPr>
          <w:b/>
          <w:bCs/>
          <w:u w:val="single"/>
          <w:rtl/>
        </w:rPr>
        <w:t>קביעת מתחם הענישה</w:t>
      </w:r>
    </w:p>
    <w:p w14:paraId="6D46FE23" w14:textId="77777777" w:rsidR="0008716B" w:rsidRPr="00CE5516" w:rsidRDefault="0008716B" w:rsidP="0008716B">
      <w:pPr>
        <w:spacing w:line="360" w:lineRule="auto"/>
        <w:jc w:val="both"/>
        <w:rPr>
          <w:b/>
          <w:bCs/>
          <w:u w:val="single"/>
          <w:rtl/>
        </w:rPr>
      </w:pPr>
    </w:p>
    <w:p w14:paraId="579078A1" w14:textId="77777777" w:rsidR="0008716B" w:rsidRDefault="0008716B" w:rsidP="0008716B">
      <w:pPr>
        <w:pStyle w:val="a9"/>
        <w:numPr>
          <w:ilvl w:val="0"/>
          <w:numId w:val="1"/>
        </w:numPr>
        <w:spacing w:line="360" w:lineRule="auto"/>
        <w:jc w:val="both"/>
      </w:pPr>
      <w:r w:rsidRPr="00BE37BD">
        <w:rPr>
          <w:rtl/>
        </w:rPr>
        <w:t>בהתאם לתיקון 113 ל</w:t>
      </w:r>
      <w:hyperlink r:id="rId20" w:history="1">
        <w:r w:rsidR="005C5A9F" w:rsidRPr="005C5A9F">
          <w:rPr>
            <w:color w:val="0000FF"/>
            <w:u w:val="single"/>
            <w:rtl/>
          </w:rPr>
          <w:t>חוק העונשין</w:t>
        </w:r>
      </w:hyperlink>
      <w:r w:rsidRPr="00BE37BD">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1" w:history="1">
        <w:r w:rsidR="00A25CCA" w:rsidRPr="00A25CCA">
          <w:rPr>
            <w:color w:val="0000FF"/>
            <w:u w:val="single"/>
            <w:rtl/>
          </w:rPr>
          <w:t>סעיף 40ט'</w:t>
        </w:r>
      </w:hyperlink>
      <w:r w:rsidRPr="00BE37BD">
        <w:rPr>
          <w:rtl/>
        </w:rPr>
        <w:t xml:space="preserve"> ל</w:t>
      </w:r>
      <w:hyperlink r:id="rId22" w:history="1">
        <w:r w:rsidR="005C5A9F" w:rsidRPr="005C5A9F">
          <w:rPr>
            <w:color w:val="0000FF"/>
            <w:u w:val="single"/>
            <w:rtl/>
          </w:rPr>
          <w:t>חוק העונשין</w:t>
        </w:r>
      </w:hyperlink>
      <w:r w:rsidRPr="00BE37BD">
        <w:rPr>
          <w:rtl/>
        </w:rPr>
        <w:t>.</w:t>
      </w:r>
    </w:p>
    <w:p w14:paraId="5C709253" w14:textId="77777777" w:rsidR="0008716B" w:rsidRDefault="0008716B" w:rsidP="0008716B">
      <w:pPr>
        <w:pStyle w:val="a9"/>
        <w:spacing w:line="360" w:lineRule="auto"/>
        <w:ind w:left="0"/>
        <w:jc w:val="both"/>
      </w:pPr>
    </w:p>
    <w:p w14:paraId="65AA722F" w14:textId="77777777" w:rsidR="0008716B" w:rsidRDefault="0008716B" w:rsidP="0008716B">
      <w:pPr>
        <w:pStyle w:val="a9"/>
        <w:numPr>
          <w:ilvl w:val="0"/>
          <w:numId w:val="1"/>
        </w:numPr>
        <w:spacing w:line="360" w:lineRule="auto"/>
        <w:jc w:val="both"/>
      </w:pPr>
      <w:r>
        <w:rPr>
          <w:rtl/>
        </w:rPr>
        <w:t>טרם דיון, יש להכריע בשאלה האם יש בעובדה שהצדדים הציגו הסדר טיעון הכולל מגבלה עונשית, כדי לפטור את בית המשפט מדיון בשאלת מתחם הענישה. בנושא זה הובעו דעות שונות בבית המשפט העליון ו"</w:t>
      </w:r>
      <w:r>
        <w:rPr>
          <w:rFonts w:ascii="Arial TUR" w:hAnsi="Arial TUR" w:cs="Miriam" w:hint="cs"/>
          <w:spacing w:val="10"/>
          <w:rtl/>
        </w:rPr>
        <w:t>נראה שטרם נקבעה הלכה מחייבת בנדון</w:t>
      </w:r>
      <w:r>
        <w:rPr>
          <w:rtl/>
        </w:rPr>
        <w:t>" (</w:t>
      </w:r>
      <w:hyperlink r:id="rId23" w:history="1">
        <w:r w:rsidR="005C5A9F" w:rsidRPr="005C5A9F">
          <w:rPr>
            <w:color w:val="0000FF"/>
            <w:u w:val="single"/>
            <w:rtl/>
          </w:rPr>
          <w:t>ע"פ 8109/15</w:t>
        </w:r>
      </w:hyperlink>
      <w:r>
        <w:rPr>
          <w:rtl/>
        </w:rPr>
        <w:t xml:space="preserve"> </w:t>
      </w:r>
      <w:r>
        <w:rPr>
          <w:b/>
          <w:bCs/>
          <w:rtl/>
        </w:rPr>
        <w:t>אהרון אביטן נ' מדינת ישראל</w:t>
      </w:r>
      <w:r>
        <w:rPr>
          <w:rtl/>
        </w:rPr>
        <w:t xml:space="preserve"> (9.6.16)).</w:t>
      </w:r>
      <w:r>
        <w:rPr>
          <w:rFonts w:ascii="Arial TUR" w:hAnsi="Arial TUR" w:cs="FrankRuehl" w:hint="cs"/>
          <w:spacing w:val="10"/>
          <w:sz w:val="28"/>
          <w:szCs w:val="28"/>
          <w:rtl/>
        </w:rPr>
        <w:t xml:space="preserve"> </w:t>
      </w:r>
      <w:r>
        <w:rPr>
          <w:rtl/>
        </w:rPr>
        <w:t>עם זאת, ברי כי "</w:t>
      </w:r>
      <w:r>
        <w:rPr>
          <w:rFonts w:cs="Miriam" w:hint="cs"/>
          <w:rtl/>
        </w:rPr>
        <w:t>אין בית המשפט כבול לעונש או לטווח ענישה שהוסכם בין הצדדים בהסדר טיעון, ועליו להחליט בהתאם לשיקול דעתו אם לכבד הסכמות אלה אם לאו. זאת, בהתחשב עם סבירות ההקלות שניתנו לנאשם בהסדר הטיעון והשיקולים שעמדו ביסוד הקלות אלה, מבחינת התאמתם לאינטרס הציבורי ולקידום תכליות המשפט הפלילי</w:t>
      </w:r>
      <w:r>
        <w:rPr>
          <w:rFonts w:ascii="Calibri" w:hAnsi="Calibri" w:cs="Miriam" w:hint="cs"/>
          <w:rtl/>
        </w:rPr>
        <w:t xml:space="preserve">" </w:t>
      </w:r>
      <w:r>
        <w:rPr>
          <w:rFonts w:ascii="Calibri" w:hAnsi="Calibri"/>
          <w:rtl/>
        </w:rPr>
        <w:t>(</w:t>
      </w:r>
      <w:hyperlink r:id="rId24" w:history="1">
        <w:r w:rsidR="005C5A9F" w:rsidRPr="005C5A9F">
          <w:rPr>
            <w:color w:val="0000FF"/>
            <w:u w:val="single"/>
            <w:rtl/>
          </w:rPr>
          <w:t>ע"פ 4301/15</w:t>
        </w:r>
      </w:hyperlink>
      <w:r>
        <w:rPr>
          <w:rtl/>
        </w:rPr>
        <w:t xml:space="preserve"> </w:t>
      </w:r>
      <w:r>
        <w:rPr>
          <w:b/>
          <w:bCs/>
          <w:rtl/>
        </w:rPr>
        <w:t>יאשיהו יוסף פינטו נ' מדינת ישראל</w:t>
      </w:r>
      <w:r>
        <w:rPr>
          <w:rtl/>
        </w:rPr>
        <w:t xml:space="preserve"> (5.1.16)). אציין כי בשל הצורך לבחון את סבירות ההקלה לה זכה הנאשם, בעטיו של הסדר הטיעון</w:t>
      </w:r>
      <w:r>
        <w:rPr>
          <w:rFonts w:cs="Miriam" w:hint="cs"/>
          <w:rtl/>
        </w:rPr>
        <w:t xml:space="preserve">, </w:t>
      </w:r>
      <w:r>
        <w:rPr>
          <w:rtl/>
        </w:rPr>
        <w:t>נומקה העמדה המצדדת בצורך</w:t>
      </w:r>
      <w:r>
        <w:rPr>
          <w:rFonts w:cs="Miriam" w:hint="cs"/>
          <w:rtl/>
        </w:rPr>
        <w:t xml:space="preserve"> </w:t>
      </w:r>
      <w:r>
        <w:rPr>
          <w:rtl/>
        </w:rPr>
        <w:t xml:space="preserve">בקביעת מתחם ענישה גם במקרה של הסדר טיעון, בכך שהדבר יוצר שקיפות, כך שהציבור זוכה לדעת בבירור את מידת ההקלה לה זכה הנאשם בשל הסדר הטיעון (עמדת השופט מלצר בע"פ 512/13 </w:t>
      </w:r>
      <w:r>
        <w:rPr>
          <w:b/>
          <w:bCs/>
          <w:rtl/>
        </w:rPr>
        <w:t>פלוני נ' מדינת ישראל</w:t>
      </w:r>
      <w:r>
        <w:rPr>
          <w:rtl/>
        </w:rPr>
        <w:t xml:space="preserve"> (4.12.13)). כמו כן נומקה עמדה זו בכך שהדבר מעמיד בפני בית המשפט כלי מדידה יעיל לבחינת סבירות הסדר הטיעון</w:t>
      </w:r>
      <w:r>
        <w:rPr>
          <w:rFonts w:cs="Miriam" w:hint="cs"/>
          <w:rtl/>
        </w:rPr>
        <w:t xml:space="preserve"> "</w:t>
      </w:r>
      <w:r>
        <w:rPr>
          <w:rFonts w:ascii="Calibri" w:hAnsi="Calibri" w:cs="Miriam" w:hint="cs"/>
          <w:rtl/>
        </w:rPr>
        <w:t>לפחות במקרים בהם סבירות הסדר הטיעון אינה ברורה על פניה"</w:t>
      </w:r>
      <w:r>
        <w:rPr>
          <w:rFonts w:ascii="Calibri" w:hAnsi="Calibri" w:cs="Arial"/>
          <w:sz w:val="22"/>
          <w:szCs w:val="22"/>
          <w:rtl/>
        </w:rPr>
        <w:t xml:space="preserve"> </w:t>
      </w:r>
      <w:r>
        <w:rPr>
          <w:rtl/>
        </w:rPr>
        <w:t>(עמדת השופט מזוז ב</w:t>
      </w:r>
      <w:hyperlink r:id="rId25" w:history="1">
        <w:r w:rsidR="005C5A9F" w:rsidRPr="005C5A9F">
          <w:rPr>
            <w:color w:val="0000FF"/>
            <w:u w:val="single"/>
            <w:rtl/>
          </w:rPr>
          <w:t>ע"פ 4301/15</w:t>
        </w:r>
      </w:hyperlink>
      <w:r>
        <w:rPr>
          <w:rtl/>
        </w:rPr>
        <w:t xml:space="preserve"> </w:t>
      </w:r>
      <w:r>
        <w:rPr>
          <w:b/>
          <w:bCs/>
          <w:rtl/>
        </w:rPr>
        <w:t>יאשיהו יוסף פינטו נ' מדינת ישראל</w:t>
      </w:r>
      <w:r>
        <w:rPr>
          <w:rtl/>
        </w:rPr>
        <w:t xml:space="preserve"> (5.1.16)).</w:t>
      </w:r>
      <w:r>
        <w:rPr>
          <w:rFonts w:ascii="Calibri" w:hAnsi="Calibri" w:cs="Arial"/>
          <w:sz w:val="22"/>
          <w:szCs w:val="22"/>
          <w:rtl/>
        </w:rPr>
        <w:t xml:space="preserve"> </w:t>
      </w:r>
      <w:r>
        <w:rPr>
          <w:rtl/>
        </w:rPr>
        <w:t xml:space="preserve">וראו גם: אורן איל-גזל </w:t>
      </w:r>
      <w:r>
        <w:rPr>
          <w:b/>
          <w:bCs/>
          <w:rtl/>
        </w:rPr>
        <w:t>"העונש ההולם לא תמיד יהלום"</w:t>
      </w:r>
      <w:r>
        <w:rPr>
          <w:rtl/>
        </w:rPr>
        <w:t xml:space="preserve">, עורך הדין 70 (אוקטובר 2013)). </w:t>
      </w:r>
    </w:p>
    <w:p w14:paraId="56EB74D3" w14:textId="77777777" w:rsidR="0008716B" w:rsidRDefault="0008716B" w:rsidP="0008716B">
      <w:pPr>
        <w:pStyle w:val="a9"/>
        <w:spacing w:line="360" w:lineRule="auto"/>
        <w:ind w:left="0"/>
        <w:jc w:val="both"/>
      </w:pPr>
    </w:p>
    <w:p w14:paraId="21EDB73E" w14:textId="77777777" w:rsidR="0008716B" w:rsidRDefault="0008716B" w:rsidP="0008716B">
      <w:pPr>
        <w:pStyle w:val="a9"/>
        <w:numPr>
          <w:ilvl w:val="0"/>
          <w:numId w:val="1"/>
        </w:numPr>
        <w:spacing w:line="360" w:lineRule="auto"/>
        <w:jc w:val="both"/>
      </w:pPr>
      <w:r>
        <w:rPr>
          <w:rtl/>
        </w:rPr>
        <w:t xml:space="preserve">כאמור, אין מדובר בהלכה מחייבת והנושא טרם הוכרע. </w:t>
      </w:r>
      <w:r>
        <w:rPr>
          <w:rFonts w:hint="cs"/>
          <w:rtl/>
        </w:rPr>
        <w:t xml:space="preserve">עם זאת, בשל עתירת </w:t>
      </w:r>
      <w:r>
        <w:rPr>
          <w:rtl/>
        </w:rPr>
        <w:t>הסנגור לשקול חריגה ממתחם</w:t>
      </w:r>
      <w:r>
        <w:rPr>
          <w:rFonts w:hint="cs"/>
          <w:rtl/>
        </w:rPr>
        <w:t xml:space="preserve"> הענישה עד כדי הסתפקות בצו של"צ</w:t>
      </w:r>
      <w:r>
        <w:rPr>
          <w:rtl/>
        </w:rPr>
        <w:t>, ראיתי לנכון להתייחס לשאלת מתחם הענישה.</w:t>
      </w:r>
    </w:p>
    <w:p w14:paraId="379B9147" w14:textId="77777777" w:rsidR="0008716B" w:rsidRPr="0078319E" w:rsidRDefault="0008716B" w:rsidP="0008716B">
      <w:pPr>
        <w:pStyle w:val="a9"/>
        <w:spacing w:line="360" w:lineRule="auto"/>
        <w:ind w:left="0"/>
        <w:jc w:val="both"/>
        <w:rPr>
          <w:rtl/>
        </w:rPr>
      </w:pPr>
    </w:p>
    <w:p w14:paraId="66211CC5" w14:textId="77777777" w:rsidR="0008716B" w:rsidRDefault="0008716B" w:rsidP="0008716B">
      <w:pPr>
        <w:pStyle w:val="a9"/>
        <w:numPr>
          <w:ilvl w:val="0"/>
          <w:numId w:val="1"/>
        </w:numPr>
        <w:spacing w:line="360" w:lineRule="auto"/>
      </w:pPr>
      <w:r>
        <w:rPr>
          <w:b/>
          <w:bCs/>
          <w:rtl/>
        </w:rPr>
        <w:t>הערכים המוגנים בבסיס העביר</w:t>
      </w:r>
      <w:r>
        <w:rPr>
          <w:rFonts w:hint="cs"/>
          <w:b/>
          <w:bCs/>
          <w:rtl/>
        </w:rPr>
        <w:t>ות</w:t>
      </w:r>
      <w:r w:rsidRPr="00BE37BD">
        <w:rPr>
          <w:b/>
          <w:bCs/>
          <w:rtl/>
        </w:rPr>
        <w:t>:</w:t>
      </w:r>
      <w:r w:rsidRPr="00BE37BD">
        <w:rPr>
          <w:rFonts w:ascii="David" w:hAnsi="David"/>
          <w:rtl/>
        </w:rPr>
        <w:t xml:space="preserve"> במעשיו פגע הנאשם בערכים של בטחון הציבור ושלומו. הסכנות הטמונות בהחזקת סם, לצורך גידולו והפצתו, ידועות ואין צורך להכביר מילים על הנזקים שעלולים להיגרם לחברה ולפרט ממעשים אלו. פעם אחר פעם נפסק כי יש לראות בחומרה רבה את עבירות הסמים אשר הפכו מכת מדינה וכי תוצאותיהן הישירות והעקיפות הן הרות אסון לשלומה של החברה, לבריאותה ולביטחונה.  </w:t>
      </w:r>
    </w:p>
    <w:p w14:paraId="1F599273" w14:textId="77777777" w:rsidR="0008716B" w:rsidRDefault="0008716B" w:rsidP="0008716B">
      <w:pPr>
        <w:pStyle w:val="a9"/>
        <w:spacing w:line="360" w:lineRule="auto"/>
        <w:ind w:left="0"/>
        <w:rPr>
          <w:rtl/>
        </w:rPr>
      </w:pPr>
    </w:p>
    <w:p w14:paraId="4A541A4C" w14:textId="77777777" w:rsidR="0008716B" w:rsidRDefault="0008716B" w:rsidP="0008716B">
      <w:pPr>
        <w:pStyle w:val="a9"/>
        <w:spacing w:line="360" w:lineRule="auto"/>
        <w:ind w:left="0"/>
        <w:rPr>
          <w:rtl/>
        </w:rPr>
      </w:pPr>
      <w:r>
        <w:rPr>
          <w:rtl/>
        </w:rPr>
        <w:tab/>
      </w:r>
      <w:r>
        <w:rPr>
          <w:b/>
          <w:bCs/>
          <w:u w:val="single"/>
          <w:rtl/>
        </w:rPr>
        <w:t>נסיבות הקשורות לביצוע העביר</w:t>
      </w:r>
      <w:r>
        <w:rPr>
          <w:rFonts w:hint="cs"/>
          <w:b/>
          <w:bCs/>
          <w:u w:val="single"/>
          <w:rtl/>
        </w:rPr>
        <w:t>ות</w:t>
      </w:r>
      <w:r>
        <w:rPr>
          <w:rtl/>
        </w:rPr>
        <w:t xml:space="preserve"> –  </w:t>
      </w:r>
      <w:r w:rsidRPr="00881700">
        <w:rPr>
          <w:rtl/>
        </w:rPr>
        <w:t xml:space="preserve"> </w:t>
      </w:r>
      <w:r>
        <w:rPr>
          <w:rtl/>
        </w:rPr>
        <w:t xml:space="preserve"> </w:t>
      </w:r>
    </w:p>
    <w:p w14:paraId="1781AB41" w14:textId="77777777" w:rsidR="0008716B" w:rsidRDefault="0008716B" w:rsidP="0008716B">
      <w:pPr>
        <w:pStyle w:val="a9"/>
        <w:spacing w:line="360" w:lineRule="auto"/>
        <w:ind w:left="0"/>
      </w:pPr>
    </w:p>
    <w:p w14:paraId="6493A7B1" w14:textId="77777777" w:rsidR="0008716B" w:rsidRDefault="0008716B" w:rsidP="0008716B">
      <w:pPr>
        <w:pStyle w:val="a9"/>
        <w:numPr>
          <w:ilvl w:val="0"/>
          <w:numId w:val="1"/>
        </w:numPr>
        <w:spacing w:line="360" w:lineRule="auto"/>
        <w:jc w:val="both"/>
      </w:pPr>
      <w:r w:rsidRPr="00BE37BD">
        <w:rPr>
          <w:b/>
          <w:bCs/>
          <w:rtl/>
        </w:rPr>
        <w:t>התכנון שקדם לביצ</w:t>
      </w:r>
      <w:r>
        <w:rPr>
          <w:b/>
          <w:bCs/>
          <w:rtl/>
        </w:rPr>
        <w:t>וע העביר</w:t>
      </w:r>
      <w:r>
        <w:rPr>
          <w:rFonts w:hint="cs"/>
          <w:b/>
          <w:bCs/>
          <w:rtl/>
        </w:rPr>
        <w:t>ות</w:t>
      </w:r>
      <w:r w:rsidRPr="00BE37BD">
        <w:rPr>
          <w:b/>
          <w:bCs/>
          <w:rtl/>
        </w:rPr>
        <w:t>:</w:t>
      </w:r>
      <w:r w:rsidRPr="00BE37BD">
        <w:rPr>
          <w:rtl/>
        </w:rPr>
        <w:t xml:space="preserve"> גידול סמים מחייב תכנון מוקדם, לימוד, רכישת ציוד, היערכות והתמדה. הנאשם </w:t>
      </w:r>
      <w:r>
        <w:rPr>
          <w:rFonts w:hint="cs"/>
          <w:rtl/>
        </w:rPr>
        <w:t>שכר מחסן אותו ייעד</w:t>
      </w:r>
      <w:r w:rsidRPr="00BE37BD">
        <w:rPr>
          <w:rtl/>
        </w:rPr>
        <w:t xml:space="preserve"> ל</w:t>
      </w:r>
      <w:r>
        <w:rPr>
          <w:rFonts w:hint="cs"/>
          <w:rtl/>
        </w:rPr>
        <w:t xml:space="preserve">צורך </w:t>
      </w:r>
      <w:r w:rsidRPr="00BE37BD">
        <w:rPr>
          <w:rtl/>
        </w:rPr>
        <w:t xml:space="preserve">גידול </w:t>
      </w:r>
      <w:r>
        <w:rPr>
          <w:rFonts w:hint="cs"/>
          <w:rtl/>
        </w:rPr>
        <w:t>ה</w:t>
      </w:r>
      <w:r w:rsidRPr="00BE37BD">
        <w:rPr>
          <w:rtl/>
        </w:rPr>
        <w:t>סמים</w:t>
      </w:r>
      <w:r>
        <w:rPr>
          <w:rFonts w:hint="cs"/>
          <w:rtl/>
        </w:rPr>
        <w:t xml:space="preserve"> ושילם עבורו דמי שכירות חודשים בסך 2,500 ש"ח. הוא </w:t>
      </w:r>
      <w:r w:rsidRPr="00BE37BD">
        <w:rPr>
          <w:rtl/>
        </w:rPr>
        <w:t>הצטייד בכלים רבים, כמפורט בכתב האישום</w:t>
      </w:r>
      <w:r>
        <w:rPr>
          <w:rFonts w:hint="cs"/>
          <w:rtl/>
        </w:rPr>
        <w:t xml:space="preserve"> וכעולה מעיון בתמונות שהוגשו (ע/1). ניכר אפוא שהושקעו מאמצים וכספים רבים "במיזם" זה.</w:t>
      </w:r>
      <w:r w:rsidRPr="00BE37BD">
        <w:rPr>
          <w:rtl/>
        </w:rPr>
        <w:t xml:space="preserve"> </w:t>
      </w:r>
    </w:p>
    <w:p w14:paraId="0F950B4B" w14:textId="77777777" w:rsidR="0008716B" w:rsidRPr="00BE37BD" w:rsidRDefault="0008716B" w:rsidP="0008716B">
      <w:pPr>
        <w:pStyle w:val="a9"/>
        <w:spacing w:line="360" w:lineRule="auto"/>
        <w:ind w:left="0"/>
        <w:jc w:val="both"/>
      </w:pPr>
    </w:p>
    <w:p w14:paraId="63DEF57D" w14:textId="77777777" w:rsidR="0008716B" w:rsidRDefault="0008716B" w:rsidP="0008716B">
      <w:pPr>
        <w:spacing w:line="360" w:lineRule="auto"/>
        <w:ind w:firstLine="720"/>
        <w:jc w:val="both"/>
        <w:rPr>
          <w:rtl/>
        </w:rPr>
      </w:pPr>
      <w:r w:rsidRPr="00357F23">
        <w:rPr>
          <w:b/>
          <w:bCs/>
          <w:rtl/>
        </w:rPr>
        <w:t>הנסיב</w:t>
      </w:r>
      <w:r>
        <w:rPr>
          <w:b/>
          <w:bCs/>
          <w:rtl/>
        </w:rPr>
        <w:t>ות שהביאו את הנאשם לביצוע העביר</w:t>
      </w:r>
      <w:r>
        <w:rPr>
          <w:rFonts w:hint="cs"/>
          <w:b/>
          <w:bCs/>
          <w:rtl/>
        </w:rPr>
        <w:t>ות</w:t>
      </w:r>
      <w:r w:rsidRPr="00357F23">
        <w:rPr>
          <w:rtl/>
        </w:rPr>
        <w:t xml:space="preserve"> – </w:t>
      </w:r>
      <w:r>
        <w:rPr>
          <w:b/>
          <w:bCs/>
          <w:rtl/>
        </w:rPr>
        <w:t>מטרת גידול הסמים:</w:t>
      </w:r>
      <w:r>
        <w:rPr>
          <w:rtl/>
        </w:rPr>
        <w:t xml:space="preserve"> בשונה מעבירת </w:t>
      </w:r>
      <w:r w:rsidRPr="0065320D">
        <w:rPr>
          <w:rtl/>
        </w:rPr>
        <w:t xml:space="preserve">החזקת סם, עבירת גידול סמים לפי </w:t>
      </w:r>
      <w:hyperlink r:id="rId26" w:history="1">
        <w:r w:rsidR="00A25CCA" w:rsidRPr="00A25CCA">
          <w:rPr>
            <w:color w:val="0000FF"/>
            <w:u w:val="single"/>
            <w:rtl/>
          </w:rPr>
          <w:t>סעיף 6</w:t>
        </w:r>
      </w:hyperlink>
      <w:r w:rsidRPr="0065320D">
        <w:rPr>
          <w:rtl/>
        </w:rPr>
        <w:t xml:space="preserve"> לפקודת הסמים, אינה כוללת חלופה עונשית קלה יותר במקרה בו מוכח שמטרת הגידול הייתה לשימוש עצמי. עם זאת, ברי שמדובר בנסיבה משמעותית לעונש (ראו </w:t>
      </w:r>
      <w:hyperlink r:id="rId27" w:history="1">
        <w:r w:rsidR="00A25CCA" w:rsidRPr="00A25CCA">
          <w:rPr>
            <w:color w:val="0000FF"/>
            <w:u w:val="single"/>
            <w:rtl/>
          </w:rPr>
          <w:t>סעיף 40ט'(5)</w:t>
        </w:r>
      </w:hyperlink>
      <w:r w:rsidRPr="0065320D">
        <w:rPr>
          <w:rtl/>
        </w:rPr>
        <w:t xml:space="preserve"> ל</w:t>
      </w:r>
      <w:hyperlink r:id="rId28" w:history="1">
        <w:r w:rsidR="005C5A9F" w:rsidRPr="005C5A9F">
          <w:rPr>
            <w:color w:val="0000FF"/>
            <w:u w:val="single"/>
            <w:rtl/>
          </w:rPr>
          <w:t>חוק העונשין</w:t>
        </w:r>
      </w:hyperlink>
      <w:r w:rsidRPr="0065320D">
        <w:rPr>
          <w:rtl/>
        </w:rPr>
        <w:t>, לעניין הסיבה שהביאה לביצוע העבירה</w:t>
      </w:r>
      <w:r>
        <w:rPr>
          <w:rFonts w:hint="cs"/>
          <w:rtl/>
        </w:rPr>
        <w:t>;</w:t>
      </w:r>
      <w:r w:rsidRPr="0065320D">
        <w:rPr>
          <w:rtl/>
        </w:rPr>
        <w:t xml:space="preserve"> ולעניין הנזק הצפוי רא</w:t>
      </w:r>
      <w:r>
        <w:rPr>
          <w:rFonts w:hint="cs"/>
          <w:rtl/>
        </w:rPr>
        <w:t>ו</w:t>
      </w:r>
      <w:r w:rsidRPr="0065320D">
        <w:rPr>
          <w:rtl/>
        </w:rPr>
        <w:t xml:space="preserve"> סעיפים </w:t>
      </w:r>
      <w:hyperlink r:id="rId29" w:history="1">
        <w:r w:rsidR="00A25CCA" w:rsidRPr="00A25CCA">
          <w:rPr>
            <w:color w:val="0000FF"/>
            <w:u w:val="single"/>
            <w:rtl/>
          </w:rPr>
          <w:t>40ט' (3)-(4)</w:t>
        </w:r>
      </w:hyperlink>
      <w:r w:rsidRPr="0065320D">
        <w:rPr>
          <w:rtl/>
        </w:rPr>
        <w:t xml:space="preserve"> לחוק העונשין). </w:t>
      </w:r>
    </w:p>
    <w:p w14:paraId="7B7CB3EB" w14:textId="77777777" w:rsidR="0008716B" w:rsidRDefault="0008716B" w:rsidP="0008716B">
      <w:pPr>
        <w:spacing w:line="360" w:lineRule="auto"/>
        <w:jc w:val="both"/>
        <w:rPr>
          <w:rtl/>
        </w:rPr>
      </w:pPr>
    </w:p>
    <w:p w14:paraId="7A0F33B5" w14:textId="77777777" w:rsidR="0008716B" w:rsidRDefault="0008716B" w:rsidP="0008716B">
      <w:pPr>
        <w:spacing w:line="360" w:lineRule="auto"/>
        <w:jc w:val="both"/>
        <w:rPr>
          <w:rtl/>
        </w:rPr>
      </w:pPr>
      <w:r>
        <w:rPr>
          <w:rtl/>
        </w:rPr>
        <w:tab/>
      </w:r>
      <w:r>
        <w:rPr>
          <w:rFonts w:hint="cs"/>
          <w:rtl/>
        </w:rPr>
        <w:t xml:space="preserve">בכתב האישום יוחסה לנאשם עבירה של החזקת כלים להכנת סם </w:t>
      </w:r>
      <w:r w:rsidRPr="009C149E">
        <w:rPr>
          <w:rFonts w:hint="cs"/>
          <w:u w:val="single"/>
          <w:rtl/>
        </w:rPr>
        <w:t>שלא</w:t>
      </w:r>
      <w:r>
        <w:rPr>
          <w:rFonts w:hint="cs"/>
          <w:rtl/>
        </w:rPr>
        <w:t xml:space="preserve"> לצריכה עצמית. הכלים הם אלו ששימשו לגידול הסם וכפועל יוצא מכך גידול </w:t>
      </w:r>
      <w:r>
        <w:rPr>
          <w:rtl/>
        </w:rPr>
        <w:t xml:space="preserve">הסמים </w:t>
      </w:r>
      <w:r w:rsidRPr="00357F23">
        <w:rPr>
          <w:rtl/>
        </w:rPr>
        <w:t>הי</w:t>
      </w:r>
      <w:r>
        <w:rPr>
          <w:rFonts w:hint="cs"/>
          <w:rtl/>
        </w:rPr>
        <w:t>ה</w:t>
      </w:r>
      <w:r w:rsidRPr="00357F23">
        <w:rPr>
          <w:rtl/>
        </w:rPr>
        <w:t xml:space="preserve"> </w:t>
      </w:r>
      <w:r w:rsidRPr="00357F23">
        <w:rPr>
          <w:u w:val="single"/>
          <w:rtl/>
        </w:rPr>
        <w:t>שלא</w:t>
      </w:r>
      <w:r w:rsidRPr="00357F23">
        <w:rPr>
          <w:rtl/>
        </w:rPr>
        <w:t xml:space="preserve"> למטרת שימוש עצמי</w:t>
      </w:r>
      <w:r>
        <w:rPr>
          <w:rFonts w:hint="cs"/>
          <w:rtl/>
        </w:rPr>
        <w:t xml:space="preserve"> בלבד</w:t>
      </w:r>
      <w:r w:rsidRPr="00357F23">
        <w:rPr>
          <w:rtl/>
        </w:rPr>
        <w:t xml:space="preserve">. </w:t>
      </w:r>
      <w:r>
        <w:rPr>
          <w:rFonts w:hint="cs"/>
          <w:rtl/>
        </w:rPr>
        <w:t xml:space="preserve">נסיבה זו הוכחה אפוא מעבר לספק סביר באמצעות עובדות כתב האישום עצמו. אעיר כי העמדתי את הסנגור במפורש על חשיבותה של נסיבה זו (ראו פרוטוקול מיום 3.6.18) והנאשם בחר להודות בכתב האישום כפי שהוא בישיבה שלאחר מכן. לדידי, </w:t>
      </w:r>
      <w:r w:rsidRPr="00357F23">
        <w:rPr>
          <w:rtl/>
        </w:rPr>
        <w:t>לנסיבה זו משקל לא מבוטל בקביעת מתחם הענישה,</w:t>
      </w:r>
      <w:r>
        <w:rPr>
          <w:rFonts w:hint="cs"/>
          <w:rtl/>
        </w:rPr>
        <w:t xml:space="preserve"> שכן לא הרי מי שמגדל סם לשימוש עצמי בלבד, כהרי מי שעושה כן למטרות מסחריות</w:t>
      </w:r>
      <w:r w:rsidRPr="00357F23">
        <w:rPr>
          <w:rtl/>
        </w:rPr>
        <w:t xml:space="preserve">. </w:t>
      </w:r>
      <w:r>
        <w:rPr>
          <w:rFonts w:hint="cs"/>
          <w:rtl/>
        </w:rPr>
        <w:t>במקרה זה מדובר אף בשכירת מחסן בעלות כספית חודשית לא מבוטלת, כך שהתמונה הכללית כוללת נסיבה ברורה לחומרה בדבר מטרת הגידול.</w:t>
      </w:r>
    </w:p>
    <w:p w14:paraId="343F91FA" w14:textId="77777777" w:rsidR="0008716B" w:rsidRDefault="0008716B" w:rsidP="0008716B">
      <w:pPr>
        <w:spacing w:line="360" w:lineRule="auto"/>
        <w:jc w:val="both"/>
        <w:rPr>
          <w:rtl/>
        </w:rPr>
      </w:pPr>
    </w:p>
    <w:p w14:paraId="05CFFAF7" w14:textId="77777777" w:rsidR="0008716B" w:rsidRDefault="0008716B" w:rsidP="0008716B">
      <w:pPr>
        <w:spacing w:line="360" w:lineRule="auto"/>
        <w:jc w:val="both"/>
        <w:rPr>
          <w:rtl/>
        </w:rPr>
      </w:pPr>
      <w:r w:rsidRPr="00357F23">
        <w:rPr>
          <w:b/>
          <w:bCs/>
          <w:rtl/>
        </w:rPr>
        <w:t>הנזק שנגרם וכן שהיה צפוי להיגרם מביצוע העבירה</w:t>
      </w:r>
      <w:r w:rsidRPr="00357F23">
        <w:rPr>
          <w:rtl/>
        </w:rPr>
        <w:t xml:space="preserve"> –  המדובר בכמות שתילים גדולה</w:t>
      </w:r>
      <w:r>
        <w:rPr>
          <w:rFonts w:hint="cs"/>
          <w:rtl/>
        </w:rPr>
        <w:t xml:space="preserve"> יחסית</w:t>
      </w:r>
      <w:r w:rsidRPr="00357F23">
        <w:rPr>
          <w:rtl/>
        </w:rPr>
        <w:t xml:space="preserve"> (</w:t>
      </w:r>
      <w:r>
        <w:rPr>
          <w:rFonts w:hint="cs"/>
          <w:rtl/>
        </w:rPr>
        <w:t>45</w:t>
      </w:r>
      <w:r w:rsidRPr="00357F23">
        <w:rPr>
          <w:rtl/>
        </w:rPr>
        <w:t xml:space="preserve"> במספר), ולאור כך פוטנציאל הנזק גדול. כמות סם גדולה עתידה הייתה לעשות דרכה אל הרחובות </w:t>
      </w:r>
      <w:r>
        <w:rPr>
          <w:rFonts w:hint="cs"/>
          <w:rtl/>
        </w:rPr>
        <w:t xml:space="preserve">(ראו מטרת הגידול שנקבעה לעיל) </w:t>
      </w:r>
      <w:r w:rsidRPr="00357F23">
        <w:rPr>
          <w:rtl/>
        </w:rPr>
        <w:t>ומכאן הנזק שצפוי להיגרם מביצוע העבירה גדול אף הוא.</w:t>
      </w:r>
    </w:p>
    <w:p w14:paraId="16DB92BA" w14:textId="77777777" w:rsidR="0008716B" w:rsidRDefault="0008716B" w:rsidP="0008716B">
      <w:pPr>
        <w:spacing w:line="360" w:lineRule="auto"/>
        <w:jc w:val="both"/>
        <w:rPr>
          <w:rtl/>
        </w:rPr>
      </w:pPr>
    </w:p>
    <w:p w14:paraId="00989781" w14:textId="77777777" w:rsidR="0008716B" w:rsidRPr="00C04DE7" w:rsidRDefault="0008716B" w:rsidP="0008716B">
      <w:pPr>
        <w:pStyle w:val="a9"/>
        <w:numPr>
          <w:ilvl w:val="0"/>
          <w:numId w:val="1"/>
        </w:numPr>
        <w:spacing w:line="360" w:lineRule="auto"/>
        <w:jc w:val="both"/>
        <w:rPr>
          <w:u w:val="single"/>
          <w:rtl/>
        </w:rPr>
      </w:pPr>
      <w:r w:rsidRPr="00C04DE7">
        <w:rPr>
          <w:b/>
          <w:bCs/>
          <w:u w:val="single"/>
          <w:rtl/>
        </w:rPr>
        <w:t>מדיוניות הענישה</w:t>
      </w:r>
      <w:r w:rsidRPr="00C04DE7">
        <w:rPr>
          <w:u w:val="single"/>
          <w:rtl/>
        </w:rPr>
        <w:t>:</w:t>
      </w:r>
    </w:p>
    <w:p w14:paraId="78F8F099" w14:textId="77777777" w:rsidR="0008716B" w:rsidRPr="00C04DE7" w:rsidRDefault="0008716B" w:rsidP="0008716B">
      <w:pPr>
        <w:spacing w:line="360" w:lineRule="auto"/>
        <w:jc w:val="both"/>
        <w:rPr>
          <w:u w:val="single"/>
          <w:rtl/>
        </w:rPr>
      </w:pPr>
    </w:p>
    <w:p w14:paraId="01331B64" w14:textId="77777777" w:rsidR="0008716B" w:rsidRDefault="0008716B" w:rsidP="0008716B">
      <w:pPr>
        <w:spacing w:line="360" w:lineRule="auto"/>
        <w:jc w:val="both"/>
        <w:rPr>
          <w:rFonts w:cs="Times New Roman"/>
          <w:rtl/>
        </w:rPr>
      </w:pPr>
      <w:r w:rsidRPr="00C04DE7">
        <w:rPr>
          <w:b/>
          <w:bCs/>
          <w:rtl/>
        </w:rPr>
        <w:tab/>
      </w:r>
      <w:r w:rsidRPr="00C04DE7">
        <w:rPr>
          <w:rFonts w:ascii="David" w:hAnsi="David"/>
          <w:rtl/>
        </w:rPr>
        <w:t xml:space="preserve"> </w:t>
      </w:r>
      <w:r w:rsidRPr="00C04DE7">
        <w:rPr>
          <w:rtl/>
        </w:rPr>
        <w:t>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30" w:history="1">
        <w:r w:rsidR="005C5A9F" w:rsidRPr="005C5A9F">
          <w:rPr>
            <w:color w:val="0000FF"/>
            <w:u w:val="single"/>
            <w:rtl/>
          </w:rPr>
          <w:t>ע"פ 1987-04-10</w:t>
        </w:r>
      </w:hyperlink>
      <w:r w:rsidRPr="00C04DE7">
        <w:rPr>
          <w:rtl/>
        </w:rPr>
        <w:t xml:space="preserve"> </w:t>
      </w:r>
      <w:r w:rsidRPr="00C04DE7">
        <w:rPr>
          <w:b/>
          <w:bCs/>
          <w:rtl/>
        </w:rPr>
        <w:t>מדינת ישראל נ' אלוני</w:t>
      </w:r>
      <w:r w:rsidRPr="00C04DE7">
        <w:rPr>
          <w:rtl/>
        </w:rPr>
        <w:t xml:space="preserve"> (28.6.2010)). ב</w:t>
      </w:r>
      <w:hyperlink r:id="rId31" w:history="1">
        <w:r w:rsidR="005C5A9F" w:rsidRPr="005C5A9F">
          <w:rPr>
            <w:color w:val="0000FF"/>
            <w:u w:val="single"/>
            <w:rtl/>
          </w:rPr>
          <w:t>ע"פ 972/11</w:t>
        </w:r>
      </w:hyperlink>
      <w:r w:rsidRPr="00C04DE7">
        <w:rPr>
          <w:rtl/>
        </w:rPr>
        <w:t xml:space="preserve"> </w:t>
      </w:r>
      <w:r w:rsidRPr="00C04DE7">
        <w:rPr>
          <w:b/>
          <w:bCs/>
          <w:rtl/>
        </w:rPr>
        <w:t>מדינת ישראל נ' יניב יונה</w:t>
      </w:r>
      <w:r w:rsidRPr="00C04DE7">
        <w:rPr>
          <w:rtl/>
        </w:rPr>
        <w:t xml:space="preserve"> (4.7.12) נקבע כך: </w:t>
      </w:r>
    </w:p>
    <w:p w14:paraId="20AE8972" w14:textId="77777777" w:rsidR="0008716B" w:rsidRPr="00C04DE7" w:rsidRDefault="0008716B" w:rsidP="0008716B">
      <w:pPr>
        <w:spacing w:line="360" w:lineRule="auto"/>
        <w:jc w:val="both"/>
        <w:rPr>
          <w:rFonts w:cs="Times New Roman"/>
        </w:rPr>
      </w:pPr>
    </w:p>
    <w:p w14:paraId="62DBA425" w14:textId="77777777" w:rsidR="0008716B" w:rsidRPr="00C04DE7" w:rsidRDefault="0008716B" w:rsidP="0008716B">
      <w:pPr>
        <w:autoSpaceDE w:val="0"/>
        <w:autoSpaceDN w:val="0"/>
        <w:adjustRightInd w:val="0"/>
        <w:ind w:left="1440" w:right="1134"/>
        <w:jc w:val="both"/>
        <w:rPr>
          <w:rFonts w:cs="Miriam"/>
          <w:rtl/>
        </w:rPr>
      </w:pPr>
      <w:r w:rsidRPr="00C04DE7">
        <w:rPr>
          <w:rFonts w:cs="Miriam"/>
        </w:rPr>
        <w:t>"</w:t>
      </w:r>
      <w:r w:rsidRPr="00C04DE7">
        <w:rPr>
          <w:rFonts w:cs="Miriam"/>
          <w:rtl/>
        </w:rPr>
        <w:t>את</w:t>
      </w:r>
      <w:r w:rsidRPr="00C04DE7">
        <w:rPr>
          <w:rFonts w:cs="Miriam"/>
        </w:rPr>
        <w:t xml:space="preserve"> </w:t>
      </w:r>
      <w:r w:rsidRPr="00C04DE7">
        <w:rPr>
          <w:rFonts w:cs="Miriam"/>
          <w:rtl/>
        </w:rPr>
        <w:t>נגע</w:t>
      </w:r>
      <w:r w:rsidRPr="00C04DE7">
        <w:rPr>
          <w:rFonts w:cs="Miriam"/>
        </w:rPr>
        <w:t xml:space="preserve"> </w:t>
      </w:r>
      <w:r w:rsidRPr="00C04DE7">
        <w:rPr>
          <w:rFonts w:cs="Miriam"/>
          <w:rtl/>
        </w:rPr>
        <w:t>הסמים</w:t>
      </w:r>
      <w:r w:rsidRPr="00C04DE7">
        <w:rPr>
          <w:rFonts w:cs="Miriam"/>
        </w:rPr>
        <w:t xml:space="preserve"> </w:t>
      </w:r>
      <w:r w:rsidRPr="00C04DE7">
        <w:rPr>
          <w:rFonts w:cs="Miriam"/>
          <w:rtl/>
        </w:rPr>
        <w:t>יש</w:t>
      </w:r>
      <w:r w:rsidRPr="00C04DE7">
        <w:rPr>
          <w:rFonts w:cs="Miriam"/>
        </w:rPr>
        <w:t xml:space="preserve"> </w:t>
      </w:r>
      <w:r w:rsidRPr="00C04DE7">
        <w:rPr>
          <w:rFonts w:cs="Miriam"/>
          <w:rtl/>
        </w:rPr>
        <w:t>לעקור</w:t>
      </w:r>
      <w:r w:rsidRPr="00C04DE7">
        <w:rPr>
          <w:rFonts w:cs="Miriam"/>
        </w:rPr>
        <w:t xml:space="preserve"> </w:t>
      </w:r>
      <w:r w:rsidRPr="00C04DE7">
        <w:rPr>
          <w:rFonts w:cs="Miriam"/>
          <w:rtl/>
        </w:rPr>
        <w:t>מן</w:t>
      </w:r>
      <w:r w:rsidRPr="00C04DE7">
        <w:rPr>
          <w:rFonts w:cs="Miriam"/>
        </w:rPr>
        <w:t xml:space="preserve"> </w:t>
      </w:r>
      <w:r w:rsidRPr="00C04DE7">
        <w:rPr>
          <w:rFonts w:cs="Miriam"/>
          <w:rtl/>
        </w:rPr>
        <w:t>השורש</w:t>
      </w:r>
      <w:r w:rsidRPr="00C04DE7">
        <w:rPr>
          <w:rFonts w:cs="Miriam"/>
        </w:rPr>
        <w:t xml:space="preserve">. </w:t>
      </w:r>
      <w:r w:rsidRPr="00C04DE7">
        <w:rPr>
          <w:rFonts w:cs="Miriam"/>
          <w:rtl/>
        </w:rPr>
        <w:t>ייצור</w:t>
      </w:r>
      <w:r w:rsidRPr="00C04DE7">
        <w:rPr>
          <w:rFonts w:cs="Miriam"/>
        </w:rPr>
        <w:t xml:space="preserve">, </w:t>
      </w:r>
      <w:r w:rsidRPr="00C04DE7">
        <w:rPr>
          <w:rFonts w:cs="Miriam"/>
          <w:rtl/>
        </w:rPr>
        <w:t>הפצה</w:t>
      </w:r>
      <w:r w:rsidRPr="00C04DE7">
        <w:rPr>
          <w:rFonts w:cs="Miriam"/>
        </w:rPr>
        <w:t xml:space="preserve">, </w:t>
      </w:r>
      <w:r w:rsidRPr="00C04DE7">
        <w:rPr>
          <w:rFonts w:cs="Miriam"/>
          <w:rtl/>
        </w:rPr>
        <w:t>סחר</w:t>
      </w:r>
      <w:r w:rsidRPr="00C04DE7">
        <w:rPr>
          <w:rFonts w:cs="Miriam"/>
        </w:rPr>
        <w:t xml:space="preserve"> </w:t>
      </w:r>
      <w:r w:rsidRPr="00C04DE7">
        <w:rPr>
          <w:rFonts w:cs="Miriam"/>
          <w:rtl/>
        </w:rPr>
        <w:t>וכמובן</w:t>
      </w:r>
      <w:r w:rsidRPr="00C04DE7">
        <w:rPr>
          <w:rFonts w:cs="Miriam"/>
        </w:rPr>
        <w:t xml:space="preserve"> </w:t>
      </w:r>
      <w:r w:rsidRPr="00C04DE7">
        <w:rPr>
          <w:rFonts w:cs="Miriam"/>
          <w:rtl/>
        </w:rPr>
        <w:t>גם</w:t>
      </w:r>
      <w:r w:rsidRPr="00C04DE7">
        <w:rPr>
          <w:rFonts w:cs="Miriam"/>
        </w:rPr>
        <w:t xml:space="preserve"> </w:t>
      </w:r>
      <w:r w:rsidRPr="00C04DE7">
        <w:rPr>
          <w:rFonts w:cs="Miriam"/>
          <w:rtl/>
        </w:rPr>
        <w:t>שימוש</w:t>
      </w:r>
      <w:r w:rsidRPr="00C04DE7">
        <w:rPr>
          <w:rFonts w:cs="Miriam"/>
        </w:rPr>
        <w:t xml:space="preserve"> </w:t>
      </w:r>
      <w:r w:rsidRPr="00C04DE7">
        <w:rPr>
          <w:rFonts w:cs="Miriam"/>
          <w:rtl/>
        </w:rPr>
        <w:t>בסמים</w:t>
      </w:r>
      <w:r w:rsidRPr="00C04DE7">
        <w:rPr>
          <w:rFonts w:cs="Miriam"/>
        </w:rPr>
        <w:t xml:space="preserve"> – </w:t>
      </w:r>
      <w:r w:rsidRPr="00C04DE7">
        <w:rPr>
          <w:rFonts w:cs="Miriam"/>
          <w:rtl/>
        </w:rPr>
        <w:t>כל</w:t>
      </w:r>
      <w:r w:rsidRPr="00C04DE7">
        <w:rPr>
          <w:rFonts w:cs="Miriam"/>
        </w:rPr>
        <w:t xml:space="preserve"> </w:t>
      </w:r>
      <w:r w:rsidRPr="00C04DE7">
        <w:rPr>
          <w:rFonts w:cs="Miriam"/>
          <w:rtl/>
        </w:rPr>
        <w:t>אלו</w:t>
      </w:r>
      <w:r w:rsidRPr="00C04DE7">
        <w:rPr>
          <w:rFonts w:cs="Miriam"/>
        </w:rPr>
        <w:t xml:space="preserve"> </w:t>
      </w:r>
      <w:r w:rsidRPr="00C04DE7">
        <w:rPr>
          <w:rFonts w:cs="Miriam"/>
          <w:rtl/>
        </w:rPr>
        <w:t>מסבים</w:t>
      </w:r>
      <w:r w:rsidRPr="00C04DE7">
        <w:rPr>
          <w:rFonts w:cs="Miriam"/>
        </w:rPr>
        <w:t xml:space="preserve"> </w:t>
      </w:r>
      <w:r w:rsidRPr="00C04DE7">
        <w:rPr>
          <w:rFonts w:cs="Miriam"/>
          <w:rtl/>
        </w:rPr>
        <w:t>נזק</w:t>
      </w:r>
      <w:r w:rsidRPr="00C04DE7">
        <w:rPr>
          <w:rFonts w:cs="Miriam"/>
        </w:rPr>
        <w:t xml:space="preserve"> </w:t>
      </w:r>
      <w:r w:rsidRPr="00C04DE7">
        <w:rPr>
          <w:rFonts w:cs="Miriam"/>
          <w:rtl/>
        </w:rPr>
        <w:t>עצום</w:t>
      </w:r>
      <w:r w:rsidRPr="00C04DE7">
        <w:rPr>
          <w:rFonts w:cs="Miriam"/>
        </w:rPr>
        <w:t xml:space="preserve">. </w:t>
      </w:r>
      <w:r w:rsidRPr="00C04DE7">
        <w:rPr>
          <w:rFonts w:cs="Miriam"/>
          <w:rtl/>
        </w:rPr>
        <w:t>הנזק</w:t>
      </w:r>
      <w:r w:rsidRPr="00C04DE7">
        <w:rPr>
          <w:rFonts w:cs="Miriam"/>
        </w:rPr>
        <w:t xml:space="preserve"> </w:t>
      </w:r>
      <w:r w:rsidRPr="00C04DE7">
        <w:rPr>
          <w:rFonts w:cs="Miriam"/>
          <w:rtl/>
        </w:rPr>
        <w:t>נגרם</w:t>
      </w:r>
      <w:r w:rsidRPr="00C04DE7">
        <w:rPr>
          <w:rFonts w:cs="Miriam"/>
        </w:rPr>
        <w:t xml:space="preserve"> </w:t>
      </w:r>
      <w:r w:rsidRPr="00C04DE7">
        <w:rPr>
          <w:rFonts w:cs="Miriam"/>
          <w:rtl/>
        </w:rPr>
        <w:t>לא</w:t>
      </w:r>
      <w:r w:rsidRPr="00C04DE7">
        <w:rPr>
          <w:rFonts w:cs="Miriam"/>
        </w:rPr>
        <w:t xml:space="preserve"> </w:t>
      </w:r>
      <w:r w:rsidRPr="00C04DE7">
        <w:rPr>
          <w:rFonts w:cs="Miriam"/>
          <w:rtl/>
        </w:rPr>
        <w:t>רק</w:t>
      </w:r>
      <w:r w:rsidRPr="00C04DE7">
        <w:rPr>
          <w:rFonts w:cs="Miriam"/>
        </w:rPr>
        <w:t xml:space="preserve"> </w:t>
      </w:r>
      <w:r w:rsidRPr="00C04DE7">
        <w:rPr>
          <w:rFonts w:cs="Miriam"/>
          <w:rtl/>
        </w:rPr>
        <w:t>למעגל</w:t>
      </w:r>
      <w:r w:rsidRPr="00C04DE7">
        <w:rPr>
          <w:rFonts w:cs="Miriam"/>
        </w:rPr>
        <w:t xml:space="preserve"> </w:t>
      </w:r>
      <w:r w:rsidRPr="00C04DE7">
        <w:rPr>
          <w:rFonts w:cs="Miriam"/>
          <w:rtl/>
        </w:rPr>
        <w:t>הסגור</w:t>
      </w:r>
      <w:r w:rsidRPr="00C04DE7">
        <w:rPr>
          <w:rFonts w:cs="Miriam"/>
        </w:rPr>
        <w:t xml:space="preserve"> </w:t>
      </w:r>
      <w:r w:rsidRPr="00C04DE7">
        <w:rPr>
          <w:rFonts w:cs="Miriam"/>
          <w:rtl/>
        </w:rPr>
        <w:t>של</w:t>
      </w:r>
      <w:r w:rsidRPr="00C04DE7">
        <w:rPr>
          <w:rFonts w:cs="Miriam"/>
        </w:rPr>
        <w:t xml:space="preserve"> </w:t>
      </w:r>
      <w:r w:rsidRPr="00C04DE7">
        <w:rPr>
          <w:rFonts w:cs="Miriam"/>
          <w:rtl/>
        </w:rPr>
        <w:t>המעורבים</w:t>
      </w:r>
      <w:r w:rsidRPr="00C04DE7">
        <w:rPr>
          <w:rFonts w:cs="Miriam"/>
        </w:rPr>
        <w:t xml:space="preserve"> </w:t>
      </w:r>
      <w:r w:rsidRPr="00C04DE7">
        <w:rPr>
          <w:rFonts w:cs="Miriam"/>
          <w:rtl/>
        </w:rPr>
        <w:t>הישירים</w:t>
      </w:r>
      <w:r w:rsidRPr="00C04DE7">
        <w:rPr>
          <w:rFonts w:cs="Miriam"/>
        </w:rPr>
        <w:t xml:space="preserve"> </w:t>
      </w:r>
      <w:r w:rsidRPr="00C04DE7">
        <w:rPr>
          <w:rFonts w:cs="Miriam"/>
          <w:rtl/>
        </w:rPr>
        <w:t>בביצוע</w:t>
      </w:r>
      <w:r w:rsidRPr="00C04DE7">
        <w:rPr>
          <w:rFonts w:cs="Miriam"/>
        </w:rPr>
        <w:t xml:space="preserve"> </w:t>
      </w:r>
      <w:r w:rsidRPr="00C04DE7">
        <w:rPr>
          <w:rFonts w:cs="Miriam"/>
          <w:rtl/>
        </w:rPr>
        <w:t>העבירות</w:t>
      </w:r>
      <w:r w:rsidRPr="00C04DE7">
        <w:rPr>
          <w:rFonts w:cs="Miriam"/>
        </w:rPr>
        <w:t xml:space="preserve">, </w:t>
      </w:r>
      <w:r w:rsidRPr="00C04DE7">
        <w:rPr>
          <w:rFonts w:cs="Miriam"/>
          <w:rtl/>
        </w:rPr>
        <w:t>אלא</w:t>
      </w:r>
      <w:r w:rsidRPr="00C04DE7">
        <w:rPr>
          <w:rFonts w:cs="Miriam"/>
        </w:rPr>
        <w:t xml:space="preserve"> </w:t>
      </w:r>
      <w:r w:rsidRPr="00C04DE7">
        <w:rPr>
          <w:rFonts w:cs="Miriam"/>
          <w:rtl/>
        </w:rPr>
        <w:t>גם</w:t>
      </w:r>
      <w:r w:rsidRPr="00C04DE7">
        <w:rPr>
          <w:rFonts w:cs="Miriam"/>
        </w:rPr>
        <w:t xml:space="preserve"> </w:t>
      </w:r>
      <w:r w:rsidRPr="00C04DE7">
        <w:rPr>
          <w:rFonts w:cs="Miriam"/>
          <w:rtl/>
        </w:rPr>
        <w:t>לחברה</w:t>
      </w:r>
      <w:r w:rsidRPr="00C04DE7">
        <w:rPr>
          <w:rFonts w:cs="Miriam"/>
        </w:rPr>
        <w:t xml:space="preserve"> </w:t>
      </w:r>
      <w:r w:rsidRPr="00C04DE7">
        <w:rPr>
          <w:rFonts w:cs="Miriam"/>
          <w:rtl/>
        </w:rPr>
        <w:t>בכללותה</w:t>
      </w:r>
      <w:r w:rsidRPr="00C04DE7">
        <w:rPr>
          <w:rFonts w:cs="Miriam"/>
        </w:rPr>
        <w:t xml:space="preserve">... </w:t>
      </w:r>
      <w:r w:rsidRPr="00C04DE7">
        <w:rPr>
          <w:rFonts w:cs="Miriam"/>
          <w:rtl/>
        </w:rPr>
        <w:t>למאבק</w:t>
      </w:r>
      <w:r w:rsidRPr="00C04DE7">
        <w:rPr>
          <w:rFonts w:cs="Miriam"/>
        </w:rPr>
        <w:t xml:space="preserve"> </w:t>
      </w:r>
      <w:r w:rsidRPr="00C04DE7">
        <w:rPr>
          <w:rFonts w:cs="Miriam"/>
          <w:rtl/>
        </w:rPr>
        <w:t>בנגע</w:t>
      </w:r>
      <w:r w:rsidRPr="00C04DE7">
        <w:rPr>
          <w:rFonts w:cs="Miriam"/>
        </w:rPr>
        <w:t xml:space="preserve"> </w:t>
      </w:r>
      <w:r w:rsidRPr="00C04DE7">
        <w:rPr>
          <w:rFonts w:cs="Miriam"/>
          <w:rtl/>
        </w:rPr>
        <w:t>הסמים</w:t>
      </w:r>
      <w:r w:rsidRPr="00C04DE7">
        <w:rPr>
          <w:rFonts w:cs="Miriam"/>
        </w:rPr>
        <w:t xml:space="preserve"> </w:t>
      </w:r>
      <w:r w:rsidRPr="00C04DE7">
        <w:rPr>
          <w:rFonts w:cs="Miriam"/>
          <w:rtl/>
        </w:rPr>
        <w:t>יש</w:t>
      </w:r>
      <w:r w:rsidRPr="00C04DE7">
        <w:rPr>
          <w:rFonts w:cs="Miriam"/>
        </w:rPr>
        <w:t xml:space="preserve"> </w:t>
      </w:r>
      <w:r w:rsidRPr="00C04DE7">
        <w:rPr>
          <w:rFonts w:cs="Miriam"/>
          <w:rtl/>
        </w:rPr>
        <w:t>שותפים</w:t>
      </w:r>
      <w:r w:rsidRPr="00C04DE7">
        <w:rPr>
          <w:rFonts w:cs="Miriam"/>
        </w:rPr>
        <w:t xml:space="preserve"> </w:t>
      </w:r>
      <w:r w:rsidRPr="00C04DE7">
        <w:rPr>
          <w:rFonts w:cs="Miriam"/>
          <w:rtl/>
        </w:rPr>
        <w:t>רבים</w:t>
      </w:r>
      <w:r w:rsidRPr="00C04DE7">
        <w:rPr>
          <w:rFonts w:cs="Miriam"/>
        </w:rPr>
        <w:t xml:space="preserve">... </w:t>
      </w:r>
      <w:r w:rsidRPr="00C04DE7">
        <w:rPr>
          <w:rFonts w:cs="Miriam"/>
          <w:rtl/>
        </w:rPr>
        <w:t>אף</w:t>
      </w:r>
      <w:r w:rsidRPr="00C04DE7">
        <w:rPr>
          <w:rFonts w:cs="Miriam"/>
        </w:rPr>
        <w:t xml:space="preserve"> </w:t>
      </w:r>
      <w:r w:rsidRPr="00C04DE7">
        <w:rPr>
          <w:rFonts w:cs="Miriam"/>
          <w:rtl/>
        </w:rPr>
        <w:t>בית</w:t>
      </w:r>
      <w:r w:rsidRPr="00C04DE7">
        <w:rPr>
          <w:rFonts w:cs="Miriam"/>
        </w:rPr>
        <w:t xml:space="preserve"> </w:t>
      </w:r>
      <w:r w:rsidRPr="00C04DE7">
        <w:rPr>
          <w:rFonts w:cs="Miriam"/>
          <w:rtl/>
        </w:rPr>
        <w:t>המשפט</w:t>
      </w:r>
      <w:r w:rsidRPr="00C04DE7">
        <w:rPr>
          <w:rFonts w:cs="Miriam"/>
        </w:rPr>
        <w:t xml:space="preserve"> </w:t>
      </w:r>
      <w:r w:rsidRPr="00C04DE7">
        <w:rPr>
          <w:rFonts w:cs="Miriam"/>
          <w:rtl/>
        </w:rPr>
        <w:t>נוטל</w:t>
      </w:r>
      <w:r w:rsidRPr="00C04DE7">
        <w:rPr>
          <w:rFonts w:cs="Miriam"/>
        </w:rPr>
        <w:t xml:space="preserve"> </w:t>
      </w:r>
      <w:r w:rsidRPr="00C04DE7">
        <w:rPr>
          <w:rFonts w:cs="Miriam"/>
          <w:rtl/>
        </w:rPr>
        <w:t>חלק</w:t>
      </w:r>
      <w:r w:rsidRPr="00C04DE7">
        <w:rPr>
          <w:rFonts w:cs="Miriam"/>
        </w:rPr>
        <w:t xml:space="preserve"> </w:t>
      </w:r>
      <w:r w:rsidRPr="00C04DE7">
        <w:rPr>
          <w:rFonts w:cs="Miriam"/>
          <w:rtl/>
        </w:rPr>
        <w:t>חשוב</w:t>
      </w:r>
      <w:r w:rsidRPr="00C04DE7">
        <w:rPr>
          <w:rFonts w:cs="Miriam"/>
        </w:rPr>
        <w:t xml:space="preserve"> </w:t>
      </w:r>
      <w:r w:rsidRPr="00C04DE7">
        <w:rPr>
          <w:rFonts w:cs="Miriam"/>
          <w:rtl/>
        </w:rPr>
        <w:t>במאבק</w:t>
      </w:r>
      <w:r w:rsidRPr="00C04DE7">
        <w:rPr>
          <w:rFonts w:cs="Miriam"/>
        </w:rPr>
        <w:t xml:space="preserve">, </w:t>
      </w:r>
      <w:r w:rsidRPr="00C04DE7">
        <w:rPr>
          <w:rFonts w:cs="Miriam"/>
          <w:rtl/>
        </w:rPr>
        <w:t>באמצעות</w:t>
      </w:r>
      <w:r w:rsidRPr="00C04DE7">
        <w:rPr>
          <w:rFonts w:cs="Miriam"/>
        </w:rPr>
        <w:t xml:space="preserve"> </w:t>
      </w:r>
      <w:r w:rsidRPr="00C04DE7">
        <w:rPr>
          <w:rFonts w:cs="Miriam"/>
          <w:rtl/>
        </w:rPr>
        <w:t>הטלת</w:t>
      </w:r>
      <w:r w:rsidRPr="00C04DE7">
        <w:rPr>
          <w:rFonts w:cs="Miriam"/>
        </w:rPr>
        <w:t xml:space="preserve"> </w:t>
      </w:r>
      <w:r w:rsidRPr="00C04DE7">
        <w:rPr>
          <w:rFonts w:cs="Miriam"/>
          <w:rtl/>
        </w:rPr>
        <w:t>עונש</w:t>
      </w:r>
      <w:r w:rsidRPr="00C04DE7">
        <w:rPr>
          <w:rFonts w:cs="Miriam"/>
        </w:rPr>
        <w:t xml:space="preserve"> </w:t>
      </w:r>
      <w:r w:rsidRPr="00C04DE7">
        <w:rPr>
          <w:rFonts w:cs="Miriam"/>
          <w:rtl/>
        </w:rPr>
        <w:t>מרתיע</w:t>
      </w:r>
      <w:r w:rsidRPr="00C04DE7">
        <w:rPr>
          <w:rFonts w:cs="Miriam"/>
        </w:rPr>
        <w:t xml:space="preserve"> </w:t>
      </w:r>
      <w:r w:rsidRPr="00C04DE7">
        <w:rPr>
          <w:rFonts w:cs="Miriam"/>
          <w:rtl/>
        </w:rPr>
        <w:t>על</w:t>
      </w:r>
      <w:r w:rsidRPr="00C04DE7">
        <w:rPr>
          <w:rFonts w:cs="Miriam"/>
        </w:rPr>
        <w:t xml:space="preserve"> </w:t>
      </w:r>
      <w:r w:rsidRPr="00C04DE7">
        <w:rPr>
          <w:rFonts w:cs="Miriam"/>
          <w:rtl/>
        </w:rPr>
        <w:t>מי</w:t>
      </w:r>
      <w:r w:rsidRPr="00C04DE7">
        <w:rPr>
          <w:rFonts w:cs="Miriam"/>
        </w:rPr>
        <w:t xml:space="preserve"> </w:t>
      </w:r>
      <w:r w:rsidRPr="00C04DE7">
        <w:rPr>
          <w:rFonts w:cs="Miriam"/>
          <w:rtl/>
        </w:rPr>
        <w:t>שהורשע</w:t>
      </w:r>
      <w:r w:rsidRPr="00C04DE7">
        <w:rPr>
          <w:rFonts w:cs="Miriam"/>
        </w:rPr>
        <w:t xml:space="preserve"> </w:t>
      </w:r>
      <w:r w:rsidRPr="00C04DE7">
        <w:rPr>
          <w:rFonts w:cs="Miriam"/>
          <w:rtl/>
        </w:rPr>
        <w:t>בעבירות</w:t>
      </w:r>
      <w:r w:rsidRPr="00C04DE7">
        <w:rPr>
          <w:rFonts w:cs="Miriam"/>
        </w:rPr>
        <w:t xml:space="preserve"> </w:t>
      </w:r>
      <w:r w:rsidRPr="00C04DE7">
        <w:rPr>
          <w:rFonts w:cs="Miriam"/>
          <w:rtl/>
        </w:rPr>
        <w:t>סמים</w:t>
      </w:r>
      <w:r w:rsidRPr="00C04DE7">
        <w:rPr>
          <w:rFonts w:cs="Miriam"/>
        </w:rPr>
        <w:t xml:space="preserve">... </w:t>
      </w:r>
      <w:r w:rsidRPr="00C04DE7">
        <w:rPr>
          <w:rFonts w:cs="Miriam"/>
          <w:rtl/>
        </w:rPr>
        <w:t>צו</w:t>
      </w:r>
      <w:r w:rsidRPr="00C04DE7">
        <w:rPr>
          <w:rFonts w:cs="Miriam"/>
        </w:rPr>
        <w:t xml:space="preserve"> </w:t>
      </w:r>
      <w:r w:rsidRPr="00C04DE7">
        <w:rPr>
          <w:rFonts w:cs="Miriam"/>
          <w:rtl/>
        </w:rPr>
        <w:t>השעה</w:t>
      </w:r>
      <w:r w:rsidRPr="00C04DE7">
        <w:rPr>
          <w:rFonts w:cs="Miriam"/>
        </w:rPr>
        <w:t xml:space="preserve"> </w:t>
      </w:r>
      <w:r w:rsidRPr="00C04DE7">
        <w:rPr>
          <w:rFonts w:cs="Miriam"/>
          <w:rtl/>
        </w:rPr>
        <w:t>הוא</w:t>
      </w:r>
      <w:r w:rsidRPr="00C04DE7">
        <w:rPr>
          <w:rFonts w:cs="Miriam"/>
        </w:rPr>
        <w:t xml:space="preserve"> </w:t>
      </w:r>
      <w:r w:rsidRPr="00C04DE7">
        <w:rPr>
          <w:rFonts w:cs="Miriam"/>
          <w:rtl/>
        </w:rPr>
        <w:t>להחמיר</w:t>
      </w:r>
      <w:r w:rsidRPr="00C04DE7">
        <w:rPr>
          <w:rFonts w:cs="Miriam"/>
        </w:rPr>
        <w:t xml:space="preserve"> </w:t>
      </w:r>
      <w:r w:rsidRPr="00C04DE7">
        <w:rPr>
          <w:rFonts w:cs="Miriam"/>
          <w:rtl/>
        </w:rPr>
        <w:t>בענישה</w:t>
      </w:r>
      <w:r w:rsidRPr="00C04DE7">
        <w:rPr>
          <w:rFonts w:cs="Miriam"/>
        </w:rPr>
        <w:t xml:space="preserve"> </w:t>
      </w:r>
      <w:r w:rsidRPr="00C04DE7">
        <w:rPr>
          <w:rFonts w:cs="Miriam"/>
          <w:rtl/>
        </w:rPr>
        <w:t>בעבירות</w:t>
      </w:r>
      <w:r w:rsidRPr="00C04DE7">
        <w:rPr>
          <w:rFonts w:cs="Miriam"/>
        </w:rPr>
        <w:t xml:space="preserve"> </w:t>
      </w:r>
      <w:r>
        <w:rPr>
          <w:rFonts w:cs="Miriam"/>
          <w:rtl/>
        </w:rPr>
        <w:t>סמי</w:t>
      </w:r>
      <w:r>
        <w:rPr>
          <w:rFonts w:cs="Miriam" w:hint="cs"/>
          <w:rtl/>
        </w:rPr>
        <w:t>ם..."</w:t>
      </w:r>
    </w:p>
    <w:p w14:paraId="1F34FA98" w14:textId="77777777" w:rsidR="0008716B" w:rsidRPr="00C04DE7" w:rsidRDefault="0008716B" w:rsidP="0008716B">
      <w:pPr>
        <w:spacing w:line="360" w:lineRule="auto"/>
        <w:rPr>
          <w:rtl/>
        </w:rPr>
      </w:pPr>
    </w:p>
    <w:p w14:paraId="4E7E5E9A" w14:textId="77777777" w:rsidR="0008716B" w:rsidRPr="00C04DE7" w:rsidRDefault="0008716B" w:rsidP="0008716B">
      <w:pPr>
        <w:spacing w:line="360" w:lineRule="auto"/>
        <w:rPr>
          <w:rtl/>
        </w:rPr>
      </w:pPr>
      <w:r w:rsidRPr="00C04DE7">
        <w:rPr>
          <w:rtl/>
        </w:rPr>
        <w:t>בתי המשפט נדרשים לדון בעבירות מסוג זה על בסיס יומי ואף הגדירו את התופעה כ"מכת מדינה".</w:t>
      </w:r>
    </w:p>
    <w:p w14:paraId="61001B6D" w14:textId="77777777" w:rsidR="0008716B" w:rsidRPr="00C04DE7" w:rsidRDefault="0008716B" w:rsidP="0008716B">
      <w:pPr>
        <w:jc w:val="both"/>
        <w:rPr>
          <w:rtl/>
        </w:rPr>
      </w:pPr>
    </w:p>
    <w:p w14:paraId="5C290A80" w14:textId="77777777" w:rsidR="0008716B" w:rsidRPr="00C04DE7" w:rsidRDefault="0008716B" w:rsidP="0008716B">
      <w:pPr>
        <w:ind w:left="1440" w:right="1134"/>
        <w:jc w:val="both"/>
        <w:rPr>
          <w:rtl/>
        </w:rPr>
      </w:pPr>
      <w:r w:rsidRPr="00C04DE7">
        <w:rPr>
          <w:rFonts w:cs="Miriam"/>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r w:rsidRPr="00C04DE7">
        <w:rPr>
          <w:rtl/>
        </w:rPr>
        <w:t xml:space="preserve"> (</w:t>
      </w:r>
      <w:hyperlink r:id="rId32" w:history="1">
        <w:r w:rsidR="005C5A9F" w:rsidRPr="005C5A9F">
          <w:rPr>
            <w:color w:val="0000FF"/>
            <w:u w:val="single"/>
            <w:rtl/>
          </w:rPr>
          <w:t>עפ"ג 42358-10-14</w:t>
        </w:r>
      </w:hyperlink>
      <w:r w:rsidRPr="00C04DE7">
        <w:rPr>
          <w:rtl/>
        </w:rPr>
        <w:t xml:space="preserve"> </w:t>
      </w:r>
      <w:r w:rsidRPr="00C04DE7">
        <w:rPr>
          <w:b/>
          <w:bCs/>
          <w:rtl/>
        </w:rPr>
        <w:t xml:space="preserve">אבי גיא נ' מדינת ישראל </w:t>
      </w:r>
      <w:r w:rsidRPr="00C04DE7">
        <w:rPr>
          <w:rtl/>
        </w:rPr>
        <w:t>(18.2.15))</w:t>
      </w:r>
      <w:r>
        <w:rPr>
          <w:rFonts w:hint="cs"/>
          <w:rtl/>
        </w:rPr>
        <w:t>.</w:t>
      </w:r>
    </w:p>
    <w:p w14:paraId="2D84AB8A" w14:textId="77777777" w:rsidR="0008716B" w:rsidRPr="00C04DE7" w:rsidRDefault="0008716B" w:rsidP="0008716B">
      <w:pPr>
        <w:jc w:val="both"/>
        <w:rPr>
          <w:rtl/>
        </w:rPr>
      </w:pPr>
    </w:p>
    <w:p w14:paraId="55B59B35" w14:textId="77777777" w:rsidR="0008716B" w:rsidRPr="00C04DE7" w:rsidRDefault="0008716B" w:rsidP="0008716B">
      <w:pPr>
        <w:ind w:left="1440" w:right="1134"/>
        <w:jc w:val="both"/>
        <w:rPr>
          <w:rtl/>
        </w:rPr>
      </w:pPr>
      <w:r w:rsidRPr="00C04DE7">
        <w:rPr>
          <w:rFonts w:cs="Miriam"/>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w:t>
      </w:r>
      <w:r w:rsidRPr="00C04DE7">
        <w:rPr>
          <w:rtl/>
        </w:rPr>
        <w:t xml:space="preserve"> (</w:t>
      </w:r>
      <w:hyperlink r:id="rId33" w:history="1">
        <w:r w:rsidR="005C5A9F" w:rsidRPr="005C5A9F">
          <w:rPr>
            <w:color w:val="0000FF"/>
            <w:u w:val="single"/>
            <w:rtl/>
          </w:rPr>
          <w:t>עפ"ג 24376-07-14</w:t>
        </w:r>
      </w:hyperlink>
      <w:r w:rsidRPr="00C04DE7">
        <w:rPr>
          <w:rtl/>
        </w:rPr>
        <w:t xml:space="preserve"> </w:t>
      </w:r>
      <w:r w:rsidRPr="00C04DE7">
        <w:rPr>
          <w:b/>
          <w:bCs/>
          <w:rtl/>
        </w:rPr>
        <w:t>עמר נ' מדינת ישראל</w:t>
      </w:r>
      <w:r w:rsidRPr="00C04DE7">
        <w:rPr>
          <w:rtl/>
        </w:rPr>
        <w:t xml:space="preserve"> (18.2.15)).</w:t>
      </w:r>
    </w:p>
    <w:p w14:paraId="3310246F" w14:textId="77777777" w:rsidR="0008716B" w:rsidRDefault="0008716B" w:rsidP="0008716B">
      <w:pPr>
        <w:spacing w:line="360" w:lineRule="auto"/>
        <w:jc w:val="both"/>
        <w:rPr>
          <w:rtl/>
        </w:rPr>
      </w:pPr>
      <w:r w:rsidRPr="00C04DE7">
        <w:rPr>
          <w:rtl/>
        </w:rPr>
        <w:tab/>
      </w:r>
    </w:p>
    <w:p w14:paraId="0D528A8C" w14:textId="77777777" w:rsidR="0008716B" w:rsidRDefault="0008716B" w:rsidP="0008716B">
      <w:pPr>
        <w:spacing w:line="360" w:lineRule="auto"/>
        <w:jc w:val="both"/>
        <w:rPr>
          <w:rtl/>
        </w:rPr>
      </w:pPr>
      <w:r w:rsidRPr="001B1285">
        <w:rPr>
          <w:rtl/>
        </w:rPr>
        <w:tab/>
        <w:t xml:space="preserve">לעניין הענישה הנוהגת בעבירות דומות ניתן להפנות לפסקי הדין הבאים: </w:t>
      </w:r>
      <w:hyperlink r:id="rId34" w:history="1">
        <w:r w:rsidR="005C5A9F" w:rsidRPr="005C5A9F">
          <w:rPr>
            <w:color w:val="0000FF"/>
            <w:u w:val="single"/>
            <w:rtl/>
          </w:rPr>
          <w:t>רע"פ 314/16</w:t>
        </w:r>
      </w:hyperlink>
      <w:r w:rsidRPr="001B1285">
        <w:rPr>
          <w:rtl/>
        </w:rPr>
        <w:t xml:space="preserve"> </w:t>
      </w:r>
      <w:r w:rsidRPr="001B1285">
        <w:rPr>
          <w:b/>
          <w:bCs/>
          <w:rtl/>
        </w:rPr>
        <w:t>בן</w:t>
      </w:r>
      <w:r w:rsidRPr="001B1285">
        <w:rPr>
          <w:rtl/>
        </w:rPr>
        <w:t xml:space="preserve"> </w:t>
      </w:r>
      <w:r w:rsidRPr="001B1285">
        <w:rPr>
          <w:b/>
          <w:bCs/>
          <w:rtl/>
        </w:rPr>
        <w:t>צבי נ' מדינת ישראל</w:t>
      </w:r>
      <w:r w:rsidRPr="001B1285">
        <w:rPr>
          <w:rtl/>
        </w:rPr>
        <w:t xml:space="preserve"> (22.2.16), בו הוחמר עונשו של נאשם ל-10 חודשי מאסר, בשל גידול </w:t>
      </w:r>
      <w:r w:rsidRPr="00ED7949">
        <w:rPr>
          <w:u w:val="single"/>
          <w:rtl/>
        </w:rPr>
        <w:t>תשעה</w:t>
      </w:r>
      <w:r w:rsidRPr="001B1285">
        <w:rPr>
          <w:rtl/>
        </w:rPr>
        <w:t xml:space="preserve"> שתילי קנבוס במשקל של 2.5 קילו;</w:t>
      </w:r>
      <w:r w:rsidRPr="001B1285">
        <w:rPr>
          <w:rFonts w:hint="cs"/>
          <w:rtl/>
        </w:rPr>
        <w:t xml:space="preserve"> </w:t>
      </w:r>
      <w:hyperlink r:id="rId35" w:history="1">
        <w:r w:rsidR="005C5A9F" w:rsidRPr="005C5A9F">
          <w:rPr>
            <w:color w:val="0000FF"/>
            <w:u w:val="single"/>
            <w:rtl/>
          </w:rPr>
          <w:t>עפ"ג 62171-05-17</w:t>
        </w:r>
      </w:hyperlink>
      <w:r w:rsidRPr="001B1285">
        <w:rPr>
          <w:rtl/>
        </w:rPr>
        <w:t xml:space="preserve"> </w:t>
      </w:r>
      <w:r w:rsidRPr="001B1285">
        <w:rPr>
          <w:b/>
          <w:bCs/>
          <w:rtl/>
        </w:rPr>
        <w:t>אסי חן נ' מדינת ישראל</w:t>
      </w:r>
      <w:r>
        <w:rPr>
          <w:rtl/>
        </w:rPr>
        <w:t xml:space="preserve"> (10.7.17)</w:t>
      </w:r>
      <w:r>
        <w:rPr>
          <w:rFonts w:hint="cs"/>
          <w:rtl/>
        </w:rPr>
        <w:t>,</w:t>
      </w:r>
      <w:r w:rsidRPr="001B1285">
        <w:rPr>
          <w:rtl/>
        </w:rPr>
        <w:t xml:space="preserve"> בו הוטלו על נאשם שגידל </w:t>
      </w:r>
      <w:r w:rsidRPr="00ED7949">
        <w:rPr>
          <w:u w:val="single"/>
          <w:rtl/>
        </w:rPr>
        <w:t>19</w:t>
      </w:r>
      <w:r w:rsidRPr="001B1285">
        <w:rPr>
          <w:rtl/>
        </w:rPr>
        <w:t xml:space="preserve"> שתילים 12 חודשי מאסר. אציין כי בית המשפט המחוזי אישר במסגרת ערעור הנאשם את מתחם הענישה שקבע בית משפט השלום (8-20 חודשי מאסר); </w:t>
      </w:r>
      <w:hyperlink r:id="rId36" w:history="1">
        <w:r w:rsidR="005C5A9F" w:rsidRPr="005C5A9F">
          <w:rPr>
            <w:color w:val="0000FF"/>
            <w:u w:val="single"/>
            <w:rtl/>
          </w:rPr>
          <w:t>עפ"ג 10700-11-16</w:t>
        </w:r>
      </w:hyperlink>
      <w:r w:rsidRPr="001B1285">
        <w:rPr>
          <w:rtl/>
        </w:rPr>
        <w:t xml:space="preserve"> </w:t>
      </w:r>
      <w:r w:rsidRPr="001B1285">
        <w:rPr>
          <w:b/>
          <w:bCs/>
          <w:rtl/>
        </w:rPr>
        <w:t>מדינת ישראל נ' טולידו</w:t>
      </w:r>
      <w:r w:rsidRPr="001B1285">
        <w:rPr>
          <w:rtl/>
        </w:rPr>
        <w:t xml:space="preserve"> (17.01.17)</w:t>
      </w:r>
      <w:r>
        <w:rPr>
          <w:rFonts w:hint="cs"/>
          <w:rtl/>
        </w:rPr>
        <w:t>,</w:t>
      </w:r>
      <w:r w:rsidRPr="001B1285">
        <w:rPr>
          <w:rtl/>
        </w:rPr>
        <w:t xml:space="preserve"> בו הוטלו על נאשם 4 חודשי מאסר בעבודות שירות בגין גידול </w:t>
      </w:r>
      <w:r w:rsidRPr="00ED7949">
        <w:rPr>
          <w:u w:val="single"/>
          <w:rtl/>
        </w:rPr>
        <w:t>93</w:t>
      </w:r>
      <w:r w:rsidRPr="001B1285">
        <w:rPr>
          <w:rtl/>
        </w:rPr>
        <w:t xml:space="preserve"> שתילים של קנבוס וזאת לאחר</w:t>
      </w:r>
      <w:r>
        <w:rPr>
          <w:rtl/>
        </w:rPr>
        <w:t xml:space="preserve"> שהנאשם עבר הליך טיפולי משמעותי</w:t>
      </w:r>
      <w:r>
        <w:rPr>
          <w:rFonts w:hint="cs"/>
          <w:rtl/>
        </w:rPr>
        <w:t xml:space="preserve">; </w:t>
      </w:r>
      <w:hyperlink r:id="rId37" w:history="1">
        <w:r w:rsidR="005C5A9F" w:rsidRPr="005C5A9F">
          <w:rPr>
            <w:color w:val="0000FF"/>
            <w:u w:val="single"/>
            <w:rtl/>
          </w:rPr>
          <w:t>ת"פ 1969-02-17</w:t>
        </w:r>
      </w:hyperlink>
      <w:r w:rsidRPr="006E337B">
        <w:rPr>
          <w:rtl/>
        </w:rPr>
        <w:t xml:space="preserve"> </w:t>
      </w:r>
      <w:r w:rsidRPr="006E337B">
        <w:rPr>
          <w:b/>
          <w:bCs/>
          <w:rtl/>
        </w:rPr>
        <w:t>מדינת ישראל נ' אלישייב</w:t>
      </w:r>
      <w:r w:rsidRPr="006E337B">
        <w:rPr>
          <w:rtl/>
        </w:rPr>
        <w:t xml:space="preserve"> (21.2.18)</w:t>
      </w:r>
      <w:r>
        <w:rPr>
          <w:rFonts w:hint="cs"/>
          <w:rtl/>
        </w:rPr>
        <w:t>,</w:t>
      </w:r>
      <w:r w:rsidRPr="006E337B">
        <w:rPr>
          <w:rtl/>
        </w:rPr>
        <w:t xml:space="preserve"> בו הוטלו על נאשם 6 חודשי מאסר בעבודות שירות בגין גידול </w:t>
      </w:r>
      <w:r w:rsidRPr="00ED7949">
        <w:rPr>
          <w:u w:val="single"/>
          <w:rtl/>
        </w:rPr>
        <w:t>52</w:t>
      </w:r>
      <w:r w:rsidRPr="006E337B">
        <w:rPr>
          <w:rtl/>
        </w:rPr>
        <w:t xml:space="preserve"> שתילי קנבוס במשקל 1.2 ק"ג וכן החזקת כלים להכנת סם שלא לצריכה עצמית;</w:t>
      </w:r>
      <w:r>
        <w:rPr>
          <w:rFonts w:hint="cs"/>
          <w:rtl/>
        </w:rPr>
        <w:t xml:space="preserve"> </w:t>
      </w:r>
      <w:hyperlink r:id="rId38" w:history="1">
        <w:r w:rsidR="005C5A9F" w:rsidRPr="005C5A9F">
          <w:rPr>
            <w:color w:val="0000FF"/>
            <w:u w:val="single"/>
            <w:rtl/>
          </w:rPr>
          <w:t>עפ"ג 30085-01-19</w:t>
        </w:r>
      </w:hyperlink>
      <w:r w:rsidRPr="00E93807">
        <w:rPr>
          <w:rtl/>
        </w:rPr>
        <w:t xml:space="preserve"> </w:t>
      </w:r>
      <w:r w:rsidRPr="00E93807">
        <w:rPr>
          <w:b/>
          <w:bCs/>
          <w:rtl/>
        </w:rPr>
        <w:t>יוסף נ' מדינת ישראל</w:t>
      </w:r>
      <w:r>
        <w:rPr>
          <w:rFonts w:hint="cs"/>
          <w:rtl/>
        </w:rPr>
        <w:t xml:space="preserve"> (17.7.19, לא פורסם), בו הורשע הנאשם בעבירות גידול סמים, החזקת סם שלא לצריכה עצמית והחזקת כלים להכנת סם, ונידון ל-3 חודשי מאסר מאחורי סורג ובריח. הנאשם גידל במעבדה שבדירתו </w:t>
      </w:r>
      <w:r w:rsidRPr="00671D17">
        <w:rPr>
          <w:rFonts w:hint="cs"/>
          <w:u w:val="single"/>
          <w:rtl/>
        </w:rPr>
        <w:t>שבעה</w:t>
      </w:r>
      <w:r w:rsidRPr="00671D17">
        <w:rPr>
          <w:rFonts w:hint="cs"/>
          <w:rtl/>
        </w:rPr>
        <w:t xml:space="preserve"> שתילי</w:t>
      </w:r>
      <w:r>
        <w:rPr>
          <w:rFonts w:hint="cs"/>
          <w:rtl/>
        </w:rPr>
        <w:t xml:space="preserve"> קנבוס במשקל 2.21 גרם נטו. ערעור הנאשם התקבל באופן זה שריצוי המאסר הומר לעבודות שירות; </w:t>
      </w:r>
      <w:hyperlink r:id="rId39" w:history="1">
        <w:r w:rsidR="005C5A9F" w:rsidRPr="005C5A9F">
          <w:rPr>
            <w:color w:val="0000FF"/>
            <w:u w:val="single"/>
            <w:rtl/>
          </w:rPr>
          <w:t>עפ"ג 55950-07-14</w:t>
        </w:r>
      </w:hyperlink>
      <w:r w:rsidRPr="00934BD2">
        <w:rPr>
          <w:rtl/>
        </w:rPr>
        <w:t xml:space="preserve"> </w:t>
      </w:r>
      <w:r w:rsidRPr="00934BD2">
        <w:rPr>
          <w:b/>
          <w:bCs/>
          <w:rtl/>
        </w:rPr>
        <w:t>אורי קרן נ' מדינת ישראל</w:t>
      </w:r>
      <w:r>
        <w:rPr>
          <w:rtl/>
        </w:rPr>
        <w:t xml:space="preserve">  (2.11.14), בו</w:t>
      </w:r>
      <w:r w:rsidRPr="00934BD2">
        <w:rPr>
          <w:rtl/>
        </w:rPr>
        <w:t xml:space="preserve"> </w:t>
      </w:r>
      <w:r>
        <w:rPr>
          <w:rtl/>
        </w:rPr>
        <w:t xml:space="preserve">הורשע הנאשם בגידול </w:t>
      </w:r>
      <w:r w:rsidRPr="00ED7949">
        <w:rPr>
          <w:u w:val="single"/>
          <w:rtl/>
        </w:rPr>
        <w:t>27</w:t>
      </w:r>
      <w:r>
        <w:rPr>
          <w:rtl/>
        </w:rPr>
        <w:t xml:space="preserve"> שתילי קנב</w:t>
      </w:r>
      <w:r>
        <w:rPr>
          <w:rFonts w:hint="cs"/>
          <w:rtl/>
        </w:rPr>
        <w:t>ו</w:t>
      </w:r>
      <w:r>
        <w:rPr>
          <w:rtl/>
        </w:rPr>
        <w:t>ס ובהחזקת 565.7 גרם קנב</w:t>
      </w:r>
      <w:r>
        <w:rPr>
          <w:rFonts w:hint="cs"/>
          <w:rtl/>
        </w:rPr>
        <w:t>ו</w:t>
      </w:r>
      <w:r w:rsidRPr="00934BD2">
        <w:rPr>
          <w:rtl/>
        </w:rPr>
        <w:t xml:space="preserve">ס אותם החזיק לשימוש עצמי. בית המשפט </w:t>
      </w:r>
      <w:r>
        <w:rPr>
          <w:rtl/>
        </w:rPr>
        <w:t>גזר</w:t>
      </w:r>
      <w:r w:rsidRPr="00934BD2">
        <w:rPr>
          <w:rtl/>
        </w:rPr>
        <w:t xml:space="preserve"> </w:t>
      </w:r>
      <w:r>
        <w:rPr>
          <w:rFonts w:hint="cs"/>
          <w:rtl/>
        </w:rPr>
        <w:t>על הנאשם</w:t>
      </w:r>
      <w:r w:rsidRPr="00934BD2">
        <w:rPr>
          <w:rtl/>
        </w:rPr>
        <w:t xml:space="preserve"> 3 חודשי מאסר </w:t>
      </w:r>
      <w:r>
        <w:rPr>
          <w:rtl/>
        </w:rPr>
        <w:t xml:space="preserve">לנשיאה </w:t>
      </w:r>
      <w:r w:rsidRPr="00934BD2">
        <w:rPr>
          <w:rtl/>
        </w:rPr>
        <w:t>ב</w:t>
      </w:r>
      <w:r>
        <w:rPr>
          <w:rtl/>
        </w:rPr>
        <w:t xml:space="preserve">דרך של </w:t>
      </w:r>
      <w:r w:rsidRPr="00934BD2">
        <w:rPr>
          <w:rtl/>
        </w:rPr>
        <w:t>עבודות שירות, מאסר מותנה, פסילת רישיון נהיגה בפועל ועל תנאי, וקנס.</w:t>
      </w:r>
      <w:r>
        <w:rPr>
          <w:rFonts w:hint="cs"/>
          <w:rtl/>
        </w:rPr>
        <w:t xml:space="preserve"> </w:t>
      </w:r>
    </w:p>
    <w:p w14:paraId="3299D6A1" w14:textId="77777777" w:rsidR="0008716B" w:rsidRDefault="0008716B" w:rsidP="0008716B">
      <w:pPr>
        <w:spacing w:line="360" w:lineRule="auto"/>
        <w:jc w:val="both"/>
        <w:rPr>
          <w:rtl/>
        </w:rPr>
      </w:pPr>
    </w:p>
    <w:p w14:paraId="52CBBA0D" w14:textId="77777777" w:rsidR="0008716B" w:rsidRPr="006223FF" w:rsidRDefault="0008716B" w:rsidP="0008716B">
      <w:pPr>
        <w:spacing w:line="360" w:lineRule="auto"/>
        <w:jc w:val="both"/>
        <w:rPr>
          <w:rtl/>
        </w:rPr>
      </w:pPr>
      <w:r>
        <w:rPr>
          <w:rtl/>
        </w:rPr>
        <w:tab/>
      </w:r>
      <w:r w:rsidRPr="006223FF">
        <w:rPr>
          <w:rtl/>
        </w:rPr>
        <w:t xml:space="preserve">לאור כל זאת, אני בדעה כי מתחם הענישה ההולם </w:t>
      </w:r>
      <w:r>
        <w:rPr>
          <w:rtl/>
        </w:rPr>
        <w:t>את העבירות בנסיבותיו של מקרה זה</w:t>
      </w:r>
      <w:r w:rsidRPr="006223FF">
        <w:rPr>
          <w:rtl/>
        </w:rPr>
        <w:t xml:space="preserve"> נע בין 8 חודשי מאסר בפועל ועד 20 חודשי מאסר בפועל.</w:t>
      </w:r>
    </w:p>
    <w:p w14:paraId="6CAD5D36" w14:textId="77777777" w:rsidR="0008716B" w:rsidRDefault="0008716B" w:rsidP="0008716B">
      <w:pPr>
        <w:spacing w:line="360" w:lineRule="auto"/>
        <w:jc w:val="both"/>
        <w:rPr>
          <w:rtl/>
        </w:rPr>
      </w:pPr>
    </w:p>
    <w:p w14:paraId="51DDCE50" w14:textId="77777777" w:rsidR="0008716B" w:rsidRDefault="0008716B" w:rsidP="0008716B">
      <w:pPr>
        <w:rPr>
          <w:b/>
          <w:bCs/>
          <w:u w:val="single"/>
          <w:rtl/>
        </w:rPr>
      </w:pPr>
      <w:r>
        <w:rPr>
          <w:b/>
          <w:bCs/>
          <w:u w:val="single"/>
          <w:rtl/>
        </w:rPr>
        <w:t>קביעת עונשו של הנאשם</w:t>
      </w:r>
    </w:p>
    <w:p w14:paraId="4540A9E8" w14:textId="77777777" w:rsidR="0008716B" w:rsidRDefault="0008716B" w:rsidP="0008716B">
      <w:pPr>
        <w:spacing w:line="360" w:lineRule="auto"/>
        <w:jc w:val="both"/>
        <w:rPr>
          <w:rtl/>
        </w:rPr>
      </w:pPr>
    </w:p>
    <w:p w14:paraId="5CC2F0C3" w14:textId="77777777" w:rsidR="0008716B" w:rsidRDefault="0008716B" w:rsidP="0008716B">
      <w:pPr>
        <w:pStyle w:val="a9"/>
        <w:numPr>
          <w:ilvl w:val="0"/>
          <w:numId w:val="1"/>
        </w:numPr>
        <w:spacing w:line="360" w:lineRule="auto"/>
        <w:jc w:val="both"/>
      </w:pPr>
      <w:r w:rsidRPr="00B5435C">
        <w:rPr>
          <w:rtl/>
        </w:rPr>
        <w:t xml:space="preserve">אקדים ואומר כי סבור אני שלאור נתוניו האישיים של הנאשם, ראוי לחרוג במקרה זה </w:t>
      </w:r>
      <w:r>
        <w:rPr>
          <w:rtl/>
        </w:rPr>
        <w:t>ממתחם הענישה ולהעדיף את שיקולי השיקום כהמלצת שירות המבחן. עם זאת,  לא אאמץ את המלצת שירות המבחן במלואה, אלא תוך שינוי מסוים. אנמק להלן עמדתי.</w:t>
      </w:r>
    </w:p>
    <w:p w14:paraId="3D9B4D9E" w14:textId="77777777" w:rsidR="0008716B" w:rsidRDefault="0008716B" w:rsidP="0008716B">
      <w:pPr>
        <w:pStyle w:val="a9"/>
        <w:spacing w:line="360" w:lineRule="auto"/>
        <w:ind w:left="0"/>
        <w:jc w:val="both"/>
      </w:pPr>
    </w:p>
    <w:p w14:paraId="09FD8C01" w14:textId="77777777" w:rsidR="0008716B" w:rsidRDefault="0008716B" w:rsidP="0008716B">
      <w:pPr>
        <w:pStyle w:val="a9"/>
        <w:numPr>
          <w:ilvl w:val="0"/>
          <w:numId w:val="1"/>
        </w:numPr>
        <w:spacing w:line="360" w:lineRule="auto"/>
        <w:jc w:val="both"/>
      </w:pPr>
      <w:r w:rsidRPr="004901FA">
        <w:rPr>
          <w:rtl/>
        </w:rPr>
        <w:t>ה</w:t>
      </w:r>
      <w:r>
        <w:rPr>
          <w:rtl/>
        </w:rPr>
        <w:t>נאשם שלפני הוא בחור צעיר</w:t>
      </w:r>
      <w:r>
        <w:rPr>
          <w:rFonts w:hint="cs"/>
          <w:rtl/>
        </w:rPr>
        <w:t xml:space="preserve"> ו</w:t>
      </w:r>
      <w:r>
        <w:rPr>
          <w:rtl/>
        </w:rPr>
        <w:t xml:space="preserve">עברו </w:t>
      </w:r>
      <w:r>
        <w:rPr>
          <w:rFonts w:hint="cs"/>
          <w:rtl/>
        </w:rPr>
        <w:t>נקי</w:t>
      </w:r>
      <w:r>
        <w:rPr>
          <w:rtl/>
        </w:rPr>
        <w:t xml:space="preserve">. הנאשם הודה בהזדמנות הראשונה וקיבל אחריות מלאה למעשיו. שירות המבחן התרשם כי </w:t>
      </w:r>
      <w:r>
        <w:rPr>
          <w:rFonts w:hint="cs"/>
          <w:rtl/>
        </w:rPr>
        <w:t>הוא החל לערוך שינוי בהתנהלותו.</w:t>
      </w:r>
      <w:r>
        <w:rPr>
          <w:rtl/>
        </w:rPr>
        <w:t xml:space="preserve"> הוא שולב בטיפול במסגרת היחידה לטיפול בהתמכרויות והדיווח שהתקבל בעניינו הי</w:t>
      </w:r>
      <w:r>
        <w:rPr>
          <w:rFonts w:hint="cs"/>
          <w:rtl/>
        </w:rPr>
        <w:t>ה</w:t>
      </w:r>
      <w:r>
        <w:rPr>
          <w:rtl/>
        </w:rPr>
        <w:t xml:space="preserve"> חיובי. ניכר היה שחל </w:t>
      </w:r>
      <w:r>
        <w:rPr>
          <w:rFonts w:hint="cs"/>
          <w:rtl/>
        </w:rPr>
        <w:t xml:space="preserve">בו </w:t>
      </w:r>
      <w:r>
        <w:rPr>
          <w:rtl/>
        </w:rPr>
        <w:t xml:space="preserve">שינוי </w:t>
      </w:r>
      <w:r>
        <w:rPr>
          <w:rFonts w:hint="cs"/>
          <w:rtl/>
        </w:rPr>
        <w:t>מסוים</w:t>
      </w:r>
      <w:r>
        <w:rPr>
          <w:rtl/>
        </w:rPr>
        <w:t xml:space="preserve"> והבדיקות העידו על ניקיון מסמים. </w:t>
      </w:r>
      <w:r>
        <w:rPr>
          <w:rFonts w:hint="cs"/>
          <w:rtl/>
        </w:rPr>
        <w:t xml:space="preserve">עם זאת, ראיתי להדגיש כי אין מדובר בנרקומן והנאשם עצמו ציין בפני שירות המבחן כי אינו מגדיר עצמו כמכור. </w:t>
      </w:r>
    </w:p>
    <w:p w14:paraId="5EF0C187" w14:textId="77777777" w:rsidR="0008716B" w:rsidRDefault="0008716B" w:rsidP="0008716B">
      <w:pPr>
        <w:pStyle w:val="a9"/>
        <w:spacing w:line="360" w:lineRule="auto"/>
        <w:ind w:left="0"/>
        <w:jc w:val="both"/>
      </w:pPr>
    </w:p>
    <w:p w14:paraId="553D369A" w14:textId="77777777" w:rsidR="0008716B" w:rsidRPr="00A92113" w:rsidRDefault="0008716B" w:rsidP="0008716B">
      <w:pPr>
        <w:pStyle w:val="a9"/>
        <w:numPr>
          <w:ilvl w:val="0"/>
          <w:numId w:val="1"/>
        </w:numPr>
        <w:spacing w:line="360" w:lineRule="auto"/>
        <w:jc w:val="both"/>
        <w:rPr>
          <w:rtl/>
        </w:rPr>
      </w:pPr>
      <w:r>
        <w:rPr>
          <w:rFonts w:hint="cs"/>
          <w:rtl/>
        </w:rPr>
        <w:t xml:space="preserve">שירות המבחן </w:t>
      </w:r>
      <w:r>
        <w:rPr>
          <w:rtl/>
        </w:rPr>
        <w:t xml:space="preserve">המליץ להעדיף את הפן השיקומי. ראוי בעיני לעודד את הנאשם להתמיד במגמת השיפור </w:t>
      </w:r>
      <w:r>
        <w:rPr>
          <w:rFonts w:hint="cs"/>
          <w:rtl/>
        </w:rPr>
        <w:t xml:space="preserve">והשיקום </w:t>
      </w:r>
      <w:r>
        <w:rPr>
          <w:rtl/>
        </w:rPr>
        <w:t>ולכן המלצת שירות המבחן בנוגע להעדפת הפן השיקומי מקובלת עלי.</w:t>
      </w:r>
      <w:r>
        <w:rPr>
          <w:rFonts w:hint="cs"/>
          <w:rtl/>
        </w:rPr>
        <w:t xml:space="preserve"> </w:t>
      </w:r>
      <w:r w:rsidRPr="00690274">
        <w:rPr>
          <w:rFonts w:ascii="David" w:hAnsi="David"/>
          <w:rtl/>
        </w:rPr>
        <w:t xml:space="preserve">כידוע, בהתאם </w:t>
      </w:r>
      <w:hyperlink r:id="rId40" w:history="1">
        <w:r w:rsidR="00A25CCA" w:rsidRPr="00A25CCA">
          <w:rPr>
            <w:color w:val="0000FF"/>
            <w:u w:val="single"/>
            <w:rtl/>
          </w:rPr>
          <w:t>לסעיף 40ד'</w:t>
        </w:r>
      </w:hyperlink>
      <w:r w:rsidRPr="00A92113">
        <w:rPr>
          <w:rtl/>
        </w:rPr>
        <w:t xml:space="preserve"> ל</w:t>
      </w:r>
      <w:hyperlink r:id="rId41" w:history="1">
        <w:r w:rsidR="005C5A9F" w:rsidRPr="005C5A9F">
          <w:rPr>
            <w:color w:val="0000FF"/>
            <w:u w:val="single"/>
            <w:rtl/>
          </w:rPr>
          <w:t>חוק העונשין</w:t>
        </w:r>
      </w:hyperlink>
      <w:r w:rsidRPr="00690274">
        <w:rPr>
          <w:rFonts w:ascii="David" w:hAnsi="David"/>
          <w:rtl/>
        </w:rPr>
        <w:t xml:space="preserve"> רשאי בית המשפט לחרוג לקולה ממתחם הענישה שקבע, אם מצא כי </w:t>
      </w:r>
      <w:r w:rsidRPr="00690274">
        <w:rPr>
          <w:rFonts w:ascii="David" w:hAnsi="David" w:cs="Miriam"/>
          <w:rtl/>
        </w:rPr>
        <w:t>"הנאשם השתקם או כי יש סיכוי של ממש שישתקם"</w:t>
      </w:r>
      <w:r w:rsidRPr="00690274">
        <w:rPr>
          <w:rFonts w:ascii="David" w:hAnsi="David"/>
          <w:rtl/>
        </w:rPr>
        <w:t xml:space="preserve">. בעניין זה נקבע כי </w:t>
      </w:r>
      <w:r w:rsidRPr="00690274">
        <w:rPr>
          <w:rFonts w:ascii="David" w:hAnsi="David"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sidRPr="00690274">
        <w:rPr>
          <w:rFonts w:ascii="David" w:hAnsi="David"/>
          <w:rtl/>
        </w:rPr>
        <w:t xml:space="preserve"> </w:t>
      </w:r>
      <w:hyperlink r:id="rId42" w:history="1">
        <w:r w:rsidR="005C5A9F" w:rsidRPr="005C5A9F">
          <w:rPr>
            <w:color w:val="0000FF"/>
            <w:u w:val="single"/>
            <w:rtl/>
          </w:rPr>
          <w:t>רע"פ 7683/13</w:t>
        </w:r>
      </w:hyperlink>
      <w:r w:rsidRPr="00690274">
        <w:rPr>
          <w:rFonts w:ascii="David" w:hAnsi="David"/>
          <w:rtl/>
        </w:rPr>
        <w:t xml:space="preserve"> (</w:t>
      </w:r>
      <w:r w:rsidRPr="00690274">
        <w:rPr>
          <w:rFonts w:ascii="David" w:hAnsi="David"/>
          <w:b/>
          <w:bCs/>
          <w:rtl/>
        </w:rPr>
        <w:t>דוד פרלמן נ' מדינת ישראל</w:t>
      </w:r>
      <w:r w:rsidRPr="00690274">
        <w:rPr>
          <w:rFonts w:ascii="David" w:hAnsi="David"/>
          <w:rtl/>
        </w:rPr>
        <w:t xml:space="preserve"> (23.2.14)). </w:t>
      </w:r>
      <w:r>
        <w:rPr>
          <w:rFonts w:ascii="David" w:hAnsi="David" w:hint="cs"/>
          <w:rtl/>
        </w:rPr>
        <w:t xml:space="preserve">בעניין זה הדגיש </w:t>
      </w:r>
      <w:r w:rsidRPr="00690274">
        <w:rPr>
          <w:rFonts w:ascii="David" w:hAnsi="David"/>
          <w:rtl/>
        </w:rPr>
        <w:t xml:space="preserve">בית המשפט העליון כי </w:t>
      </w:r>
      <w:r w:rsidRPr="00690274">
        <w:rPr>
          <w:rFonts w:ascii="David" w:hAnsi="David" w:cs="Miriam"/>
          <w:rtl/>
        </w:rPr>
        <w:t>"</w:t>
      </w:r>
      <w:r w:rsidRPr="00690274">
        <w:rPr>
          <w:rFonts w:ascii="Century" w:hAnsi="Century" w:cs="Miriam" w:hint="eastAsia"/>
          <w:spacing w:val="10"/>
          <w:rtl/>
        </w:rPr>
        <w:t>את</w:t>
      </w:r>
      <w:r w:rsidRPr="00690274">
        <w:rPr>
          <w:rFonts w:ascii="Century" w:hAnsi="Century" w:cs="Miriam"/>
          <w:spacing w:val="10"/>
          <w:rtl/>
        </w:rPr>
        <w:t xml:space="preserve"> </w:t>
      </w:r>
      <w:r w:rsidRPr="00690274">
        <w:rPr>
          <w:rFonts w:ascii="Century" w:hAnsi="Century" w:cs="Miriam" w:hint="eastAsia"/>
          <w:spacing w:val="10"/>
          <w:rtl/>
        </w:rPr>
        <w:t>התשתית</w:t>
      </w:r>
      <w:r w:rsidRPr="00690274">
        <w:rPr>
          <w:rFonts w:ascii="Century" w:hAnsi="Century" w:cs="Miriam"/>
          <w:spacing w:val="10"/>
          <w:rtl/>
        </w:rPr>
        <w:t xml:space="preserve"> </w:t>
      </w:r>
      <w:r w:rsidRPr="00690274">
        <w:rPr>
          <w:rFonts w:ascii="Century" w:hAnsi="Century" w:cs="Miriam" w:hint="eastAsia"/>
          <w:spacing w:val="10"/>
          <w:rtl/>
        </w:rPr>
        <w:t>העובדתית</w:t>
      </w:r>
      <w:r w:rsidRPr="00690274">
        <w:rPr>
          <w:rFonts w:ascii="Century" w:hAnsi="Century" w:cs="Miriam"/>
          <w:spacing w:val="10"/>
          <w:rtl/>
        </w:rPr>
        <w:t xml:space="preserve"> </w:t>
      </w:r>
      <w:r w:rsidRPr="00690274">
        <w:rPr>
          <w:rFonts w:ascii="Century" w:hAnsi="Century" w:cs="Miriam" w:hint="eastAsia"/>
          <w:spacing w:val="10"/>
          <w:rtl/>
        </w:rPr>
        <w:t>להוכחת</w:t>
      </w:r>
      <w:r w:rsidRPr="00690274">
        <w:rPr>
          <w:rFonts w:ascii="Century" w:hAnsi="Century" w:cs="Miriam"/>
          <w:spacing w:val="10"/>
          <w:rtl/>
        </w:rPr>
        <w:t xml:space="preserve"> </w:t>
      </w:r>
      <w:r w:rsidRPr="00690274">
        <w:rPr>
          <w:rFonts w:ascii="Century" w:hAnsi="Century" w:cs="Miriam" w:hint="eastAsia"/>
          <w:spacing w:val="10"/>
          <w:rtl/>
        </w:rPr>
        <w:t>סיכויי</w:t>
      </w:r>
      <w:r w:rsidRPr="00690274">
        <w:rPr>
          <w:rFonts w:ascii="Century" w:hAnsi="Century" w:cs="Miriam"/>
          <w:spacing w:val="10"/>
          <w:rtl/>
        </w:rPr>
        <w:t xml:space="preserve"> </w:t>
      </w:r>
      <w:r w:rsidRPr="00690274">
        <w:rPr>
          <w:rFonts w:ascii="Century" w:hAnsi="Century" w:cs="Miriam" w:hint="eastAsia"/>
          <w:spacing w:val="10"/>
          <w:rtl/>
        </w:rPr>
        <w:t>השיקום</w:t>
      </w:r>
      <w:r w:rsidRPr="00690274">
        <w:rPr>
          <w:rFonts w:ascii="Century" w:hAnsi="Century" w:cs="Miriam"/>
          <w:spacing w:val="10"/>
          <w:rtl/>
        </w:rPr>
        <w:t xml:space="preserve"> </w:t>
      </w:r>
      <w:r w:rsidRPr="00690274">
        <w:rPr>
          <w:rFonts w:ascii="Century" w:hAnsi="Century" w:cs="Miriam" w:hint="eastAsia"/>
          <w:spacing w:val="10"/>
          <w:rtl/>
        </w:rPr>
        <w:t>ניתן</w:t>
      </w:r>
      <w:r w:rsidRPr="00690274">
        <w:rPr>
          <w:rFonts w:ascii="Century" w:hAnsi="Century" w:cs="Miriam"/>
          <w:spacing w:val="10"/>
          <w:rtl/>
        </w:rPr>
        <w:t xml:space="preserve"> </w:t>
      </w:r>
      <w:r w:rsidRPr="00690274">
        <w:rPr>
          <w:rFonts w:ascii="Century" w:hAnsi="Century" w:cs="Miriam" w:hint="eastAsia"/>
          <w:spacing w:val="10"/>
          <w:rtl/>
        </w:rPr>
        <w:t>לגבש</w:t>
      </w:r>
      <w:r w:rsidRPr="00690274">
        <w:rPr>
          <w:rFonts w:ascii="Century" w:hAnsi="Century" w:cs="Miriam"/>
          <w:spacing w:val="10"/>
          <w:rtl/>
        </w:rPr>
        <w:t xml:space="preserve"> </w:t>
      </w:r>
      <w:r w:rsidRPr="00690274">
        <w:rPr>
          <w:rFonts w:ascii="Century" w:hAnsi="Century" w:cs="Miriam" w:hint="eastAsia"/>
          <w:spacing w:val="10"/>
          <w:rtl/>
        </w:rPr>
        <w:t>באמצעים</w:t>
      </w:r>
      <w:r w:rsidRPr="00690274">
        <w:rPr>
          <w:rFonts w:ascii="Century" w:hAnsi="Century" w:cs="Miriam"/>
          <w:spacing w:val="10"/>
          <w:rtl/>
        </w:rPr>
        <w:t xml:space="preserve"> </w:t>
      </w:r>
      <w:r w:rsidRPr="00690274">
        <w:rPr>
          <w:rFonts w:ascii="Century" w:hAnsi="Century" w:cs="Miriam" w:hint="eastAsia"/>
          <w:spacing w:val="10"/>
          <w:rtl/>
        </w:rPr>
        <w:t>ראייתיים</w:t>
      </w:r>
      <w:r w:rsidRPr="00690274">
        <w:rPr>
          <w:rFonts w:ascii="Century" w:hAnsi="Century" w:cs="Miriam"/>
          <w:spacing w:val="10"/>
          <w:rtl/>
        </w:rPr>
        <w:t xml:space="preserve"> </w:t>
      </w:r>
      <w:r w:rsidRPr="00690274">
        <w:rPr>
          <w:rFonts w:ascii="Century" w:hAnsi="Century" w:cs="Miriam" w:hint="eastAsia"/>
          <w:spacing w:val="10"/>
          <w:rtl/>
        </w:rPr>
        <w:t>שונים</w:t>
      </w:r>
      <w:r w:rsidRPr="00690274">
        <w:rPr>
          <w:rFonts w:ascii="Century" w:hAnsi="Century" w:cs="Miriam"/>
          <w:spacing w:val="10"/>
          <w:rtl/>
        </w:rPr>
        <w:t xml:space="preserve">, </w:t>
      </w:r>
      <w:r w:rsidRPr="00690274">
        <w:rPr>
          <w:rFonts w:ascii="Century" w:hAnsi="Century" w:cs="Miriam" w:hint="eastAsia"/>
          <w:spacing w:val="10"/>
          <w:rtl/>
        </w:rPr>
        <w:t>ובראשם</w:t>
      </w:r>
      <w:r w:rsidRPr="00690274">
        <w:rPr>
          <w:rFonts w:ascii="Century" w:hAnsi="Century" w:cs="Miriam"/>
          <w:spacing w:val="10"/>
          <w:rtl/>
        </w:rPr>
        <w:t xml:space="preserve"> </w:t>
      </w:r>
      <w:r w:rsidRPr="00690274">
        <w:rPr>
          <w:rFonts w:ascii="Century" w:hAnsi="Century" w:cs="Miriam" w:hint="eastAsia"/>
          <w:spacing w:val="10"/>
          <w:rtl/>
        </w:rPr>
        <w:t>התסקיר</w:t>
      </w:r>
      <w:r w:rsidRPr="00690274">
        <w:rPr>
          <w:rFonts w:ascii="Century" w:hAnsi="Century" w:cs="Miriam"/>
          <w:spacing w:val="10"/>
          <w:rtl/>
        </w:rPr>
        <w:t xml:space="preserve"> </w:t>
      </w:r>
      <w:r w:rsidRPr="00690274">
        <w:rPr>
          <w:rFonts w:ascii="Century" w:hAnsi="Century" w:cs="Miriam" w:hint="eastAsia"/>
          <w:spacing w:val="10"/>
          <w:rtl/>
        </w:rPr>
        <w:t>של</w:t>
      </w:r>
      <w:r w:rsidRPr="00690274">
        <w:rPr>
          <w:rFonts w:ascii="Century" w:hAnsi="Century" w:cs="Miriam"/>
          <w:spacing w:val="10"/>
          <w:rtl/>
        </w:rPr>
        <w:t xml:space="preserve"> </w:t>
      </w:r>
      <w:r w:rsidRPr="00690274">
        <w:rPr>
          <w:rFonts w:ascii="Century" w:hAnsi="Century" w:cs="Miriam" w:hint="eastAsia"/>
          <w:spacing w:val="10"/>
          <w:rtl/>
        </w:rPr>
        <w:t>שירות</w:t>
      </w:r>
      <w:r w:rsidRPr="00690274">
        <w:rPr>
          <w:rFonts w:ascii="Century" w:hAnsi="Century" w:cs="Miriam"/>
          <w:spacing w:val="10"/>
          <w:rtl/>
        </w:rPr>
        <w:t xml:space="preserve"> </w:t>
      </w:r>
      <w:r w:rsidRPr="00690274">
        <w:rPr>
          <w:rFonts w:ascii="Century" w:hAnsi="Century" w:cs="Miriam" w:hint="eastAsia"/>
          <w:spacing w:val="10"/>
          <w:rtl/>
        </w:rPr>
        <w:t>המבחן</w:t>
      </w:r>
      <w:r w:rsidRPr="00690274">
        <w:rPr>
          <w:rFonts w:ascii="Century" w:hAnsi="Century" w:cs="Miriam"/>
          <w:spacing w:val="10"/>
          <w:rtl/>
        </w:rPr>
        <w:t xml:space="preserve">... </w:t>
      </w:r>
      <w:r w:rsidRPr="00690274">
        <w:rPr>
          <w:rFonts w:ascii="Century" w:hAnsi="Century" w:cs="Miriam" w:hint="eastAsia"/>
          <w:spacing w:val="10"/>
          <w:rtl/>
        </w:rPr>
        <w:t>במקרים</w:t>
      </w:r>
      <w:r w:rsidRPr="00690274">
        <w:rPr>
          <w:rFonts w:ascii="Century" w:hAnsi="Century" w:cs="Miriam"/>
          <w:spacing w:val="10"/>
          <w:rtl/>
        </w:rPr>
        <w:t xml:space="preserve"> </w:t>
      </w:r>
      <w:r w:rsidRPr="00690274">
        <w:rPr>
          <w:rFonts w:ascii="Century" w:hAnsi="Century" w:cs="Miriam" w:hint="eastAsia"/>
          <w:spacing w:val="10"/>
          <w:rtl/>
        </w:rPr>
        <w:t>קודמים</w:t>
      </w:r>
      <w:r w:rsidRPr="00690274">
        <w:rPr>
          <w:rFonts w:ascii="Century" w:hAnsi="Century" w:cs="Miriam"/>
          <w:spacing w:val="10"/>
          <w:rtl/>
        </w:rPr>
        <w:t xml:space="preserve"> </w:t>
      </w:r>
      <w:r w:rsidRPr="00690274">
        <w:rPr>
          <w:rFonts w:ascii="Century" w:hAnsi="Century" w:cs="Miriam" w:hint="eastAsia"/>
          <w:spacing w:val="10"/>
          <w:rtl/>
        </w:rPr>
        <w:t>שבהם</w:t>
      </w:r>
      <w:r w:rsidRPr="00690274">
        <w:rPr>
          <w:rFonts w:ascii="Century" w:hAnsi="Century" w:cs="Miriam"/>
          <w:spacing w:val="10"/>
          <w:rtl/>
        </w:rPr>
        <w:t xml:space="preserve"> </w:t>
      </w:r>
      <w:r w:rsidRPr="00690274">
        <w:rPr>
          <w:rFonts w:ascii="Century" w:hAnsi="Century" w:cs="Miriam" w:hint="eastAsia"/>
          <w:spacing w:val="10"/>
          <w:rtl/>
        </w:rPr>
        <w:t>נדרש</w:t>
      </w:r>
      <w:r w:rsidRPr="00690274">
        <w:rPr>
          <w:rFonts w:ascii="Century" w:hAnsi="Century" w:cs="Miriam"/>
          <w:spacing w:val="10"/>
          <w:rtl/>
        </w:rPr>
        <w:t xml:space="preserve"> </w:t>
      </w:r>
      <w:r w:rsidRPr="00690274">
        <w:rPr>
          <w:rFonts w:ascii="Century" w:hAnsi="Century" w:cs="Miriam" w:hint="eastAsia"/>
          <w:spacing w:val="10"/>
          <w:rtl/>
        </w:rPr>
        <w:t>בית</w:t>
      </w:r>
      <w:r w:rsidRPr="00690274">
        <w:rPr>
          <w:rFonts w:ascii="Century" w:hAnsi="Century" w:cs="Miriam"/>
          <w:spacing w:val="10"/>
          <w:rtl/>
        </w:rPr>
        <w:t xml:space="preserve"> </w:t>
      </w:r>
      <w:r w:rsidRPr="00690274">
        <w:rPr>
          <w:rFonts w:ascii="Century" w:hAnsi="Century" w:cs="Miriam" w:hint="eastAsia"/>
          <w:spacing w:val="10"/>
          <w:rtl/>
        </w:rPr>
        <w:t>המשפט</w:t>
      </w:r>
      <w:r w:rsidRPr="00690274">
        <w:rPr>
          <w:rFonts w:ascii="Century" w:hAnsi="Century" w:cs="Miriam"/>
          <w:spacing w:val="10"/>
          <w:rtl/>
        </w:rPr>
        <w:t xml:space="preserve"> </w:t>
      </w:r>
      <w:r w:rsidRPr="00690274">
        <w:rPr>
          <w:rFonts w:ascii="Century" w:hAnsi="Century" w:cs="Miriam" w:hint="eastAsia"/>
          <w:spacing w:val="10"/>
          <w:rtl/>
        </w:rPr>
        <w:t>להעריך</w:t>
      </w:r>
      <w:r w:rsidRPr="00690274">
        <w:rPr>
          <w:rFonts w:ascii="Century" w:hAnsi="Century" w:cs="Miriam"/>
          <w:spacing w:val="10"/>
          <w:rtl/>
        </w:rPr>
        <w:t xml:space="preserve"> </w:t>
      </w:r>
      <w:r w:rsidRPr="00690274">
        <w:rPr>
          <w:rFonts w:ascii="Century" w:hAnsi="Century" w:cs="Miriam" w:hint="eastAsia"/>
          <w:spacing w:val="10"/>
          <w:rtl/>
        </w:rPr>
        <w:t>את</w:t>
      </w:r>
      <w:r w:rsidRPr="00690274">
        <w:rPr>
          <w:rFonts w:ascii="Century" w:hAnsi="Century" w:cs="Miriam"/>
          <w:spacing w:val="10"/>
          <w:rtl/>
        </w:rPr>
        <w:t xml:space="preserve"> </w:t>
      </w:r>
      <w:r w:rsidRPr="00690274">
        <w:rPr>
          <w:rFonts w:ascii="Century" w:hAnsi="Century" w:cs="Miriam" w:hint="eastAsia"/>
          <w:spacing w:val="10"/>
          <w:rtl/>
        </w:rPr>
        <w:t>סיכויי</w:t>
      </w:r>
      <w:r w:rsidRPr="00690274">
        <w:rPr>
          <w:rFonts w:ascii="Century" w:hAnsi="Century" w:cs="Miriam"/>
          <w:spacing w:val="10"/>
          <w:rtl/>
        </w:rPr>
        <w:t xml:space="preserve"> </w:t>
      </w:r>
      <w:r w:rsidRPr="00690274">
        <w:rPr>
          <w:rFonts w:ascii="Century" w:hAnsi="Century" w:cs="Miriam" w:hint="eastAsia"/>
          <w:spacing w:val="10"/>
          <w:rtl/>
        </w:rPr>
        <w:t>השיקום</w:t>
      </w:r>
      <w:r w:rsidRPr="00690274">
        <w:rPr>
          <w:rFonts w:ascii="Century" w:hAnsi="Century" w:cs="Miriam"/>
          <w:spacing w:val="10"/>
          <w:rtl/>
        </w:rPr>
        <w:t xml:space="preserve"> </w:t>
      </w:r>
      <w:r w:rsidRPr="00690274">
        <w:rPr>
          <w:rFonts w:ascii="Century" w:hAnsi="Century" w:cs="Miriam" w:hint="eastAsia"/>
          <w:spacing w:val="10"/>
          <w:rtl/>
        </w:rPr>
        <w:t>במסגרת</w:t>
      </w:r>
      <w:r w:rsidRPr="00690274">
        <w:rPr>
          <w:rFonts w:ascii="Century" w:hAnsi="Century" w:cs="Miriam"/>
          <w:spacing w:val="10"/>
          <w:rtl/>
        </w:rPr>
        <w:t xml:space="preserve"> </w:t>
      </w:r>
      <w:r w:rsidRPr="00690274">
        <w:rPr>
          <w:rFonts w:ascii="Century" w:hAnsi="Century" w:cs="Miriam" w:hint="eastAsia"/>
          <w:spacing w:val="10"/>
          <w:rtl/>
        </w:rPr>
        <w:t>סעיף</w:t>
      </w:r>
      <w:r w:rsidRPr="00690274">
        <w:rPr>
          <w:rFonts w:ascii="Century" w:hAnsi="Century" w:cs="Miriam"/>
          <w:spacing w:val="10"/>
          <w:rtl/>
        </w:rPr>
        <w:t xml:space="preserve"> 40</w:t>
      </w:r>
      <w:r w:rsidRPr="00690274">
        <w:rPr>
          <w:rFonts w:ascii="Century" w:hAnsi="Century" w:cs="Miriam" w:hint="eastAsia"/>
          <w:spacing w:val="10"/>
          <w:rtl/>
        </w:rPr>
        <w:t>ד</w:t>
      </w:r>
      <w:r w:rsidRPr="00690274">
        <w:rPr>
          <w:rFonts w:ascii="Century" w:hAnsi="Century" w:cs="Miriam"/>
          <w:spacing w:val="10"/>
          <w:rtl/>
        </w:rPr>
        <w:t xml:space="preserve"> </w:t>
      </w:r>
      <w:r w:rsidRPr="00690274">
        <w:rPr>
          <w:rFonts w:ascii="Century" w:hAnsi="Century" w:cs="Miriam" w:hint="eastAsia"/>
          <w:spacing w:val="10"/>
          <w:rtl/>
        </w:rPr>
        <w:t>ל</w:t>
      </w:r>
      <w:hyperlink r:id="rId43" w:history="1">
        <w:r w:rsidR="005C5A9F" w:rsidRPr="005C5A9F">
          <w:rPr>
            <w:rFonts w:ascii="Century" w:hAnsi="Century" w:cs="Miriam" w:hint="eastAsia"/>
            <w:color w:val="0000FF"/>
            <w:spacing w:val="10"/>
            <w:u w:val="single"/>
            <w:rtl/>
          </w:rPr>
          <w:t>חוק</w:t>
        </w:r>
        <w:r w:rsidR="005C5A9F" w:rsidRPr="005C5A9F">
          <w:rPr>
            <w:rFonts w:ascii="Century" w:hAnsi="Century" w:cs="Miriam"/>
            <w:color w:val="0000FF"/>
            <w:spacing w:val="10"/>
            <w:u w:val="single"/>
            <w:rtl/>
          </w:rPr>
          <w:t xml:space="preserve"> </w:t>
        </w:r>
        <w:r w:rsidR="005C5A9F" w:rsidRPr="005C5A9F">
          <w:rPr>
            <w:rFonts w:ascii="Century" w:hAnsi="Century" w:cs="Miriam" w:hint="eastAsia"/>
            <w:color w:val="0000FF"/>
            <w:spacing w:val="10"/>
            <w:u w:val="single"/>
            <w:rtl/>
          </w:rPr>
          <w:t>העונשין</w:t>
        </w:r>
      </w:hyperlink>
      <w:r w:rsidRPr="00690274">
        <w:rPr>
          <w:rFonts w:ascii="Century" w:hAnsi="Century" w:cs="Miriam"/>
          <w:spacing w:val="10"/>
          <w:rtl/>
        </w:rPr>
        <w:t xml:space="preserve"> </w:t>
      </w:r>
      <w:r w:rsidRPr="00690274">
        <w:rPr>
          <w:rFonts w:ascii="Century" w:hAnsi="Century" w:cs="Miriam" w:hint="eastAsia"/>
          <w:spacing w:val="10"/>
          <w:rtl/>
        </w:rPr>
        <w:t>הובאו</w:t>
      </w:r>
      <w:r w:rsidRPr="00690274">
        <w:rPr>
          <w:rFonts w:ascii="Century" w:hAnsi="Century" w:cs="Miriam"/>
          <w:spacing w:val="10"/>
          <w:rtl/>
        </w:rPr>
        <w:t xml:space="preserve"> </w:t>
      </w:r>
      <w:r w:rsidRPr="00690274">
        <w:rPr>
          <w:rFonts w:ascii="Century" w:hAnsi="Century" w:cs="Miriam" w:hint="eastAsia"/>
          <w:spacing w:val="10"/>
          <w:rtl/>
        </w:rPr>
        <w:t>בחשבון</w:t>
      </w:r>
      <w:r w:rsidRPr="00690274">
        <w:rPr>
          <w:rFonts w:ascii="Century" w:hAnsi="Century" w:cs="Miriam"/>
          <w:spacing w:val="10"/>
          <w:rtl/>
        </w:rPr>
        <w:t xml:space="preserve">, </w:t>
      </w:r>
      <w:r w:rsidRPr="00690274">
        <w:rPr>
          <w:rFonts w:ascii="Century" w:hAnsi="Century" w:cs="Miriam" w:hint="eastAsia"/>
          <w:spacing w:val="10"/>
          <w:rtl/>
        </w:rPr>
        <w:t>בין</w:t>
      </w:r>
      <w:r w:rsidRPr="00690274">
        <w:rPr>
          <w:rFonts w:ascii="Century" w:hAnsi="Century" w:cs="Miriam"/>
          <w:spacing w:val="10"/>
          <w:rtl/>
        </w:rPr>
        <w:t xml:space="preserve"> </w:t>
      </w:r>
      <w:r w:rsidRPr="00690274">
        <w:rPr>
          <w:rFonts w:ascii="Century" w:hAnsi="Century" w:cs="Miriam" w:hint="eastAsia"/>
          <w:spacing w:val="10"/>
          <w:rtl/>
        </w:rPr>
        <w:t>היתר</w:t>
      </w:r>
      <w:r w:rsidRPr="00690274">
        <w:rPr>
          <w:rFonts w:ascii="Century" w:hAnsi="Century" w:cs="Miriam"/>
          <w:spacing w:val="10"/>
          <w:rtl/>
        </w:rPr>
        <w:t xml:space="preserve">, </w:t>
      </w:r>
      <w:r w:rsidRPr="00690274">
        <w:rPr>
          <w:rFonts w:ascii="Century" w:hAnsi="Century" w:cs="Miriam" w:hint="eastAsia"/>
          <w:spacing w:val="10"/>
          <w:rtl/>
        </w:rPr>
        <w:t>השיקולים</w:t>
      </w:r>
      <w:r w:rsidRPr="00690274">
        <w:rPr>
          <w:rFonts w:ascii="Century" w:hAnsi="Century" w:cs="Miriam"/>
          <w:spacing w:val="10"/>
          <w:rtl/>
        </w:rPr>
        <w:t xml:space="preserve"> </w:t>
      </w:r>
      <w:r w:rsidRPr="00690274">
        <w:rPr>
          <w:rFonts w:ascii="Century" w:hAnsi="Century" w:cs="Miriam" w:hint="eastAsia"/>
          <w:spacing w:val="10"/>
          <w:rtl/>
        </w:rPr>
        <w:t>המרכזיים</w:t>
      </w:r>
      <w:r w:rsidRPr="00690274">
        <w:rPr>
          <w:rFonts w:ascii="Century" w:hAnsi="Century" w:cs="Miriam"/>
          <w:spacing w:val="10"/>
          <w:rtl/>
        </w:rPr>
        <w:t xml:space="preserve"> </w:t>
      </w:r>
      <w:r w:rsidRPr="00690274">
        <w:rPr>
          <w:rFonts w:ascii="Century" w:hAnsi="Century" w:cs="Miriam" w:hint="eastAsia"/>
          <w:spacing w:val="10"/>
          <w:rtl/>
        </w:rPr>
        <w:t>הבאים</w:t>
      </w:r>
      <w:r w:rsidRPr="00690274">
        <w:rPr>
          <w:rFonts w:ascii="Century" w:hAnsi="Century" w:cs="Miriam"/>
          <w:spacing w:val="10"/>
          <w:rtl/>
        </w:rPr>
        <w:t xml:space="preserve">: </w:t>
      </w:r>
      <w:r w:rsidRPr="00690274">
        <w:rPr>
          <w:rFonts w:ascii="Century" w:hAnsi="Century" w:cs="Miriam" w:hint="eastAsia"/>
          <w:spacing w:val="10"/>
          <w:rtl/>
        </w:rPr>
        <w:t>המוטיבציה</w:t>
      </w:r>
      <w:r w:rsidRPr="00690274">
        <w:rPr>
          <w:rFonts w:ascii="Century" w:hAnsi="Century" w:cs="Miriam"/>
          <w:spacing w:val="10"/>
          <w:rtl/>
        </w:rPr>
        <w:t xml:space="preserve"> </w:t>
      </w:r>
      <w:r w:rsidRPr="00690274">
        <w:rPr>
          <w:rFonts w:ascii="Century" w:hAnsi="Century" w:cs="Miriam" w:hint="eastAsia"/>
          <w:spacing w:val="10"/>
          <w:rtl/>
        </w:rPr>
        <w:t>שהפגין</w:t>
      </w:r>
      <w:r w:rsidRPr="00690274">
        <w:rPr>
          <w:rFonts w:ascii="Century" w:hAnsi="Century" w:cs="Miriam"/>
          <w:spacing w:val="10"/>
          <w:rtl/>
        </w:rPr>
        <w:t xml:space="preserve"> </w:t>
      </w:r>
      <w:r w:rsidRPr="00690274">
        <w:rPr>
          <w:rFonts w:ascii="Century" w:hAnsi="Century" w:cs="Miriam" w:hint="eastAsia"/>
          <w:spacing w:val="10"/>
          <w:rtl/>
        </w:rPr>
        <w:t>האדם</w:t>
      </w:r>
      <w:r w:rsidRPr="00690274">
        <w:rPr>
          <w:rFonts w:ascii="Century" w:hAnsi="Century" w:cs="Miriam"/>
          <w:spacing w:val="10"/>
          <w:rtl/>
        </w:rPr>
        <w:t xml:space="preserve"> </w:t>
      </w:r>
      <w:r w:rsidRPr="00690274">
        <w:rPr>
          <w:rFonts w:ascii="Century" w:hAnsi="Century" w:cs="Miriam" w:hint="eastAsia"/>
          <w:spacing w:val="10"/>
          <w:rtl/>
        </w:rPr>
        <w:t>שהורשע</w:t>
      </w:r>
      <w:r w:rsidRPr="00690274">
        <w:rPr>
          <w:rFonts w:ascii="Century" w:hAnsi="Century" w:cs="Miriam"/>
          <w:spacing w:val="10"/>
          <w:rtl/>
        </w:rPr>
        <w:t xml:space="preserve"> </w:t>
      </w:r>
      <w:r w:rsidRPr="00690274">
        <w:rPr>
          <w:rFonts w:ascii="Century" w:hAnsi="Century" w:cs="Miriam" w:hint="eastAsia"/>
          <w:spacing w:val="10"/>
          <w:rtl/>
        </w:rPr>
        <w:t>להשתקם</w:t>
      </w:r>
      <w:r w:rsidRPr="00690274">
        <w:rPr>
          <w:rFonts w:ascii="Century" w:hAnsi="Century" w:cs="Miriam"/>
          <w:spacing w:val="10"/>
          <w:rtl/>
        </w:rPr>
        <w:t xml:space="preserve">; </w:t>
      </w:r>
      <w:r w:rsidRPr="00690274">
        <w:rPr>
          <w:rFonts w:ascii="Century" w:hAnsi="Century" w:cs="Miriam" w:hint="eastAsia"/>
          <w:spacing w:val="10"/>
          <w:rtl/>
        </w:rPr>
        <w:t>הליך</w:t>
      </w:r>
      <w:r w:rsidRPr="00690274">
        <w:rPr>
          <w:rFonts w:ascii="Century" w:hAnsi="Century" w:cs="Miriam"/>
          <w:spacing w:val="10"/>
          <w:rtl/>
        </w:rPr>
        <w:t xml:space="preserve"> </w:t>
      </w:r>
      <w:r w:rsidRPr="00690274">
        <w:rPr>
          <w:rFonts w:ascii="Century" w:hAnsi="Century" w:cs="Miriam" w:hint="eastAsia"/>
          <w:spacing w:val="10"/>
          <w:rtl/>
        </w:rPr>
        <w:t>של</w:t>
      </w:r>
      <w:r w:rsidRPr="00690274">
        <w:rPr>
          <w:rFonts w:ascii="Century" w:hAnsi="Century" w:cs="Miriam"/>
          <w:spacing w:val="10"/>
          <w:rtl/>
        </w:rPr>
        <w:t xml:space="preserve"> </w:t>
      </w:r>
      <w:r w:rsidRPr="00690274">
        <w:rPr>
          <w:rFonts w:ascii="Century" w:hAnsi="Century" w:cs="Miriam" w:hint="eastAsia"/>
          <w:spacing w:val="10"/>
          <w:rtl/>
        </w:rPr>
        <w:t>גמילה</w:t>
      </w:r>
      <w:r w:rsidRPr="00690274">
        <w:rPr>
          <w:rFonts w:ascii="Century" w:hAnsi="Century" w:cs="Miriam"/>
          <w:spacing w:val="10"/>
          <w:rtl/>
        </w:rPr>
        <w:t xml:space="preserve"> </w:t>
      </w:r>
      <w:r w:rsidRPr="00690274">
        <w:rPr>
          <w:rFonts w:ascii="Century" w:hAnsi="Century" w:cs="Miriam" w:hint="eastAsia"/>
          <w:spacing w:val="10"/>
          <w:rtl/>
        </w:rPr>
        <w:t>מהתמכרות</w:t>
      </w:r>
      <w:r w:rsidRPr="00690274">
        <w:rPr>
          <w:rFonts w:ascii="Century" w:hAnsi="Century" w:cs="Miriam"/>
          <w:spacing w:val="10"/>
          <w:rtl/>
        </w:rPr>
        <w:t xml:space="preserve"> </w:t>
      </w:r>
      <w:r w:rsidRPr="00690274">
        <w:rPr>
          <w:rFonts w:ascii="Century" w:hAnsi="Century" w:cs="Miriam" w:hint="eastAsia"/>
          <w:spacing w:val="10"/>
          <w:rtl/>
        </w:rPr>
        <w:t>שהוא</w:t>
      </w:r>
      <w:r w:rsidRPr="00690274">
        <w:rPr>
          <w:rFonts w:ascii="Century" w:hAnsi="Century" w:cs="Miriam"/>
          <w:spacing w:val="10"/>
          <w:rtl/>
        </w:rPr>
        <w:t xml:space="preserve"> </w:t>
      </w:r>
      <w:r w:rsidRPr="00690274">
        <w:rPr>
          <w:rFonts w:ascii="Century" w:hAnsi="Century" w:cs="Miriam" w:hint="eastAsia"/>
          <w:spacing w:val="10"/>
          <w:rtl/>
        </w:rPr>
        <w:t>עובר</w:t>
      </w:r>
      <w:r w:rsidRPr="00690274">
        <w:rPr>
          <w:rFonts w:ascii="Century" w:hAnsi="Century" w:cs="Miriam"/>
          <w:spacing w:val="10"/>
          <w:rtl/>
        </w:rPr>
        <w:t xml:space="preserve">; </w:t>
      </w:r>
      <w:r w:rsidRPr="00690274">
        <w:rPr>
          <w:rFonts w:ascii="Century" w:hAnsi="Century" w:cs="Miriam" w:hint="eastAsia"/>
          <w:spacing w:val="10"/>
          <w:rtl/>
        </w:rPr>
        <w:t>השתלבות</w:t>
      </w:r>
      <w:r w:rsidRPr="00690274">
        <w:rPr>
          <w:rFonts w:ascii="Century" w:hAnsi="Century" w:cs="Miriam"/>
          <w:spacing w:val="10"/>
          <w:rtl/>
        </w:rPr>
        <w:t xml:space="preserve"> </w:t>
      </w:r>
      <w:r w:rsidRPr="00690274">
        <w:rPr>
          <w:rFonts w:ascii="Century" w:hAnsi="Century" w:cs="Miriam" w:hint="eastAsia"/>
          <w:spacing w:val="10"/>
          <w:rtl/>
        </w:rPr>
        <w:t>מוצלחת</w:t>
      </w:r>
      <w:r w:rsidRPr="00690274">
        <w:rPr>
          <w:rFonts w:ascii="Century" w:hAnsi="Century" w:cs="Miriam"/>
          <w:spacing w:val="10"/>
          <w:rtl/>
        </w:rPr>
        <w:t xml:space="preserve"> </w:t>
      </w:r>
      <w:r w:rsidRPr="00690274">
        <w:rPr>
          <w:rFonts w:ascii="Century" w:hAnsi="Century" w:cs="Miriam" w:hint="eastAsia"/>
          <w:spacing w:val="10"/>
          <w:rtl/>
        </w:rPr>
        <w:t>בהליכים</w:t>
      </w:r>
      <w:r w:rsidRPr="00690274">
        <w:rPr>
          <w:rFonts w:ascii="Century" w:hAnsi="Century" w:cs="Miriam"/>
          <w:spacing w:val="10"/>
          <w:rtl/>
        </w:rPr>
        <w:t xml:space="preserve"> </w:t>
      </w:r>
      <w:r w:rsidRPr="00690274">
        <w:rPr>
          <w:rFonts w:ascii="Century" w:hAnsi="Century" w:cs="Miriam" w:hint="eastAsia"/>
          <w:spacing w:val="10"/>
          <w:rtl/>
        </w:rPr>
        <w:t>טיפוליים</w:t>
      </w:r>
      <w:r w:rsidRPr="00690274">
        <w:rPr>
          <w:rFonts w:ascii="Century" w:hAnsi="Century" w:cs="Miriam"/>
          <w:spacing w:val="10"/>
          <w:rtl/>
        </w:rPr>
        <w:t xml:space="preserve"> </w:t>
      </w:r>
      <w:r w:rsidRPr="00690274">
        <w:rPr>
          <w:rFonts w:ascii="Century" w:hAnsi="Century" w:cs="Miriam" w:hint="eastAsia"/>
          <w:spacing w:val="10"/>
          <w:rtl/>
        </w:rPr>
        <w:t>שונים</w:t>
      </w:r>
      <w:r w:rsidRPr="00690274">
        <w:rPr>
          <w:rFonts w:ascii="Century" w:hAnsi="Century" w:cs="Miriam"/>
          <w:spacing w:val="10"/>
          <w:rtl/>
        </w:rPr>
        <w:t xml:space="preserve">; </w:t>
      </w:r>
      <w:r w:rsidRPr="00690274">
        <w:rPr>
          <w:rFonts w:ascii="Century" w:hAnsi="Century" w:cs="Miriam" w:hint="eastAsia"/>
          <w:spacing w:val="10"/>
          <w:rtl/>
        </w:rPr>
        <w:t>אינדיקציות</w:t>
      </w:r>
      <w:r w:rsidRPr="00690274">
        <w:rPr>
          <w:rFonts w:ascii="Century" w:hAnsi="Century" w:cs="Miriam"/>
          <w:spacing w:val="10"/>
          <w:rtl/>
        </w:rPr>
        <w:t xml:space="preserve"> </w:t>
      </w:r>
      <w:r w:rsidRPr="00690274">
        <w:rPr>
          <w:rFonts w:ascii="Century" w:hAnsi="Century" w:cs="Miriam" w:hint="eastAsia"/>
          <w:spacing w:val="10"/>
          <w:rtl/>
        </w:rPr>
        <w:t>לשינוי</w:t>
      </w:r>
      <w:r w:rsidRPr="00690274">
        <w:rPr>
          <w:rFonts w:ascii="Century" w:hAnsi="Century" w:cs="Miriam"/>
          <w:spacing w:val="10"/>
          <w:rtl/>
        </w:rPr>
        <w:t xml:space="preserve"> </w:t>
      </w:r>
      <w:r w:rsidRPr="00690274">
        <w:rPr>
          <w:rFonts w:ascii="Century" w:hAnsi="Century" w:cs="Miriam" w:hint="eastAsia"/>
          <w:spacing w:val="10"/>
          <w:rtl/>
        </w:rPr>
        <w:t>עמוק</w:t>
      </w:r>
      <w:r w:rsidRPr="00690274">
        <w:rPr>
          <w:rFonts w:ascii="Century" w:hAnsi="Century" w:cs="Miriam"/>
          <w:spacing w:val="10"/>
          <w:rtl/>
        </w:rPr>
        <w:t xml:space="preserve"> </w:t>
      </w:r>
      <w:r w:rsidRPr="00690274">
        <w:rPr>
          <w:rFonts w:ascii="Century" w:hAnsi="Century" w:cs="Miriam" w:hint="eastAsia"/>
          <w:spacing w:val="10"/>
          <w:rtl/>
        </w:rPr>
        <w:t>בהתנהגות</w:t>
      </w:r>
      <w:r w:rsidRPr="00690274">
        <w:rPr>
          <w:rFonts w:ascii="Century" w:hAnsi="Century" w:cs="Miriam"/>
          <w:spacing w:val="10"/>
          <w:rtl/>
        </w:rPr>
        <w:t xml:space="preserve"> </w:t>
      </w:r>
      <w:r w:rsidRPr="00690274">
        <w:rPr>
          <w:rFonts w:ascii="Century" w:hAnsi="Century" w:cs="Miriam" w:hint="eastAsia"/>
          <w:spacing w:val="10"/>
          <w:rtl/>
        </w:rPr>
        <w:t>ובדרך</w:t>
      </w:r>
      <w:r w:rsidRPr="00690274">
        <w:rPr>
          <w:rFonts w:ascii="Century" w:hAnsi="Century" w:cs="Miriam"/>
          <w:spacing w:val="10"/>
          <w:rtl/>
        </w:rPr>
        <w:t xml:space="preserve"> </w:t>
      </w:r>
      <w:r w:rsidRPr="00690274">
        <w:rPr>
          <w:rFonts w:ascii="Century" w:hAnsi="Century" w:cs="Miriam" w:hint="eastAsia"/>
          <w:spacing w:val="10"/>
          <w:rtl/>
        </w:rPr>
        <w:t>החשיבה</w:t>
      </w:r>
      <w:r w:rsidRPr="00690274">
        <w:rPr>
          <w:rFonts w:ascii="Century" w:hAnsi="Century" w:cs="Miriam"/>
          <w:spacing w:val="10"/>
          <w:rtl/>
        </w:rPr>
        <w:t xml:space="preserve">; </w:t>
      </w:r>
      <w:r w:rsidRPr="00690274">
        <w:rPr>
          <w:rFonts w:ascii="Arial TUR" w:hAnsi="Arial TUR" w:cs="Miriam"/>
          <w:spacing w:val="10"/>
          <w:rtl/>
        </w:rPr>
        <w:t xml:space="preserve">הבעת חרטה כנה על המעשים והפגנת אמפתיה כלפי נפגעי העבירה... מבלי לקבוע מסמרות, ניתן לציין ששילוב בין </w:t>
      </w:r>
      <w:r w:rsidRPr="00690274">
        <w:rPr>
          <w:rFonts w:ascii="Century" w:hAnsi="Century" w:cs="Miriam" w:hint="eastAsia"/>
          <w:b/>
          <w:rtl/>
        </w:rPr>
        <w:t>שינוי</w:t>
      </w:r>
      <w:r w:rsidRPr="00690274">
        <w:rPr>
          <w:rFonts w:ascii="Century" w:hAnsi="Century" w:cs="Miriam"/>
          <w:b/>
          <w:rtl/>
        </w:rPr>
        <w:t xml:space="preserve"> </w:t>
      </w:r>
      <w:r w:rsidRPr="00690274">
        <w:rPr>
          <w:rFonts w:ascii="Century" w:hAnsi="Century" w:cs="Miriam" w:hint="eastAsia"/>
          <w:b/>
          <w:rtl/>
        </w:rPr>
        <w:t>מהותי</w:t>
      </w:r>
      <w:r w:rsidRPr="00690274">
        <w:rPr>
          <w:rFonts w:ascii="Century" w:hAnsi="Century" w:cs="Miriam"/>
          <w:b/>
          <w:rtl/>
        </w:rPr>
        <w:t xml:space="preserve"> </w:t>
      </w:r>
      <w:r w:rsidRPr="00690274">
        <w:rPr>
          <w:rFonts w:ascii="Century" w:hAnsi="Century" w:cs="Miriam" w:hint="eastAsia"/>
          <w:b/>
          <w:rtl/>
        </w:rPr>
        <w:t>בהתייחסות</w:t>
      </w:r>
      <w:r w:rsidRPr="00690274">
        <w:rPr>
          <w:rFonts w:ascii="Century" w:hAnsi="Century" w:cs="Miriam"/>
          <w:b/>
          <w:rtl/>
        </w:rPr>
        <w:t xml:space="preserve"> </w:t>
      </w:r>
      <w:r w:rsidRPr="00690274">
        <w:rPr>
          <w:rFonts w:ascii="Century" w:hAnsi="Century" w:cs="Miriam" w:hint="eastAsia"/>
          <w:b/>
          <w:rtl/>
        </w:rPr>
        <w:t>הרגשית</w:t>
      </w:r>
      <w:r w:rsidRPr="00690274">
        <w:rPr>
          <w:rFonts w:ascii="Arial TUR" w:hAnsi="Arial TUR" w:cs="Miriam"/>
          <w:spacing w:val="10"/>
          <w:rtl/>
        </w:rPr>
        <w:t xml:space="preserve"> לאירוע העבירה המתבטא בנטילת אחריות, כפרה והבעת אמפתיה לנפגעי העבירה לבין </w:t>
      </w:r>
      <w:r w:rsidRPr="00690274">
        <w:rPr>
          <w:rFonts w:ascii="Century" w:hAnsi="Century" w:cs="Miriam" w:hint="eastAsia"/>
          <w:b/>
          <w:rtl/>
        </w:rPr>
        <w:t>אינדיקציות</w:t>
      </w:r>
      <w:r w:rsidRPr="00690274">
        <w:rPr>
          <w:rFonts w:ascii="Century" w:hAnsi="Century" w:cs="Miriam"/>
          <w:b/>
          <w:rtl/>
        </w:rPr>
        <w:t xml:space="preserve"> </w:t>
      </w:r>
      <w:r w:rsidRPr="00690274">
        <w:rPr>
          <w:rFonts w:ascii="Century" w:hAnsi="Century" w:cs="Miriam" w:hint="eastAsia"/>
          <w:b/>
          <w:rtl/>
        </w:rPr>
        <w:t>אובייקטיביות</w:t>
      </w:r>
      <w:r w:rsidRPr="00690274">
        <w:rPr>
          <w:rFonts w:ascii="Century" w:hAnsi="Century" w:cs="Miriam"/>
          <w:b/>
          <w:rtl/>
        </w:rPr>
        <w:t xml:space="preserve"> </w:t>
      </w:r>
      <w:r w:rsidRPr="00690274">
        <w:rPr>
          <w:rFonts w:ascii="Century" w:hAnsi="Century" w:cs="Miriam" w:hint="eastAsia"/>
          <w:b/>
          <w:rtl/>
        </w:rPr>
        <w:t>לקיומו</w:t>
      </w:r>
      <w:r w:rsidRPr="00690274">
        <w:rPr>
          <w:rFonts w:ascii="Century" w:hAnsi="Century" w:cs="Miriam"/>
          <w:b/>
          <w:rtl/>
        </w:rPr>
        <w:t xml:space="preserve"> </w:t>
      </w:r>
      <w:r w:rsidRPr="00690274">
        <w:rPr>
          <w:rFonts w:ascii="Century" w:hAnsi="Century" w:cs="Miriam" w:hint="eastAsia"/>
          <w:b/>
          <w:rtl/>
        </w:rPr>
        <w:t>של</w:t>
      </w:r>
      <w:r w:rsidRPr="00690274">
        <w:rPr>
          <w:rFonts w:ascii="Century" w:hAnsi="Century" w:cs="Miriam"/>
          <w:b/>
          <w:rtl/>
        </w:rPr>
        <w:t xml:space="preserve"> </w:t>
      </w:r>
      <w:r w:rsidRPr="00690274">
        <w:rPr>
          <w:rFonts w:ascii="Century" w:hAnsi="Century" w:cs="Miriam" w:hint="eastAsia"/>
          <w:b/>
          <w:rtl/>
        </w:rPr>
        <w:t>תהליך</w:t>
      </w:r>
      <w:r w:rsidRPr="00690274">
        <w:rPr>
          <w:rFonts w:ascii="Century" w:hAnsi="Century" w:cs="Miriam"/>
          <w:b/>
          <w:rtl/>
        </w:rPr>
        <w:t xml:space="preserve"> </w:t>
      </w:r>
      <w:r w:rsidRPr="00690274">
        <w:rPr>
          <w:rFonts w:ascii="Century" w:hAnsi="Century" w:cs="Miriam" w:hint="eastAsia"/>
          <w:b/>
          <w:rtl/>
        </w:rPr>
        <w:t>שיקומי</w:t>
      </w:r>
      <w:r w:rsidRPr="00690274">
        <w:rPr>
          <w:rFonts w:ascii="Century" w:hAnsi="Century" w:cs="Miriam"/>
          <w:b/>
          <w:rtl/>
        </w:rPr>
        <w:t>-</w:t>
      </w:r>
      <w:r w:rsidRPr="00690274">
        <w:rPr>
          <w:rFonts w:ascii="Century" w:hAnsi="Century" w:cs="Miriam" w:hint="eastAsia"/>
          <w:b/>
          <w:rtl/>
        </w:rPr>
        <w:t>טיפולי</w:t>
      </w:r>
      <w:r w:rsidRPr="00690274">
        <w:rPr>
          <w:rFonts w:ascii="Century" w:hAnsi="Century" w:cs="Miriam"/>
          <w:b/>
          <w:rtl/>
        </w:rPr>
        <w:t xml:space="preserve"> </w:t>
      </w:r>
      <w:r w:rsidRPr="00690274">
        <w:rPr>
          <w:rFonts w:ascii="Century" w:hAnsi="Century" w:cs="Miriam" w:hint="eastAsia"/>
          <w:b/>
          <w:rtl/>
        </w:rPr>
        <w:t>מוצלח</w:t>
      </w:r>
      <w:r w:rsidRPr="00690274">
        <w:rPr>
          <w:rFonts w:ascii="Arial TUR" w:hAnsi="Arial TUR" w:cs="Miriam"/>
          <w:spacing w:val="10"/>
          <w:rtl/>
        </w:rPr>
        <w:t xml:space="preserve"> וחזרה לדרך הישר, עשוי להצביע על "סיכוי של ממש לשיקום" כלשונו </w:t>
      </w:r>
      <w:r w:rsidRPr="00690274">
        <w:rPr>
          <w:rFonts w:ascii="David" w:hAnsi="David" w:cs="Miriam"/>
          <w:rtl/>
        </w:rPr>
        <w:t>של סעיף 40ד(א).</w:t>
      </w:r>
      <w:r w:rsidRPr="00690274">
        <w:rPr>
          <w:rFonts w:ascii="David" w:hAnsi="David"/>
          <w:rtl/>
        </w:rPr>
        <w:t xml:space="preserve"> </w:t>
      </w:r>
      <w:r w:rsidRPr="00690274">
        <w:rPr>
          <w:rFonts w:ascii="David" w:hAnsi="David" w:cs="Miriam"/>
          <w:rtl/>
        </w:rPr>
        <w:t>דברים</w:t>
      </w:r>
      <w:r w:rsidRPr="00690274">
        <w:rPr>
          <w:rFonts w:ascii="Arial TUR" w:hAnsi="Arial TUR" w:cs="Miriam"/>
          <w:spacing w:val="10"/>
          <w:rtl/>
        </w:rPr>
        <w:t xml:space="preserve"> אלה זוכים למשנה חיזוק מקום בו מדובר באדם צעיר נעדר עבר פלילי"</w:t>
      </w:r>
      <w:r w:rsidRPr="00690274">
        <w:rPr>
          <w:rFonts w:ascii="Arial TUR" w:hAnsi="Arial TUR" w:cs="FrankRuehl"/>
          <w:spacing w:val="10"/>
          <w:szCs w:val="28"/>
          <w:rtl/>
        </w:rPr>
        <w:t xml:space="preserve"> </w:t>
      </w:r>
      <w:r w:rsidRPr="00690274">
        <w:rPr>
          <w:rFonts w:ascii="Century" w:hAnsi="Century"/>
          <w:spacing w:val="10"/>
          <w:rtl/>
        </w:rPr>
        <w:t>(</w:t>
      </w:r>
      <w:hyperlink r:id="rId44" w:history="1">
        <w:r w:rsidR="005C5A9F" w:rsidRPr="005C5A9F">
          <w:rPr>
            <w:rFonts w:ascii="Century" w:hAnsi="Century" w:hint="eastAsia"/>
            <w:color w:val="0000FF"/>
            <w:spacing w:val="10"/>
            <w:u w:val="single"/>
            <w:rtl/>
          </w:rPr>
          <w:t>ע</w:t>
        </w:r>
        <w:r w:rsidR="005C5A9F" w:rsidRPr="005C5A9F">
          <w:rPr>
            <w:rFonts w:ascii="Century" w:hAnsi="Century"/>
            <w:color w:val="0000FF"/>
            <w:spacing w:val="10"/>
            <w:u w:val="single"/>
            <w:rtl/>
          </w:rPr>
          <w:t>"</w:t>
        </w:r>
        <w:r w:rsidR="005C5A9F" w:rsidRPr="005C5A9F">
          <w:rPr>
            <w:rFonts w:ascii="Century" w:hAnsi="Century" w:hint="eastAsia"/>
            <w:color w:val="0000FF"/>
            <w:spacing w:val="10"/>
            <w:u w:val="single"/>
            <w:rtl/>
          </w:rPr>
          <w:t>פ</w:t>
        </w:r>
        <w:r w:rsidR="005C5A9F" w:rsidRPr="005C5A9F">
          <w:rPr>
            <w:rFonts w:ascii="Century" w:hAnsi="Century"/>
            <w:color w:val="0000FF"/>
            <w:spacing w:val="10"/>
            <w:u w:val="single"/>
            <w:rtl/>
          </w:rPr>
          <w:t xml:space="preserve"> 6637/17</w:t>
        </w:r>
      </w:hyperlink>
      <w:r w:rsidRPr="00690274">
        <w:rPr>
          <w:rFonts w:ascii="Century" w:hAnsi="Century"/>
          <w:spacing w:val="10"/>
          <w:rtl/>
        </w:rPr>
        <w:t xml:space="preserve"> </w:t>
      </w:r>
      <w:r w:rsidRPr="00690274">
        <w:rPr>
          <w:rFonts w:ascii="Century" w:hAnsi="Century" w:hint="eastAsia"/>
          <w:b/>
          <w:bCs/>
          <w:spacing w:val="10"/>
          <w:rtl/>
        </w:rPr>
        <w:t>אליזבט</w:t>
      </w:r>
      <w:r w:rsidRPr="00690274">
        <w:rPr>
          <w:rFonts w:ascii="Century" w:hAnsi="Century"/>
          <w:b/>
          <w:bCs/>
          <w:spacing w:val="10"/>
          <w:rtl/>
        </w:rPr>
        <w:t xml:space="preserve"> </w:t>
      </w:r>
      <w:r w:rsidRPr="00690274">
        <w:rPr>
          <w:rFonts w:ascii="Century" w:hAnsi="Century" w:hint="eastAsia"/>
          <w:b/>
          <w:bCs/>
          <w:spacing w:val="10"/>
          <w:rtl/>
        </w:rPr>
        <w:t>קרינדל</w:t>
      </w:r>
      <w:r w:rsidRPr="00690274">
        <w:rPr>
          <w:rFonts w:ascii="Century" w:hAnsi="Century"/>
          <w:b/>
          <w:bCs/>
          <w:spacing w:val="10"/>
          <w:rtl/>
        </w:rPr>
        <w:t xml:space="preserve"> </w:t>
      </w:r>
      <w:r w:rsidRPr="00690274">
        <w:rPr>
          <w:rFonts w:ascii="Century" w:hAnsi="Century" w:hint="eastAsia"/>
          <w:b/>
          <w:bCs/>
          <w:spacing w:val="10"/>
          <w:rtl/>
        </w:rPr>
        <w:t>נ</w:t>
      </w:r>
      <w:r w:rsidRPr="00690274">
        <w:rPr>
          <w:rFonts w:ascii="Century" w:hAnsi="Century"/>
          <w:b/>
          <w:bCs/>
          <w:spacing w:val="10"/>
          <w:rtl/>
        </w:rPr>
        <w:t xml:space="preserve">' </w:t>
      </w:r>
      <w:r w:rsidRPr="00690274">
        <w:rPr>
          <w:rFonts w:ascii="Century" w:hAnsi="Century" w:hint="eastAsia"/>
          <w:b/>
          <w:bCs/>
          <w:spacing w:val="10"/>
          <w:rtl/>
        </w:rPr>
        <w:t>מדינת</w:t>
      </w:r>
      <w:r w:rsidRPr="00690274">
        <w:rPr>
          <w:rFonts w:ascii="Century" w:hAnsi="Century"/>
          <w:b/>
          <w:bCs/>
          <w:spacing w:val="10"/>
          <w:rtl/>
        </w:rPr>
        <w:t xml:space="preserve"> </w:t>
      </w:r>
      <w:r w:rsidRPr="00690274">
        <w:rPr>
          <w:rFonts w:ascii="Century" w:hAnsi="Century" w:hint="eastAsia"/>
          <w:b/>
          <w:bCs/>
          <w:spacing w:val="10"/>
          <w:rtl/>
        </w:rPr>
        <w:t>ישראל</w:t>
      </w:r>
      <w:r w:rsidRPr="00690274">
        <w:rPr>
          <w:rFonts w:ascii="Century" w:hAnsi="Century"/>
          <w:spacing w:val="10"/>
          <w:rtl/>
        </w:rPr>
        <w:t xml:space="preserve"> (18.4.18)).</w:t>
      </w:r>
    </w:p>
    <w:p w14:paraId="286494A1" w14:textId="77777777" w:rsidR="0008716B" w:rsidRPr="00950B0A" w:rsidRDefault="0008716B" w:rsidP="0008716B">
      <w:pPr>
        <w:spacing w:line="360" w:lineRule="auto"/>
        <w:jc w:val="both"/>
        <w:rPr>
          <w:rFonts w:ascii="Century" w:hAnsi="Century"/>
          <w:spacing w:val="10"/>
          <w:rtl/>
        </w:rPr>
      </w:pPr>
    </w:p>
    <w:p w14:paraId="35A6A06F" w14:textId="77777777" w:rsidR="0008716B" w:rsidRDefault="0008716B" w:rsidP="0008716B">
      <w:pPr>
        <w:pStyle w:val="a9"/>
        <w:numPr>
          <w:ilvl w:val="0"/>
          <w:numId w:val="1"/>
        </w:numPr>
        <w:spacing w:line="360" w:lineRule="auto"/>
        <w:jc w:val="both"/>
      </w:pPr>
      <w:r w:rsidRPr="00950B0A">
        <w:rPr>
          <w:rFonts w:ascii="David" w:hAnsi="David"/>
          <w:rtl/>
        </w:rPr>
        <w:t>יישום דברים אלו על הנאשם שלפני מביא למסקנה לפיה הוכחו בעניינו סיכויי שיקום ממשיים.</w:t>
      </w:r>
    </w:p>
    <w:p w14:paraId="546581CA" w14:textId="77777777" w:rsidR="0008716B" w:rsidRDefault="0008716B" w:rsidP="0008716B">
      <w:pPr>
        <w:pStyle w:val="a9"/>
        <w:spacing w:line="360" w:lineRule="auto"/>
        <w:ind w:left="0"/>
        <w:jc w:val="both"/>
        <w:rPr>
          <w:rtl/>
        </w:rPr>
      </w:pPr>
      <w:r w:rsidRPr="009F09F0">
        <w:rPr>
          <w:rtl/>
        </w:rPr>
        <w:t xml:space="preserve">עם זאת, </w:t>
      </w:r>
      <w:r w:rsidRPr="009F09F0">
        <w:rPr>
          <w:rFonts w:ascii="David" w:hAnsi="David"/>
          <w:rtl/>
        </w:rPr>
        <w:t xml:space="preserve">כידוע, גם בהתקיים סיכויי שיקום </w:t>
      </w:r>
      <w:r w:rsidRPr="009F09F0">
        <w:rPr>
          <w:rtl/>
        </w:rPr>
        <w:t>"</w:t>
      </w:r>
      <w:r w:rsidRPr="009F09F0">
        <w:rPr>
          <w:rFonts w:ascii="Century" w:hAnsi="Century" w:cs="Miriam" w:hint="eastAsia"/>
          <w:spacing w:val="10"/>
          <w:rtl/>
        </w:rPr>
        <w:t>לא</w:t>
      </w:r>
      <w:r w:rsidRPr="009F09F0">
        <w:rPr>
          <w:rFonts w:ascii="Century" w:hAnsi="Century" w:cs="Miriam"/>
          <w:spacing w:val="10"/>
          <w:rtl/>
        </w:rPr>
        <w:t xml:space="preserve"> </w:t>
      </w:r>
      <w:r w:rsidRPr="009F09F0">
        <w:rPr>
          <w:rFonts w:ascii="Century" w:hAnsi="Century" w:cs="Miriam" w:hint="eastAsia"/>
          <w:spacing w:val="10"/>
          <w:rtl/>
        </w:rPr>
        <w:t>מתפוגגים</w:t>
      </w:r>
      <w:r w:rsidRPr="009F09F0">
        <w:rPr>
          <w:rFonts w:ascii="Century" w:hAnsi="Century" w:cs="Miriam"/>
          <w:spacing w:val="10"/>
          <w:rtl/>
        </w:rPr>
        <w:t xml:space="preserve"> </w:t>
      </w:r>
      <w:r w:rsidRPr="009F09F0">
        <w:rPr>
          <w:rFonts w:ascii="Century" w:hAnsi="Century" w:cs="Miriam" w:hint="eastAsia"/>
          <w:spacing w:val="10"/>
          <w:rtl/>
        </w:rPr>
        <w:t>מאליהם</w:t>
      </w:r>
      <w:r w:rsidRPr="009F09F0">
        <w:rPr>
          <w:rFonts w:ascii="Century" w:hAnsi="Century" w:cs="Miriam"/>
          <w:spacing w:val="10"/>
          <w:rtl/>
        </w:rPr>
        <w:t xml:space="preserve"> </w:t>
      </w:r>
      <w:r w:rsidRPr="009F09F0">
        <w:rPr>
          <w:rFonts w:ascii="Century" w:hAnsi="Century" w:cs="Miriam" w:hint="eastAsia"/>
          <w:spacing w:val="10"/>
          <w:rtl/>
        </w:rPr>
        <w:t>שיקולי</w:t>
      </w:r>
      <w:r w:rsidRPr="009F09F0">
        <w:rPr>
          <w:rFonts w:ascii="Century" w:hAnsi="Century" w:cs="Miriam"/>
          <w:spacing w:val="10"/>
          <w:rtl/>
        </w:rPr>
        <w:t xml:space="preserve"> </w:t>
      </w:r>
      <w:r w:rsidRPr="009F09F0">
        <w:rPr>
          <w:rFonts w:ascii="Century" w:hAnsi="Century" w:cs="Miriam" w:hint="eastAsia"/>
          <w:spacing w:val="10"/>
          <w:rtl/>
        </w:rPr>
        <w:t>ההלימה</w:t>
      </w:r>
      <w:r w:rsidRPr="009F09F0">
        <w:rPr>
          <w:rFonts w:ascii="Century" w:hAnsi="Century" w:cs="Miriam"/>
          <w:spacing w:val="10"/>
          <w:rtl/>
        </w:rPr>
        <w:t xml:space="preserve"> </w:t>
      </w:r>
      <w:r w:rsidRPr="009F09F0">
        <w:rPr>
          <w:rFonts w:ascii="Century" w:hAnsi="Century" w:cs="Miriam" w:hint="eastAsia"/>
          <w:spacing w:val="10"/>
          <w:rtl/>
        </w:rPr>
        <w:t>גם</w:t>
      </w:r>
      <w:r w:rsidRPr="009F09F0">
        <w:rPr>
          <w:rFonts w:ascii="Century" w:hAnsi="Century" w:cs="Miriam"/>
          <w:spacing w:val="10"/>
          <w:rtl/>
        </w:rPr>
        <w:t xml:space="preserve"> </w:t>
      </w:r>
      <w:r w:rsidRPr="009F09F0">
        <w:rPr>
          <w:rFonts w:ascii="Century" w:hAnsi="Century" w:cs="Miriam" w:hint="eastAsia"/>
          <w:spacing w:val="10"/>
          <w:rtl/>
        </w:rPr>
        <w:t>כאשר</w:t>
      </w:r>
      <w:r w:rsidRPr="009F09F0">
        <w:rPr>
          <w:rFonts w:ascii="Century" w:hAnsi="Century" w:cs="Miriam"/>
          <w:spacing w:val="10"/>
          <w:rtl/>
        </w:rPr>
        <w:t xml:space="preserve"> </w:t>
      </w:r>
      <w:r w:rsidRPr="009F09F0">
        <w:rPr>
          <w:rFonts w:ascii="Century" w:hAnsi="Century" w:cs="Miriam" w:hint="eastAsia"/>
          <w:spacing w:val="10"/>
          <w:rtl/>
        </w:rPr>
        <w:t>חלים</w:t>
      </w:r>
      <w:r w:rsidRPr="009F09F0">
        <w:rPr>
          <w:rFonts w:ascii="Century" w:hAnsi="Century" w:cs="Miriam"/>
          <w:spacing w:val="10"/>
          <w:rtl/>
        </w:rPr>
        <w:t xml:space="preserve"> </w:t>
      </w:r>
      <w:r w:rsidRPr="009F09F0">
        <w:rPr>
          <w:rFonts w:ascii="Century" w:hAnsi="Century" w:cs="Miriam" w:hint="eastAsia"/>
          <w:spacing w:val="10"/>
          <w:rtl/>
        </w:rPr>
        <w:t>שיקולי</w:t>
      </w:r>
      <w:r w:rsidRPr="009F09F0">
        <w:rPr>
          <w:rFonts w:ascii="Century" w:hAnsi="Century" w:cs="Miriam"/>
          <w:spacing w:val="10"/>
          <w:rtl/>
        </w:rPr>
        <w:t xml:space="preserve"> </w:t>
      </w:r>
      <w:r w:rsidRPr="009F09F0">
        <w:rPr>
          <w:rFonts w:ascii="Century" w:hAnsi="Century" w:cs="Miriam" w:hint="eastAsia"/>
          <w:spacing w:val="10"/>
          <w:rtl/>
        </w:rPr>
        <w:t>השיקום</w:t>
      </w:r>
      <w:r w:rsidRPr="009F09F0">
        <w:rPr>
          <w:rFonts w:ascii="Century" w:hAnsi="Century" w:cs="Miriam"/>
          <w:spacing w:val="10"/>
          <w:rtl/>
        </w:rPr>
        <w:t xml:space="preserve">. </w:t>
      </w:r>
      <w:r w:rsidRPr="009F09F0">
        <w:rPr>
          <w:rFonts w:ascii="Century" w:hAnsi="Century" w:cs="Miriam" w:hint="eastAsia"/>
          <w:spacing w:val="10"/>
          <w:rtl/>
        </w:rPr>
        <w:t>אולם</w:t>
      </w:r>
      <w:r w:rsidRPr="009F09F0">
        <w:rPr>
          <w:rFonts w:ascii="Century" w:hAnsi="Century" w:cs="Miriam"/>
          <w:spacing w:val="10"/>
          <w:rtl/>
        </w:rPr>
        <w:t xml:space="preserve">, </w:t>
      </w:r>
      <w:r w:rsidRPr="009F09F0">
        <w:rPr>
          <w:rFonts w:ascii="Century" w:hAnsi="Century" w:cs="Miriam" w:hint="eastAsia"/>
          <w:spacing w:val="10"/>
          <w:rtl/>
        </w:rPr>
        <w:t>יש</w:t>
      </w:r>
      <w:r w:rsidRPr="009F09F0">
        <w:rPr>
          <w:rFonts w:ascii="Century" w:hAnsi="Century" w:cs="Miriam"/>
          <w:spacing w:val="10"/>
          <w:rtl/>
        </w:rPr>
        <w:t xml:space="preserve"> </w:t>
      </w:r>
      <w:r w:rsidRPr="009F09F0">
        <w:rPr>
          <w:rFonts w:ascii="Century" w:hAnsi="Century" w:cs="Miriam" w:hint="eastAsia"/>
          <w:spacing w:val="10"/>
          <w:rtl/>
        </w:rPr>
        <w:t>להקפיד</w:t>
      </w:r>
      <w:r w:rsidRPr="009F09F0">
        <w:rPr>
          <w:rFonts w:ascii="Century" w:hAnsi="Century" w:cs="Miriam"/>
          <w:spacing w:val="10"/>
          <w:rtl/>
        </w:rPr>
        <w:t xml:space="preserve"> </w:t>
      </w:r>
      <w:r w:rsidRPr="009F09F0">
        <w:rPr>
          <w:rFonts w:ascii="Century" w:hAnsi="Century" w:cs="Miriam" w:hint="eastAsia"/>
          <w:spacing w:val="10"/>
          <w:rtl/>
        </w:rPr>
        <w:t>על</w:t>
      </w:r>
      <w:r w:rsidRPr="009F09F0">
        <w:rPr>
          <w:rFonts w:ascii="Century" w:hAnsi="Century" w:cs="Miriam"/>
          <w:spacing w:val="10"/>
          <w:rtl/>
        </w:rPr>
        <w:t xml:space="preserve"> </w:t>
      </w:r>
      <w:r w:rsidRPr="009F09F0">
        <w:rPr>
          <w:rFonts w:ascii="Century" w:hAnsi="Century" w:cs="Miriam" w:hint="eastAsia"/>
          <w:spacing w:val="10"/>
          <w:rtl/>
        </w:rPr>
        <w:t>כך</w:t>
      </w:r>
      <w:r w:rsidRPr="009F09F0">
        <w:rPr>
          <w:rFonts w:ascii="Century" w:hAnsi="Century" w:cs="Miriam"/>
          <w:spacing w:val="10"/>
          <w:rtl/>
        </w:rPr>
        <w:t xml:space="preserve"> </w:t>
      </w:r>
      <w:r w:rsidRPr="009F09F0">
        <w:rPr>
          <w:rFonts w:ascii="Century" w:hAnsi="Century" w:cs="Miriam" w:hint="eastAsia"/>
          <w:spacing w:val="10"/>
          <w:rtl/>
        </w:rPr>
        <w:t>שהבחירה</w:t>
      </w:r>
      <w:r w:rsidRPr="009F09F0">
        <w:rPr>
          <w:rFonts w:ascii="Century" w:hAnsi="Century" w:cs="Miriam"/>
          <w:spacing w:val="10"/>
          <w:rtl/>
        </w:rPr>
        <w:t xml:space="preserve"> </w:t>
      </w:r>
      <w:r w:rsidRPr="009F09F0">
        <w:rPr>
          <w:rFonts w:ascii="Century" w:hAnsi="Century" w:cs="Miriam" w:hint="eastAsia"/>
          <w:spacing w:val="10"/>
          <w:rtl/>
        </w:rPr>
        <w:t>בעונש</w:t>
      </w:r>
      <w:r w:rsidRPr="009F09F0">
        <w:rPr>
          <w:rFonts w:ascii="Century" w:hAnsi="Century" w:cs="Miriam"/>
          <w:spacing w:val="10"/>
          <w:rtl/>
        </w:rPr>
        <w:t xml:space="preserve"> </w:t>
      </w:r>
      <w:r w:rsidRPr="009F09F0">
        <w:rPr>
          <w:rFonts w:ascii="Century" w:hAnsi="Century" w:cs="Miriam" w:hint="eastAsia"/>
          <w:spacing w:val="10"/>
          <w:rtl/>
        </w:rPr>
        <w:t>לא</w:t>
      </w:r>
      <w:r w:rsidRPr="009F09F0">
        <w:rPr>
          <w:rFonts w:ascii="Century" w:hAnsi="Century" w:cs="Miriam"/>
          <w:spacing w:val="10"/>
          <w:rtl/>
        </w:rPr>
        <w:t xml:space="preserve"> </w:t>
      </w:r>
      <w:r w:rsidRPr="009F09F0">
        <w:rPr>
          <w:rFonts w:ascii="Century" w:hAnsi="Century" w:cs="Miriam" w:hint="eastAsia"/>
          <w:spacing w:val="10"/>
          <w:rtl/>
        </w:rPr>
        <w:t>תפגע</w:t>
      </w:r>
      <w:r w:rsidRPr="009F09F0">
        <w:rPr>
          <w:rFonts w:ascii="Century" w:hAnsi="Century" w:cs="Miriam"/>
          <w:spacing w:val="10"/>
          <w:rtl/>
        </w:rPr>
        <w:t xml:space="preserve"> </w:t>
      </w:r>
      <w:r w:rsidRPr="009F09F0">
        <w:rPr>
          <w:rFonts w:ascii="Century" w:hAnsi="Century" w:cs="Miriam" w:hint="eastAsia"/>
          <w:spacing w:val="10"/>
          <w:rtl/>
        </w:rPr>
        <w:t>באופן</w:t>
      </w:r>
      <w:r w:rsidRPr="009F09F0">
        <w:rPr>
          <w:rFonts w:ascii="Century" w:hAnsi="Century" w:cs="Miriam"/>
          <w:spacing w:val="10"/>
          <w:rtl/>
        </w:rPr>
        <w:t xml:space="preserve"> </w:t>
      </w:r>
      <w:r w:rsidRPr="009F09F0">
        <w:rPr>
          <w:rFonts w:ascii="Century" w:hAnsi="Century" w:cs="Miriam" w:hint="eastAsia"/>
          <w:spacing w:val="10"/>
          <w:rtl/>
        </w:rPr>
        <w:t>ממשי</w:t>
      </w:r>
      <w:r w:rsidRPr="009F09F0">
        <w:rPr>
          <w:rFonts w:ascii="Century" w:hAnsi="Century" w:cs="Miriam"/>
          <w:spacing w:val="10"/>
          <w:rtl/>
        </w:rPr>
        <w:t xml:space="preserve"> </w:t>
      </w:r>
      <w:r w:rsidRPr="009F09F0">
        <w:rPr>
          <w:rFonts w:ascii="Century" w:hAnsi="Century" w:cs="Miriam" w:hint="eastAsia"/>
          <w:spacing w:val="10"/>
          <w:rtl/>
        </w:rPr>
        <w:t>בסיכויי</w:t>
      </w:r>
      <w:r w:rsidRPr="009F09F0">
        <w:rPr>
          <w:rFonts w:ascii="Century" w:hAnsi="Century" w:cs="Miriam"/>
          <w:spacing w:val="10"/>
          <w:rtl/>
        </w:rPr>
        <w:t xml:space="preserve"> </w:t>
      </w:r>
      <w:r w:rsidRPr="009F09F0">
        <w:rPr>
          <w:rFonts w:ascii="Century" w:hAnsi="Century" w:cs="Miriam" w:hint="eastAsia"/>
          <w:spacing w:val="10"/>
          <w:rtl/>
        </w:rPr>
        <w:t>השיקום</w:t>
      </w:r>
      <w:r w:rsidRPr="009F09F0">
        <w:rPr>
          <w:rFonts w:ascii="Century" w:hAnsi="Century"/>
          <w:spacing w:val="10"/>
          <w:rtl/>
        </w:rPr>
        <w:t>"</w:t>
      </w:r>
      <w:r w:rsidRPr="009F09F0">
        <w:rPr>
          <w:rFonts w:ascii="Century" w:hAnsi="Century" w:cs="FrankRuehl"/>
          <w:spacing w:val="10"/>
          <w:sz w:val="22"/>
          <w:szCs w:val="28"/>
          <w:rtl/>
        </w:rPr>
        <w:t xml:space="preserve"> </w:t>
      </w:r>
      <w:r w:rsidRPr="009F09F0">
        <w:rPr>
          <w:rFonts w:ascii="Century" w:hAnsi="Century"/>
          <w:spacing w:val="10"/>
          <w:rtl/>
        </w:rPr>
        <w:t>(</w:t>
      </w:r>
      <w:hyperlink r:id="rId45" w:history="1">
        <w:r w:rsidR="005C5A9F" w:rsidRPr="005C5A9F">
          <w:rPr>
            <w:rFonts w:ascii="Century" w:hAnsi="Century" w:hint="eastAsia"/>
            <w:color w:val="0000FF"/>
            <w:spacing w:val="10"/>
            <w:u w:val="single"/>
            <w:rtl/>
          </w:rPr>
          <w:t>ע</w:t>
        </w:r>
        <w:r w:rsidR="005C5A9F" w:rsidRPr="005C5A9F">
          <w:rPr>
            <w:rFonts w:ascii="Century" w:hAnsi="Century"/>
            <w:color w:val="0000FF"/>
            <w:spacing w:val="10"/>
            <w:u w:val="single"/>
            <w:rtl/>
          </w:rPr>
          <w:t>"</w:t>
        </w:r>
        <w:r w:rsidR="005C5A9F" w:rsidRPr="005C5A9F">
          <w:rPr>
            <w:rFonts w:ascii="Century" w:hAnsi="Century" w:hint="eastAsia"/>
            <w:color w:val="0000FF"/>
            <w:spacing w:val="10"/>
            <w:u w:val="single"/>
            <w:rtl/>
          </w:rPr>
          <w:t>פ</w:t>
        </w:r>
        <w:r w:rsidR="005C5A9F" w:rsidRPr="005C5A9F">
          <w:rPr>
            <w:rFonts w:ascii="Century" w:hAnsi="Century"/>
            <w:color w:val="0000FF"/>
            <w:spacing w:val="10"/>
            <w:u w:val="single"/>
            <w:rtl/>
          </w:rPr>
          <w:t xml:space="preserve"> 6637/17</w:t>
        </w:r>
      </w:hyperlink>
      <w:r w:rsidRPr="009F09F0">
        <w:rPr>
          <w:rFonts w:ascii="Century" w:hAnsi="Century"/>
          <w:spacing w:val="10"/>
          <w:rtl/>
        </w:rPr>
        <w:t xml:space="preserve"> </w:t>
      </w:r>
      <w:r w:rsidRPr="009F09F0">
        <w:rPr>
          <w:rFonts w:ascii="Century" w:hAnsi="Century" w:hint="eastAsia"/>
          <w:b/>
          <w:bCs/>
          <w:spacing w:val="10"/>
          <w:rtl/>
        </w:rPr>
        <w:t>אליזבט</w:t>
      </w:r>
      <w:r w:rsidRPr="009F09F0">
        <w:rPr>
          <w:rFonts w:ascii="Century" w:hAnsi="Century"/>
          <w:b/>
          <w:bCs/>
          <w:spacing w:val="10"/>
          <w:rtl/>
        </w:rPr>
        <w:t xml:space="preserve"> </w:t>
      </w:r>
      <w:r w:rsidRPr="009F09F0">
        <w:rPr>
          <w:rFonts w:ascii="Century" w:hAnsi="Century" w:hint="eastAsia"/>
          <w:b/>
          <w:bCs/>
          <w:spacing w:val="10"/>
          <w:rtl/>
        </w:rPr>
        <w:t>קרינדל</w:t>
      </w:r>
      <w:r w:rsidRPr="009F09F0">
        <w:rPr>
          <w:rFonts w:ascii="Century" w:hAnsi="Century"/>
          <w:b/>
          <w:bCs/>
          <w:spacing w:val="10"/>
          <w:rtl/>
        </w:rPr>
        <w:t xml:space="preserve"> </w:t>
      </w:r>
      <w:r w:rsidRPr="009F09F0">
        <w:rPr>
          <w:rFonts w:ascii="Century" w:hAnsi="Century" w:hint="eastAsia"/>
          <w:b/>
          <w:bCs/>
          <w:spacing w:val="10"/>
          <w:rtl/>
        </w:rPr>
        <w:t>נ</w:t>
      </w:r>
      <w:r w:rsidRPr="009F09F0">
        <w:rPr>
          <w:rFonts w:ascii="Century" w:hAnsi="Century"/>
          <w:b/>
          <w:bCs/>
          <w:spacing w:val="10"/>
          <w:rtl/>
        </w:rPr>
        <w:t xml:space="preserve">' </w:t>
      </w:r>
      <w:r w:rsidRPr="009F09F0">
        <w:rPr>
          <w:rFonts w:ascii="Century" w:hAnsi="Century" w:hint="eastAsia"/>
          <w:b/>
          <w:bCs/>
          <w:spacing w:val="10"/>
          <w:rtl/>
        </w:rPr>
        <w:t>מדינת</w:t>
      </w:r>
      <w:r w:rsidRPr="009F09F0">
        <w:rPr>
          <w:rFonts w:ascii="Century" w:hAnsi="Century"/>
          <w:b/>
          <w:bCs/>
          <w:spacing w:val="10"/>
          <w:rtl/>
        </w:rPr>
        <w:t xml:space="preserve"> </w:t>
      </w:r>
      <w:r w:rsidRPr="009F09F0">
        <w:rPr>
          <w:rFonts w:ascii="Century" w:hAnsi="Century" w:hint="eastAsia"/>
          <w:b/>
          <w:bCs/>
          <w:spacing w:val="10"/>
          <w:rtl/>
        </w:rPr>
        <w:t>ישראל</w:t>
      </w:r>
      <w:r w:rsidRPr="009F09F0">
        <w:rPr>
          <w:rFonts w:ascii="Century" w:hAnsi="Century"/>
          <w:spacing w:val="10"/>
          <w:rtl/>
        </w:rPr>
        <w:t xml:space="preserve"> (18.4.18)</w:t>
      </w:r>
      <w:r w:rsidRPr="009F09F0">
        <w:rPr>
          <w:rtl/>
        </w:rPr>
        <w:t xml:space="preserve">; וראו גם </w:t>
      </w:r>
      <w:r w:rsidRPr="009F09F0">
        <w:rPr>
          <w:rFonts w:ascii="Century" w:hAnsi="Century" w:hint="eastAsia"/>
          <w:spacing w:val="10"/>
          <w:rtl/>
        </w:rPr>
        <w:t>אורן</w:t>
      </w:r>
      <w:r w:rsidRPr="009F09F0">
        <w:rPr>
          <w:rFonts w:ascii="Century" w:hAnsi="Century"/>
          <w:spacing w:val="10"/>
          <w:rtl/>
        </w:rPr>
        <w:t xml:space="preserve"> </w:t>
      </w:r>
      <w:hyperlink r:id="rId46" w:history="1">
        <w:r w:rsidR="005C5A9F" w:rsidRPr="005C5A9F">
          <w:rPr>
            <w:rFonts w:ascii="Century" w:hAnsi="Century" w:hint="eastAsia"/>
            <w:color w:val="0000FF"/>
            <w:spacing w:val="10"/>
            <w:u w:val="single"/>
            <w:rtl/>
          </w:rPr>
          <w:t>גזל</w:t>
        </w:r>
        <w:r w:rsidR="005C5A9F" w:rsidRPr="005C5A9F">
          <w:rPr>
            <w:rFonts w:ascii="Century" w:hAnsi="Century"/>
            <w:color w:val="0000FF"/>
            <w:spacing w:val="10"/>
            <w:u w:val="single"/>
            <w:rtl/>
          </w:rPr>
          <w:t>-</w:t>
        </w:r>
        <w:r w:rsidR="005C5A9F" w:rsidRPr="005C5A9F">
          <w:rPr>
            <w:rFonts w:ascii="Century" w:hAnsi="Century" w:hint="eastAsia"/>
            <w:color w:val="0000FF"/>
            <w:spacing w:val="10"/>
            <w:u w:val="single"/>
            <w:rtl/>
          </w:rPr>
          <w:t>אייל</w:t>
        </w:r>
        <w:r w:rsidR="005C5A9F" w:rsidRPr="005C5A9F">
          <w:rPr>
            <w:rFonts w:ascii="Century" w:hAnsi="Century"/>
            <w:color w:val="0000FF"/>
            <w:spacing w:val="10"/>
            <w:u w:val="single"/>
            <w:rtl/>
          </w:rPr>
          <w:t xml:space="preserve"> "</w:t>
        </w:r>
        <w:r w:rsidR="005C5A9F" w:rsidRPr="005C5A9F">
          <w:rPr>
            <w:rFonts w:ascii="Century" w:hAnsi="Century" w:hint="eastAsia"/>
            <w:color w:val="0000FF"/>
            <w:spacing w:val="10"/>
            <w:u w:val="single"/>
            <w:rtl/>
          </w:rPr>
          <w:t>חריגה</w:t>
        </w:r>
        <w:r w:rsidR="005C5A9F" w:rsidRPr="005C5A9F">
          <w:rPr>
            <w:rFonts w:ascii="Century" w:hAnsi="Century"/>
            <w:color w:val="0000FF"/>
            <w:spacing w:val="10"/>
            <w:u w:val="single"/>
            <w:rtl/>
          </w:rPr>
          <w:t xml:space="preserve"> </w:t>
        </w:r>
        <w:r w:rsidR="005C5A9F" w:rsidRPr="005C5A9F">
          <w:rPr>
            <w:rFonts w:ascii="Century" w:hAnsi="Century" w:hint="eastAsia"/>
            <w:color w:val="0000FF"/>
            <w:spacing w:val="10"/>
            <w:u w:val="single"/>
            <w:rtl/>
          </w:rPr>
          <w:t>ממתחם</w:t>
        </w:r>
        <w:r w:rsidR="005C5A9F" w:rsidRPr="005C5A9F">
          <w:rPr>
            <w:rFonts w:ascii="Century" w:hAnsi="Century"/>
            <w:color w:val="0000FF"/>
            <w:spacing w:val="10"/>
            <w:u w:val="single"/>
            <w:rtl/>
          </w:rPr>
          <w:t xml:space="preserve"> </w:t>
        </w:r>
        <w:r w:rsidR="005C5A9F" w:rsidRPr="005C5A9F">
          <w:rPr>
            <w:rFonts w:ascii="Century" w:hAnsi="Century" w:hint="eastAsia"/>
            <w:color w:val="0000FF"/>
            <w:spacing w:val="10"/>
            <w:u w:val="single"/>
            <w:rtl/>
          </w:rPr>
          <w:t>העונש</w:t>
        </w:r>
        <w:r w:rsidR="005C5A9F" w:rsidRPr="005C5A9F">
          <w:rPr>
            <w:rFonts w:ascii="Century" w:hAnsi="Century"/>
            <w:color w:val="0000FF"/>
            <w:spacing w:val="10"/>
            <w:u w:val="single"/>
            <w:rtl/>
          </w:rPr>
          <w:t xml:space="preserve"> </w:t>
        </w:r>
        <w:r w:rsidR="005C5A9F" w:rsidRPr="005C5A9F">
          <w:rPr>
            <w:rFonts w:ascii="Century" w:hAnsi="Century" w:hint="eastAsia"/>
            <w:color w:val="0000FF"/>
            <w:spacing w:val="10"/>
            <w:u w:val="single"/>
            <w:rtl/>
          </w:rPr>
          <w:t>ההולם</w:t>
        </w:r>
        <w:r w:rsidR="005C5A9F" w:rsidRPr="005C5A9F">
          <w:rPr>
            <w:rFonts w:ascii="Century" w:hAnsi="Century"/>
            <w:color w:val="0000FF"/>
            <w:spacing w:val="10"/>
            <w:u w:val="single"/>
            <w:rtl/>
          </w:rPr>
          <w:t>"</w:t>
        </w:r>
      </w:hyperlink>
      <w:r w:rsidRPr="009F09F0">
        <w:rPr>
          <w:rFonts w:ascii="Century" w:hAnsi="Century"/>
          <w:spacing w:val="10"/>
          <w:rtl/>
        </w:rPr>
        <w:t xml:space="preserve"> </w:t>
      </w:r>
      <w:r w:rsidRPr="009F09F0">
        <w:rPr>
          <w:rFonts w:ascii="Century" w:hAnsi="Century" w:hint="eastAsia"/>
          <w:b/>
          <w:rtl/>
        </w:rPr>
        <w:t>ספר</w:t>
      </w:r>
      <w:r w:rsidRPr="009F09F0">
        <w:rPr>
          <w:rFonts w:ascii="Century" w:hAnsi="Century"/>
          <w:b/>
          <w:rtl/>
        </w:rPr>
        <w:t xml:space="preserve"> </w:t>
      </w:r>
      <w:r w:rsidRPr="009F09F0">
        <w:rPr>
          <w:rFonts w:ascii="Century" w:hAnsi="Century" w:hint="eastAsia"/>
          <w:b/>
          <w:rtl/>
        </w:rPr>
        <w:t>דורית</w:t>
      </w:r>
      <w:r w:rsidRPr="009F09F0">
        <w:rPr>
          <w:rFonts w:ascii="Century" w:hAnsi="Century"/>
          <w:b/>
          <w:rtl/>
        </w:rPr>
        <w:t xml:space="preserve"> </w:t>
      </w:r>
      <w:r w:rsidRPr="009F09F0">
        <w:rPr>
          <w:rFonts w:ascii="Century" w:hAnsi="Century" w:hint="eastAsia"/>
          <w:b/>
          <w:rtl/>
        </w:rPr>
        <w:t>ביניש</w:t>
      </w:r>
      <w:r w:rsidRPr="009F09F0">
        <w:rPr>
          <w:rFonts w:ascii="Century" w:hAnsi="Century"/>
          <w:spacing w:val="10"/>
          <w:rtl/>
        </w:rPr>
        <w:t xml:space="preserve"> 539, 550</w:t>
      </w:r>
      <w:r w:rsidRPr="009F09F0">
        <w:rPr>
          <w:rtl/>
        </w:rPr>
        <w:t>). אכן, עונש מאסר בכליאה אינו הולם את נתוני המקרה</w:t>
      </w:r>
      <w:r>
        <w:rPr>
          <w:rFonts w:hint="cs"/>
          <w:rtl/>
        </w:rPr>
        <w:t xml:space="preserve"> </w:t>
      </w:r>
      <w:r w:rsidRPr="009F09F0">
        <w:rPr>
          <w:rtl/>
        </w:rPr>
        <w:t>ויש להימנע ממנו</w:t>
      </w:r>
      <w:r>
        <w:rPr>
          <w:rFonts w:hint="cs"/>
          <w:rtl/>
        </w:rPr>
        <w:t>. בהקשר זה אציין כי אף המאשימה אינה עותרת לעונש בכליאה</w:t>
      </w:r>
      <w:r w:rsidRPr="009F09F0">
        <w:rPr>
          <w:rtl/>
        </w:rPr>
        <w:t xml:space="preserve"> </w:t>
      </w:r>
      <w:r>
        <w:rPr>
          <w:rFonts w:hint="cs"/>
          <w:rtl/>
        </w:rPr>
        <w:t xml:space="preserve">אלא בעבודות שירות </w:t>
      </w:r>
      <w:r w:rsidRPr="009F09F0">
        <w:rPr>
          <w:rtl/>
        </w:rPr>
        <w:t xml:space="preserve">(להשפעותיו השליליות של עונש מאסר ראו </w:t>
      </w:r>
      <w:r w:rsidRPr="009F09F0">
        <w:rPr>
          <w:b/>
          <w:bCs/>
          <w:rtl/>
        </w:rPr>
        <w:t>דו"ח הועדה הציבורית לבחינת מדיניות הענישה והטיפול בעבריינים</w:t>
      </w:r>
      <w:r w:rsidRPr="009F09F0">
        <w:rPr>
          <w:rtl/>
        </w:rPr>
        <w:t xml:space="preserve">, 2015 (המכונה "דו"ח ועדת דורנר"); כן ראו, </w:t>
      </w:r>
      <w:hyperlink r:id="rId47" w:history="1">
        <w:r w:rsidR="005C5A9F" w:rsidRPr="005C5A9F">
          <w:rPr>
            <w:color w:val="0000FF"/>
            <w:u w:val="single"/>
            <w:rtl/>
          </w:rPr>
          <w:t>בג"צ 1892/14</w:t>
        </w:r>
      </w:hyperlink>
      <w:r w:rsidRPr="009F09F0">
        <w:rPr>
          <w:rtl/>
        </w:rPr>
        <w:t xml:space="preserve"> </w:t>
      </w:r>
      <w:r w:rsidRPr="009F09F0">
        <w:rPr>
          <w:b/>
          <w:bCs/>
          <w:rtl/>
        </w:rPr>
        <w:t>האגודה לזכויות האדם בישראל ואח' נ' השר לבטחון פנים ואח'</w:t>
      </w:r>
      <w:r w:rsidRPr="009F09F0">
        <w:rPr>
          <w:rtl/>
        </w:rPr>
        <w:t xml:space="preserve"> (13.6.17), פסקה קכו' לפסק דינו של המשנה לנשיאה רובינשטיין). </w:t>
      </w:r>
    </w:p>
    <w:p w14:paraId="5530F674" w14:textId="77777777" w:rsidR="0008716B" w:rsidRDefault="0008716B" w:rsidP="0008716B">
      <w:pPr>
        <w:spacing w:line="360" w:lineRule="auto"/>
        <w:jc w:val="both"/>
        <w:rPr>
          <w:rtl/>
        </w:rPr>
      </w:pPr>
    </w:p>
    <w:p w14:paraId="526B9256" w14:textId="77777777" w:rsidR="0008716B" w:rsidRDefault="0008716B" w:rsidP="0008716B">
      <w:pPr>
        <w:pStyle w:val="a9"/>
        <w:numPr>
          <w:ilvl w:val="0"/>
          <w:numId w:val="1"/>
        </w:numPr>
        <w:spacing w:line="360" w:lineRule="auto"/>
        <w:jc w:val="both"/>
      </w:pPr>
      <w:r>
        <w:rPr>
          <w:rFonts w:hint="cs"/>
          <w:rtl/>
        </w:rPr>
        <w:t xml:space="preserve">השאלה היא אפוא מהו העונש הראוי במקרה זה, אף בהינתן סיכויי השיקום. האם מאסר בעבודות שירות כעתירת המאשימה, או צו של"צ כעתירת ההגנה והמלצת שירות המבחן. לדידי, צו של"צ אינו נותן </w:t>
      </w:r>
      <w:r w:rsidRPr="00B01914">
        <w:rPr>
          <w:rtl/>
        </w:rPr>
        <w:t xml:space="preserve">ביטוי נכון </w:t>
      </w:r>
      <w:r>
        <w:rPr>
          <w:rFonts w:hint="cs"/>
          <w:rtl/>
        </w:rPr>
        <w:t>ל</w:t>
      </w:r>
      <w:r>
        <w:rPr>
          <w:rtl/>
        </w:rPr>
        <w:t>חומרת העביר</w:t>
      </w:r>
      <w:r>
        <w:rPr>
          <w:rFonts w:hint="cs"/>
          <w:rtl/>
        </w:rPr>
        <w:t>ה</w:t>
      </w:r>
      <w:r w:rsidRPr="00B01914">
        <w:rPr>
          <w:rtl/>
        </w:rPr>
        <w:t xml:space="preserve"> </w:t>
      </w:r>
      <w:r>
        <w:rPr>
          <w:rFonts w:hint="cs"/>
          <w:rtl/>
        </w:rPr>
        <w:t xml:space="preserve">ואינו </w:t>
      </w:r>
      <w:r w:rsidRPr="00B01914">
        <w:rPr>
          <w:rtl/>
        </w:rPr>
        <w:t xml:space="preserve">הולם אותה, </w:t>
      </w:r>
      <w:r>
        <w:rPr>
          <w:rFonts w:hint="cs"/>
          <w:rtl/>
        </w:rPr>
        <w:t xml:space="preserve">וזאת </w:t>
      </w:r>
      <w:r w:rsidRPr="00B01914">
        <w:rPr>
          <w:rtl/>
        </w:rPr>
        <w:t xml:space="preserve">חרף סיכויי השיקום. </w:t>
      </w:r>
      <w:r>
        <w:rPr>
          <w:rFonts w:hint="cs"/>
          <w:rtl/>
        </w:rPr>
        <w:t xml:space="preserve">צו של"צ הוא עונש חינוכי, אשר הגם שיש בו פן אופרטיבי, הוא אינו בעל חומרה ממשית ואף אינו כולל את הסטיגמה המחמירה שבמאסר בדרך של עבודות שירות, שהוא עונש מאסר לכל דבר ועניין, למעט בעניין אופן ריצויו (ראו 10002/17 </w:t>
      </w:r>
      <w:r w:rsidRPr="00076E3E">
        <w:rPr>
          <w:rFonts w:hint="cs"/>
          <w:b/>
          <w:bCs/>
          <w:rtl/>
        </w:rPr>
        <w:t>מדינת ישראל נ' ניסים מור</w:t>
      </w:r>
      <w:r>
        <w:rPr>
          <w:rFonts w:hint="cs"/>
          <w:rtl/>
        </w:rPr>
        <w:t xml:space="preserve"> (18.7.18)). אין מדובר בסמנטיקה אלא במהות. עבירה של גידול סמים, בוודאי שלא לשימוש עצמי בלבד, מבטאת פעילות עבריינית במדרג חומרה ממשי וראוי להתייחס אליה בהתאם בשאלת הענישה </w:t>
      </w:r>
      <w:r w:rsidRPr="00737774">
        <w:rPr>
          <w:rtl/>
        </w:rPr>
        <w:t xml:space="preserve">(ראו לעניין זה </w:t>
      </w:r>
      <w:hyperlink r:id="rId48" w:history="1">
        <w:r w:rsidR="005C5A9F" w:rsidRPr="005C5A9F">
          <w:rPr>
            <w:color w:val="0000FF"/>
            <w:u w:val="single"/>
            <w:rtl/>
          </w:rPr>
          <w:t>עפ"ג 10700-11-16</w:t>
        </w:r>
      </w:hyperlink>
      <w:r w:rsidRPr="00737774">
        <w:rPr>
          <w:rtl/>
        </w:rPr>
        <w:t xml:space="preserve"> </w:t>
      </w:r>
      <w:r w:rsidRPr="00737774">
        <w:rPr>
          <w:b/>
          <w:bCs/>
          <w:rtl/>
        </w:rPr>
        <w:t>מדינת ישראל נ' טולידו</w:t>
      </w:r>
      <w:r w:rsidRPr="00737774">
        <w:rPr>
          <w:rtl/>
        </w:rPr>
        <w:t xml:space="preserve"> (17.1.17))</w:t>
      </w:r>
      <w:r>
        <w:rPr>
          <w:rFonts w:hint="cs"/>
          <w:rtl/>
        </w:rPr>
        <w:t xml:space="preserve">. בנסיבות מקרה זה, עונש בדמות צו של"צ לא יבטא נכונה את מכלול נסיבות המקרה ובהן כמות הסמים ומטרת הגידול. אדגיש כי מסקנתי הייתה שונה לו היה מוכח שהנאשם אינו יכול לבצע עונש בעבודות שירות, בין בשל מצב רפואי ובין בשל כך שעונש זה יפגע משמעותית בסיכויי השיקום. לא זה המצב בעניינו של הנאשם. </w:t>
      </w:r>
    </w:p>
    <w:p w14:paraId="03D9D10D" w14:textId="77777777" w:rsidR="0008716B" w:rsidRDefault="0008716B" w:rsidP="0008716B">
      <w:pPr>
        <w:pStyle w:val="a9"/>
        <w:spacing w:line="360" w:lineRule="auto"/>
        <w:ind w:left="0"/>
        <w:jc w:val="both"/>
        <w:rPr>
          <w:rtl/>
        </w:rPr>
      </w:pPr>
    </w:p>
    <w:p w14:paraId="56359119" w14:textId="77777777" w:rsidR="0008716B" w:rsidRPr="00737774" w:rsidRDefault="0008716B" w:rsidP="0008716B">
      <w:pPr>
        <w:pStyle w:val="a9"/>
        <w:numPr>
          <w:ilvl w:val="0"/>
          <w:numId w:val="1"/>
        </w:numPr>
        <w:spacing w:line="360" w:lineRule="auto"/>
        <w:jc w:val="both"/>
        <w:rPr>
          <w:rtl/>
        </w:rPr>
      </w:pPr>
      <w:r>
        <w:rPr>
          <w:rFonts w:hint="cs"/>
          <w:rtl/>
        </w:rPr>
        <w:t>אציין כי לא התעלמתי מ</w:t>
      </w:r>
      <w:hyperlink r:id="rId49" w:history="1">
        <w:r w:rsidR="005C5A9F" w:rsidRPr="005C5A9F">
          <w:rPr>
            <w:color w:val="0000FF"/>
            <w:u w:val="single"/>
            <w:rtl/>
          </w:rPr>
          <w:t>עפ"ג 26985-08-19</w:t>
        </w:r>
      </w:hyperlink>
      <w:r>
        <w:rPr>
          <w:rFonts w:hint="cs"/>
          <w:rtl/>
        </w:rPr>
        <w:t xml:space="preserve"> </w:t>
      </w:r>
      <w:r w:rsidRPr="008F1169">
        <w:rPr>
          <w:rFonts w:hint="cs"/>
          <w:b/>
          <w:bCs/>
          <w:rtl/>
        </w:rPr>
        <w:t>שטנפר נ' מדינת ישראל</w:t>
      </w:r>
      <w:r>
        <w:rPr>
          <w:rFonts w:hint="cs"/>
          <w:rtl/>
        </w:rPr>
        <w:t xml:space="preserve"> (21.11.19) שם הוטלו (במסגרת ערעור) על נאשם בגידול סמים 240 שעות של"צ וצו מבחן. עניינו שונה בשני נושאים מהותיים. ראשית, כמות השתילים שגידל הנאשם שבפני גדולה יותר משמעותית. בעניין </w:t>
      </w:r>
      <w:r w:rsidRPr="007E78D4">
        <w:rPr>
          <w:rFonts w:hint="cs"/>
          <w:b/>
          <w:bCs/>
          <w:rtl/>
        </w:rPr>
        <w:t>שטנפר</w:t>
      </w:r>
      <w:r>
        <w:rPr>
          <w:rFonts w:hint="cs"/>
          <w:rtl/>
        </w:rPr>
        <w:t xml:space="preserve"> צוין בכתב האישום כי מדובר "</w:t>
      </w:r>
      <w:r w:rsidRPr="0022377F">
        <w:rPr>
          <w:rFonts w:cs="Miriam" w:hint="cs"/>
          <w:rtl/>
        </w:rPr>
        <w:t>בעשרות שתילים</w:t>
      </w:r>
      <w:r>
        <w:rPr>
          <w:rFonts w:hint="cs"/>
          <w:rtl/>
        </w:rPr>
        <w:t xml:space="preserve">" ונקבע כי בהיעדר פירוט יש להניח לטובת הנאשם כי מדובר בשתי עשרות לכל היותר (ת"פ 47492-07-18 </w:t>
      </w:r>
      <w:r w:rsidRPr="0022377F">
        <w:rPr>
          <w:rFonts w:hint="cs"/>
          <w:b/>
          <w:bCs/>
          <w:rtl/>
        </w:rPr>
        <w:t>מדינת ישראל נ' שטנפר</w:t>
      </w:r>
      <w:r>
        <w:rPr>
          <w:rFonts w:hint="cs"/>
          <w:rtl/>
        </w:rPr>
        <w:t xml:space="preserve"> (1.7.19)). בענייננו גידל הנאשם 45 שתילים. (הערה: בפסק הדין בערעור נפלה טעות סופר והמשקל הנכון הוא 13 ק"ג ולא כפי שנרשם). שנית, בעניין </w:t>
      </w:r>
      <w:r w:rsidRPr="007E78D4">
        <w:rPr>
          <w:rFonts w:hint="cs"/>
          <w:b/>
          <w:bCs/>
          <w:rtl/>
        </w:rPr>
        <w:t>שטנפר</w:t>
      </w:r>
      <w:r>
        <w:rPr>
          <w:rFonts w:hint="cs"/>
          <w:rtl/>
        </w:rPr>
        <w:t xml:space="preserve"> ציין שירות המבחן כי עונש בעבודות שירות עלול לגרום לרגרסיה במצבו ולחבל בהליכי השיקום. בענייננו, לא ציין כך שירות המבחן.</w:t>
      </w:r>
    </w:p>
    <w:p w14:paraId="600C60D2" w14:textId="77777777" w:rsidR="0008716B" w:rsidRDefault="0008716B" w:rsidP="0008716B">
      <w:pPr>
        <w:pStyle w:val="a9"/>
        <w:spacing w:line="360" w:lineRule="auto"/>
        <w:ind w:left="0"/>
        <w:jc w:val="both"/>
        <w:rPr>
          <w:rtl/>
        </w:rPr>
      </w:pPr>
    </w:p>
    <w:p w14:paraId="55EB31FA" w14:textId="77777777" w:rsidR="0008716B" w:rsidRDefault="0008716B" w:rsidP="0008716B">
      <w:pPr>
        <w:pStyle w:val="a9"/>
        <w:numPr>
          <w:ilvl w:val="0"/>
          <w:numId w:val="1"/>
        </w:numPr>
        <w:spacing w:line="360" w:lineRule="auto"/>
        <w:jc w:val="both"/>
      </w:pPr>
      <w:r>
        <w:rPr>
          <w:rFonts w:hint="cs"/>
          <w:rtl/>
        </w:rPr>
        <w:t xml:space="preserve">ביחס לסיבות שהביאוני שלא לאמץ את מלוא המלצת שירות המבחן </w:t>
      </w:r>
      <w:r w:rsidRPr="00B01914">
        <w:rPr>
          <w:rtl/>
        </w:rPr>
        <w:t xml:space="preserve">ראיתי להדגיש </w:t>
      </w:r>
      <w:r>
        <w:rPr>
          <w:rFonts w:hint="cs"/>
          <w:rtl/>
        </w:rPr>
        <w:t xml:space="preserve">גם </w:t>
      </w:r>
      <w:r w:rsidRPr="00B01914">
        <w:rPr>
          <w:rtl/>
        </w:rPr>
        <w:t>כי המלצת שירות יצאה מנקודת הנחה לפיה הנאשם ביצע את העבירות רק בשל הצורך בסם</w:t>
      </w:r>
      <w:r>
        <w:rPr>
          <w:rFonts w:hint="cs"/>
          <w:rtl/>
        </w:rPr>
        <w:t xml:space="preserve"> ("</w:t>
      </w:r>
      <w:r w:rsidRPr="00076E3E">
        <w:rPr>
          <w:rFonts w:cs="Miriam" w:hint="cs"/>
          <w:rtl/>
        </w:rPr>
        <w:t>הערכת</w:t>
      </w:r>
      <w:r>
        <w:rPr>
          <w:rFonts w:cs="Miriam" w:hint="cs"/>
          <w:rtl/>
        </w:rPr>
        <w:t>נ</w:t>
      </w:r>
      <w:r w:rsidRPr="00076E3E">
        <w:rPr>
          <w:rFonts w:cs="Miriam" w:hint="cs"/>
          <w:rtl/>
        </w:rPr>
        <w:t>ו כי נסיבות ביצוע העבירה הינן לסיפוק צרכיו ההתמכרותיים בלבד</w:t>
      </w:r>
      <w:r>
        <w:rPr>
          <w:rFonts w:hint="cs"/>
          <w:rtl/>
        </w:rPr>
        <w:t>"; תסקיר מיום 21.8.19)</w:t>
      </w:r>
      <w:r w:rsidRPr="00B01914">
        <w:rPr>
          <w:rtl/>
        </w:rPr>
        <w:t xml:space="preserve">. </w:t>
      </w:r>
      <w:r>
        <w:rPr>
          <w:rFonts w:hint="cs"/>
          <w:rtl/>
        </w:rPr>
        <w:t>דומה כי</w:t>
      </w:r>
      <w:r w:rsidRPr="00B01914">
        <w:rPr>
          <w:rtl/>
        </w:rPr>
        <w:t xml:space="preserve"> שירות המבחן לא שת לבו </w:t>
      </w:r>
      <w:r>
        <w:rPr>
          <w:rFonts w:hint="cs"/>
          <w:rtl/>
        </w:rPr>
        <w:t>לעבירה בה הודה והורשע</w:t>
      </w:r>
      <w:r w:rsidRPr="00B01914">
        <w:rPr>
          <w:rtl/>
        </w:rPr>
        <w:t xml:space="preserve"> </w:t>
      </w:r>
      <w:r>
        <w:rPr>
          <w:rFonts w:hint="cs"/>
          <w:rtl/>
        </w:rPr>
        <w:t>הנאשם</w:t>
      </w:r>
      <w:r w:rsidRPr="00B01914">
        <w:rPr>
          <w:rtl/>
        </w:rPr>
        <w:t xml:space="preserve">, </w:t>
      </w:r>
      <w:r>
        <w:rPr>
          <w:rFonts w:hint="cs"/>
          <w:rtl/>
        </w:rPr>
        <w:t>בה מ</w:t>
      </w:r>
      <w:r w:rsidRPr="00B01914">
        <w:rPr>
          <w:rtl/>
        </w:rPr>
        <w:t>צוין במפורש כי הנאשם עשה כן "</w:t>
      </w:r>
      <w:r w:rsidRPr="00487783">
        <w:rPr>
          <w:rFonts w:cs="Miriam"/>
          <w:rtl/>
        </w:rPr>
        <w:t xml:space="preserve">לא </w:t>
      </w:r>
      <w:r w:rsidRPr="00487783">
        <w:rPr>
          <w:rFonts w:cs="Miriam" w:hint="cs"/>
          <w:rtl/>
        </w:rPr>
        <w:t>לצריכה</w:t>
      </w:r>
      <w:r w:rsidRPr="00487783">
        <w:rPr>
          <w:rFonts w:cs="Miriam"/>
          <w:rtl/>
        </w:rPr>
        <w:t xml:space="preserve"> עצמית</w:t>
      </w:r>
      <w:r w:rsidRPr="00B01914">
        <w:rPr>
          <w:rtl/>
        </w:rPr>
        <w:t xml:space="preserve">". </w:t>
      </w:r>
      <w:r>
        <w:rPr>
          <w:rFonts w:hint="cs"/>
          <w:rtl/>
        </w:rPr>
        <w:t xml:space="preserve">כמו כן שירות המבחן קיבל את טענת הנאשם לפיה המחסן ששכר לצורך גידול הסמים שימש אותו גם כמחסן לצרכי עבודתו. עובדה זו לא צוינה בכתב האישום וממילא שלא הוכחה (כנסיבה מקלה, לפי </w:t>
      </w:r>
      <w:hyperlink r:id="rId50" w:history="1">
        <w:r w:rsidR="00A25CCA" w:rsidRPr="00A25CCA">
          <w:rPr>
            <w:color w:val="0000FF"/>
            <w:u w:val="single"/>
            <w:rtl/>
          </w:rPr>
          <w:t>סעיף 40י</w:t>
        </w:r>
      </w:hyperlink>
      <w:r>
        <w:rPr>
          <w:rFonts w:hint="cs"/>
          <w:rtl/>
        </w:rPr>
        <w:t xml:space="preserve"> ל</w:t>
      </w:r>
      <w:hyperlink r:id="rId51" w:history="1">
        <w:r w:rsidR="005C5A9F" w:rsidRPr="005C5A9F">
          <w:rPr>
            <w:color w:val="0000FF"/>
            <w:u w:val="single"/>
            <w:rtl/>
          </w:rPr>
          <w:t>חוק העונשין</w:t>
        </w:r>
      </w:hyperlink>
      <w:r>
        <w:rPr>
          <w:rFonts w:hint="cs"/>
          <w:rtl/>
        </w:rPr>
        <w:t>), כך ששירות המבחן הניח עבור הנאשם הנחות עובדתיות מקלות ובלתי מבוססות ומכאן שמסקנתו התבססה על תשתית עובדתית רעועה ואף בלתי נכונה. כמו כן, אציין כי בניגוד לדברים שצוינו בשירות המבחן, בבית המשפט לא ביקש הנאשם להוכיח כי גידל את הסמים לשימוש עצמי וכאמור הודה בעבירה ובה יסוד של מטרה שונה.</w:t>
      </w:r>
      <w:r>
        <w:rPr>
          <w:rFonts w:hint="cs"/>
        </w:rPr>
        <w:t xml:space="preserve"> </w:t>
      </w:r>
      <w:r>
        <w:rPr>
          <w:rFonts w:hint="cs"/>
          <w:rtl/>
        </w:rPr>
        <w:t xml:space="preserve">הדבר </w:t>
      </w:r>
      <w:r w:rsidRPr="00B01914">
        <w:rPr>
          <w:rtl/>
        </w:rPr>
        <w:t xml:space="preserve">אף מעמיד את נטילת האחריות שביטא הנאשם </w:t>
      </w:r>
      <w:r>
        <w:rPr>
          <w:rFonts w:hint="cs"/>
          <w:rtl/>
        </w:rPr>
        <w:t xml:space="preserve">בפני שירות המבחן באור שונה </w:t>
      </w:r>
      <w:r w:rsidRPr="00737774">
        <w:rPr>
          <w:rtl/>
        </w:rPr>
        <w:t xml:space="preserve">(ראו בהשוואה </w:t>
      </w:r>
      <w:hyperlink r:id="rId52" w:history="1">
        <w:r w:rsidR="005C5A9F" w:rsidRPr="005C5A9F">
          <w:rPr>
            <w:color w:val="0000FF"/>
            <w:u w:val="single"/>
            <w:rtl/>
          </w:rPr>
          <w:t>עפ"ג 62171-05-17</w:t>
        </w:r>
      </w:hyperlink>
      <w:r w:rsidRPr="00737774">
        <w:rPr>
          <w:rtl/>
        </w:rPr>
        <w:t xml:space="preserve"> </w:t>
      </w:r>
      <w:r w:rsidRPr="00B333B3">
        <w:rPr>
          <w:b/>
          <w:bCs/>
          <w:rtl/>
        </w:rPr>
        <w:t>אסי חן נ' מדינת ישראל</w:t>
      </w:r>
      <w:r w:rsidRPr="00737774">
        <w:rPr>
          <w:rtl/>
        </w:rPr>
        <w:t xml:space="preserve"> (10.7.17)). </w:t>
      </w:r>
    </w:p>
    <w:p w14:paraId="3AE92DEB" w14:textId="77777777" w:rsidR="0008716B" w:rsidRDefault="0008716B" w:rsidP="0008716B">
      <w:pPr>
        <w:pStyle w:val="a9"/>
        <w:spacing w:line="360" w:lineRule="auto"/>
        <w:ind w:left="0"/>
        <w:jc w:val="both"/>
      </w:pPr>
    </w:p>
    <w:p w14:paraId="1E937201" w14:textId="77777777" w:rsidR="0008716B" w:rsidRDefault="0008716B" w:rsidP="0008716B">
      <w:pPr>
        <w:pStyle w:val="a9"/>
        <w:numPr>
          <w:ilvl w:val="0"/>
          <w:numId w:val="1"/>
        </w:numPr>
        <w:spacing w:line="360" w:lineRule="auto"/>
        <w:jc w:val="both"/>
      </w:pPr>
      <w:r>
        <w:rPr>
          <w:rFonts w:hint="cs"/>
          <w:rtl/>
        </w:rPr>
        <w:t xml:space="preserve">סיכומו של דבר. ראוי להעדיף בעניינו של הנאשם את סיכויי השיקום, אך העונש הראוי הוא מאסר בעבודות שירות. עם זאת, תקופת המאסר תהא קצרה יחסית ובכך תבוא לידי ביטוי העדפת סיכויי השיקום והחריגה ממתחם הענישה. בנוסף, יוטל צו מבחן כדי לסייע לנאשם להמשיך בהליך השיקומי </w:t>
      </w:r>
      <w:r w:rsidRPr="00737774">
        <w:rPr>
          <w:rtl/>
        </w:rPr>
        <w:t xml:space="preserve">(ראו </w:t>
      </w:r>
      <w:r>
        <w:rPr>
          <w:rFonts w:hint="cs"/>
          <w:rtl/>
        </w:rPr>
        <w:t xml:space="preserve">למשל </w:t>
      </w:r>
      <w:hyperlink r:id="rId53" w:history="1">
        <w:r w:rsidR="005C5A9F" w:rsidRPr="005C5A9F">
          <w:rPr>
            <w:color w:val="0000FF"/>
            <w:u w:val="single"/>
            <w:rtl/>
          </w:rPr>
          <w:t>עפ"ג 10700-11-16</w:t>
        </w:r>
      </w:hyperlink>
      <w:r w:rsidRPr="00737774">
        <w:rPr>
          <w:rtl/>
        </w:rPr>
        <w:t xml:space="preserve"> </w:t>
      </w:r>
      <w:r w:rsidRPr="00BB4E79">
        <w:rPr>
          <w:b/>
          <w:bCs/>
          <w:rtl/>
        </w:rPr>
        <w:t>מדינת ישראל נ' טולידו</w:t>
      </w:r>
      <w:r w:rsidRPr="00737774">
        <w:rPr>
          <w:rtl/>
        </w:rPr>
        <w:t xml:space="preserve"> (17.1.17)). </w:t>
      </w:r>
      <w:r>
        <w:rPr>
          <w:rFonts w:hint="cs"/>
          <w:rtl/>
        </w:rPr>
        <w:t xml:space="preserve">לצורך קביעת אורך התקופה הבאתי בחשבון גם כי הנאשם היה נתון בתנאים מגבילים משך כ-6 חודשים, אך לא מדובר היה במעצר בית מלא, אלא חלקי בלבד. כן הבאתי בחשבון את העבר הנקי, ההודאה בהזדמנות הראשונה והגיל הצעיר. </w:t>
      </w:r>
    </w:p>
    <w:p w14:paraId="19895DD8" w14:textId="77777777" w:rsidR="0008716B" w:rsidRDefault="0008716B" w:rsidP="0008716B">
      <w:pPr>
        <w:pStyle w:val="a9"/>
        <w:rPr>
          <w:rtl/>
        </w:rPr>
      </w:pPr>
    </w:p>
    <w:p w14:paraId="45E1D3E7" w14:textId="77777777" w:rsidR="0008716B" w:rsidRDefault="0008716B" w:rsidP="0008716B">
      <w:pPr>
        <w:pStyle w:val="a9"/>
        <w:numPr>
          <w:ilvl w:val="0"/>
          <w:numId w:val="1"/>
        </w:numPr>
        <w:spacing w:line="360" w:lineRule="auto"/>
        <w:jc w:val="both"/>
      </w:pPr>
      <w:r>
        <w:rPr>
          <w:rFonts w:hint="cs"/>
          <w:rtl/>
        </w:rPr>
        <w:t xml:space="preserve">אשר על כן, </w:t>
      </w:r>
      <w:r>
        <w:rPr>
          <w:rtl/>
        </w:rPr>
        <w:t>לאחר שבחנתי את מכלול השיקולים, הן לחומרה והן לקולה, אני גוזר על הנאשם את העונשים הבאים:</w:t>
      </w:r>
    </w:p>
    <w:p w14:paraId="038B13BF" w14:textId="77777777" w:rsidR="0008716B" w:rsidRDefault="0008716B" w:rsidP="0008716B">
      <w:pPr>
        <w:pStyle w:val="a9"/>
        <w:spacing w:line="360" w:lineRule="auto"/>
        <w:ind w:left="0"/>
        <w:jc w:val="both"/>
        <w:rPr>
          <w:rtl/>
        </w:rPr>
      </w:pPr>
    </w:p>
    <w:p w14:paraId="09813D2A" w14:textId="77777777" w:rsidR="0008716B" w:rsidRDefault="0008716B" w:rsidP="0008716B">
      <w:pPr>
        <w:pStyle w:val="a9"/>
        <w:numPr>
          <w:ilvl w:val="0"/>
          <w:numId w:val="2"/>
        </w:numPr>
        <w:spacing w:line="360" w:lineRule="auto"/>
        <w:jc w:val="both"/>
        <w:rPr>
          <w:b/>
          <w:bCs/>
          <w:rtl/>
        </w:rPr>
      </w:pPr>
      <w:r>
        <w:rPr>
          <w:rtl/>
        </w:rPr>
        <w:t>מאסר למשך 4 חודשים. הנאשם יישא בעונש זה בדרך של עבודות שירות בהתאם לחוות דעת הממונה</w:t>
      </w:r>
      <w:r>
        <w:rPr>
          <w:rFonts w:hint="cs"/>
          <w:rtl/>
        </w:rPr>
        <w:t xml:space="preserve">. </w:t>
      </w:r>
      <w:r w:rsidRPr="007812A9">
        <w:rPr>
          <w:rtl/>
        </w:rPr>
        <w:t>הובהר לנאשם</w:t>
      </w:r>
      <w:r>
        <w:rPr>
          <w:rtl/>
        </w:rPr>
        <w:t xml:space="preserve"> שעליו לבצע את עבודות השירות לשביעות רצון הממונה וכי אם לא יעשה כן ניתן יהיה להפקיע את העונש והוא יישא ביתרת התקופה בכליאה. </w:t>
      </w:r>
      <w:r w:rsidRPr="0016399D">
        <w:rPr>
          <w:b/>
          <w:bCs/>
          <w:rtl/>
        </w:rPr>
        <w:t xml:space="preserve">מועד </w:t>
      </w:r>
      <w:r>
        <w:rPr>
          <w:b/>
          <w:bCs/>
          <w:rtl/>
        </w:rPr>
        <w:t xml:space="preserve">תחילת עבודות השירות – </w:t>
      </w:r>
      <w:r>
        <w:rPr>
          <w:rFonts w:hint="cs"/>
          <w:b/>
          <w:bCs/>
          <w:rtl/>
        </w:rPr>
        <w:t xml:space="preserve">16.1.20 וביום זה עליו להתייצב במשרדי הממונה. </w:t>
      </w:r>
      <w:r>
        <w:rPr>
          <w:b/>
          <w:bCs/>
          <w:rtl/>
        </w:rPr>
        <w:t xml:space="preserve"> </w:t>
      </w:r>
    </w:p>
    <w:p w14:paraId="3E141F44" w14:textId="77777777" w:rsidR="0008716B" w:rsidRDefault="0008716B" w:rsidP="0008716B">
      <w:pPr>
        <w:pStyle w:val="a9"/>
        <w:spacing w:line="360" w:lineRule="auto"/>
        <w:ind w:left="1440"/>
        <w:jc w:val="both"/>
        <w:rPr>
          <w:b/>
          <w:bCs/>
          <w:rtl/>
        </w:rPr>
      </w:pPr>
    </w:p>
    <w:p w14:paraId="25005796" w14:textId="77777777" w:rsidR="0008716B" w:rsidRDefault="0008716B" w:rsidP="0008716B">
      <w:pPr>
        <w:pStyle w:val="a9"/>
        <w:numPr>
          <w:ilvl w:val="0"/>
          <w:numId w:val="2"/>
        </w:numPr>
        <w:spacing w:line="360" w:lineRule="auto"/>
        <w:jc w:val="both"/>
        <w:rPr>
          <w:rtl/>
        </w:rPr>
      </w:pPr>
      <w:r>
        <w:rPr>
          <w:rtl/>
        </w:rPr>
        <w:t>מאסר על תנאי למשך 6 חודשים והתנאי הוא שהנאשם לא יעבור במשך שלוש שנים כל עבירה על פקודת הסמים שהיא פשע.</w:t>
      </w:r>
    </w:p>
    <w:p w14:paraId="192CCDD7" w14:textId="77777777" w:rsidR="0008716B" w:rsidRDefault="0008716B" w:rsidP="0008716B">
      <w:pPr>
        <w:pStyle w:val="a9"/>
        <w:spacing w:line="360" w:lineRule="auto"/>
        <w:ind w:left="1440"/>
        <w:jc w:val="both"/>
        <w:rPr>
          <w:rtl/>
        </w:rPr>
      </w:pPr>
    </w:p>
    <w:p w14:paraId="66E17B5B" w14:textId="77777777" w:rsidR="0008716B" w:rsidRDefault="0008716B" w:rsidP="0008716B">
      <w:pPr>
        <w:pStyle w:val="a9"/>
        <w:numPr>
          <w:ilvl w:val="0"/>
          <w:numId w:val="2"/>
        </w:numPr>
        <w:spacing w:line="360" w:lineRule="auto"/>
        <w:jc w:val="both"/>
        <w:rPr>
          <w:rtl/>
        </w:rPr>
      </w:pPr>
      <w:r>
        <w:rPr>
          <w:rtl/>
        </w:rPr>
        <w:t>אני מעמיד את הנאשם בפיקוח שירות המבחן למשך 12 חודשים. הובהר לנאשם, בלשון פשוטה, כי עליו למלא אחר הוראות שירות המבחן וכי אם לא יעשה כן ניתן יהיה להפקיע את הצו להטיל עליו ענישה נוספת.</w:t>
      </w:r>
    </w:p>
    <w:p w14:paraId="7346527C" w14:textId="77777777" w:rsidR="0008716B" w:rsidRDefault="0008716B" w:rsidP="0008716B">
      <w:pPr>
        <w:pStyle w:val="a9"/>
        <w:spacing w:line="360" w:lineRule="auto"/>
        <w:ind w:left="1440"/>
        <w:jc w:val="both"/>
        <w:rPr>
          <w:rtl/>
        </w:rPr>
      </w:pPr>
    </w:p>
    <w:p w14:paraId="6BD7459F" w14:textId="77777777" w:rsidR="0008716B" w:rsidRDefault="0008716B" w:rsidP="0008716B">
      <w:pPr>
        <w:pStyle w:val="a9"/>
        <w:numPr>
          <w:ilvl w:val="0"/>
          <w:numId w:val="2"/>
        </w:numPr>
        <w:spacing w:line="360" w:lineRule="auto"/>
        <w:jc w:val="both"/>
        <w:rPr>
          <w:rtl/>
        </w:rPr>
      </w:pPr>
      <w:r w:rsidRPr="0016399D">
        <w:rPr>
          <w:rFonts w:ascii="Calibri" w:hAnsi="Calibri" w:hint="eastAsia"/>
          <w:rtl/>
        </w:rPr>
        <w:t>קנס</w:t>
      </w:r>
      <w:r w:rsidRPr="0016399D">
        <w:rPr>
          <w:rFonts w:ascii="Calibri" w:hAnsi="Calibri"/>
          <w:rtl/>
        </w:rPr>
        <w:t xml:space="preserve"> </w:t>
      </w:r>
      <w:r w:rsidRPr="0016399D">
        <w:rPr>
          <w:rFonts w:ascii="Calibri" w:hAnsi="Calibri" w:hint="eastAsia"/>
          <w:rtl/>
        </w:rPr>
        <w:t>בסך</w:t>
      </w:r>
      <w:r w:rsidRPr="0016399D">
        <w:rPr>
          <w:rFonts w:ascii="Calibri" w:hAnsi="Calibri"/>
          <w:rtl/>
        </w:rPr>
        <w:t xml:space="preserve"> </w:t>
      </w:r>
      <w:r w:rsidRPr="0016399D">
        <w:rPr>
          <w:rFonts w:ascii="Calibri" w:hAnsi="Calibri" w:hint="eastAsia"/>
          <w:rtl/>
        </w:rPr>
        <w:t>של</w:t>
      </w:r>
      <w:r w:rsidRPr="0016399D">
        <w:rPr>
          <w:rFonts w:ascii="Calibri" w:hAnsi="Calibri"/>
          <w:rtl/>
        </w:rPr>
        <w:t xml:space="preserve"> </w:t>
      </w:r>
      <w:r>
        <w:rPr>
          <w:rFonts w:ascii="Calibri" w:hAnsi="Calibri"/>
          <w:rtl/>
        </w:rPr>
        <w:t>5</w:t>
      </w:r>
      <w:r w:rsidRPr="0016399D">
        <w:rPr>
          <w:rFonts w:ascii="Calibri" w:hAnsi="Calibri"/>
          <w:rtl/>
        </w:rPr>
        <w:t xml:space="preserve">,000 </w:t>
      </w:r>
      <w:r w:rsidRPr="0016399D">
        <w:rPr>
          <w:rFonts w:ascii="Calibri" w:hAnsi="Calibri" w:hint="eastAsia"/>
          <w:rtl/>
        </w:rPr>
        <w:t>₪</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sidRPr="0016399D">
        <w:rPr>
          <w:rFonts w:ascii="Calibri" w:hAnsi="Calibri" w:hint="eastAsia"/>
          <w:rtl/>
        </w:rPr>
        <w:t>ב</w:t>
      </w:r>
      <w:r w:rsidRPr="0016399D">
        <w:rPr>
          <w:rFonts w:ascii="Calibri" w:hAnsi="Calibri"/>
          <w:rtl/>
        </w:rPr>
        <w:t xml:space="preserve">- </w:t>
      </w:r>
      <w:r>
        <w:rPr>
          <w:rFonts w:ascii="Calibri" w:hAnsi="Calibri"/>
          <w:rtl/>
        </w:rPr>
        <w:t>5</w:t>
      </w:r>
      <w:r w:rsidRPr="0016399D">
        <w:rPr>
          <w:rFonts w:ascii="Calibri" w:hAnsi="Calibri"/>
          <w:rtl/>
        </w:rPr>
        <w:t xml:space="preserve"> </w:t>
      </w:r>
      <w:r w:rsidRPr="0016399D">
        <w:rPr>
          <w:rFonts w:ascii="Calibri" w:hAnsi="Calibri" w:hint="eastAsia"/>
          <w:rtl/>
        </w:rPr>
        <w:t>תשלומים</w:t>
      </w:r>
      <w:r w:rsidRPr="0016399D">
        <w:rPr>
          <w:rFonts w:ascii="Calibri" w:hAnsi="Calibri"/>
          <w:rtl/>
        </w:rPr>
        <w:t xml:space="preserve"> </w:t>
      </w:r>
      <w:r w:rsidRPr="0016399D">
        <w:rPr>
          <w:rFonts w:ascii="Calibri" w:hAnsi="Calibri" w:hint="eastAsia"/>
          <w:rtl/>
        </w:rPr>
        <w:t>חודשיים</w:t>
      </w:r>
      <w:r w:rsidRPr="0016399D">
        <w:rPr>
          <w:rFonts w:ascii="Calibri" w:hAnsi="Calibri"/>
          <w:rtl/>
        </w:rPr>
        <w:t xml:space="preserve"> </w:t>
      </w:r>
      <w:r w:rsidRPr="0016399D">
        <w:rPr>
          <w:rFonts w:ascii="Calibri" w:hAnsi="Calibri" w:hint="eastAsia"/>
          <w:rtl/>
        </w:rPr>
        <w:t>רצופים</w:t>
      </w:r>
      <w:r w:rsidRPr="0016399D">
        <w:rPr>
          <w:rFonts w:ascii="Calibri" w:hAnsi="Calibri"/>
          <w:rtl/>
        </w:rPr>
        <w:t xml:space="preserve"> </w:t>
      </w:r>
      <w:r w:rsidRPr="0016399D">
        <w:rPr>
          <w:rFonts w:ascii="Calibri" w:hAnsi="Calibri" w:hint="eastAsia"/>
          <w:rtl/>
        </w:rPr>
        <w:t>ושווים</w:t>
      </w:r>
      <w:r w:rsidRPr="0016399D">
        <w:rPr>
          <w:rFonts w:ascii="Calibri" w:hAnsi="Calibri"/>
          <w:rtl/>
        </w:rPr>
        <w:t xml:space="preserve"> </w:t>
      </w:r>
      <w:r w:rsidRPr="0016399D">
        <w:rPr>
          <w:rFonts w:ascii="Calibri" w:hAnsi="Calibri" w:hint="eastAsia"/>
          <w:rtl/>
        </w:rPr>
        <w:t>החל</w:t>
      </w:r>
      <w:r w:rsidRPr="0016399D">
        <w:rPr>
          <w:rFonts w:ascii="Calibri" w:hAnsi="Calibri"/>
          <w:rtl/>
        </w:rPr>
        <w:t xml:space="preserve"> </w:t>
      </w:r>
      <w:r w:rsidRPr="0016399D">
        <w:rPr>
          <w:rFonts w:ascii="Calibri" w:hAnsi="Calibri" w:hint="eastAsia"/>
          <w:rtl/>
        </w:rPr>
        <w:t>מיום</w:t>
      </w:r>
      <w:r w:rsidRPr="0016399D">
        <w:rPr>
          <w:rFonts w:ascii="Calibri" w:hAnsi="Calibri"/>
          <w:rtl/>
        </w:rPr>
        <w:t xml:space="preserve"> </w:t>
      </w:r>
      <w:r>
        <w:rPr>
          <w:rFonts w:ascii="Calibri" w:hAnsi="Calibri"/>
          <w:rtl/>
        </w:rPr>
        <w:t>1</w:t>
      </w:r>
      <w:r w:rsidRPr="0016399D">
        <w:rPr>
          <w:rFonts w:ascii="Calibri" w:hAnsi="Calibri"/>
          <w:rtl/>
        </w:rPr>
        <w:t>.</w:t>
      </w:r>
      <w:r>
        <w:rPr>
          <w:rFonts w:ascii="Calibri" w:hAnsi="Calibri" w:hint="cs"/>
          <w:rtl/>
        </w:rPr>
        <w:t>1</w:t>
      </w:r>
      <w:r w:rsidRPr="0016399D">
        <w:rPr>
          <w:rFonts w:ascii="Calibri" w:hAnsi="Calibri"/>
          <w:rtl/>
        </w:rPr>
        <w:t>.</w:t>
      </w:r>
      <w:r>
        <w:rPr>
          <w:rFonts w:ascii="Calibri" w:hAnsi="Calibri" w:hint="cs"/>
          <w:rtl/>
        </w:rPr>
        <w:t>20</w:t>
      </w:r>
      <w:r>
        <w:rPr>
          <w:rFonts w:ascii="Calibri" w:hAnsi="Calibri"/>
          <w:rtl/>
        </w:rPr>
        <w:t xml:space="preserve"> </w:t>
      </w:r>
      <w:r>
        <w:rPr>
          <w:rFonts w:ascii="Calibri" w:hAnsi="Calibri" w:hint="eastAsia"/>
          <w:rtl/>
        </w:rPr>
        <w:t>ובכל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שלאחריו</w:t>
      </w:r>
      <w:r w:rsidRPr="0016399D">
        <w:rPr>
          <w:rFonts w:ascii="Calibri" w:hAnsi="Calibri"/>
          <w:rtl/>
        </w:rPr>
        <w:t xml:space="preserve">. </w:t>
      </w:r>
      <w:r w:rsidRPr="0016399D">
        <w:rPr>
          <w:rFonts w:ascii="Calibri" w:hAnsi="Calibri" w:hint="eastAsia"/>
          <w:rtl/>
        </w:rPr>
        <w:t>היה</w:t>
      </w:r>
      <w:r w:rsidRPr="0016399D">
        <w:rPr>
          <w:rFonts w:ascii="Calibri" w:hAnsi="Calibri"/>
          <w:rtl/>
        </w:rPr>
        <w:t xml:space="preserve"> </w:t>
      </w:r>
      <w:r w:rsidRPr="0016399D">
        <w:rPr>
          <w:rFonts w:ascii="Calibri" w:hAnsi="Calibri" w:hint="eastAsia"/>
          <w:rtl/>
        </w:rPr>
        <w:t>והקנס</w:t>
      </w:r>
      <w:r w:rsidRPr="0016399D">
        <w:rPr>
          <w:rFonts w:ascii="Calibri" w:hAnsi="Calibri"/>
          <w:rtl/>
        </w:rPr>
        <w:t xml:space="preserve"> </w:t>
      </w:r>
      <w:r w:rsidRPr="0016399D">
        <w:rPr>
          <w:rFonts w:ascii="Calibri" w:hAnsi="Calibri" w:hint="eastAsia"/>
          <w:rtl/>
        </w:rPr>
        <w:t>או</w:t>
      </w:r>
      <w:r w:rsidRPr="0016399D">
        <w:rPr>
          <w:rFonts w:ascii="Calibri" w:hAnsi="Calibri"/>
          <w:rtl/>
        </w:rPr>
        <w:t xml:space="preserve"> </w:t>
      </w:r>
      <w:r w:rsidRPr="0016399D">
        <w:rPr>
          <w:rFonts w:ascii="Calibri" w:hAnsi="Calibri" w:hint="eastAsia"/>
          <w:rtl/>
        </w:rPr>
        <w:t>שיעור</w:t>
      </w:r>
      <w:r w:rsidRPr="0016399D">
        <w:rPr>
          <w:rFonts w:ascii="Calibri" w:hAnsi="Calibri"/>
          <w:rtl/>
        </w:rPr>
        <w:t xml:space="preserve"> </w:t>
      </w:r>
      <w:r w:rsidRPr="0016399D">
        <w:rPr>
          <w:rFonts w:ascii="Calibri" w:hAnsi="Calibri" w:hint="eastAsia"/>
          <w:rtl/>
        </w:rPr>
        <w:t>משיעוריו</w:t>
      </w:r>
      <w:r w:rsidRPr="0016399D">
        <w:rPr>
          <w:rFonts w:ascii="Calibri" w:hAnsi="Calibri"/>
          <w:rtl/>
        </w:rPr>
        <w:t xml:space="preserve"> </w:t>
      </w:r>
      <w:r w:rsidRPr="0016399D">
        <w:rPr>
          <w:rFonts w:ascii="Calibri" w:hAnsi="Calibri" w:hint="eastAsia"/>
          <w:rtl/>
        </w:rPr>
        <w:t>לא</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sidRPr="0016399D">
        <w:rPr>
          <w:rFonts w:ascii="Calibri" w:hAnsi="Calibri" w:hint="eastAsia"/>
          <w:rtl/>
        </w:rPr>
        <w:t>במועד</w:t>
      </w:r>
      <w:r w:rsidRPr="0016399D">
        <w:rPr>
          <w:rFonts w:ascii="Calibri" w:hAnsi="Calibri"/>
          <w:rtl/>
        </w:rPr>
        <w:t xml:space="preserve"> – </w:t>
      </w:r>
      <w:r w:rsidRPr="0016399D">
        <w:rPr>
          <w:rFonts w:ascii="Calibri" w:hAnsi="Calibri" w:hint="eastAsia"/>
          <w:rtl/>
        </w:rPr>
        <w:t>תעמוד</w:t>
      </w:r>
      <w:r w:rsidRPr="0016399D">
        <w:rPr>
          <w:rFonts w:ascii="Calibri" w:hAnsi="Calibri"/>
          <w:rtl/>
        </w:rPr>
        <w:t xml:space="preserve"> </w:t>
      </w:r>
      <w:r w:rsidRPr="0016399D">
        <w:rPr>
          <w:rFonts w:ascii="Calibri" w:hAnsi="Calibri" w:hint="eastAsia"/>
          <w:rtl/>
        </w:rPr>
        <w:t>יתרת</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לתשלום</w:t>
      </w:r>
      <w:r w:rsidRPr="0016399D">
        <w:rPr>
          <w:rFonts w:ascii="Calibri" w:hAnsi="Calibri"/>
          <w:rtl/>
        </w:rPr>
        <w:t xml:space="preserve"> </w:t>
      </w:r>
      <w:r w:rsidRPr="0016399D">
        <w:rPr>
          <w:rFonts w:ascii="Calibri" w:hAnsi="Calibri" w:hint="eastAsia"/>
          <w:rtl/>
        </w:rPr>
        <w:t>מידי</w:t>
      </w:r>
      <w:r w:rsidRPr="0016399D">
        <w:rPr>
          <w:rFonts w:ascii="Calibri" w:hAnsi="Calibri"/>
          <w:rtl/>
        </w:rPr>
        <w:t>.</w:t>
      </w:r>
    </w:p>
    <w:p w14:paraId="3C96D83A" w14:textId="77777777" w:rsidR="0008716B" w:rsidRDefault="0008716B" w:rsidP="0008716B">
      <w:pPr>
        <w:spacing w:line="360" w:lineRule="auto"/>
        <w:jc w:val="both"/>
        <w:rPr>
          <w:rtl/>
        </w:rPr>
      </w:pPr>
    </w:p>
    <w:p w14:paraId="01F1FF77" w14:textId="77777777" w:rsidR="0008716B" w:rsidRPr="006E3B7E" w:rsidRDefault="0008716B" w:rsidP="0008716B">
      <w:pPr>
        <w:spacing w:line="360" w:lineRule="auto"/>
        <w:jc w:val="both"/>
        <w:rPr>
          <w:b/>
          <w:bCs/>
          <w:u w:val="single"/>
          <w:rtl/>
        </w:rPr>
      </w:pPr>
      <w:r w:rsidRPr="006E3B7E">
        <w:rPr>
          <w:b/>
          <w:bCs/>
          <w:u w:val="single"/>
          <w:rtl/>
        </w:rPr>
        <w:t xml:space="preserve">זכות ערעור בתוך 45 ימים. </w:t>
      </w:r>
    </w:p>
    <w:p w14:paraId="3BE23C44" w14:textId="77777777" w:rsidR="0008716B" w:rsidRDefault="0008716B" w:rsidP="0008716B">
      <w:pPr>
        <w:spacing w:line="360" w:lineRule="auto"/>
        <w:jc w:val="both"/>
        <w:rPr>
          <w:b/>
          <w:bCs/>
          <w:u w:val="single"/>
          <w:rtl/>
        </w:rPr>
      </w:pPr>
    </w:p>
    <w:p w14:paraId="712ED3D8" w14:textId="77777777" w:rsidR="0008716B" w:rsidRPr="006E3B7E" w:rsidRDefault="0008716B" w:rsidP="0008716B">
      <w:pPr>
        <w:spacing w:line="360" w:lineRule="auto"/>
        <w:jc w:val="both"/>
        <w:rPr>
          <w:b/>
          <w:bCs/>
          <w:u w:val="single"/>
          <w:rtl/>
        </w:rPr>
      </w:pPr>
      <w:r w:rsidRPr="006E3B7E">
        <w:rPr>
          <w:b/>
          <w:bCs/>
          <w:u w:val="single"/>
          <w:rtl/>
        </w:rPr>
        <w:t>המוצגים – סמים והציוד, להשמיד</w:t>
      </w:r>
      <w:r>
        <w:rPr>
          <w:rFonts w:hint="cs"/>
          <w:b/>
          <w:bCs/>
          <w:u w:val="single"/>
          <w:rtl/>
        </w:rPr>
        <w:t>/לחלט</w:t>
      </w:r>
      <w:r w:rsidRPr="006E3B7E">
        <w:rPr>
          <w:b/>
          <w:bCs/>
          <w:u w:val="single"/>
          <w:rtl/>
        </w:rPr>
        <w:t xml:space="preserve"> בחלוף תקופת הערעור.</w:t>
      </w:r>
    </w:p>
    <w:p w14:paraId="2C81FFD4" w14:textId="77777777" w:rsidR="0008716B" w:rsidRDefault="0008716B" w:rsidP="0008716B">
      <w:pPr>
        <w:spacing w:line="360" w:lineRule="auto"/>
        <w:jc w:val="both"/>
        <w:rPr>
          <w:b/>
          <w:bCs/>
          <w:u w:val="single"/>
          <w:rtl/>
        </w:rPr>
      </w:pPr>
    </w:p>
    <w:p w14:paraId="12403352" w14:textId="77777777" w:rsidR="0008716B" w:rsidRDefault="0008716B" w:rsidP="0008716B">
      <w:pPr>
        <w:spacing w:line="360" w:lineRule="auto"/>
        <w:jc w:val="both"/>
        <w:rPr>
          <w:rtl/>
        </w:rPr>
      </w:pPr>
      <w:r w:rsidRPr="006E3B7E">
        <w:rPr>
          <w:b/>
          <w:bCs/>
          <w:u w:val="single"/>
          <w:rtl/>
        </w:rPr>
        <w:t>המזכירות תשלח את גזר הדין לשירות המבחן וכן לממונה על עבודות השירות</w:t>
      </w:r>
      <w:r>
        <w:rPr>
          <w:rtl/>
        </w:rPr>
        <w:t xml:space="preserve">. </w:t>
      </w:r>
    </w:p>
    <w:p w14:paraId="43FD9952" w14:textId="77777777" w:rsidR="0008716B" w:rsidRPr="00B05847" w:rsidRDefault="0008716B" w:rsidP="0008716B">
      <w:pPr>
        <w:rPr>
          <w:rtl/>
        </w:rPr>
      </w:pPr>
    </w:p>
    <w:p w14:paraId="72EFB208" w14:textId="77777777" w:rsidR="0008716B" w:rsidRPr="005C5A9F" w:rsidRDefault="005C5A9F" w:rsidP="0008716B">
      <w:pPr>
        <w:rPr>
          <w:color w:val="FFFFFF"/>
          <w:sz w:val="2"/>
          <w:szCs w:val="2"/>
          <w:rtl/>
        </w:rPr>
      </w:pPr>
      <w:r w:rsidRPr="005C5A9F">
        <w:rPr>
          <w:color w:val="FFFFFF"/>
          <w:sz w:val="2"/>
          <w:szCs w:val="2"/>
          <w:rtl/>
        </w:rPr>
        <w:t>5129371</w:t>
      </w:r>
    </w:p>
    <w:p w14:paraId="708DD58A" w14:textId="77777777" w:rsidR="0008716B" w:rsidRDefault="005C5A9F" w:rsidP="0008716B">
      <w:pPr>
        <w:rPr>
          <w:rFonts w:cs="FrankRuehl"/>
          <w:sz w:val="28"/>
          <w:szCs w:val="28"/>
          <w:rtl/>
        </w:rPr>
      </w:pPr>
      <w:bookmarkStart w:id="9" w:name="Nitan"/>
      <w:r w:rsidRPr="005C5A9F">
        <w:rPr>
          <w:rFonts w:ascii="Arial" w:hAnsi="Arial"/>
          <w:color w:val="FFFFFF"/>
          <w:sz w:val="2"/>
          <w:szCs w:val="2"/>
          <w:rtl/>
        </w:rPr>
        <w:t>54678313</w:t>
      </w:r>
      <w:r>
        <w:rPr>
          <w:rFonts w:ascii="Arial" w:hAnsi="Arial"/>
          <w:rtl/>
        </w:rPr>
        <w:t xml:space="preserve">ניתן היום,  י"ח כסלו תש"פ, 16 דצמבר 2019, במעמד הצדדים. </w:t>
      </w:r>
      <w:bookmarkEnd w:id="9"/>
    </w:p>
    <w:p w14:paraId="0C45FA0F" w14:textId="77777777" w:rsidR="0008716B" w:rsidRDefault="0008716B" w:rsidP="005C5A9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396CCB7" w14:textId="77777777" w:rsidR="0008716B" w:rsidRDefault="0008716B" w:rsidP="0008716B">
      <w:pPr>
        <w:jc w:val="center"/>
        <w:rPr>
          <w:rFonts w:ascii="Arial" w:hAnsi="Arial" w:cs="FrankRuehl"/>
          <w:sz w:val="28"/>
          <w:szCs w:val="28"/>
          <w:rtl/>
        </w:rPr>
      </w:pPr>
    </w:p>
    <w:p w14:paraId="7B387C51" w14:textId="77777777" w:rsidR="0008716B" w:rsidRDefault="0008716B" w:rsidP="0008716B">
      <w:pPr>
        <w:rPr>
          <w:rFonts w:cs="FrankRuehl"/>
          <w:sz w:val="28"/>
          <w:szCs w:val="28"/>
          <w:rtl/>
        </w:rPr>
      </w:pPr>
    </w:p>
    <w:p w14:paraId="410628BC" w14:textId="77777777" w:rsidR="0008716B" w:rsidRDefault="0008716B" w:rsidP="0008716B">
      <w:pPr>
        <w:pStyle w:val="a3"/>
        <w:jc w:val="center"/>
        <w:rPr>
          <w:rtl/>
        </w:rPr>
      </w:pPr>
    </w:p>
    <w:p w14:paraId="24559123" w14:textId="77777777" w:rsidR="006C4DA7" w:rsidRPr="005C5A9F" w:rsidRDefault="006C4DA7" w:rsidP="005C5A9F">
      <w:pPr>
        <w:keepNext/>
        <w:rPr>
          <w:rFonts w:ascii="David" w:hAnsi="David"/>
          <w:color w:val="000000"/>
          <w:sz w:val="22"/>
          <w:szCs w:val="22"/>
          <w:rtl/>
        </w:rPr>
      </w:pPr>
    </w:p>
    <w:p w14:paraId="01ADA138" w14:textId="77777777" w:rsidR="005C5A9F" w:rsidRPr="005C5A9F" w:rsidRDefault="005C5A9F" w:rsidP="005C5A9F">
      <w:pPr>
        <w:keepNext/>
        <w:rPr>
          <w:rFonts w:ascii="David" w:hAnsi="David"/>
          <w:color w:val="000000"/>
          <w:sz w:val="22"/>
          <w:szCs w:val="22"/>
          <w:rtl/>
        </w:rPr>
      </w:pPr>
      <w:r w:rsidRPr="005C5A9F">
        <w:rPr>
          <w:rFonts w:ascii="David" w:hAnsi="David"/>
          <w:color w:val="000000"/>
          <w:sz w:val="22"/>
          <w:szCs w:val="22"/>
          <w:rtl/>
        </w:rPr>
        <w:t>יוסי טורס 54678313</w:t>
      </w:r>
    </w:p>
    <w:p w14:paraId="7D0E88FA" w14:textId="77777777" w:rsidR="005C5A9F" w:rsidRDefault="005C5A9F" w:rsidP="005C5A9F">
      <w:r w:rsidRPr="005C5A9F">
        <w:rPr>
          <w:color w:val="000000"/>
          <w:rtl/>
        </w:rPr>
        <w:t>נוסח מסמך זה כפוף לשינויי ניסוח ועריכה</w:t>
      </w:r>
    </w:p>
    <w:p w14:paraId="31A9E266" w14:textId="77777777" w:rsidR="005C5A9F" w:rsidRDefault="005C5A9F" w:rsidP="005C5A9F">
      <w:pPr>
        <w:rPr>
          <w:rtl/>
        </w:rPr>
      </w:pPr>
    </w:p>
    <w:p w14:paraId="5D5F2C1C" w14:textId="77777777" w:rsidR="005C5A9F" w:rsidRDefault="005C5A9F" w:rsidP="005C5A9F">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72C0BD6" w14:textId="77777777" w:rsidR="005C5A9F" w:rsidRPr="005C5A9F" w:rsidRDefault="005C5A9F" w:rsidP="005C5A9F">
      <w:pPr>
        <w:jc w:val="center"/>
        <w:rPr>
          <w:color w:val="0000FF"/>
          <w:u w:val="single"/>
        </w:rPr>
      </w:pPr>
    </w:p>
    <w:sectPr w:rsidR="005C5A9F" w:rsidRPr="005C5A9F" w:rsidSect="005C5A9F">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3887D" w14:textId="77777777" w:rsidR="00156B86" w:rsidRDefault="00156B86" w:rsidP="00A244AB">
      <w:r>
        <w:separator/>
      </w:r>
    </w:p>
  </w:endnote>
  <w:endnote w:type="continuationSeparator" w:id="0">
    <w:p w14:paraId="265187E5" w14:textId="77777777" w:rsidR="00156B86" w:rsidRDefault="00156B86" w:rsidP="00A2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53BD0" w14:textId="77777777" w:rsidR="005C5A9F" w:rsidRDefault="005C5A9F" w:rsidP="005C5A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9485B6" w14:textId="77777777" w:rsidR="000034AF" w:rsidRPr="005C5A9F" w:rsidRDefault="005C5A9F" w:rsidP="005C5A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6897C" w14:textId="77777777" w:rsidR="005C5A9F" w:rsidRDefault="005C5A9F" w:rsidP="005C5A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7B81">
      <w:rPr>
        <w:rFonts w:ascii="FrankRuehl" w:hAnsi="FrankRuehl" w:cs="FrankRuehl"/>
        <w:noProof/>
        <w:rtl/>
      </w:rPr>
      <w:t>1</w:t>
    </w:r>
    <w:r>
      <w:rPr>
        <w:rFonts w:ascii="FrankRuehl" w:hAnsi="FrankRuehl" w:cs="FrankRuehl"/>
        <w:rtl/>
      </w:rPr>
      <w:fldChar w:fldCharType="end"/>
    </w:r>
  </w:p>
  <w:p w14:paraId="6BC55873" w14:textId="77777777" w:rsidR="000034AF" w:rsidRPr="005C5A9F" w:rsidRDefault="005C5A9F" w:rsidP="005C5A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6BC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526A8" w14:textId="77777777" w:rsidR="00156B86" w:rsidRDefault="00156B86" w:rsidP="00A244AB">
      <w:r>
        <w:separator/>
      </w:r>
    </w:p>
  </w:footnote>
  <w:footnote w:type="continuationSeparator" w:id="0">
    <w:p w14:paraId="6E6AF5F7" w14:textId="77777777" w:rsidR="00156B86" w:rsidRDefault="00156B86" w:rsidP="00A24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0FFBF" w14:textId="77777777" w:rsidR="005C5A9F" w:rsidRPr="005C5A9F" w:rsidRDefault="005C5A9F" w:rsidP="005C5A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33839-04-18</w:t>
    </w:r>
    <w:r>
      <w:rPr>
        <w:rFonts w:ascii="David" w:hAnsi="David"/>
        <w:color w:val="000000"/>
        <w:sz w:val="22"/>
        <w:szCs w:val="22"/>
        <w:rtl/>
      </w:rPr>
      <w:tab/>
      <w:t xml:space="preserve"> מדינת ישראל נ' מיכאל מנשרוב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59D8" w14:textId="77777777" w:rsidR="005C5A9F" w:rsidRPr="005C5A9F" w:rsidRDefault="005C5A9F" w:rsidP="005C5A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33839-04-18</w:t>
    </w:r>
    <w:r>
      <w:rPr>
        <w:rFonts w:ascii="David" w:hAnsi="David"/>
        <w:color w:val="000000"/>
        <w:sz w:val="22"/>
        <w:szCs w:val="22"/>
        <w:rtl/>
      </w:rPr>
      <w:tab/>
      <w:t xml:space="preserve"> מדינת ישראל נ' מיכאל מנשרוב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65670"/>
    <w:multiLevelType w:val="hybridMultilevel"/>
    <w:tmpl w:val="F1C48674"/>
    <w:lvl w:ilvl="0" w:tplc="E4EE1F98">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A08F8"/>
    <w:multiLevelType w:val="hybridMultilevel"/>
    <w:tmpl w:val="5B04436E"/>
    <w:lvl w:ilvl="0" w:tplc="257C8C76">
      <w:start w:val="1"/>
      <w:numFmt w:val="hebrew1"/>
      <w:lvlText w:val="%1."/>
      <w:lvlJc w:val="center"/>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9805573">
    <w:abstractNumId w:val="0"/>
  </w:num>
  <w:num w:numId="2" w16cid:durableId="176194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716B"/>
    <w:rsid w:val="000034AF"/>
    <w:rsid w:val="0008716B"/>
    <w:rsid w:val="000C7B81"/>
    <w:rsid w:val="00156B86"/>
    <w:rsid w:val="005C5A9F"/>
    <w:rsid w:val="006C4DA7"/>
    <w:rsid w:val="0070497C"/>
    <w:rsid w:val="00A244AB"/>
    <w:rsid w:val="00A25CCA"/>
    <w:rsid w:val="00AA59AE"/>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2E6412"/>
  <w15:chartTrackingRefBased/>
  <w15:docId w15:val="{594B6F18-ADDA-4B4F-AFEF-1F7C6483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1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716B"/>
    <w:pPr>
      <w:tabs>
        <w:tab w:val="center" w:pos="4153"/>
        <w:tab w:val="right" w:pos="8306"/>
      </w:tabs>
    </w:pPr>
  </w:style>
  <w:style w:type="character" w:customStyle="1" w:styleId="a4">
    <w:name w:val="כותרת עליונה תו"/>
    <w:link w:val="a3"/>
    <w:rsid w:val="0008716B"/>
    <w:rPr>
      <w:rFonts w:ascii="Times New Roman" w:eastAsia="Times New Roman" w:hAnsi="Times New Roman" w:cs="David"/>
      <w:sz w:val="24"/>
      <w:szCs w:val="24"/>
    </w:rPr>
  </w:style>
  <w:style w:type="paragraph" w:styleId="a5">
    <w:name w:val="footer"/>
    <w:basedOn w:val="a"/>
    <w:link w:val="a6"/>
    <w:rsid w:val="0008716B"/>
    <w:pPr>
      <w:tabs>
        <w:tab w:val="center" w:pos="4153"/>
        <w:tab w:val="right" w:pos="8306"/>
      </w:tabs>
    </w:pPr>
  </w:style>
  <w:style w:type="character" w:customStyle="1" w:styleId="a6">
    <w:name w:val="כותרת תחתונה תו"/>
    <w:link w:val="a5"/>
    <w:rsid w:val="0008716B"/>
    <w:rPr>
      <w:rFonts w:ascii="Times New Roman" w:eastAsia="Times New Roman" w:hAnsi="Times New Roman" w:cs="David"/>
      <w:sz w:val="24"/>
      <w:szCs w:val="24"/>
    </w:rPr>
  </w:style>
  <w:style w:type="table" w:styleId="a7">
    <w:name w:val="Table Grid"/>
    <w:basedOn w:val="a1"/>
    <w:rsid w:val="000871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716B"/>
  </w:style>
  <w:style w:type="paragraph" w:styleId="a9">
    <w:name w:val="List Paragraph"/>
    <w:basedOn w:val="a"/>
    <w:qFormat/>
    <w:rsid w:val="0008716B"/>
    <w:pPr>
      <w:ind w:left="720"/>
      <w:contextualSpacing/>
    </w:pPr>
  </w:style>
  <w:style w:type="character" w:styleId="Hyperlink">
    <w:name w:val="Hyperlink"/>
    <w:rsid w:val="005C5A9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6" TargetMode="External"/><Relationship Id="rId39" Type="http://schemas.openxmlformats.org/officeDocument/2006/relationships/hyperlink" Target="http://www.nevo.co.il/case/17096154"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0881083" TargetMode="External"/><Relationship Id="rId42" Type="http://schemas.openxmlformats.org/officeDocument/2006/relationships/hyperlink" Target="http://www.nevo.co.il/case/10459128" TargetMode="External"/><Relationship Id="rId47" Type="http://schemas.openxmlformats.org/officeDocument/2006/relationships/hyperlink" Target="http://www.nevo.co.il/case/13055183" TargetMode="External"/><Relationship Id="rId50" Type="http://schemas.openxmlformats.org/officeDocument/2006/relationships/hyperlink" Target="http://www.nevo.co.il/law/70301/40j"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 TargetMode="External"/><Relationship Id="rId29" Type="http://schemas.openxmlformats.org/officeDocument/2006/relationships/hyperlink" Target="http://www.nevo.co.il/law/70301/40i.3.;40.i.4" TargetMode="External"/><Relationship Id="rId11" Type="http://schemas.openxmlformats.org/officeDocument/2006/relationships/hyperlink" Target="http://www.nevo.co.il/law/70301/40.i.4" TargetMode="External"/><Relationship Id="rId24" Type="http://schemas.openxmlformats.org/officeDocument/2006/relationships/hyperlink" Target="http://www.nevo.co.il/case/20371840" TargetMode="External"/><Relationship Id="rId32" Type="http://schemas.openxmlformats.org/officeDocument/2006/relationships/hyperlink" Target="http://www.nevo.co.il/case/18119161" TargetMode="External"/><Relationship Id="rId37" Type="http://schemas.openxmlformats.org/officeDocument/2006/relationships/hyperlink" Target="http://www.nevo.co.il/case/22212088"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2938500" TargetMode="External"/><Relationship Id="rId53" Type="http://schemas.openxmlformats.org/officeDocument/2006/relationships/hyperlink" Target="http://www.nevo.co.il/case/21561698"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10"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i.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5" TargetMode="External"/><Relationship Id="rId30" Type="http://schemas.openxmlformats.org/officeDocument/2006/relationships/hyperlink" Target="http://www.nevo.co.il/case/4804940" TargetMode="External"/><Relationship Id="rId35" Type="http://schemas.openxmlformats.org/officeDocument/2006/relationships/hyperlink" Target="http://www.nevo.co.il/case/22656269"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1561698"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0371840" TargetMode="External"/><Relationship Id="rId33" Type="http://schemas.openxmlformats.org/officeDocument/2006/relationships/hyperlink" Target="http://www.nevo.co.il/case/17045282" TargetMode="External"/><Relationship Id="rId38" Type="http://schemas.openxmlformats.org/officeDocument/2006/relationships/hyperlink" Target="http://www.nevo.co.il/case/25312776" TargetMode="External"/><Relationship Id="rId46" Type="http://schemas.openxmlformats.org/officeDocument/2006/relationships/hyperlink" Target="http://www.nevo.co.il/safrut/book/30035"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5" TargetMode="External"/><Relationship Id="rId23" Type="http://schemas.openxmlformats.org/officeDocument/2006/relationships/hyperlink" Target="http://www.nevo.co.il/case/20683368"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561698" TargetMode="External"/><Relationship Id="rId49" Type="http://schemas.openxmlformats.org/officeDocument/2006/relationships/hyperlink" Target="http://www.nevo.co.il/case/25946245"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22938500" TargetMode="External"/><Relationship Id="rId52" Type="http://schemas.openxmlformats.org/officeDocument/2006/relationships/hyperlink" Target="http://www.nevo.co.il/case/22656269"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3317</Words>
  <Characters>16585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19863</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4128885</vt:i4>
      </vt:variant>
      <vt:variant>
        <vt:i4>141</vt:i4>
      </vt:variant>
      <vt:variant>
        <vt:i4>0</vt:i4>
      </vt:variant>
      <vt:variant>
        <vt:i4>5</vt:i4>
      </vt:variant>
      <vt:variant>
        <vt:lpwstr>http://www.nevo.co.il/case/21561698</vt:lpwstr>
      </vt:variant>
      <vt:variant>
        <vt:lpwstr/>
      </vt:variant>
      <vt:variant>
        <vt:i4>3407985</vt:i4>
      </vt:variant>
      <vt:variant>
        <vt:i4>138</vt:i4>
      </vt:variant>
      <vt:variant>
        <vt:i4>0</vt:i4>
      </vt:variant>
      <vt:variant>
        <vt:i4>5</vt:i4>
      </vt:variant>
      <vt:variant>
        <vt:lpwstr>http://www.nevo.co.il/case/22656269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http://www.nevo.co.il/law/70301/40j</vt:lpwstr>
      </vt:variant>
      <vt:variant>
        <vt:lpwstr/>
      </vt:variant>
      <vt:variant>
        <vt:i4>3735671</vt:i4>
      </vt:variant>
      <vt:variant>
        <vt:i4>129</vt:i4>
      </vt:variant>
      <vt:variant>
        <vt:i4>0</vt:i4>
      </vt:variant>
      <vt:variant>
        <vt:i4>5</vt:i4>
      </vt:variant>
      <vt:variant>
        <vt:lpwstr>http://www.nevo.co.il/case/25946245</vt:lpwstr>
      </vt:variant>
      <vt:variant>
        <vt:lpwstr/>
      </vt:variant>
      <vt:variant>
        <vt:i4>4128885</vt:i4>
      </vt:variant>
      <vt:variant>
        <vt:i4>126</vt:i4>
      </vt:variant>
      <vt:variant>
        <vt:i4>0</vt:i4>
      </vt:variant>
      <vt:variant>
        <vt:i4>5</vt:i4>
      </vt:variant>
      <vt:variant>
        <vt:lpwstr>http://www.nevo.co.il/case/21561698</vt:lpwstr>
      </vt:variant>
      <vt:variant>
        <vt:lpwstr/>
      </vt:variant>
      <vt:variant>
        <vt:i4>3932275</vt:i4>
      </vt:variant>
      <vt:variant>
        <vt:i4>123</vt:i4>
      </vt:variant>
      <vt:variant>
        <vt:i4>0</vt:i4>
      </vt:variant>
      <vt:variant>
        <vt:i4>5</vt:i4>
      </vt:variant>
      <vt:variant>
        <vt:lpwstr>http://www.nevo.co.il/case/13055183</vt:lpwstr>
      </vt:variant>
      <vt:variant>
        <vt:lpwstr/>
      </vt:variant>
      <vt:variant>
        <vt:i4>7471155</vt:i4>
      </vt:variant>
      <vt:variant>
        <vt:i4>120</vt:i4>
      </vt:variant>
      <vt:variant>
        <vt:i4>0</vt:i4>
      </vt:variant>
      <vt:variant>
        <vt:i4>5</vt:i4>
      </vt:variant>
      <vt:variant>
        <vt:lpwstr>http://www.nevo.co.il/safrut/book/30035</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3342448</vt:i4>
      </vt:variant>
      <vt:variant>
        <vt:i4>114</vt:i4>
      </vt:variant>
      <vt:variant>
        <vt:i4>0</vt:i4>
      </vt:variant>
      <vt:variant>
        <vt:i4>5</vt:i4>
      </vt:variant>
      <vt:variant>
        <vt:lpwstr>http://www.nevo.co.il/case/22938500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4063344</vt:i4>
      </vt:variant>
      <vt:variant>
        <vt:i4>108</vt:i4>
      </vt:variant>
      <vt:variant>
        <vt:i4>0</vt:i4>
      </vt:variant>
      <vt:variant>
        <vt:i4>5</vt:i4>
      </vt:variant>
      <vt:variant>
        <vt:lpwstr>http://www.nevo.co.il/case/10459128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3276923</vt:i4>
      </vt:variant>
      <vt:variant>
        <vt:i4>99</vt:i4>
      </vt:variant>
      <vt:variant>
        <vt:i4>0</vt:i4>
      </vt:variant>
      <vt:variant>
        <vt:i4>5</vt:i4>
      </vt:variant>
      <vt:variant>
        <vt:lpwstr>http://www.nevo.co.il/case/17096154</vt:lpwstr>
      </vt:variant>
      <vt:variant>
        <vt:lpwstr/>
      </vt:variant>
      <vt:variant>
        <vt:i4>3407991</vt:i4>
      </vt:variant>
      <vt:variant>
        <vt:i4>96</vt:i4>
      </vt:variant>
      <vt:variant>
        <vt:i4>0</vt:i4>
      </vt:variant>
      <vt:variant>
        <vt:i4>5</vt:i4>
      </vt:variant>
      <vt:variant>
        <vt:lpwstr>http://www.nevo.co.il/case/25312776</vt:lpwstr>
      </vt:variant>
      <vt:variant>
        <vt:lpwstr/>
      </vt:variant>
      <vt:variant>
        <vt:i4>3801207</vt:i4>
      </vt:variant>
      <vt:variant>
        <vt:i4>93</vt:i4>
      </vt:variant>
      <vt:variant>
        <vt:i4>0</vt:i4>
      </vt:variant>
      <vt:variant>
        <vt:i4>5</vt:i4>
      </vt:variant>
      <vt:variant>
        <vt:lpwstr>http://www.nevo.co.il/case/22212088</vt:lpwstr>
      </vt:variant>
      <vt:variant>
        <vt:lpwstr/>
      </vt:variant>
      <vt:variant>
        <vt:i4>4128885</vt:i4>
      </vt:variant>
      <vt:variant>
        <vt:i4>90</vt:i4>
      </vt:variant>
      <vt:variant>
        <vt:i4>0</vt:i4>
      </vt:variant>
      <vt:variant>
        <vt:i4>5</vt:i4>
      </vt:variant>
      <vt:variant>
        <vt:lpwstr>http://www.nevo.co.il/case/21561698</vt:lpwstr>
      </vt:variant>
      <vt:variant>
        <vt:lpwstr/>
      </vt:variant>
      <vt:variant>
        <vt:i4>3407985</vt:i4>
      </vt:variant>
      <vt:variant>
        <vt:i4>87</vt:i4>
      </vt:variant>
      <vt:variant>
        <vt:i4>0</vt:i4>
      </vt:variant>
      <vt:variant>
        <vt:i4>5</vt:i4>
      </vt:variant>
      <vt:variant>
        <vt:lpwstr>http://www.nevo.co.il/case/22656269</vt:lpwstr>
      </vt:variant>
      <vt:variant>
        <vt:lpwstr/>
      </vt:variant>
      <vt:variant>
        <vt:i4>3342460</vt:i4>
      </vt:variant>
      <vt:variant>
        <vt:i4>84</vt:i4>
      </vt:variant>
      <vt:variant>
        <vt:i4>0</vt:i4>
      </vt:variant>
      <vt:variant>
        <vt:i4>5</vt:i4>
      </vt:variant>
      <vt:variant>
        <vt:lpwstr>http://www.nevo.co.il/case/20881083</vt:lpwstr>
      </vt:variant>
      <vt:variant>
        <vt:lpwstr/>
      </vt:variant>
      <vt:variant>
        <vt:i4>3932277</vt:i4>
      </vt:variant>
      <vt:variant>
        <vt:i4>81</vt:i4>
      </vt:variant>
      <vt:variant>
        <vt:i4>0</vt:i4>
      </vt:variant>
      <vt:variant>
        <vt:i4>5</vt:i4>
      </vt:variant>
      <vt:variant>
        <vt:lpwstr>http://www.nevo.co.il/case/17045282</vt:lpwstr>
      </vt:variant>
      <vt:variant>
        <vt:lpwstr/>
      </vt:variant>
      <vt:variant>
        <vt:i4>4128892</vt:i4>
      </vt:variant>
      <vt:variant>
        <vt:i4>78</vt:i4>
      </vt:variant>
      <vt:variant>
        <vt:i4>0</vt:i4>
      </vt:variant>
      <vt:variant>
        <vt:i4>5</vt:i4>
      </vt:variant>
      <vt:variant>
        <vt:lpwstr>http://www.nevo.co.il/case/18119161</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3997820</vt:i4>
      </vt:variant>
      <vt:variant>
        <vt:i4>72</vt:i4>
      </vt:variant>
      <vt:variant>
        <vt:i4>0</vt:i4>
      </vt:variant>
      <vt:variant>
        <vt:i4>5</vt:i4>
      </vt:variant>
      <vt:variant>
        <vt:lpwstr>http://www.nevo.co.il/case/4804940</vt:lpwstr>
      </vt:variant>
      <vt:variant>
        <vt:lpwstr/>
      </vt:variant>
      <vt:variant>
        <vt:i4>5308505</vt:i4>
      </vt:variant>
      <vt:variant>
        <vt:i4>69</vt:i4>
      </vt:variant>
      <vt:variant>
        <vt:i4>0</vt:i4>
      </vt:variant>
      <vt:variant>
        <vt:i4>5</vt:i4>
      </vt:variant>
      <vt:variant>
        <vt:lpwstr>http://www.nevo.co.il/law/70301/40i.3.;40.i.4</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http://www.nevo.co.il/law/70301/40i.5</vt:lpwstr>
      </vt:variant>
      <vt:variant>
        <vt:lpwstr/>
      </vt:variant>
      <vt:variant>
        <vt:i4>4718666</vt:i4>
      </vt:variant>
      <vt:variant>
        <vt:i4>60</vt:i4>
      </vt:variant>
      <vt:variant>
        <vt:i4>0</vt:i4>
      </vt:variant>
      <vt:variant>
        <vt:i4>5</vt:i4>
      </vt:variant>
      <vt:variant>
        <vt:lpwstr>http://www.nevo.co.il/law/4216/6</vt:lpwstr>
      </vt:variant>
      <vt:variant>
        <vt:lpwstr/>
      </vt:variant>
      <vt:variant>
        <vt:i4>3407995</vt:i4>
      </vt:variant>
      <vt:variant>
        <vt:i4>57</vt:i4>
      </vt:variant>
      <vt:variant>
        <vt:i4>0</vt:i4>
      </vt:variant>
      <vt:variant>
        <vt:i4>5</vt:i4>
      </vt:variant>
      <vt:variant>
        <vt:lpwstr>http://www.nevo.co.il/case/20371840</vt:lpwstr>
      </vt:variant>
      <vt:variant>
        <vt:lpwstr/>
      </vt:variant>
      <vt:variant>
        <vt:i4>3407995</vt:i4>
      </vt:variant>
      <vt:variant>
        <vt:i4>54</vt:i4>
      </vt:variant>
      <vt:variant>
        <vt:i4>0</vt:i4>
      </vt:variant>
      <vt:variant>
        <vt:i4>5</vt:i4>
      </vt:variant>
      <vt:variant>
        <vt:lpwstr>http://www.nevo.co.il/case/20371840</vt:lpwstr>
      </vt:variant>
      <vt:variant>
        <vt:lpwstr/>
      </vt:variant>
      <vt:variant>
        <vt:i4>3211391</vt:i4>
      </vt:variant>
      <vt:variant>
        <vt:i4>51</vt:i4>
      </vt:variant>
      <vt:variant>
        <vt:i4>0</vt:i4>
      </vt:variant>
      <vt:variant>
        <vt:i4>5</vt:i4>
      </vt:variant>
      <vt:variant>
        <vt:lpwstr>http://www.nevo.co.il/case/20683368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6619233</vt:i4>
      </vt:variant>
      <vt:variant>
        <vt:i4>30</vt:i4>
      </vt:variant>
      <vt:variant>
        <vt:i4>0</vt:i4>
      </vt:variant>
      <vt:variant>
        <vt:i4>5</vt:i4>
      </vt:variant>
      <vt:variant>
        <vt:lpwstr>http://www.nevo.co.il/law/70301/40j</vt:lpwstr>
      </vt:variant>
      <vt:variant>
        <vt:lpwstr/>
      </vt:variant>
      <vt:variant>
        <vt:i4>4915208</vt:i4>
      </vt:variant>
      <vt:variant>
        <vt:i4>27</vt:i4>
      </vt:variant>
      <vt:variant>
        <vt:i4>0</vt:i4>
      </vt:variant>
      <vt:variant>
        <vt:i4>5</vt:i4>
      </vt:variant>
      <vt:variant>
        <vt:lpwstr>http://www.nevo.co.il/law/70301/40i.5</vt:lpwstr>
      </vt:variant>
      <vt:variant>
        <vt:lpwstr/>
      </vt:variant>
      <vt:variant>
        <vt:i4>6619195</vt:i4>
      </vt:variant>
      <vt:variant>
        <vt:i4>24</vt:i4>
      </vt:variant>
      <vt:variant>
        <vt:i4>0</vt:i4>
      </vt:variant>
      <vt:variant>
        <vt:i4>5</vt:i4>
      </vt:variant>
      <vt:variant>
        <vt:lpwstr>http://www.nevo.co.il/law/70301/40i.3.</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3670113</vt:i4>
      </vt:variant>
      <vt:variant>
        <vt:i4>15</vt:i4>
      </vt:variant>
      <vt:variant>
        <vt:i4>0</vt:i4>
      </vt:variant>
      <vt:variant>
        <vt:i4>5</vt:i4>
      </vt:variant>
      <vt:variant>
        <vt:lpwstr>http://www.nevo.co.il/law/70301/40.i.4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33839</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מיכאל מנשרוב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20191216</vt:lpwstr>
  </property>
  <property fmtid="{D5CDD505-2E9C-101B-9397-08002B2CF9AE}" pid="13" name="TYPE_N_DATE">
    <vt:lpwstr>38020191216</vt:lpwstr>
  </property>
  <property fmtid="{D5CDD505-2E9C-101B-9397-08002B2CF9AE}" pid="14" name="CASESLISTTMP1">
    <vt:lpwstr>20683368;20371840:2;4804940;5738608;18119161;17045282;20881083;22656269:2;21561698:3;22212088;25312776;17096154;10459128;22938500:2;13055183;25946245</vt:lpwstr>
  </property>
  <property fmtid="{D5CDD505-2E9C-101B-9397-08002B2CF9AE}" pid="15" name="CASENOTES1">
    <vt:lpwstr>ProcID=133;209&amp;PartA=512&amp;PartC=13</vt:lpwstr>
  </property>
  <property fmtid="{D5CDD505-2E9C-101B-9397-08002B2CF9AE}" pid="16" name="CASENOTES2">
    <vt:lpwstr>ProcID=209&amp;PartA=47492&amp;PartB=07&amp;PartC=18</vt:lpwstr>
  </property>
  <property fmtid="{D5CDD505-2E9C-101B-9397-08002B2CF9AE}" pid="17" name="BOOKLISTTMP1">
    <vt:lpwstr>30035</vt:lpwstr>
  </property>
  <property fmtid="{D5CDD505-2E9C-101B-9397-08002B2CF9AE}" pid="18" name="WORDNUMPAGES">
    <vt:lpwstr>9</vt:lpwstr>
  </property>
  <property fmtid="{D5CDD505-2E9C-101B-9397-08002B2CF9AE}" pid="19" name="TYPE_ABS_DATE">
    <vt:lpwstr>380020191216</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4216/006:2;010</vt:lpwstr>
  </property>
  <property fmtid="{D5CDD505-2E9C-101B-9397-08002B2CF9AE}" pid="40" name="LAWLISTTMP2">
    <vt:lpwstr>70301/040i;040i.5;040i.3;040.i.4;040d;040j</vt:lpwstr>
  </property>
</Properties>
</file>