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6462A" w:rsidRPr="00FB09B4" w14:paraId="7A166BBA" w14:textId="77777777" w:rsidTr="003E0B7D">
        <w:trPr>
          <w:trHeight w:hRule="exact" w:val="418"/>
          <w:jc w:val="center"/>
        </w:trPr>
        <w:tc>
          <w:tcPr>
            <w:tcW w:w="8721" w:type="dxa"/>
            <w:gridSpan w:val="2"/>
          </w:tcPr>
          <w:p w14:paraId="5F7A8392" w14:textId="77777777" w:rsidR="0066462A" w:rsidRPr="00FB09B4" w:rsidRDefault="0066462A" w:rsidP="005D75B0">
            <w:pPr>
              <w:pStyle w:val="a3"/>
              <w:jc w:val="center"/>
              <w:rPr>
                <w:rFonts w:ascii="Tahoma" w:hAnsi="Tahoma" w:cs="Tahoma"/>
                <w:color w:val="000080"/>
                <w:rtl/>
              </w:rPr>
            </w:pPr>
            <w:bookmarkStart w:id="0" w:name="LastJudge"/>
            <w:r w:rsidRPr="00FB09B4">
              <w:rPr>
                <w:rFonts w:ascii="Tahoma" w:hAnsi="Tahoma" w:cs="Tahoma"/>
                <w:b/>
                <w:bCs/>
                <w:color w:val="000080"/>
                <w:rtl/>
              </w:rPr>
              <w:t>בית משפט השלום בירושלים</w:t>
            </w:r>
          </w:p>
        </w:tc>
      </w:tr>
      <w:tr w:rsidR="0066462A" w:rsidRPr="00FB09B4" w14:paraId="69275695" w14:textId="77777777" w:rsidTr="003E0B7D">
        <w:trPr>
          <w:trHeight w:val="337"/>
          <w:jc w:val="center"/>
        </w:trPr>
        <w:tc>
          <w:tcPr>
            <w:tcW w:w="5056" w:type="dxa"/>
          </w:tcPr>
          <w:p w14:paraId="492FA9CB" w14:textId="77777777" w:rsidR="0066462A" w:rsidRPr="00FB09B4" w:rsidRDefault="0066462A" w:rsidP="005D75B0">
            <w:pPr>
              <w:rPr>
                <w:rFonts w:cs="FrankRuehl"/>
                <w:sz w:val="28"/>
                <w:szCs w:val="28"/>
                <w:rtl/>
              </w:rPr>
            </w:pPr>
            <w:r w:rsidRPr="00FB09B4">
              <w:rPr>
                <w:rFonts w:cs="FrankRuehl"/>
                <w:sz w:val="28"/>
                <w:szCs w:val="28"/>
                <w:rtl/>
              </w:rPr>
              <w:t>ת"פ</w:t>
            </w:r>
            <w:r w:rsidRPr="00FB09B4">
              <w:rPr>
                <w:rFonts w:cs="FrankRuehl" w:hint="cs"/>
                <w:sz w:val="28"/>
                <w:szCs w:val="28"/>
                <w:rtl/>
              </w:rPr>
              <w:t xml:space="preserve"> </w:t>
            </w:r>
            <w:r w:rsidRPr="00FB09B4">
              <w:rPr>
                <w:rFonts w:cs="FrankRuehl"/>
                <w:sz w:val="28"/>
                <w:szCs w:val="28"/>
                <w:rtl/>
              </w:rPr>
              <w:t>38160-04-18</w:t>
            </w:r>
            <w:r w:rsidRPr="00FB09B4">
              <w:rPr>
                <w:rFonts w:cs="FrankRuehl" w:hint="cs"/>
                <w:sz w:val="28"/>
                <w:szCs w:val="28"/>
                <w:rtl/>
              </w:rPr>
              <w:t xml:space="preserve"> </w:t>
            </w:r>
            <w:r w:rsidRPr="00FB09B4">
              <w:rPr>
                <w:rFonts w:cs="FrankRuehl"/>
                <w:sz w:val="28"/>
                <w:szCs w:val="28"/>
                <w:rtl/>
              </w:rPr>
              <w:t>מדינת ישראל נ' סוב לבן(עציר)</w:t>
            </w:r>
          </w:p>
          <w:p w14:paraId="4491A7E3" w14:textId="77777777" w:rsidR="0066462A" w:rsidRPr="00FB09B4" w:rsidRDefault="0066462A" w:rsidP="005D75B0">
            <w:pPr>
              <w:pStyle w:val="a3"/>
              <w:rPr>
                <w:rFonts w:cs="FrankRuehl"/>
                <w:sz w:val="28"/>
                <w:szCs w:val="28"/>
                <w:rtl/>
              </w:rPr>
            </w:pPr>
          </w:p>
        </w:tc>
        <w:tc>
          <w:tcPr>
            <w:tcW w:w="3665" w:type="dxa"/>
          </w:tcPr>
          <w:p w14:paraId="22E292D2" w14:textId="77777777" w:rsidR="0066462A" w:rsidRPr="00FB09B4" w:rsidRDefault="0066462A" w:rsidP="005D75B0">
            <w:pPr>
              <w:pStyle w:val="a3"/>
              <w:jc w:val="right"/>
              <w:rPr>
                <w:rFonts w:cs="FrankRuehl"/>
                <w:sz w:val="28"/>
                <w:szCs w:val="28"/>
                <w:rtl/>
              </w:rPr>
            </w:pPr>
          </w:p>
        </w:tc>
      </w:tr>
    </w:tbl>
    <w:p w14:paraId="2531793B" w14:textId="77777777" w:rsidR="0066462A" w:rsidRPr="00FB09B4" w:rsidRDefault="0066462A" w:rsidP="0066462A">
      <w:pPr>
        <w:pStyle w:val="a3"/>
        <w:rPr>
          <w:rtl/>
        </w:rPr>
      </w:pPr>
      <w:r w:rsidRPr="00FB09B4">
        <w:rPr>
          <w:rFonts w:hint="cs"/>
          <w:rtl/>
        </w:rPr>
        <w:t xml:space="preserve"> </w:t>
      </w:r>
    </w:p>
    <w:p w14:paraId="7604A3DF" w14:textId="77777777" w:rsidR="0066462A" w:rsidRPr="00FB09B4" w:rsidRDefault="0066462A" w:rsidP="006646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462A" w:rsidRPr="00FB09B4" w14:paraId="4D298F35" w14:textId="77777777" w:rsidTr="0066462A">
        <w:trPr>
          <w:trHeight w:val="295"/>
          <w:jc w:val="center"/>
        </w:trPr>
        <w:tc>
          <w:tcPr>
            <w:tcW w:w="923" w:type="dxa"/>
            <w:tcBorders>
              <w:top w:val="nil"/>
              <w:left w:val="nil"/>
              <w:bottom w:val="nil"/>
              <w:right w:val="nil"/>
            </w:tcBorders>
            <w:shd w:val="clear" w:color="auto" w:fill="auto"/>
          </w:tcPr>
          <w:p w14:paraId="2B0FA13E" w14:textId="77777777" w:rsidR="0066462A" w:rsidRPr="00FB09B4" w:rsidRDefault="0066462A" w:rsidP="0066462A">
            <w:pPr>
              <w:jc w:val="both"/>
              <w:rPr>
                <w:rFonts w:ascii="Arial" w:hAnsi="Arial" w:cs="FrankRuehl"/>
                <w:sz w:val="28"/>
                <w:szCs w:val="28"/>
              </w:rPr>
            </w:pPr>
            <w:r w:rsidRPr="00FB09B4">
              <w:rPr>
                <w:rFonts w:ascii="Arial" w:hAnsi="Arial" w:cs="FrankRuehl" w:hint="cs"/>
                <w:sz w:val="28"/>
                <w:szCs w:val="28"/>
                <w:rtl/>
              </w:rPr>
              <w:t>ב</w:t>
            </w:r>
            <w:r w:rsidRPr="00FB09B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A98B7D" w14:textId="77777777" w:rsidR="0066462A" w:rsidRPr="00FB09B4" w:rsidRDefault="0066462A" w:rsidP="005D75B0">
            <w:pPr>
              <w:rPr>
                <w:rFonts w:ascii="Arial" w:hAnsi="Arial"/>
                <w:b/>
                <w:bCs/>
                <w:rtl/>
              </w:rPr>
            </w:pPr>
            <w:r w:rsidRPr="00FB09B4">
              <w:rPr>
                <w:rFonts w:ascii="Arial" w:hAnsi="Arial" w:hint="cs"/>
                <w:b/>
                <w:bCs/>
                <w:rtl/>
              </w:rPr>
              <w:t>כבוד ה</w:t>
            </w:r>
            <w:r w:rsidRPr="00FB09B4">
              <w:rPr>
                <w:rFonts w:ascii="Arial" w:hAnsi="Arial"/>
                <w:b/>
                <w:bCs/>
                <w:rtl/>
              </w:rPr>
              <w:t>שופט</w:t>
            </w:r>
            <w:r w:rsidRPr="00FB09B4">
              <w:rPr>
                <w:rFonts w:ascii="Arial" w:hAnsi="Arial" w:hint="cs"/>
                <w:b/>
                <w:bCs/>
                <w:rtl/>
              </w:rPr>
              <w:t xml:space="preserve">  </w:t>
            </w:r>
            <w:r w:rsidRPr="00FB09B4">
              <w:rPr>
                <w:rFonts w:ascii="Arial" w:hAnsi="Arial"/>
                <w:b/>
                <w:bCs/>
                <w:rtl/>
              </w:rPr>
              <w:t>שמואל הרבסט</w:t>
            </w:r>
          </w:p>
          <w:p w14:paraId="3058E439" w14:textId="77777777" w:rsidR="0066462A" w:rsidRPr="00FB09B4" w:rsidRDefault="0066462A" w:rsidP="005D75B0">
            <w:pPr>
              <w:rPr>
                <w:rtl/>
              </w:rPr>
            </w:pPr>
          </w:p>
          <w:p w14:paraId="5D381FD1" w14:textId="77777777" w:rsidR="0066462A" w:rsidRPr="00FB09B4" w:rsidRDefault="0066462A" w:rsidP="0066462A">
            <w:pPr>
              <w:jc w:val="both"/>
              <w:rPr>
                <w:rFonts w:ascii="Arial" w:hAnsi="Arial" w:cs="FrankRuehl"/>
                <w:sz w:val="28"/>
                <w:szCs w:val="28"/>
              </w:rPr>
            </w:pPr>
          </w:p>
        </w:tc>
      </w:tr>
      <w:tr w:rsidR="0066462A" w:rsidRPr="00FB09B4" w14:paraId="1B44DF91" w14:textId="77777777" w:rsidTr="0066462A">
        <w:trPr>
          <w:trHeight w:val="355"/>
          <w:jc w:val="center"/>
        </w:trPr>
        <w:tc>
          <w:tcPr>
            <w:tcW w:w="923" w:type="dxa"/>
            <w:tcBorders>
              <w:top w:val="nil"/>
              <w:left w:val="nil"/>
              <w:bottom w:val="nil"/>
              <w:right w:val="nil"/>
            </w:tcBorders>
            <w:shd w:val="clear" w:color="auto" w:fill="auto"/>
          </w:tcPr>
          <w:p w14:paraId="4E67CEE0" w14:textId="77777777" w:rsidR="0066462A" w:rsidRPr="00FB09B4" w:rsidRDefault="0066462A" w:rsidP="0066462A">
            <w:pPr>
              <w:jc w:val="both"/>
              <w:rPr>
                <w:rFonts w:ascii="Arial" w:hAnsi="Arial" w:cs="FrankRuehl"/>
                <w:sz w:val="28"/>
                <w:szCs w:val="28"/>
              </w:rPr>
            </w:pPr>
            <w:bookmarkStart w:id="1" w:name="FirstAppellant"/>
            <w:r w:rsidRPr="00FB09B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F78536B" w14:textId="77777777" w:rsidR="0066462A" w:rsidRPr="00FB09B4" w:rsidRDefault="0066462A" w:rsidP="005D75B0">
            <w:r w:rsidRPr="00FB09B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6252D3A" w14:textId="77777777" w:rsidR="0066462A" w:rsidRPr="00FB09B4" w:rsidRDefault="0066462A" w:rsidP="0066462A">
            <w:pPr>
              <w:jc w:val="both"/>
              <w:rPr>
                <w:rFonts w:ascii="Arial" w:hAnsi="Arial" w:cs="FrankRuehl"/>
                <w:sz w:val="28"/>
                <w:szCs w:val="28"/>
              </w:rPr>
            </w:pPr>
          </w:p>
        </w:tc>
      </w:tr>
      <w:bookmarkEnd w:id="1"/>
      <w:tr w:rsidR="0066462A" w:rsidRPr="00FB09B4" w14:paraId="64745384" w14:textId="77777777" w:rsidTr="0066462A">
        <w:trPr>
          <w:trHeight w:val="355"/>
          <w:jc w:val="center"/>
        </w:trPr>
        <w:tc>
          <w:tcPr>
            <w:tcW w:w="923" w:type="dxa"/>
            <w:tcBorders>
              <w:top w:val="nil"/>
              <w:left w:val="nil"/>
              <w:bottom w:val="nil"/>
              <w:right w:val="nil"/>
            </w:tcBorders>
            <w:shd w:val="clear" w:color="auto" w:fill="auto"/>
          </w:tcPr>
          <w:p w14:paraId="3C417AD1" w14:textId="77777777" w:rsidR="0066462A" w:rsidRPr="00FB09B4" w:rsidRDefault="0066462A" w:rsidP="0066462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7118628" w14:textId="77777777" w:rsidR="0066462A" w:rsidRPr="00FB09B4" w:rsidRDefault="0066462A" w:rsidP="0066462A">
            <w:pPr>
              <w:jc w:val="both"/>
              <w:rPr>
                <w:rtl/>
              </w:rPr>
            </w:pPr>
          </w:p>
        </w:tc>
        <w:tc>
          <w:tcPr>
            <w:tcW w:w="3771" w:type="dxa"/>
            <w:tcBorders>
              <w:top w:val="nil"/>
              <w:left w:val="nil"/>
              <w:bottom w:val="nil"/>
              <w:right w:val="nil"/>
            </w:tcBorders>
            <w:shd w:val="clear" w:color="auto" w:fill="auto"/>
          </w:tcPr>
          <w:p w14:paraId="36548B64" w14:textId="77777777" w:rsidR="0066462A" w:rsidRPr="00FB09B4" w:rsidRDefault="0066462A" w:rsidP="0066462A">
            <w:pPr>
              <w:jc w:val="right"/>
              <w:rPr>
                <w:rFonts w:ascii="Arial" w:hAnsi="Arial" w:cs="FrankRuehl"/>
                <w:sz w:val="28"/>
                <w:szCs w:val="28"/>
                <w:rtl/>
              </w:rPr>
            </w:pPr>
            <w:r w:rsidRPr="00FB09B4">
              <w:rPr>
                <w:rFonts w:ascii="Arial" w:hAnsi="Arial" w:cs="FrankRuehl" w:hint="cs"/>
                <w:sz w:val="28"/>
                <w:szCs w:val="28"/>
                <w:rtl/>
              </w:rPr>
              <w:t>ה</w:t>
            </w:r>
            <w:r w:rsidRPr="00FB09B4">
              <w:rPr>
                <w:rFonts w:ascii="Arial" w:hAnsi="Arial" w:cs="FrankRuehl"/>
                <w:sz w:val="28"/>
                <w:szCs w:val="28"/>
                <w:rtl/>
              </w:rPr>
              <w:t>מאשימה</w:t>
            </w:r>
          </w:p>
        </w:tc>
      </w:tr>
      <w:tr w:rsidR="0066462A" w:rsidRPr="00FB09B4" w14:paraId="610AAF82" w14:textId="77777777" w:rsidTr="0066462A">
        <w:trPr>
          <w:trHeight w:val="355"/>
          <w:jc w:val="center"/>
        </w:trPr>
        <w:tc>
          <w:tcPr>
            <w:tcW w:w="923" w:type="dxa"/>
            <w:tcBorders>
              <w:top w:val="nil"/>
              <w:left w:val="nil"/>
              <w:bottom w:val="nil"/>
              <w:right w:val="nil"/>
            </w:tcBorders>
            <w:shd w:val="clear" w:color="auto" w:fill="auto"/>
          </w:tcPr>
          <w:p w14:paraId="5DB4E723" w14:textId="77777777" w:rsidR="0066462A" w:rsidRPr="00FB09B4" w:rsidRDefault="0066462A" w:rsidP="0066462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014110C" w14:textId="77777777" w:rsidR="0066462A" w:rsidRPr="00FB09B4" w:rsidRDefault="0066462A" w:rsidP="0066462A">
            <w:pPr>
              <w:jc w:val="center"/>
              <w:rPr>
                <w:rFonts w:ascii="Arial" w:hAnsi="Arial" w:cs="FrankRuehl"/>
                <w:b/>
                <w:bCs/>
                <w:sz w:val="28"/>
                <w:szCs w:val="28"/>
                <w:rtl/>
              </w:rPr>
            </w:pPr>
          </w:p>
          <w:p w14:paraId="1CDE98FB" w14:textId="77777777" w:rsidR="0066462A" w:rsidRPr="00FB09B4" w:rsidRDefault="0066462A" w:rsidP="0066462A">
            <w:pPr>
              <w:jc w:val="center"/>
              <w:rPr>
                <w:rFonts w:ascii="Arial" w:hAnsi="Arial" w:cs="FrankRuehl"/>
                <w:b/>
                <w:bCs/>
                <w:sz w:val="28"/>
                <w:szCs w:val="28"/>
                <w:rtl/>
              </w:rPr>
            </w:pPr>
            <w:r w:rsidRPr="00FB09B4">
              <w:rPr>
                <w:rFonts w:ascii="Arial" w:hAnsi="Arial" w:cs="FrankRuehl"/>
                <w:b/>
                <w:bCs/>
                <w:sz w:val="28"/>
                <w:szCs w:val="28"/>
                <w:rtl/>
              </w:rPr>
              <w:t>נגד</w:t>
            </w:r>
          </w:p>
          <w:p w14:paraId="229FA1B0" w14:textId="77777777" w:rsidR="0066462A" w:rsidRPr="00FB09B4" w:rsidRDefault="0066462A" w:rsidP="0066462A">
            <w:pPr>
              <w:jc w:val="both"/>
              <w:rPr>
                <w:rFonts w:ascii="Arial" w:hAnsi="Arial" w:cs="FrankRuehl"/>
                <w:sz w:val="28"/>
                <w:szCs w:val="28"/>
              </w:rPr>
            </w:pPr>
          </w:p>
        </w:tc>
      </w:tr>
      <w:tr w:rsidR="0066462A" w:rsidRPr="00FB09B4" w14:paraId="0B0BFD60" w14:textId="77777777" w:rsidTr="0066462A">
        <w:trPr>
          <w:trHeight w:val="355"/>
          <w:jc w:val="center"/>
        </w:trPr>
        <w:tc>
          <w:tcPr>
            <w:tcW w:w="923" w:type="dxa"/>
            <w:tcBorders>
              <w:top w:val="nil"/>
              <w:left w:val="nil"/>
              <w:bottom w:val="nil"/>
              <w:right w:val="nil"/>
            </w:tcBorders>
            <w:shd w:val="clear" w:color="auto" w:fill="auto"/>
          </w:tcPr>
          <w:p w14:paraId="71FBEE82" w14:textId="77777777" w:rsidR="0066462A" w:rsidRPr="00FB09B4" w:rsidRDefault="0066462A" w:rsidP="005D75B0">
            <w:pPr>
              <w:rPr>
                <w:rFonts w:ascii="Arial" w:hAnsi="Arial" w:cs="FrankRuehl"/>
                <w:sz w:val="28"/>
                <w:szCs w:val="28"/>
                <w:rtl/>
              </w:rPr>
            </w:pPr>
          </w:p>
        </w:tc>
        <w:tc>
          <w:tcPr>
            <w:tcW w:w="4126" w:type="dxa"/>
            <w:tcBorders>
              <w:top w:val="nil"/>
              <w:left w:val="nil"/>
              <w:bottom w:val="nil"/>
              <w:right w:val="nil"/>
            </w:tcBorders>
            <w:shd w:val="clear" w:color="auto" w:fill="auto"/>
          </w:tcPr>
          <w:p w14:paraId="68F9DAB9" w14:textId="77777777" w:rsidR="0066462A" w:rsidRPr="00FB09B4" w:rsidRDefault="0066462A" w:rsidP="005D75B0">
            <w:pPr>
              <w:rPr>
                <w:rtl/>
              </w:rPr>
            </w:pPr>
            <w:r w:rsidRPr="00FB09B4">
              <w:rPr>
                <w:rFonts w:ascii="Arial" w:hAnsi="Arial" w:cs="FrankRuehl"/>
                <w:sz w:val="28"/>
                <w:szCs w:val="28"/>
                <w:rtl/>
              </w:rPr>
              <w:t>מוחמד סוב לבן (עציר)</w:t>
            </w:r>
          </w:p>
        </w:tc>
        <w:tc>
          <w:tcPr>
            <w:tcW w:w="3771" w:type="dxa"/>
            <w:tcBorders>
              <w:top w:val="nil"/>
              <w:left w:val="nil"/>
              <w:bottom w:val="nil"/>
              <w:right w:val="nil"/>
            </w:tcBorders>
            <w:shd w:val="clear" w:color="auto" w:fill="auto"/>
          </w:tcPr>
          <w:p w14:paraId="5448E1D1" w14:textId="77777777" w:rsidR="0066462A" w:rsidRPr="00FB09B4" w:rsidRDefault="0066462A" w:rsidP="0066462A">
            <w:pPr>
              <w:jc w:val="right"/>
              <w:rPr>
                <w:rFonts w:ascii="Arial" w:hAnsi="Arial" w:cs="FrankRuehl"/>
                <w:sz w:val="28"/>
                <w:szCs w:val="28"/>
              </w:rPr>
            </w:pPr>
          </w:p>
        </w:tc>
      </w:tr>
      <w:tr w:rsidR="0066462A" w:rsidRPr="00FB09B4" w14:paraId="68FB8D2F" w14:textId="77777777" w:rsidTr="0066462A">
        <w:trPr>
          <w:trHeight w:val="355"/>
          <w:jc w:val="center"/>
        </w:trPr>
        <w:tc>
          <w:tcPr>
            <w:tcW w:w="923" w:type="dxa"/>
            <w:tcBorders>
              <w:top w:val="nil"/>
              <w:left w:val="nil"/>
              <w:bottom w:val="nil"/>
              <w:right w:val="nil"/>
            </w:tcBorders>
            <w:shd w:val="clear" w:color="auto" w:fill="auto"/>
          </w:tcPr>
          <w:p w14:paraId="6603F54F" w14:textId="77777777" w:rsidR="0066462A" w:rsidRPr="00FB09B4" w:rsidRDefault="0066462A" w:rsidP="0066462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0E6C2B2" w14:textId="77777777" w:rsidR="0066462A" w:rsidRPr="00FB09B4" w:rsidRDefault="0066462A" w:rsidP="0066462A">
            <w:pPr>
              <w:jc w:val="both"/>
              <w:rPr>
                <w:rtl/>
              </w:rPr>
            </w:pPr>
          </w:p>
        </w:tc>
        <w:tc>
          <w:tcPr>
            <w:tcW w:w="3771" w:type="dxa"/>
            <w:tcBorders>
              <w:top w:val="nil"/>
              <w:left w:val="nil"/>
              <w:bottom w:val="nil"/>
              <w:right w:val="nil"/>
            </w:tcBorders>
            <w:shd w:val="clear" w:color="auto" w:fill="auto"/>
          </w:tcPr>
          <w:p w14:paraId="6FC80F30" w14:textId="77777777" w:rsidR="0066462A" w:rsidRPr="00FB09B4" w:rsidRDefault="0066462A" w:rsidP="0066462A">
            <w:pPr>
              <w:jc w:val="right"/>
              <w:rPr>
                <w:rFonts w:ascii="Arial" w:hAnsi="Arial" w:cs="FrankRuehl"/>
                <w:sz w:val="28"/>
                <w:szCs w:val="28"/>
              </w:rPr>
            </w:pPr>
            <w:r w:rsidRPr="00FB09B4">
              <w:rPr>
                <w:rFonts w:ascii="Arial" w:hAnsi="Arial" w:cs="FrankRuehl" w:hint="cs"/>
                <w:sz w:val="28"/>
                <w:szCs w:val="28"/>
                <w:rtl/>
              </w:rPr>
              <w:t>ה</w:t>
            </w:r>
            <w:r w:rsidRPr="00FB09B4">
              <w:rPr>
                <w:rFonts w:ascii="Arial" w:hAnsi="Arial" w:cs="FrankRuehl"/>
                <w:sz w:val="28"/>
                <w:szCs w:val="28"/>
                <w:rtl/>
              </w:rPr>
              <w:t>נאשם</w:t>
            </w:r>
          </w:p>
        </w:tc>
      </w:tr>
      <w:tr w:rsidR="0066462A" w14:paraId="2CCBD26F" w14:textId="77777777" w:rsidTr="0066462A">
        <w:trPr>
          <w:trHeight w:val="355"/>
          <w:jc w:val="center"/>
        </w:trPr>
        <w:tc>
          <w:tcPr>
            <w:tcW w:w="8820" w:type="dxa"/>
            <w:gridSpan w:val="3"/>
            <w:tcBorders>
              <w:top w:val="nil"/>
              <w:left w:val="nil"/>
              <w:bottom w:val="nil"/>
              <w:right w:val="nil"/>
            </w:tcBorders>
            <w:shd w:val="clear" w:color="auto" w:fill="auto"/>
          </w:tcPr>
          <w:p w14:paraId="156441E2" w14:textId="77777777" w:rsidR="003E0B7D" w:rsidRDefault="003E0B7D" w:rsidP="00FB09B4">
            <w:pPr>
              <w:jc w:val="center"/>
              <w:rPr>
                <w:rFonts w:ascii="Arial" w:hAnsi="Arial" w:cs="FrankRuehl"/>
                <w:sz w:val="32"/>
                <w:szCs w:val="32"/>
                <w:rtl/>
              </w:rPr>
            </w:pPr>
            <w:bookmarkStart w:id="2" w:name="PsakDin" w:colFirst="0" w:colLast="0"/>
            <w:bookmarkStart w:id="3" w:name="LawTable"/>
            <w:bookmarkEnd w:id="0"/>
            <w:bookmarkEnd w:id="3"/>
          </w:p>
          <w:p w14:paraId="42402D9A" w14:textId="77777777" w:rsidR="003E0B7D" w:rsidRPr="003E0B7D" w:rsidRDefault="003E0B7D" w:rsidP="003E0B7D">
            <w:pPr>
              <w:spacing w:after="120" w:line="240" w:lineRule="exact"/>
              <w:ind w:left="283" w:hanging="283"/>
              <w:jc w:val="both"/>
              <w:rPr>
                <w:rFonts w:ascii="FrankRuehl" w:hAnsi="FrankRuehl" w:cs="FrankRuehl"/>
                <w:rtl/>
              </w:rPr>
            </w:pPr>
            <w:r w:rsidRPr="003E0B7D">
              <w:rPr>
                <w:rFonts w:ascii="FrankRuehl" w:hAnsi="FrankRuehl" w:cs="FrankRuehl"/>
                <w:rtl/>
              </w:rPr>
              <w:t xml:space="preserve">חקיקה שאוזכרה: </w:t>
            </w:r>
          </w:p>
          <w:p w14:paraId="3322571F" w14:textId="77777777" w:rsidR="003E0B7D" w:rsidRPr="003E0B7D" w:rsidRDefault="003E0B7D" w:rsidP="003E0B7D">
            <w:pPr>
              <w:spacing w:after="120" w:line="240" w:lineRule="exact"/>
              <w:ind w:left="283" w:hanging="283"/>
              <w:jc w:val="both"/>
              <w:rPr>
                <w:rFonts w:ascii="FrankRuehl" w:hAnsi="FrankRuehl" w:cs="FrankRuehl"/>
                <w:rtl/>
              </w:rPr>
            </w:pPr>
            <w:hyperlink r:id="rId7" w:history="1">
              <w:r w:rsidRPr="003E0B7D">
                <w:rPr>
                  <w:rFonts w:ascii="FrankRuehl" w:hAnsi="FrankRuehl" w:cs="FrankRuehl"/>
                  <w:color w:val="0000FF"/>
                  <w:u w:val="single"/>
                  <w:rtl/>
                </w:rPr>
                <w:t>פקודת הסמים המסוכנים [נוסח חדש], תשל"ג-1973</w:t>
              </w:r>
            </w:hyperlink>
            <w:r w:rsidRPr="003E0B7D">
              <w:rPr>
                <w:rFonts w:ascii="FrankRuehl" w:hAnsi="FrankRuehl" w:cs="FrankRuehl"/>
                <w:rtl/>
              </w:rPr>
              <w:t xml:space="preserve">: סע'  </w:t>
            </w:r>
            <w:hyperlink r:id="rId8" w:history="1">
              <w:r w:rsidRPr="003E0B7D">
                <w:rPr>
                  <w:rFonts w:ascii="FrankRuehl" w:hAnsi="FrankRuehl" w:cs="FrankRuehl"/>
                  <w:color w:val="0000FF"/>
                  <w:u w:val="single"/>
                  <w:rtl/>
                </w:rPr>
                <w:t>7.א.</w:t>
              </w:r>
            </w:hyperlink>
            <w:r w:rsidRPr="003E0B7D">
              <w:rPr>
                <w:rFonts w:ascii="FrankRuehl" w:hAnsi="FrankRuehl" w:cs="FrankRuehl"/>
                <w:rtl/>
              </w:rPr>
              <w:t xml:space="preserve">, </w:t>
            </w:r>
            <w:hyperlink r:id="rId9" w:history="1">
              <w:r w:rsidRPr="003E0B7D">
                <w:rPr>
                  <w:rFonts w:ascii="FrankRuehl" w:hAnsi="FrankRuehl" w:cs="FrankRuehl"/>
                  <w:color w:val="0000FF"/>
                  <w:u w:val="single"/>
                  <w:rtl/>
                </w:rPr>
                <w:t>7.ג</w:t>
              </w:r>
            </w:hyperlink>
            <w:r w:rsidRPr="003E0B7D">
              <w:rPr>
                <w:rFonts w:ascii="FrankRuehl" w:hAnsi="FrankRuehl" w:cs="FrankRuehl"/>
                <w:rtl/>
              </w:rPr>
              <w:t xml:space="preserve">, </w:t>
            </w:r>
            <w:hyperlink r:id="rId10" w:history="1">
              <w:r w:rsidRPr="003E0B7D">
                <w:rPr>
                  <w:rFonts w:ascii="FrankRuehl" w:hAnsi="FrankRuehl" w:cs="FrankRuehl"/>
                  <w:color w:val="0000FF"/>
                  <w:u w:val="single"/>
                  <w:rtl/>
                </w:rPr>
                <w:t>13א</w:t>
              </w:r>
            </w:hyperlink>
            <w:r w:rsidRPr="003E0B7D">
              <w:rPr>
                <w:rFonts w:ascii="FrankRuehl" w:hAnsi="FrankRuehl" w:cs="FrankRuehl"/>
                <w:rtl/>
              </w:rPr>
              <w:t xml:space="preserve">, </w:t>
            </w:r>
            <w:hyperlink r:id="rId11" w:history="1">
              <w:r w:rsidRPr="003E0B7D">
                <w:rPr>
                  <w:rFonts w:ascii="FrankRuehl" w:hAnsi="FrankRuehl" w:cs="FrankRuehl"/>
                  <w:color w:val="0000FF"/>
                  <w:u w:val="single"/>
                  <w:rtl/>
                </w:rPr>
                <w:t>19</w:t>
              </w:r>
            </w:hyperlink>
          </w:p>
          <w:p w14:paraId="47750280" w14:textId="77777777" w:rsidR="003E0B7D" w:rsidRPr="003E0B7D" w:rsidRDefault="003E0B7D" w:rsidP="003E0B7D">
            <w:pPr>
              <w:spacing w:after="120" w:line="240" w:lineRule="exact"/>
              <w:ind w:left="283" w:hanging="283"/>
              <w:jc w:val="both"/>
              <w:rPr>
                <w:rFonts w:ascii="FrankRuehl" w:hAnsi="FrankRuehl" w:cs="FrankRuehl"/>
                <w:rtl/>
              </w:rPr>
            </w:pPr>
            <w:hyperlink r:id="rId12" w:history="1">
              <w:r w:rsidRPr="003E0B7D">
                <w:rPr>
                  <w:rFonts w:ascii="FrankRuehl" w:hAnsi="FrankRuehl" w:cs="FrankRuehl"/>
                  <w:color w:val="0000FF"/>
                  <w:u w:val="single"/>
                  <w:rtl/>
                </w:rPr>
                <w:t>פקודת התעבורה [נוסח חדש]</w:t>
              </w:r>
            </w:hyperlink>
            <w:r w:rsidRPr="003E0B7D">
              <w:rPr>
                <w:rFonts w:ascii="FrankRuehl" w:hAnsi="FrankRuehl" w:cs="FrankRuehl"/>
                <w:rtl/>
              </w:rPr>
              <w:t xml:space="preserve">: סע'  </w:t>
            </w:r>
            <w:hyperlink r:id="rId13" w:history="1">
              <w:r w:rsidRPr="003E0B7D">
                <w:rPr>
                  <w:rFonts w:ascii="FrankRuehl" w:hAnsi="FrankRuehl" w:cs="FrankRuehl"/>
                  <w:color w:val="0000FF"/>
                  <w:u w:val="single"/>
                  <w:rtl/>
                </w:rPr>
                <w:t>10א</w:t>
              </w:r>
            </w:hyperlink>
          </w:p>
          <w:p w14:paraId="6EEDB1DA" w14:textId="77777777" w:rsidR="003E0B7D" w:rsidRPr="003E0B7D" w:rsidRDefault="003E0B7D" w:rsidP="003E0B7D">
            <w:pPr>
              <w:spacing w:after="120" w:line="240" w:lineRule="exact"/>
              <w:ind w:left="283" w:hanging="283"/>
              <w:jc w:val="both"/>
              <w:rPr>
                <w:rFonts w:ascii="FrankRuehl" w:hAnsi="FrankRuehl" w:cs="FrankRuehl"/>
                <w:rtl/>
              </w:rPr>
            </w:pPr>
          </w:p>
          <w:p w14:paraId="2FCCF1BB" w14:textId="77777777" w:rsidR="00FB09B4" w:rsidRPr="00FB09B4" w:rsidRDefault="00FB09B4" w:rsidP="00FB09B4">
            <w:pPr>
              <w:jc w:val="center"/>
              <w:rPr>
                <w:rFonts w:ascii="Arial" w:hAnsi="Arial" w:cs="FrankRuehl"/>
                <w:b/>
                <w:bCs/>
                <w:sz w:val="32"/>
                <w:szCs w:val="32"/>
                <w:u w:val="single"/>
                <w:rtl/>
              </w:rPr>
            </w:pPr>
            <w:bookmarkStart w:id="4" w:name="LawTable_End"/>
            <w:bookmarkEnd w:id="4"/>
            <w:r w:rsidRPr="00FB09B4">
              <w:rPr>
                <w:rFonts w:ascii="Arial" w:hAnsi="Arial" w:cs="FrankRuehl"/>
                <w:b/>
                <w:bCs/>
                <w:sz w:val="32"/>
                <w:szCs w:val="32"/>
                <w:u w:val="single"/>
                <w:rtl/>
              </w:rPr>
              <w:t>גזר דין</w:t>
            </w:r>
          </w:p>
          <w:p w14:paraId="64625E62" w14:textId="77777777" w:rsidR="0066462A" w:rsidRPr="00FB09B4" w:rsidRDefault="0066462A" w:rsidP="00FB09B4">
            <w:pPr>
              <w:jc w:val="center"/>
              <w:rPr>
                <w:rFonts w:ascii="Arial" w:hAnsi="Arial" w:cs="FrankRuehl"/>
                <w:bCs/>
                <w:sz w:val="32"/>
                <w:szCs w:val="32"/>
                <w:u w:val="single"/>
                <w:rtl/>
              </w:rPr>
            </w:pPr>
          </w:p>
        </w:tc>
      </w:tr>
      <w:bookmarkEnd w:id="2"/>
    </w:tbl>
    <w:p w14:paraId="2254B754" w14:textId="77777777" w:rsidR="0066462A" w:rsidRPr="00B05847" w:rsidRDefault="0066462A" w:rsidP="0066462A">
      <w:pPr>
        <w:rPr>
          <w:rFonts w:ascii="Arial" w:hAnsi="Arial"/>
          <w:rtl/>
        </w:rPr>
      </w:pPr>
    </w:p>
    <w:p w14:paraId="2709E48A" w14:textId="77777777" w:rsidR="0066462A" w:rsidRPr="00F2684B" w:rsidRDefault="0066462A" w:rsidP="0066462A">
      <w:pPr>
        <w:spacing w:after="160" w:line="360" w:lineRule="auto"/>
        <w:jc w:val="both"/>
        <w:rPr>
          <w:rFonts w:ascii="Calibri" w:eastAsia="Calibri" w:hAnsi="Calibri"/>
          <w:b/>
          <w:bCs/>
          <w:rtl/>
        </w:rPr>
      </w:pPr>
    </w:p>
    <w:p w14:paraId="41913F80"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כתב האישום</w:t>
      </w:r>
    </w:p>
    <w:p w14:paraId="7C3DE24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במסגרת הסדר טיעון בין הצדדים, תוקן כתב האישום והנאשם הודה והורשע בעבירות המיוחסות לו.</w:t>
      </w:r>
    </w:p>
    <w:p w14:paraId="6D1E69EC"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אישומים 1-2 נמחקו מכתב האישום במסגרת הסדר הטיעון, ונותרו בו אישומים 3-5.</w:t>
      </w:r>
    </w:p>
    <w:p w14:paraId="42D2827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מן האישום השלישי עולה, כי ביום 26.3.18 מכר הנאשם לסוכן משטרה 13.36 גרם סם מסוג חשיש. באותן נסיבות, התקשר הסוכן לנאשם וביקש ממנו "חתיכה" ב-500 שקלים. הנאשם אמר לו להגיע למקום בו בוצעו עסקאות קודמות. הסוכן הגיע למקום, פגש את הנאשם שהיה ברכב, נכנס למושב שלצד הנהג ואז העביר לו הנאשם את הסם ובתמורה מסר הסוכן לנאשם סך של 500 ₪. טרם יציאתו מהרכב, ביקש הסוכן מהנאשם להכין לו פלטת חשיש לקנייה נוספת מספר ימים לאחר מכן. </w:t>
      </w:r>
    </w:p>
    <w:p w14:paraId="20E4C3B6"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האישום הרביעי מתייחס ליום 4.4.18, אז מכר הנאשם לסוכן 96.47 גרם סם מסוג חשיש. זאת לאחר שביום 2.4.18 התקשר הסוכן לנאשם וביקש ממנו לקנות פלטת חשיש. השניים קבעו ליום 4.4.18, אז הגיע הסוכן למקום המפגש, נכנס לרכבו של הנאשם והשניים נסעו לאזור שועפט. לאחר </w:t>
      </w:r>
      <w:r w:rsidRPr="00F2684B">
        <w:rPr>
          <w:rFonts w:ascii="Calibri" w:eastAsia="Calibri" w:hAnsi="Calibri" w:hint="cs"/>
          <w:rtl/>
        </w:rPr>
        <w:lastRenderedPageBreak/>
        <w:t xml:space="preserve">שתי דקות, עצר הנאשם את הרכב והעביר לסוכן את הסם תמורת 3,300 ₪. באותן נסיבות נהג הנאשם, כשאין בכליו רישיון נהיגה וכשמעולם לא הוציא כזה. </w:t>
      </w:r>
    </w:p>
    <w:p w14:paraId="0334EFD8"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אישום חמישי מתייחס ליום 10.4.18, אז מכר הנאשם לסוכן סם מסוג חשיש במשקל 142.81 גרם וכן 19 טבליות מסוג </w:t>
      </w:r>
      <w:r w:rsidRPr="00F2684B">
        <w:rPr>
          <w:rFonts w:ascii="Calibri" w:eastAsia="Calibri" w:hAnsi="Calibri"/>
        </w:rPr>
        <w:t>MDMA</w:t>
      </w:r>
      <w:r w:rsidRPr="00F2684B">
        <w:rPr>
          <w:rFonts w:ascii="Calibri" w:eastAsia="Calibri" w:hAnsi="Calibri" w:hint="cs"/>
          <w:rtl/>
        </w:rPr>
        <w:t xml:space="preserve">. זאת עשה הנאשם לאחר שיומיים קודם לכן, התקשר אליו הסוכן וביקש לקנות ממנו "פלטה וחצי" חשיש ו- 20 "גלגל". לאחר שיחות טלפון שבהן תיאמו ביניהם את פרטי העסקה, הגיע הסוכן אל מקום המפגש, נכנס לרכבו של הנאשם, ובהמשך הנסיעה העביר לו הנאשם את הסם. </w:t>
      </w:r>
    </w:p>
    <w:p w14:paraId="20E1D2F7"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בטרם הספיק הסוכן להעביר לנאשם כסף תמורת הסם, בוצע מעצר על ידי כוח בילוש. הנאשם ניסה להימלט מהמעצר בנסיעה פרועה, כשאין שאין בכליו רישיון ומעולם לא הוציא רישיון כזה, וכן התנגד למעצר. </w:t>
      </w:r>
    </w:p>
    <w:p w14:paraId="126708A1"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האישום השישי מתייחס גם הוא ליום 10.4.18, אז החזיק הנאשם בחדרו 126.98 גרם סם מסוג חשיש וכן 12 כדורים מסוג </w:t>
      </w:r>
      <w:r w:rsidRPr="00F2684B">
        <w:rPr>
          <w:rFonts w:ascii="Calibri" w:eastAsia="Calibri" w:hAnsi="Calibri"/>
        </w:rPr>
        <w:t xml:space="preserve">MDMA </w:t>
      </w:r>
      <w:r w:rsidRPr="00F2684B">
        <w:rPr>
          <w:rFonts w:ascii="Calibri" w:eastAsia="Calibri" w:hAnsi="Calibri" w:hint="cs"/>
          <w:rtl/>
        </w:rPr>
        <w:t xml:space="preserve"> שלא לצריכתו העצמית.</w:t>
      </w:r>
    </w:p>
    <w:p w14:paraId="15C2CA21"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בשל אישומים אלה, </w:t>
      </w:r>
      <w:bookmarkStart w:id="5" w:name="ABSTRACT_START"/>
      <w:bookmarkEnd w:id="5"/>
      <w:r w:rsidRPr="00F2684B">
        <w:rPr>
          <w:rFonts w:ascii="Calibri" w:eastAsia="Calibri" w:hAnsi="Calibri" w:hint="cs"/>
          <w:rtl/>
        </w:rPr>
        <w:t xml:space="preserve">הורשע הנאשם ב- 3 עבירות של סחר בסם מסוכן והחזקת סמים שלא לצריכה עצמית לפי </w:t>
      </w:r>
      <w:hyperlink r:id="rId14" w:history="1">
        <w:r w:rsidR="003E0B7D" w:rsidRPr="003E0B7D">
          <w:rPr>
            <w:rFonts w:ascii="Calibri" w:eastAsia="Calibri" w:hAnsi="Calibri" w:hint="cs"/>
            <w:color w:val="0000FF"/>
            <w:u w:val="single"/>
            <w:rtl/>
          </w:rPr>
          <w:t>סעיפים</w:t>
        </w:r>
        <w:r w:rsidR="003E0B7D" w:rsidRPr="003E0B7D">
          <w:rPr>
            <w:rFonts w:ascii="Calibri" w:eastAsia="Calibri" w:hAnsi="Calibri"/>
            <w:color w:val="0000FF"/>
            <w:u w:val="single"/>
            <w:rtl/>
          </w:rPr>
          <w:t xml:space="preserve"> 13+19</w:t>
        </w:r>
        <w:r w:rsidR="003E0B7D" w:rsidRPr="003E0B7D">
          <w:rPr>
            <w:rFonts w:ascii="Calibri" w:eastAsia="Calibri" w:hAnsi="Calibri" w:hint="cs"/>
            <w:color w:val="0000FF"/>
            <w:u w:val="single"/>
            <w:rtl/>
          </w:rPr>
          <w:t>א</w:t>
        </w:r>
      </w:hyperlink>
      <w:r w:rsidRPr="00F2684B">
        <w:rPr>
          <w:rFonts w:ascii="Calibri" w:eastAsia="Calibri" w:hAnsi="Calibri" w:hint="cs"/>
          <w:rtl/>
        </w:rPr>
        <w:t xml:space="preserve"> ו-</w:t>
      </w:r>
      <w:hyperlink r:id="rId15" w:history="1">
        <w:r w:rsidR="003E0B7D" w:rsidRPr="003E0B7D">
          <w:rPr>
            <w:rFonts w:ascii="Calibri" w:eastAsia="Calibri" w:hAnsi="Calibri"/>
            <w:color w:val="0000FF"/>
            <w:u w:val="single"/>
            <w:rtl/>
          </w:rPr>
          <w:t>7(</w:t>
        </w:r>
        <w:r w:rsidR="003E0B7D" w:rsidRPr="003E0B7D">
          <w:rPr>
            <w:rFonts w:ascii="Calibri" w:eastAsia="Calibri" w:hAnsi="Calibri" w:hint="cs"/>
            <w:color w:val="0000FF"/>
            <w:u w:val="single"/>
            <w:rtl/>
          </w:rPr>
          <w:t>א</w:t>
        </w:r>
        <w:r w:rsidR="003E0B7D" w:rsidRPr="003E0B7D">
          <w:rPr>
            <w:rFonts w:ascii="Calibri" w:eastAsia="Calibri" w:hAnsi="Calibri"/>
            <w:color w:val="0000FF"/>
            <w:u w:val="single"/>
            <w:rtl/>
          </w:rPr>
          <w:t>)+7(</w:t>
        </w:r>
        <w:r w:rsidR="003E0B7D" w:rsidRPr="003E0B7D">
          <w:rPr>
            <w:rFonts w:ascii="Calibri" w:eastAsia="Calibri" w:hAnsi="Calibri" w:hint="cs"/>
            <w:color w:val="0000FF"/>
            <w:u w:val="single"/>
            <w:rtl/>
          </w:rPr>
          <w:t>ג</w:t>
        </w:r>
        <w:r w:rsidR="003E0B7D" w:rsidRPr="003E0B7D">
          <w:rPr>
            <w:rFonts w:ascii="Calibri" w:eastAsia="Calibri" w:hAnsi="Calibri"/>
            <w:color w:val="0000FF"/>
            <w:u w:val="single"/>
            <w:rtl/>
          </w:rPr>
          <w:t>)</w:t>
        </w:r>
      </w:hyperlink>
      <w:r w:rsidRPr="00F2684B">
        <w:rPr>
          <w:rFonts w:ascii="Calibri" w:eastAsia="Calibri" w:hAnsi="Calibri" w:hint="cs"/>
          <w:rtl/>
        </w:rPr>
        <w:t xml:space="preserve"> ל</w:t>
      </w:r>
      <w:hyperlink r:id="rId16" w:history="1">
        <w:r w:rsidR="00FB09B4" w:rsidRPr="00FB09B4">
          <w:rPr>
            <w:rFonts w:ascii="Calibri" w:eastAsia="Calibri" w:hAnsi="Calibri" w:hint="cs"/>
            <w:color w:val="0000FF"/>
            <w:u w:val="single"/>
            <w:rtl/>
          </w:rPr>
          <w:t>פקודת</w:t>
        </w:r>
        <w:r w:rsidR="00FB09B4" w:rsidRPr="00FB09B4">
          <w:rPr>
            <w:rFonts w:ascii="Calibri" w:eastAsia="Calibri" w:hAnsi="Calibri"/>
            <w:color w:val="0000FF"/>
            <w:u w:val="single"/>
            <w:rtl/>
          </w:rPr>
          <w:t xml:space="preserve"> </w:t>
        </w:r>
        <w:r w:rsidR="00FB09B4" w:rsidRPr="00FB09B4">
          <w:rPr>
            <w:rFonts w:ascii="Calibri" w:eastAsia="Calibri" w:hAnsi="Calibri" w:hint="cs"/>
            <w:color w:val="0000FF"/>
            <w:u w:val="single"/>
            <w:rtl/>
          </w:rPr>
          <w:t>הסמים</w:t>
        </w:r>
        <w:r w:rsidR="00FB09B4" w:rsidRPr="00FB09B4">
          <w:rPr>
            <w:rFonts w:ascii="Calibri" w:eastAsia="Calibri" w:hAnsi="Calibri"/>
            <w:color w:val="0000FF"/>
            <w:u w:val="single"/>
            <w:rtl/>
          </w:rPr>
          <w:t xml:space="preserve"> </w:t>
        </w:r>
        <w:r w:rsidR="00FB09B4" w:rsidRPr="00FB09B4">
          <w:rPr>
            <w:rFonts w:ascii="Calibri" w:eastAsia="Calibri" w:hAnsi="Calibri" w:hint="cs"/>
            <w:color w:val="0000FF"/>
            <w:u w:val="single"/>
            <w:rtl/>
          </w:rPr>
          <w:t>המסוכנים</w:t>
        </w:r>
      </w:hyperlink>
      <w:r w:rsidRPr="00F2684B">
        <w:rPr>
          <w:rFonts w:ascii="Calibri" w:eastAsia="Calibri" w:hAnsi="Calibri" w:hint="cs"/>
          <w:rtl/>
        </w:rPr>
        <w:t xml:space="preserve">[נוסח חדש], התשל"ג-1973 (להלן: "פקודת הסמים המסוכנים"), וכן 2 עבירות של נהיגה ללא רישיון נהיגה לפי </w:t>
      </w:r>
      <w:hyperlink r:id="rId17" w:history="1">
        <w:r w:rsidR="003E0B7D" w:rsidRPr="003E0B7D">
          <w:rPr>
            <w:rFonts w:ascii="Calibri" w:eastAsia="Calibri" w:hAnsi="Calibri" w:hint="cs"/>
            <w:color w:val="0000FF"/>
            <w:u w:val="single"/>
            <w:rtl/>
          </w:rPr>
          <w:t>סעיף</w:t>
        </w:r>
        <w:r w:rsidR="003E0B7D" w:rsidRPr="003E0B7D">
          <w:rPr>
            <w:rFonts w:ascii="Calibri" w:eastAsia="Calibri" w:hAnsi="Calibri"/>
            <w:color w:val="0000FF"/>
            <w:u w:val="single"/>
            <w:rtl/>
          </w:rPr>
          <w:t xml:space="preserve"> 10</w:t>
        </w:r>
        <w:r w:rsidR="003E0B7D" w:rsidRPr="003E0B7D">
          <w:rPr>
            <w:rFonts w:ascii="Calibri" w:eastAsia="Calibri" w:hAnsi="Calibri" w:hint="cs"/>
            <w:color w:val="0000FF"/>
            <w:u w:val="single"/>
            <w:rtl/>
          </w:rPr>
          <w:t>א</w:t>
        </w:r>
      </w:hyperlink>
      <w:r w:rsidRPr="00F2684B">
        <w:rPr>
          <w:rFonts w:ascii="Calibri" w:eastAsia="Calibri" w:hAnsi="Calibri" w:hint="cs"/>
          <w:rtl/>
        </w:rPr>
        <w:t xml:space="preserve"> ל</w:t>
      </w:r>
      <w:hyperlink r:id="rId18" w:history="1">
        <w:r w:rsidR="00FB09B4" w:rsidRPr="00FB09B4">
          <w:rPr>
            <w:rFonts w:ascii="Calibri" w:eastAsia="Calibri" w:hAnsi="Calibri" w:hint="cs"/>
            <w:color w:val="0000FF"/>
            <w:u w:val="single"/>
            <w:rtl/>
          </w:rPr>
          <w:t>פקודת</w:t>
        </w:r>
        <w:r w:rsidR="00FB09B4" w:rsidRPr="00FB09B4">
          <w:rPr>
            <w:rFonts w:ascii="Calibri" w:eastAsia="Calibri" w:hAnsi="Calibri"/>
            <w:color w:val="0000FF"/>
            <w:u w:val="single"/>
            <w:rtl/>
          </w:rPr>
          <w:t xml:space="preserve"> </w:t>
        </w:r>
        <w:r w:rsidR="00FB09B4" w:rsidRPr="00FB09B4">
          <w:rPr>
            <w:rFonts w:ascii="Calibri" w:eastAsia="Calibri" w:hAnsi="Calibri" w:hint="cs"/>
            <w:color w:val="0000FF"/>
            <w:u w:val="single"/>
            <w:rtl/>
          </w:rPr>
          <w:t>התעבורה</w:t>
        </w:r>
      </w:hyperlink>
      <w:r w:rsidRPr="00F2684B">
        <w:rPr>
          <w:rFonts w:ascii="Calibri" w:eastAsia="Calibri" w:hAnsi="Calibri" w:hint="cs"/>
          <w:rtl/>
        </w:rPr>
        <w:t>, התשכ"א-1961(להלן: "פקודת התעבורה").</w:t>
      </w:r>
    </w:p>
    <w:p w14:paraId="6CD10BF5" w14:textId="77777777" w:rsidR="0066462A" w:rsidRPr="00F2684B" w:rsidRDefault="0066462A" w:rsidP="0066462A">
      <w:pPr>
        <w:spacing w:after="160" w:line="360" w:lineRule="auto"/>
        <w:jc w:val="both"/>
        <w:rPr>
          <w:rFonts w:ascii="Calibri" w:eastAsia="Calibri" w:hAnsi="Calibri"/>
          <w:rtl/>
        </w:rPr>
      </w:pPr>
      <w:bookmarkStart w:id="6" w:name="ABSTRACT_END"/>
      <w:bookmarkEnd w:id="6"/>
    </w:p>
    <w:p w14:paraId="2AC4AA25"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תסקיר שירות המבחן</w:t>
      </w:r>
    </w:p>
    <w:p w14:paraId="55C015E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תסקיר שירות המבחן מעלה כי הנאשם הוא רווק בן 30 שנים. טרם מעצרו התגורר עם משפחתו במחנה הפליטים שועפט ולא עבד. </w:t>
      </w:r>
    </w:p>
    <w:p w14:paraId="4514E4D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הנאשם הוא הרביעי בסדר הלידה במשפחה שבה 5 ילדים. אביו אינו עובד מזה שנים רבות עקב בעיות בריאות ואמו עקרת בית. הנאשם מסר שמשפחתו סובלת ממצוקה כלכלית ושניים מאחיו מסייעים בנטל הפרנסה. המשפחה אינה מהווה מקור תמיכה עבור הנאשם.</w:t>
      </w:r>
    </w:p>
    <w:p w14:paraId="4D9B95C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הנאשם סיים 7 שנות לימוד, לאחריהן ריצה עונש מאסר בגין עבירות ביטחוניות, בהיותו כבן 14 שנים. לאורך השנים עבד בעבודות מזדמנות והתקשה להחזיק מעמד במקום עבודה מעבר למספר חודשים. לדבריו חווה אירוע טראומתי כאשר אחד ממעסיקיו היכה אותו והוא נזקק לניתוחים והשתלת פלטינות בגופו.</w:t>
      </w:r>
    </w:p>
    <w:p w14:paraId="64CD90F6"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הנאשם מסר כי מגיל 18 הוא משתמש בסמים מסוג חשיש וסמי רחוב נוספים, אך לאחרונה הוא משתמש בסמים באופן מזדמן בלבד. הנאשם שלל כל צורך בגמילה מסמים. הוא ביטא עייפות מהתמכרותו ומביצוע עבירות ואמביוולנטיות רבה באשר לרצונו לעבור טיפול מעמיק. לפיכך, נקבע </w:t>
      </w:r>
      <w:r w:rsidRPr="00F2684B">
        <w:rPr>
          <w:rFonts w:ascii="Calibri" w:eastAsia="Calibri" w:hAnsi="Calibri" w:hint="cs"/>
          <w:rtl/>
        </w:rPr>
        <w:lastRenderedPageBreak/>
        <w:t>עבורו ראיון קבלה בקהילה טיפולית, אך בראיון עלה כי הוא אינו מגלה תובנה למצבו, המוטיבציה שהוא מגלה לטיפול נמוכה וההתרשמות הייתה כי הוא אינו מתאים לטיפול במקום.</w:t>
      </w:r>
    </w:p>
    <w:p w14:paraId="3D3F2ADF"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בין השנים 2002-2017 הורשע הנאשם חמש פעמים בעבירות בתחומי הרכוש, סמים ועבירה בטחונים, בגינן נגזרו עליו עונשים מותנים, כספיים ומאסר בפועל. </w:t>
      </w:r>
    </w:p>
    <w:p w14:paraId="3B5C905E"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הנאשם מתייחס לעברו הפלילי, כזניח.</w:t>
      </w:r>
    </w:p>
    <w:p w14:paraId="691B3A71"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באשר לעבירות הנוכחיות, הנאשם מתקשה לקחת אחריות מלאה על מעשיו. הוא תופס את התנהגותו כ"טעות", אך מתקשה להתייחס למניעים למעשיו ולחומרתם באופן מעמיק. </w:t>
      </w:r>
    </w:p>
    <w:p w14:paraId="549DE827"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ברקע לביצוע העבירות תיאר שירות המבחן, הפנמת נורמות שוליות כדרך חיים והתמכרות לחומרים פסיכואקטיביים. </w:t>
      </w:r>
    </w:p>
    <w:p w14:paraId="48DFF79C"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לאחר בחינת גורמי הסיכון להישנות ביצוע העבירות, על רקע התייחסותו לעבירות ומצבו ההתמכרותי, לא היה באפשרות שירות המבחן להמליץ על חלופות ענישה או שיקום, ולכן הומלץ על עונש של מאסר ומאסר על תנאי כעונש מרתיע לעתיד. </w:t>
      </w:r>
    </w:p>
    <w:p w14:paraId="532AF489" w14:textId="77777777" w:rsidR="0066462A" w:rsidRPr="00F2684B" w:rsidRDefault="0066462A" w:rsidP="0066462A">
      <w:pPr>
        <w:spacing w:after="160" w:line="360" w:lineRule="auto"/>
        <w:jc w:val="both"/>
        <w:rPr>
          <w:rFonts w:ascii="Calibri" w:eastAsia="Calibri" w:hAnsi="Calibri"/>
          <w:rtl/>
        </w:rPr>
      </w:pPr>
    </w:p>
    <w:p w14:paraId="31F415F2"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טיעונים לעונש</w:t>
      </w:r>
    </w:p>
    <w:p w14:paraId="7BFAA726"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b/>
          <w:bCs/>
          <w:rtl/>
        </w:rPr>
        <w:t xml:space="preserve">ב"כ המאשימה </w:t>
      </w:r>
      <w:r w:rsidRPr="00F2684B">
        <w:rPr>
          <w:rFonts w:ascii="Calibri" w:eastAsia="Calibri" w:hAnsi="Calibri" w:hint="cs"/>
          <w:rtl/>
        </w:rPr>
        <w:t xml:space="preserve">טענה, כי מדובר בעבירות תדירות ומסוכנות, שמקורן בפגיעה העשויה להגרם לציבור כתוצאה מסמים מסוכנים אלו, ומשכך הרי שמתחם הענישה ההולם לאישום השלישי צריך שיעמוד על 6-12 חודשי מאסר בפועל, ואילו הרביעי צריך שיעמיד מתחם עונשי בין 8-12 חודשי מאסר בפועל. באשר לאישומים החמישי והשישי, הרי שבגינם עותרת המאשימה למתחם עונשי אשר יעמוד על 12-24.  לנוכח עברו הפלילי הכולל הרשעות במגוון עבירות, חלקן עבירות סמים, הרי שיש למקמו, כך לשעת המאשימה, בחלקו </w:t>
      </w:r>
      <w:r w:rsidRPr="00F2684B">
        <w:rPr>
          <w:rFonts w:ascii="Calibri" w:eastAsia="Calibri" w:hAnsi="Calibri" w:hint="cs"/>
          <w:b/>
          <w:bCs/>
          <w:rtl/>
        </w:rPr>
        <w:t>המרכזי- תחתון</w:t>
      </w:r>
      <w:r w:rsidRPr="00F2684B">
        <w:rPr>
          <w:rFonts w:ascii="Calibri" w:eastAsia="Calibri" w:hAnsi="Calibri" w:hint="cs"/>
          <w:rtl/>
        </w:rPr>
        <w:t xml:space="preserve"> של כל אחד ממתחמים עונשיים אלו, ועליהם יש להוסיף ענישה נלווית וצופת פני עתיד. </w:t>
      </w:r>
    </w:p>
    <w:p w14:paraId="59EB4C86"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b/>
          <w:bCs/>
          <w:rtl/>
        </w:rPr>
        <w:t xml:space="preserve">הסניגור המלומד, עוה"ד פ. מוסטפא,  </w:t>
      </w:r>
      <w:r w:rsidRPr="00F2684B">
        <w:rPr>
          <w:rFonts w:ascii="Calibri" w:eastAsia="Calibri" w:hAnsi="Calibri" w:hint="cs"/>
          <w:rtl/>
        </w:rPr>
        <w:t xml:space="preserve">טען מנגד כי לנאשם דנן בעיות אישיות קשות, והוא נטל אחריות על מעשיו. משכך, סבור בא כוח הנאשם כי יש לקבוע מתחם עונשי אחיד וראוי, אשר יעמוד על 7-18 חודשי מאסר בפועל, כאשר הנאשם דנן משוייך לחלקו האמצעי של מתחם זה וצריך שיעמוד, כך לדבריו, על 10 חודשי מאסר בפועל ממש. </w:t>
      </w:r>
    </w:p>
    <w:p w14:paraId="32E383E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b/>
          <w:bCs/>
          <w:rtl/>
        </w:rPr>
        <w:t>הנאשם בדברו האחרון</w:t>
      </w:r>
      <w:r w:rsidRPr="00F2684B">
        <w:rPr>
          <w:rFonts w:ascii="Calibri" w:eastAsia="Calibri" w:hAnsi="Calibri" w:hint="cs"/>
          <w:rtl/>
        </w:rPr>
        <w:t>, ביקש לתמוך בדברי בא כוחו ולא להוסיף עליהם.</w:t>
      </w:r>
    </w:p>
    <w:p w14:paraId="5D48ED5E"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b/>
          <w:bCs/>
          <w:rtl/>
        </w:rPr>
        <w:t>אביו של הנאשם</w:t>
      </w:r>
      <w:r w:rsidRPr="00F2684B">
        <w:rPr>
          <w:rFonts w:ascii="Calibri" w:eastAsia="Calibri" w:hAnsi="Calibri" w:hint="cs"/>
          <w:rtl/>
        </w:rPr>
        <w:t>, ביקש אף הוא רחמים על מעשי בנו, וציין כי הוא עשה טעות שיש לשלם עליה, אך במתינות.</w:t>
      </w:r>
    </w:p>
    <w:p w14:paraId="51C719EC" w14:textId="77777777" w:rsidR="0066462A" w:rsidRPr="00F2684B" w:rsidRDefault="0066462A" w:rsidP="0066462A">
      <w:pPr>
        <w:spacing w:after="160" w:line="360" w:lineRule="auto"/>
        <w:jc w:val="both"/>
        <w:rPr>
          <w:rFonts w:ascii="Calibri" w:eastAsia="Calibri" w:hAnsi="Calibri"/>
          <w:b/>
          <w:bCs/>
          <w:rtl/>
        </w:rPr>
      </w:pPr>
    </w:p>
    <w:p w14:paraId="5E3A465A" w14:textId="77777777" w:rsidR="0066462A" w:rsidRDefault="0066462A" w:rsidP="0066462A">
      <w:pPr>
        <w:spacing w:after="160" w:line="360" w:lineRule="auto"/>
        <w:jc w:val="both"/>
        <w:rPr>
          <w:rFonts w:ascii="Calibri" w:eastAsia="Calibri" w:hAnsi="Calibri"/>
          <w:b/>
          <w:bCs/>
          <w:u w:val="single"/>
          <w:rtl/>
        </w:rPr>
      </w:pPr>
    </w:p>
    <w:p w14:paraId="7CA9DFCE" w14:textId="77777777" w:rsidR="0066462A" w:rsidRDefault="0066462A" w:rsidP="0066462A">
      <w:pPr>
        <w:spacing w:after="160" w:line="360" w:lineRule="auto"/>
        <w:jc w:val="both"/>
        <w:rPr>
          <w:rFonts w:ascii="Calibri" w:eastAsia="Calibri" w:hAnsi="Calibri"/>
          <w:b/>
          <w:bCs/>
          <w:u w:val="single"/>
          <w:rtl/>
        </w:rPr>
      </w:pPr>
    </w:p>
    <w:p w14:paraId="1BFBDE5F" w14:textId="77777777" w:rsidR="0066462A" w:rsidRDefault="0066462A" w:rsidP="0066462A">
      <w:pPr>
        <w:spacing w:after="160" w:line="360" w:lineRule="auto"/>
        <w:jc w:val="both"/>
        <w:rPr>
          <w:rFonts w:ascii="Calibri" w:eastAsia="Calibri" w:hAnsi="Calibri"/>
          <w:b/>
          <w:bCs/>
          <w:u w:val="single"/>
          <w:rtl/>
        </w:rPr>
      </w:pPr>
    </w:p>
    <w:p w14:paraId="288E91CB" w14:textId="77777777" w:rsidR="0066462A" w:rsidRDefault="0066462A" w:rsidP="0066462A">
      <w:pPr>
        <w:spacing w:after="160" w:line="360" w:lineRule="auto"/>
        <w:jc w:val="both"/>
        <w:rPr>
          <w:rFonts w:ascii="Calibri" w:eastAsia="Calibri" w:hAnsi="Calibri"/>
          <w:b/>
          <w:bCs/>
          <w:u w:val="single"/>
          <w:rtl/>
        </w:rPr>
      </w:pPr>
    </w:p>
    <w:p w14:paraId="007BE3D4"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דיון והכרעה</w:t>
      </w:r>
    </w:p>
    <w:p w14:paraId="2BDFEFA5"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ארבעה אישומים- אירוע אחד</w:t>
      </w:r>
    </w:p>
    <w:p w14:paraId="48F94630"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ארבע העבירות שהנאשם ביצע בוצעו תוך 4 ימים. הן בוצעו בנסיבות דומות ביותר, כאשר בכולן מעורב אותו סוכן משטרתי, ושני אישומים מתייחסים לאותו המועד. לפיכך, אני מוצא שבין האירועים קיים קשר הדוק ולכן לארבעת האישומים ייקבע מתחם עונשי אחד, אשר יהלום את החזרה על העבירות.</w:t>
      </w:r>
    </w:p>
    <w:p w14:paraId="1E067C17" w14:textId="77777777" w:rsidR="0066462A" w:rsidRPr="00F2684B" w:rsidRDefault="0066462A" w:rsidP="0066462A">
      <w:pPr>
        <w:spacing w:after="160" w:line="360" w:lineRule="auto"/>
        <w:jc w:val="both"/>
        <w:rPr>
          <w:rFonts w:ascii="Calibri" w:eastAsia="Calibri" w:hAnsi="Calibri"/>
          <w:rtl/>
        </w:rPr>
      </w:pPr>
    </w:p>
    <w:p w14:paraId="79D335A6"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מתחם העונש ההולם</w:t>
      </w:r>
    </w:p>
    <w:p w14:paraId="36BE237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בעבירות הסמים מוגן הערך החברתי של הגנה על הציבור מפני נגע הסמים. הסוחרים בסמים הם אלה המפיצים אותם וגורמים להתפשטות הנגע בחלקים נרחבים באוכלוסיה, כאשר לנגד עיניהם עומד הרווח הכספי בלבד. חומרת העבירות והיקפן באים לידי ביטוי בענישה המחמירה שנקבעה לצידן של עבירות הסחר ב</w:t>
      </w:r>
      <w:hyperlink r:id="rId19" w:history="1">
        <w:r w:rsidR="00FB09B4" w:rsidRPr="00FB09B4">
          <w:rPr>
            <w:rFonts w:ascii="Calibri" w:eastAsia="Calibri" w:hAnsi="Calibri" w:hint="cs"/>
            <w:color w:val="0000FF"/>
            <w:u w:val="single"/>
            <w:rtl/>
          </w:rPr>
          <w:t>פקודת</w:t>
        </w:r>
        <w:r w:rsidR="00FB09B4" w:rsidRPr="00FB09B4">
          <w:rPr>
            <w:rFonts w:ascii="Calibri" w:eastAsia="Calibri" w:hAnsi="Calibri"/>
            <w:color w:val="0000FF"/>
            <w:u w:val="single"/>
            <w:rtl/>
          </w:rPr>
          <w:t xml:space="preserve"> </w:t>
        </w:r>
        <w:r w:rsidR="00FB09B4" w:rsidRPr="00FB09B4">
          <w:rPr>
            <w:rFonts w:ascii="Calibri" w:eastAsia="Calibri" w:hAnsi="Calibri" w:hint="cs"/>
            <w:color w:val="0000FF"/>
            <w:u w:val="single"/>
            <w:rtl/>
          </w:rPr>
          <w:t>הסמים</w:t>
        </w:r>
        <w:r w:rsidR="00FB09B4" w:rsidRPr="00FB09B4">
          <w:rPr>
            <w:rFonts w:ascii="Calibri" w:eastAsia="Calibri" w:hAnsi="Calibri"/>
            <w:color w:val="0000FF"/>
            <w:u w:val="single"/>
            <w:rtl/>
          </w:rPr>
          <w:t xml:space="preserve"> </w:t>
        </w:r>
        <w:r w:rsidR="00FB09B4" w:rsidRPr="00FB09B4">
          <w:rPr>
            <w:rFonts w:ascii="Calibri" w:eastAsia="Calibri" w:hAnsi="Calibri" w:hint="cs"/>
            <w:color w:val="0000FF"/>
            <w:u w:val="single"/>
            <w:rtl/>
          </w:rPr>
          <w:t>המסוכנים</w:t>
        </w:r>
      </w:hyperlink>
      <w:r w:rsidRPr="00F2684B">
        <w:rPr>
          <w:rFonts w:ascii="Calibri" w:eastAsia="Calibri" w:hAnsi="Calibri" w:hint="cs"/>
          <w:rtl/>
        </w:rPr>
        <w:t>, ובפסיקת בית המשפט העליון אשר מורה כי בעבירות אלה יגברו שיקולי ההרתעה על שיקולי השיקום האישיים של העבריינים, כפי נקבע ב</w:t>
      </w:r>
      <w:hyperlink r:id="rId20" w:history="1">
        <w:r w:rsidR="00FB09B4" w:rsidRPr="00FB09B4">
          <w:rPr>
            <w:rFonts w:ascii="Calibri" w:eastAsia="Calibri" w:hAnsi="Calibri" w:hint="cs"/>
            <w:color w:val="0000FF"/>
            <w:u w:val="single"/>
            <w:rtl/>
          </w:rPr>
          <w:t>ע</w:t>
        </w:r>
        <w:r w:rsidR="00FB09B4" w:rsidRPr="00FB09B4">
          <w:rPr>
            <w:rFonts w:ascii="Calibri" w:eastAsia="Calibri" w:hAnsi="Calibri"/>
            <w:color w:val="0000FF"/>
            <w:u w:val="single"/>
            <w:rtl/>
          </w:rPr>
          <w:t>"</w:t>
        </w:r>
        <w:r w:rsidR="00FB09B4" w:rsidRPr="00FB09B4">
          <w:rPr>
            <w:rFonts w:ascii="Calibri" w:eastAsia="Calibri" w:hAnsi="Calibri" w:hint="cs"/>
            <w:color w:val="0000FF"/>
            <w:u w:val="single"/>
            <w:rtl/>
          </w:rPr>
          <w:t>פ</w:t>
        </w:r>
        <w:r w:rsidR="00FB09B4" w:rsidRPr="00FB09B4">
          <w:rPr>
            <w:rFonts w:ascii="Calibri" w:eastAsia="Calibri" w:hAnsi="Calibri"/>
            <w:color w:val="0000FF"/>
            <w:u w:val="single"/>
            <w:rtl/>
          </w:rPr>
          <w:t xml:space="preserve"> 2681/15</w:t>
        </w:r>
      </w:hyperlink>
      <w:r w:rsidRPr="00F2684B">
        <w:rPr>
          <w:rFonts w:ascii="Calibri" w:eastAsia="Calibri" w:hAnsi="Calibri" w:hint="cs"/>
          <w:rtl/>
        </w:rPr>
        <w:t xml:space="preserve"> </w:t>
      </w:r>
      <w:r w:rsidRPr="00F2684B">
        <w:rPr>
          <w:rFonts w:ascii="Calibri" w:eastAsia="Calibri" w:hAnsi="Calibri" w:hint="cs"/>
          <w:b/>
          <w:bCs/>
          <w:rtl/>
        </w:rPr>
        <w:t>בן שטרית נ' מדינת ישראל</w:t>
      </w:r>
      <w:r w:rsidRPr="00F2684B">
        <w:rPr>
          <w:rFonts w:ascii="Calibri" w:eastAsia="Calibri" w:hAnsi="Calibri" w:hint="cs"/>
          <w:rtl/>
        </w:rPr>
        <w:t xml:space="preserve">: </w:t>
      </w:r>
    </w:p>
    <w:p w14:paraId="3763069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b/>
          <w:bCs/>
          <w:rtl/>
        </w:rPr>
        <w:t>". . . יש לחזור ולהדגיש את חומרתן הרבה של עבירות הסמים, ובראשן עבירות הסחר והפצת הסם, ואת הצורך להיאבק בעבירות אלה באמצעות ענישה משמעותית ומרתיעה. עמד על כך בית משפט זה בעבר: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sidRPr="00F2684B">
        <w:rPr>
          <w:rFonts w:ascii="Calibri" w:eastAsia="Calibri" w:hAnsi="Calibri" w:hint="cs"/>
          <w:rtl/>
        </w:rPr>
        <w:t xml:space="preserve"> (</w:t>
      </w:r>
      <w:hyperlink r:id="rId21" w:history="1">
        <w:r w:rsidR="00FB09B4" w:rsidRPr="00FB09B4">
          <w:rPr>
            <w:rFonts w:ascii="Calibri" w:eastAsia="Calibri" w:hAnsi="Calibri" w:hint="cs"/>
            <w:color w:val="0000FF"/>
            <w:u w:val="single"/>
            <w:rtl/>
          </w:rPr>
          <w:t>ע</w:t>
        </w:r>
        <w:r w:rsidR="00FB09B4" w:rsidRPr="00FB09B4">
          <w:rPr>
            <w:rFonts w:ascii="Calibri" w:eastAsia="Calibri" w:hAnsi="Calibri"/>
            <w:color w:val="0000FF"/>
            <w:u w:val="single"/>
            <w:rtl/>
          </w:rPr>
          <w:t>"</w:t>
        </w:r>
        <w:r w:rsidR="00FB09B4" w:rsidRPr="00FB09B4">
          <w:rPr>
            <w:rFonts w:ascii="Calibri" w:eastAsia="Calibri" w:hAnsi="Calibri" w:hint="cs"/>
            <w:color w:val="0000FF"/>
            <w:u w:val="single"/>
            <w:rtl/>
          </w:rPr>
          <w:t>פ</w:t>
        </w:r>
        <w:r w:rsidR="00FB09B4" w:rsidRPr="00FB09B4">
          <w:rPr>
            <w:rFonts w:ascii="Calibri" w:eastAsia="Calibri" w:hAnsi="Calibri"/>
            <w:color w:val="0000FF"/>
            <w:u w:val="single"/>
            <w:rtl/>
          </w:rPr>
          <w:t xml:space="preserve"> 966/94</w:t>
        </w:r>
      </w:hyperlink>
      <w:r w:rsidRPr="00F2684B">
        <w:rPr>
          <w:rFonts w:ascii="Calibri" w:eastAsia="Calibri" w:hAnsi="Calibri" w:hint="cs"/>
          <w:rtl/>
        </w:rPr>
        <w:t xml:space="preserve"> </w:t>
      </w:r>
      <w:r w:rsidRPr="00F2684B">
        <w:rPr>
          <w:rFonts w:ascii="Calibri" w:eastAsia="Calibri" w:hAnsi="Calibri" w:hint="cs"/>
          <w:b/>
          <w:bCs/>
          <w:rtl/>
        </w:rPr>
        <w:t>אמזלג נ' מדינת ישראל</w:t>
      </w:r>
      <w:r w:rsidRPr="00F2684B">
        <w:rPr>
          <w:rFonts w:ascii="Calibri" w:eastAsia="Calibri" w:hAnsi="Calibri" w:hint="cs"/>
          <w:rtl/>
        </w:rPr>
        <w:t xml:space="preserve"> (12.12.1995))" (</w:t>
      </w:r>
      <w:hyperlink r:id="rId22" w:history="1">
        <w:r w:rsidR="00FB09B4" w:rsidRPr="00FB09B4">
          <w:rPr>
            <w:rFonts w:ascii="Calibri" w:eastAsia="Calibri" w:hAnsi="Calibri" w:hint="cs"/>
            <w:color w:val="0000FF"/>
            <w:u w:val="single"/>
            <w:rtl/>
          </w:rPr>
          <w:t>ע</w:t>
        </w:r>
        <w:r w:rsidR="00FB09B4" w:rsidRPr="00FB09B4">
          <w:rPr>
            <w:rFonts w:ascii="Calibri" w:eastAsia="Calibri" w:hAnsi="Calibri"/>
            <w:color w:val="0000FF"/>
            <w:u w:val="single"/>
            <w:rtl/>
          </w:rPr>
          <w:t>"</w:t>
        </w:r>
        <w:r w:rsidR="00FB09B4" w:rsidRPr="00FB09B4">
          <w:rPr>
            <w:rFonts w:ascii="Calibri" w:eastAsia="Calibri" w:hAnsi="Calibri" w:hint="cs"/>
            <w:color w:val="0000FF"/>
            <w:u w:val="single"/>
            <w:rtl/>
          </w:rPr>
          <w:t>פ</w:t>
        </w:r>
        <w:r w:rsidR="00FB09B4" w:rsidRPr="00FB09B4">
          <w:rPr>
            <w:rFonts w:ascii="Calibri" w:eastAsia="Calibri" w:hAnsi="Calibri"/>
            <w:color w:val="0000FF"/>
            <w:u w:val="single"/>
            <w:rtl/>
          </w:rPr>
          <w:t xml:space="preserve"> 9482/09</w:t>
        </w:r>
      </w:hyperlink>
      <w:r w:rsidRPr="00F2684B">
        <w:rPr>
          <w:rFonts w:ascii="Calibri" w:eastAsia="Calibri" w:hAnsi="Calibri" w:hint="cs"/>
          <w:rtl/>
        </w:rPr>
        <w:t xml:space="preserve"> </w:t>
      </w:r>
      <w:r w:rsidRPr="00F2684B">
        <w:rPr>
          <w:rFonts w:ascii="Calibri" w:eastAsia="Calibri" w:hAnsi="Calibri" w:hint="cs"/>
          <w:b/>
          <w:bCs/>
          <w:rtl/>
        </w:rPr>
        <w:t>ביטון נ' מדינת ישראל</w:t>
      </w:r>
      <w:r w:rsidRPr="00F2684B">
        <w:rPr>
          <w:rFonts w:ascii="Calibri" w:eastAsia="Calibri" w:hAnsi="Calibri" w:hint="cs"/>
          <w:rtl/>
        </w:rPr>
        <w:t xml:space="preserve"> (24.7.2011), בפסקה 24) (</w:t>
      </w:r>
      <w:hyperlink r:id="rId23" w:history="1">
        <w:r w:rsidR="00FB09B4" w:rsidRPr="00FB09B4">
          <w:rPr>
            <w:rFonts w:ascii="Calibri" w:eastAsia="Calibri" w:hAnsi="Calibri" w:hint="cs"/>
            <w:color w:val="0000FF"/>
            <w:u w:val="single"/>
            <w:rtl/>
          </w:rPr>
          <w:t>ע</w:t>
        </w:r>
        <w:r w:rsidR="00FB09B4" w:rsidRPr="00FB09B4">
          <w:rPr>
            <w:rFonts w:ascii="Calibri" w:eastAsia="Calibri" w:hAnsi="Calibri"/>
            <w:color w:val="0000FF"/>
            <w:u w:val="single"/>
            <w:rtl/>
          </w:rPr>
          <w:t>"</w:t>
        </w:r>
        <w:r w:rsidR="00FB09B4" w:rsidRPr="00FB09B4">
          <w:rPr>
            <w:rFonts w:ascii="Calibri" w:eastAsia="Calibri" w:hAnsi="Calibri" w:hint="cs"/>
            <w:color w:val="0000FF"/>
            <w:u w:val="single"/>
            <w:rtl/>
          </w:rPr>
          <w:t>פ</w:t>
        </w:r>
        <w:r w:rsidR="00FB09B4" w:rsidRPr="00FB09B4">
          <w:rPr>
            <w:rFonts w:ascii="Calibri" w:eastAsia="Calibri" w:hAnsi="Calibri"/>
            <w:color w:val="0000FF"/>
            <w:u w:val="single"/>
            <w:rtl/>
          </w:rPr>
          <w:t xml:space="preserve"> 2681/16</w:t>
        </w:r>
      </w:hyperlink>
      <w:r w:rsidRPr="00F2684B">
        <w:rPr>
          <w:rFonts w:ascii="Calibri" w:eastAsia="Calibri" w:hAnsi="Calibri" w:hint="cs"/>
          <w:rtl/>
        </w:rPr>
        <w:t xml:space="preserve"> </w:t>
      </w:r>
      <w:r w:rsidRPr="00F2684B">
        <w:rPr>
          <w:rFonts w:ascii="Calibri" w:eastAsia="Calibri" w:hAnsi="Calibri" w:hint="cs"/>
          <w:b/>
          <w:bCs/>
          <w:rtl/>
        </w:rPr>
        <w:t>בן שטרית נ' מדינת ישראל</w:t>
      </w:r>
      <w:r w:rsidRPr="00F2684B">
        <w:rPr>
          <w:rFonts w:ascii="Calibri" w:eastAsia="Calibri" w:hAnsi="Calibri" w:hint="cs"/>
          <w:rtl/>
        </w:rPr>
        <w:t>, פסקה 70 לפסק הדין מיום 14.2.16).</w:t>
      </w:r>
    </w:p>
    <w:p w14:paraId="6D0176F8"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בעבירה של נהיגה ללא רישיון נהיגה בה הורשע הנאשם, ביקש המחוקק להגן על הציבור מפני נהגים אשר לא הוכשרו לנהיגה ברכב ולכן מהווים סכנה לכלל הציבור, הן הולכי הרגל והן הנהגים האחרים. אדם הנוהג ברכב מבלי שהוכשר לכך מהווה סכנה ממשית לציבור וכל רגע שבו הוא נוהג באופן זה עשוי להביא לפגיעה ולקיפוח חיי אדם. מעבר לסכנה הגלומה בעבירה זו, יש בעבירה זו גם ביטוי של זילות ובוז לחוקי התעבורה וחוקי הרישוי של המדינה.</w:t>
      </w:r>
    </w:p>
    <w:p w14:paraId="6C3E024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נסיבות ביצוע העבירות שלפניי חמורות, בעיקר נוכח שילוב העבירות יחד: הנאשם סחר בסמים 3 פעמים, כשבכל פעם מדובר בכמות גדולה יותר של סמים. אמנם הסוכן הוא שיצר את הקשר עם הנאשם, אולם הנאשם היה פעיל בעסקאות, ניהל משא ומתן עם הסוכן והיה ערוך ומוכן לביצוע העסקאות. לצורך כך החזיק הנאשם בביתו כמות גדולה של סם, אשר בגין החזקתה הורשע בעבירה של החזקת סם שלא לצריכה עצמית. מהלך העסקאות והתקשורת בין הנאשם לסוכן מעלה כי הנאשם היה בקיא ורגיל בעולם הסחר בסמים, והוא פעל מתוך כוונה להתעשר מעיסוק זה, מבלי שהנזק שהסם גורם עומד לנגד עיניו.</w:t>
      </w:r>
    </w:p>
    <w:p w14:paraId="21EB27B4"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לצורך עיסוקו בסחר בסמים, נהג הנאשם ברכב, כאשר מעולם לא הוסמך לנהיגה ולא היה בידיו רישיון נהיגה. כאמור, כל נהיגה מסוג זה הינה מסוכנת, אך במקרה זה הסכנה שהנאשם גרם הייתה רבה במיוחד, כאשר במהלך מעצרו, ניסה להימלט בנסיעה פרועה ממעצרו, זאת בשעת ערב לא מאוחרת, כאשר רבים עושים שימוש בדרכים הציבוריות. </w:t>
      </w:r>
    </w:p>
    <w:p w14:paraId="555EF53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בהתחשב במכלול הנסיבות, הפגיעה בערך המוגן במקרה זה הינה ברמתה הבינונית-גבוהה.</w:t>
      </w:r>
    </w:p>
    <w:p w14:paraId="36F2FEA0" w14:textId="77777777" w:rsidR="0066462A" w:rsidRPr="00F2684B" w:rsidRDefault="0066462A" w:rsidP="0066462A">
      <w:pPr>
        <w:spacing w:after="160" w:line="360" w:lineRule="auto"/>
        <w:jc w:val="both"/>
        <w:rPr>
          <w:rFonts w:ascii="Calibri" w:eastAsia="Calibri" w:hAnsi="Calibri"/>
          <w:b/>
          <w:bCs/>
          <w:rtl/>
        </w:rPr>
      </w:pPr>
      <w:r w:rsidRPr="00F2684B">
        <w:rPr>
          <w:rFonts w:ascii="Calibri" w:eastAsia="Calibri" w:hAnsi="Calibri" w:hint="cs"/>
          <w:rtl/>
        </w:rPr>
        <w:t xml:space="preserve">לאחר שנתתי דעתי לערכים המוגנים, לנסיבות ביצוע העבירות ולענישה הנוהגת בפסיקה, אני קובע כי </w:t>
      </w:r>
      <w:r w:rsidRPr="00F2684B">
        <w:rPr>
          <w:rFonts w:ascii="Calibri" w:eastAsia="Calibri" w:hAnsi="Calibri" w:hint="cs"/>
          <w:b/>
          <w:bCs/>
          <w:rtl/>
        </w:rPr>
        <w:t>מתחם הענישה נע במקרה זה בין 14 ל- 26 חודשי מאסר לריצוי בפועל, נוסף לעונשים נלווים.</w:t>
      </w:r>
    </w:p>
    <w:p w14:paraId="231F1552" w14:textId="77777777" w:rsidR="0066462A" w:rsidRPr="00F2684B" w:rsidRDefault="0066462A" w:rsidP="0066462A">
      <w:pPr>
        <w:spacing w:after="160" w:line="360" w:lineRule="auto"/>
        <w:jc w:val="both"/>
        <w:rPr>
          <w:rFonts w:ascii="Calibri" w:eastAsia="Calibri" w:hAnsi="Calibri"/>
          <w:b/>
          <w:bCs/>
          <w:rtl/>
        </w:rPr>
      </w:pPr>
    </w:p>
    <w:p w14:paraId="7A81B26B" w14:textId="77777777" w:rsidR="0066462A" w:rsidRPr="00F2684B" w:rsidRDefault="0066462A" w:rsidP="0066462A">
      <w:pPr>
        <w:spacing w:after="160" w:line="360" w:lineRule="auto"/>
        <w:jc w:val="both"/>
        <w:rPr>
          <w:rFonts w:ascii="Calibri" w:eastAsia="Calibri" w:hAnsi="Calibri"/>
          <w:b/>
          <w:bCs/>
          <w:u w:val="single"/>
          <w:rtl/>
        </w:rPr>
      </w:pPr>
      <w:r w:rsidRPr="00F2684B">
        <w:rPr>
          <w:rFonts w:ascii="Calibri" w:eastAsia="Calibri" w:hAnsi="Calibri" w:hint="cs"/>
          <w:b/>
          <w:bCs/>
          <w:u w:val="single"/>
          <w:rtl/>
        </w:rPr>
        <w:t>העונש המתאים</w:t>
      </w:r>
    </w:p>
    <w:p w14:paraId="5CA6A596"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הנאשם הודה בעבירות המיוחסות לו ובכך הביע נטילת אחריות על מעשיו. </w:t>
      </w:r>
    </w:p>
    <w:p w14:paraId="002B48EF"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לצד ההודאה בפני בית המשפט, שירות המבחן התרשם כי הנאשם מתקשה לקחת אחריות מלאה על מעשיו, ונראה שכפועל יוצא מכך, נוסף לשימוש שהנאשם עושה בסמים והנורמות השוליות המאפיינות את חייו- האפשרות שהנאשם יגייס כוחות למען שיקומו לא נראית אפשרית בעת הזו.</w:t>
      </w:r>
    </w:p>
    <w:p w14:paraId="17999959"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לחובת הנאשם עומד לו לרועץ גם עברו הפלילי הכולל 5 הרשעות קודמות מתחומי הרכוש, הסמים והביטחון, והוא אף ריצה עונש של מאסר בפועל. כלומר, לפניי אדם שהעבריינות והפשע  אינם זרים לו ולא מדובר במקרה זה באירוע חריג לאורחות חייו. </w:t>
      </w:r>
    </w:p>
    <w:p w14:paraId="7A9C985D"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הנאשם עודנו משתמש בסמים, מתקשה לשמור על יציבות תעסוקתית, אימץ נורמות שוליות כדרך חיים, ומכאן שלא הפנים את הפסול שבמעשיו, וקיים סיכון שישוב ויבצע עבירות נוספות. </w:t>
      </w:r>
    </w:p>
    <w:p w14:paraId="648E165C"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 xml:space="preserve">נראה כי על אף עייפות מסוימת שהנאשם חש מאורח החיים העברייני, לא השכיל להפיק תובנות אשר ישנו את מצבו, ולמרבה הצער, שירות המבחן התרשם כי לא קיימת בשלב זה חלופה שיקומית לעונש מאסר מרתיע. </w:t>
      </w:r>
    </w:p>
    <w:p w14:paraId="39FCAD1A"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לצד שיקולים אלה, התחשבתי גם בכך שהנאשם עצור מאז ביצוע וגילוי העבירה, 10.4.18.</w:t>
      </w:r>
    </w:p>
    <w:p w14:paraId="2D898494"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לזכותו של הנאשם אזקוף את הודאתו ואת האחריות אשר נטל, אך לחובתו אזכור את עברו הפלילי וכן את תסקיר שירות המבחן המלמדים על העדר אפשרות טיפולית משמעותית.</w:t>
      </w:r>
    </w:p>
    <w:p w14:paraId="0FAFFC35" w14:textId="77777777" w:rsidR="0066462A" w:rsidRPr="00F2684B" w:rsidRDefault="0066462A" w:rsidP="0066462A">
      <w:pPr>
        <w:spacing w:after="160" w:line="360" w:lineRule="auto"/>
        <w:jc w:val="both"/>
        <w:rPr>
          <w:rFonts w:ascii="Calibri" w:eastAsia="Calibri" w:hAnsi="Calibri"/>
          <w:rtl/>
        </w:rPr>
      </w:pPr>
      <w:r w:rsidRPr="00F2684B">
        <w:rPr>
          <w:rFonts w:ascii="Calibri" w:eastAsia="Calibri" w:hAnsi="Calibri" w:hint="cs"/>
          <w:rtl/>
        </w:rPr>
        <w:t>מכל אלו עולה, כי מקומו של הנאשם הוא בחלקו המרכזי של מתחם הענישה ההולם אשר נקבע.לאחר ששקלתי את כל השיקולים הנדרשים, ביניהם שיקול הגמול וההלימה הנדרש בעבירות הסחר בסמים, אני גוזר על הנאשם את העונשים הבאים:</w:t>
      </w:r>
    </w:p>
    <w:p w14:paraId="6D6B39F2" w14:textId="77777777" w:rsidR="0066462A" w:rsidRPr="00F2684B" w:rsidRDefault="0066462A" w:rsidP="0066462A">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שמונה עשר</w:t>
      </w:r>
      <w:r w:rsidRPr="00F2684B">
        <w:rPr>
          <w:rFonts w:ascii="Calibri" w:eastAsia="Calibri" w:hAnsi="Calibri" w:hint="cs"/>
          <w:b/>
          <w:bCs/>
          <w:rtl/>
        </w:rPr>
        <w:t xml:space="preserve"> (</w:t>
      </w:r>
      <w:r>
        <w:rPr>
          <w:rFonts w:ascii="Calibri" w:eastAsia="Calibri" w:hAnsi="Calibri" w:hint="cs"/>
          <w:b/>
          <w:bCs/>
          <w:rtl/>
        </w:rPr>
        <w:t>18</w:t>
      </w:r>
      <w:r w:rsidRPr="00F2684B">
        <w:rPr>
          <w:rFonts w:ascii="Calibri" w:eastAsia="Calibri" w:hAnsi="Calibri" w:hint="cs"/>
          <w:b/>
          <w:bCs/>
          <w:rtl/>
        </w:rPr>
        <w:t>) חודשי מאסר לריצוי בפועל בניכוי ימי מעצרו.</w:t>
      </w:r>
    </w:p>
    <w:p w14:paraId="459AD7B3" w14:textId="77777777" w:rsidR="0066462A" w:rsidRPr="00F2684B" w:rsidRDefault="0066462A" w:rsidP="0066462A">
      <w:pPr>
        <w:numPr>
          <w:ilvl w:val="0"/>
          <w:numId w:val="1"/>
        </w:numPr>
        <w:spacing w:after="160" w:line="360" w:lineRule="auto"/>
        <w:contextualSpacing/>
        <w:jc w:val="both"/>
        <w:rPr>
          <w:rFonts w:ascii="Calibri" w:eastAsia="Calibri" w:hAnsi="Calibri"/>
          <w:b/>
          <w:bCs/>
        </w:rPr>
      </w:pPr>
      <w:r w:rsidRPr="00F2684B">
        <w:rPr>
          <w:rFonts w:ascii="Calibri" w:eastAsia="Calibri" w:hAnsi="Calibri" w:hint="cs"/>
          <w:b/>
          <w:bCs/>
          <w:rtl/>
        </w:rPr>
        <w:t xml:space="preserve">ארבעה (4) חודשי מאסר אשר אותם לא ירצה אלא אם יעבור תוך שלוש (3) שנים מיום שחרורו ממאסרו על כל עבירה לפי </w:t>
      </w:r>
      <w:hyperlink r:id="rId24" w:history="1">
        <w:r w:rsidR="00FB09B4" w:rsidRPr="00FB09B4">
          <w:rPr>
            <w:rFonts w:ascii="Calibri" w:eastAsia="Calibri" w:hAnsi="Calibri" w:hint="cs"/>
            <w:b/>
            <w:bCs/>
            <w:color w:val="0000FF"/>
            <w:u w:val="single"/>
            <w:rtl/>
          </w:rPr>
          <w:t>פקודת</w:t>
        </w:r>
        <w:r w:rsidR="00FB09B4" w:rsidRPr="00FB09B4">
          <w:rPr>
            <w:rFonts w:ascii="Calibri" w:eastAsia="Calibri" w:hAnsi="Calibri"/>
            <w:b/>
            <w:bCs/>
            <w:color w:val="0000FF"/>
            <w:u w:val="single"/>
            <w:rtl/>
          </w:rPr>
          <w:t xml:space="preserve"> </w:t>
        </w:r>
        <w:r w:rsidR="00FB09B4" w:rsidRPr="00FB09B4">
          <w:rPr>
            <w:rFonts w:ascii="Calibri" w:eastAsia="Calibri" w:hAnsi="Calibri" w:hint="cs"/>
            <w:b/>
            <w:bCs/>
            <w:color w:val="0000FF"/>
            <w:u w:val="single"/>
            <w:rtl/>
          </w:rPr>
          <w:t>הסמים</w:t>
        </w:r>
        <w:r w:rsidR="00FB09B4" w:rsidRPr="00FB09B4">
          <w:rPr>
            <w:rFonts w:ascii="Calibri" w:eastAsia="Calibri" w:hAnsi="Calibri"/>
            <w:b/>
            <w:bCs/>
            <w:color w:val="0000FF"/>
            <w:u w:val="single"/>
            <w:rtl/>
          </w:rPr>
          <w:t xml:space="preserve"> </w:t>
        </w:r>
        <w:r w:rsidR="00FB09B4" w:rsidRPr="00FB09B4">
          <w:rPr>
            <w:rFonts w:ascii="Calibri" w:eastAsia="Calibri" w:hAnsi="Calibri" w:hint="cs"/>
            <w:b/>
            <w:bCs/>
            <w:color w:val="0000FF"/>
            <w:u w:val="single"/>
            <w:rtl/>
          </w:rPr>
          <w:t>המסוכנים</w:t>
        </w:r>
      </w:hyperlink>
      <w:r w:rsidRPr="00F2684B">
        <w:rPr>
          <w:rFonts w:ascii="Calibri" w:eastAsia="Calibri" w:hAnsi="Calibri" w:hint="cs"/>
          <w:b/>
          <w:bCs/>
          <w:rtl/>
        </w:rPr>
        <w:t>.</w:t>
      </w:r>
    </w:p>
    <w:p w14:paraId="6051BF53" w14:textId="77777777" w:rsidR="0066462A" w:rsidRPr="00F2684B" w:rsidRDefault="0066462A" w:rsidP="0066462A">
      <w:pPr>
        <w:numPr>
          <w:ilvl w:val="0"/>
          <w:numId w:val="1"/>
        </w:numPr>
        <w:spacing w:after="160" w:line="360" w:lineRule="auto"/>
        <w:contextualSpacing/>
        <w:jc w:val="both"/>
        <w:rPr>
          <w:rFonts w:ascii="Calibri" w:eastAsia="Calibri" w:hAnsi="Calibri"/>
          <w:b/>
          <w:bCs/>
        </w:rPr>
      </w:pPr>
      <w:r w:rsidRPr="00F2684B">
        <w:rPr>
          <w:rFonts w:ascii="Calibri" w:eastAsia="Calibri" w:hAnsi="Calibri" w:hint="cs"/>
          <w:b/>
          <w:bCs/>
          <w:rtl/>
        </w:rPr>
        <w:t>קנס בסך 5,000 ₪ או שלושים (30) ימי מאסר תמורתו. הקנס ישולם עד יום 1.2.20.</w:t>
      </w:r>
    </w:p>
    <w:p w14:paraId="3B25B010" w14:textId="77777777" w:rsidR="0066462A" w:rsidRPr="00F2684B" w:rsidRDefault="0066462A" w:rsidP="0066462A">
      <w:pPr>
        <w:numPr>
          <w:ilvl w:val="0"/>
          <w:numId w:val="1"/>
        </w:numPr>
        <w:spacing w:after="160" w:line="360" w:lineRule="auto"/>
        <w:contextualSpacing/>
        <w:jc w:val="both"/>
        <w:rPr>
          <w:rFonts w:ascii="Calibri" w:eastAsia="Calibri" w:hAnsi="Calibri"/>
          <w:b/>
          <w:bCs/>
        </w:rPr>
      </w:pPr>
      <w:r w:rsidRPr="00F2684B">
        <w:rPr>
          <w:rFonts w:ascii="Calibri" w:eastAsia="Calibri" w:hAnsi="Calibri" w:hint="cs"/>
          <w:b/>
          <w:bCs/>
          <w:rtl/>
        </w:rPr>
        <w:t>שישה (6) חודשי פסילה מלקבל רישיון נהיגה או מלהחזיק בו. הפסילה תימנה מיום שחרורו ממאסרו, אז יופקד רישיונו, ככל שהוא מחזיק בכזה.</w:t>
      </w:r>
    </w:p>
    <w:p w14:paraId="2FE038A5" w14:textId="77777777" w:rsidR="0066462A" w:rsidRPr="00F2684B" w:rsidRDefault="0066462A" w:rsidP="0066462A">
      <w:pPr>
        <w:numPr>
          <w:ilvl w:val="0"/>
          <w:numId w:val="1"/>
        </w:numPr>
        <w:spacing w:after="160" w:line="360" w:lineRule="auto"/>
        <w:contextualSpacing/>
        <w:jc w:val="both"/>
        <w:rPr>
          <w:rFonts w:ascii="Calibri" w:eastAsia="Calibri" w:hAnsi="Calibri"/>
          <w:b/>
          <w:bCs/>
        </w:rPr>
      </w:pPr>
      <w:r w:rsidRPr="00F2684B">
        <w:rPr>
          <w:rFonts w:ascii="Calibri" w:eastAsia="Calibri" w:hAnsi="Calibri" w:hint="cs"/>
          <w:b/>
          <w:bCs/>
          <w:rtl/>
        </w:rPr>
        <w:t xml:space="preserve">שישה (6) חודשי פסילה מלהחזיק ברישיון נהיגה או מלהוציאו אשר לא ירוצו, אלא אם יעבור הנאשם על כל עבירה לפי </w:t>
      </w:r>
      <w:hyperlink r:id="rId25" w:history="1">
        <w:r w:rsidR="00FB09B4" w:rsidRPr="00FB09B4">
          <w:rPr>
            <w:rFonts w:ascii="Calibri" w:eastAsia="Calibri" w:hAnsi="Calibri" w:hint="cs"/>
            <w:b/>
            <w:bCs/>
            <w:color w:val="0000FF"/>
            <w:u w:val="single"/>
            <w:rtl/>
          </w:rPr>
          <w:t>פקודת</w:t>
        </w:r>
        <w:r w:rsidR="00FB09B4" w:rsidRPr="00FB09B4">
          <w:rPr>
            <w:rFonts w:ascii="Calibri" w:eastAsia="Calibri" w:hAnsi="Calibri"/>
            <w:b/>
            <w:bCs/>
            <w:color w:val="0000FF"/>
            <w:u w:val="single"/>
            <w:rtl/>
          </w:rPr>
          <w:t xml:space="preserve"> </w:t>
        </w:r>
        <w:r w:rsidR="00FB09B4" w:rsidRPr="00FB09B4">
          <w:rPr>
            <w:rFonts w:ascii="Calibri" w:eastAsia="Calibri" w:hAnsi="Calibri" w:hint="cs"/>
            <w:b/>
            <w:bCs/>
            <w:color w:val="0000FF"/>
            <w:u w:val="single"/>
            <w:rtl/>
          </w:rPr>
          <w:t>הסמים</w:t>
        </w:r>
        <w:r w:rsidR="00FB09B4" w:rsidRPr="00FB09B4">
          <w:rPr>
            <w:rFonts w:ascii="Calibri" w:eastAsia="Calibri" w:hAnsi="Calibri"/>
            <w:b/>
            <w:bCs/>
            <w:color w:val="0000FF"/>
            <w:u w:val="single"/>
            <w:rtl/>
          </w:rPr>
          <w:t xml:space="preserve"> </w:t>
        </w:r>
        <w:r w:rsidR="00FB09B4" w:rsidRPr="00FB09B4">
          <w:rPr>
            <w:rFonts w:ascii="Calibri" w:eastAsia="Calibri" w:hAnsi="Calibri" w:hint="cs"/>
            <w:b/>
            <w:bCs/>
            <w:color w:val="0000FF"/>
            <w:u w:val="single"/>
            <w:rtl/>
          </w:rPr>
          <w:t>המסוכנים</w:t>
        </w:r>
      </w:hyperlink>
      <w:r w:rsidRPr="00F2684B">
        <w:rPr>
          <w:rFonts w:ascii="Calibri" w:eastAsia="Calibri" w:hAnsi="Calibri" w:hint="cs"/>
          <w:b/>
          <w:bCs/>
          <w:rtl/>
        </w:rPr>
        <w:t>, וזאת תוך שנתיים מיום שחרורו ממאסרו.</w:t>
      </w:r>
    </w:p>
    <w:p w14:paraId="47E9DBD2" w14:textId="77777777" w:rsidR="0066462A" w:rsidRDefault="0066462A" w:rsidP="0066462A">
      <w:pPr>
        <w:numPr>
          <w:ilvl w:val="0"/>
          <w:numId w:val="1"/>
        </w:numPr>
        <w:spacing w:after="160" w:line="360" w:lineRule="auto"/>
        <w:contextualSpacing/>
        <w:jc w:val="both"/>
        <w:rPr>
          <w:rFonts w:ascii="Calibri" w:eastAsia="Calibri" w:hAnsi="Calibri"/>
          <w:b/>
          <w:bCs/>
        </w:rPr>
      </w:pPr>
      <w:r w:rsidRPr="00F2684B">
        <w:rPr>
          <w:rFonts w:ascii="Calibri" w:eastAsia="Calibri" w:hAnsi="Calibri" w:hint="cs"/>
          <w:b/>
          <w:bCs/>
          <w:rtl/>
        </w:rPr>
        <w:t>המוצגים הקיימים בתיק יחולטו או יושמדו, וזאת על פי שיקול דעתו של רשם המוצגים.</w:t>
      </w:r>
    </w:p>
    <w:p w14:paraId="71A2E4DF" w14:textId="77777777" w:rsidR="0066462A" w:rsidRPr="00A60340" w:rsidRDefault="0066462A" w:rsidP="0066462A">
      <w:pPr>
        <w:spacing w:after="160" w:line="360" w:lineRule="auto"/>
        <w:ind w:left="720"/>
        <w:contextualSpacing/>
        <w:jc w:val="both"/>
        <w:rPr>
          <w:rFonts w:ascii="Calibri" w:eastAsia="Calibri" w:hAnsi="Calibri"/>
          <w:b/>
          <w:bCs/>
        </w:rPr>
      </w:pPr>
    </w:p>
    <w:p w14:paraId="11333A32" w14:textId="77777777" w:rsidR="0066462A" w:rsidRPr="00A60340" w:rsidRDefault="00FB09B4" w:rsidP="0066462A">
      <w:pPr>
        <w:spacing w:after="160" w:line="360" w:lineRule="auto"/>
        <w:jc w:val="both"/>
        <w:rPr>
          <w:rFonts w:ascii="Calibri" w:eastAsia="Calibri" w:hAnsi="Calibri"/>
          <w:rtl/>
        </w:rPr>
      </w:pPr>
      <w:r w:rsidRPr="00FB09B4">
        <w:rPr>
          <w:rFonts w:ascii="Calibri" w:eastAsia="Calibri" w:hAnsi="Calibri"/>
          <w:color w:val="FFFFFF"/>
          <w:sz w:val="2"/>
          <w:szCs w:val="2"/>
          <w:rtl/>
        </w:rPr>
        <w:t>5129371</w:t>
      </w:r>
      <w:r w:rsidR="0066462A" w:rsidRPr="00F2684B">
        <w:rPr>
          <w:rFonts w:ascii="Calibri" w:eastAsia="Calibri" w:hAnsi="Calibri" w:hint="cs"/>
          <w:rtl/>
        </w:rPr>
        <w:t xml:space="preserve">זכות ערעור לבית המשפט המחוזי תוך 45 יום. </w:t>
      </w:r>
    </w:p>
    <w:p w14:paraId="754C5B50" w14:textId="77777777" w:rsidR="0066462A" w:rsidRDefault="00FB09B4" w:rsidP="0066462A">
      <w:pPr>
        <w:rPr>
          <w:rFonts w:cs="FrankRuehl"/>
          <w:sz w:val="28"/>
          <w:szCs w:val="28"/>
          <w:rtl/>
        </w:rPr>
      </w:pPr>
      <w:r w:rsidRPr="00FB09B4">
        <w:rPr>
          <w:rFonts w:ascii="Arial" w:hAnsi="Arial"/>
          <w:color w:val="FFFFFF"/>
          <w:sz w:val="2"/>
          <w:szCs w:val="2"/>
          <w:rtl/>
        </w:rPr>
        <w:t>54678313</w:t>
      </w:r>
      <w:r>
        <w:rPr>
          <w:rFonts w:ascii="Arial" w:hAnsi="Arial"/>
          <w:rtl/>
        </w:rPr>
        <w:t xml:space="preserve">ניתן היום,  א' חשוון תשע"ט, 10 אוקטובר 2018, בנוכחות הצדדים ובאי כוחם. </w:t>
      </w:r>
    </w:p>
    <w:p w14:paraId="0D581363" w14:textId="77777777" w:rsidR="0066462A" w:rsidRDefault="0066462A" w:rsidP="0066462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6EC723E" w14:textId="77777777" w:rsidR="0066462A" w:rsidRDefault="0066462A" w:rsidP="0066462A">
      <w:pPr>
        <w:jc w:val="center"/>
        <w:rPr>
          <w:rFonts w:ascii="Arial" w:hAnsi="Arial" w:cs="FrankRuehl"/>
          <w:sz w:val="28"/>
          <w:szCs w:val="28"/>
          <w:rtl/>
        </w:rPr>
      </w:pPr>
    </w:p>
    <w:p w14:paraId="37E76D9F" w14:textId="77777777" w:rsidR="0066462A" w:rsidRDefault="0066462A" w:rsidP="0066462A">
      <w:pPr>
        <w:rPr>
          <w:rFonts w:cs="FrankRuehl"/>
          <w:sz w:val="28"/>
          <w:szCs w:val="28"/>
          <w:rtl/>
        </w:rPr>
      </w:pPr>
    </w:p>
    <w:p w14:paraId="44652FF9" w14:textId="77777777" w:rsidR="0066462A" w:rsidRDefault="0066462A" w:rsidP="0066462A">
      <w:pPr>
        <w:pStyle w:val="a3"/>
        <w:jc w:val="center"/>
        <w:rPr>
          <w:rtl/>
        </w:rPr>
      </w:pPr>
    </w:p>
    <w:p w14:paraId="78EE3AAC" w14:textId="77777777" w:rsidR="0045743B" w:rsidRPr="00FB09B4" w:rsidRDefault="0045743B" w:rsidP="00FB09B4">
      <w:pPr>
        <w:keepNext/>
        <w:rPr>
          <w:rFonts w:ascii="David" w:hAnsi="David"/>
          <w:color w:val="000000"/>
          <w:sz w:val="22"/>
          <w:szCs w:val="22"/>
          <w:rtl/>
        </w:rPr>
      </w:pPr>
    </w:p>
    <w:p w14:paraId="664DC2CE" w14:textId="77777777" w:rsidR="00FB09B4" w:rsidRPr="00FB09B4" w:rsidRDefault="00FB09B4" w:rsidP="00FB09B4">
      <w:pPr>
        <w:keepNext/>
        <w:rPr>
          <w:rFonts w:ascii="David" w:hAnsi="David"/>
          <w:color w:val="000000"/>
          <w:sz w:val="22"/>
          <w:szCs w:val="22"/>
          <w:rtl/>
        </w:rPr>
      </w:pPr>
      <w:r w:rsidRPr="00FB09B4">
        <w:rPr>
          <w:rFonts w:ascii="David" w:hAnsi="David"/>
          <w:color w:val="000000"/>
          <w:sz w:val="22"/>
          <w:szCs w:val="22"/>
          <w:rtl/>
        </w:rPr>
        <w:t>שמואל הרבסט 54678313</w:t>
      </w:r>
    </w:p>
    <w:p w14:paraId="50374F72" w14:textId="77777777" w:rsidR="00FB09B4" w:rsidRDefault="00FB09B4" w:rsidP="00FB09B4">
      <w:r w:rsidRPr="00FB09B4">
        <w:rPr>
          <w:color w:val="000000"/>
          <w:rtl/>
        </w:rPr>
        <w:t>נוסח מסמך זה כפוף לשינויי ניסוח ועריכה</w:t>
      </w:r>
    </w:p>
    <w:p w14:paraId="74EFB6DB" w14:textId="77777777" w:rsidR="00FB09B4" w:rsidRDefault="00FB09B4" w:rsidP="00FB09B4">
      <w:pPr>
        <w:rPr>
          <w:rtl/>
        </w:rPr>
      </w:pPr>
    </w:p>
    <w:p w14:paraId="2B46E5B9" w14:textId="77777777" w:rsidR="00FB09B4" w:rsidRDefault="00FB09B4" w:rsidP="00FB09B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9E7AEEA" w14:textId="77777777" w:rsidR="00FB09B4" w:rsidRPr="00FB09B4" w:rsidRDefault="00FB09B4" w:rsidP="00FB09B4">
      <w:pPr>
        <w:jc w:val="center"/>
        <w:rPr>
          <w:color w:val="0000FF"/>
          <w:u w:val="single"/>
        </w:rPr>
      </w:pPr>
    </w:p>
    <w:sectPr w:rsidR="00FB09B4" w:rsidRPr="00FB09B4" w:rsidSect="00FB09B4">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F41DD" w14:textId="77777777" w:rsidR="00793C85" w:rsidRDefault="00793C85" w:rsidP="00646EBA">
      <w:r>
        <w:separator/>
      </w:r>
    </w:p>
  </w:endnote>
  <w:endnote w:type="continuationSeparator" w:id="0">
    <w:p w14:paraId="4C0E0CFC" w14:textId="77777777" w:rsidR="00793C85" w:rsidRDefault="00793C85" w:rsidP="0064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EB613" w14:textId="77777777" w:rsidR="00FB09B4" w:rsidRDefault="00FB09B4" w:rsidP="00FB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EBBCCF" w14:textId="77777777" w:rsidR="005D75B0" w:rsidRPr="00FB09B4" w:rsidRDefault="00FB09B4" w:rsidP="00FB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B124" w14:textId="77777777" w:rsidR="00FB09B4" w:rsidRDefault="00FB09B4" w:rsidP="00FB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20B5">
      <w:rPr>
        <w:rFonts w:ascii="FrankRuehl" w:hAnsi="FrankRuehl" w:cs="FrankRuehl"/>
        <w:noProof/>
        <w:rtl/>
      </w:rPr>
      <w:t>1</w:t>
    </w:r>
    <w:r>
      <w:rPr>
        <w:rFonts w:ascii="FrankRuehl" w:hAnsi="FrankRuehl" w:cs="FrankRuehl"/>
        <w:rtl/>
      </w:rPr>
      <w:fldChar w:fldCharType="end"/>
    </w:r>
  </w:p>
  <w:p w14:paraId="0F2B6961" w14:textId="77777777" w:rsidR="005D75B0" w:rsidRPr="00FB09B4" w:rsidRDefault="00FB09B4" w:rsidP="00FB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9B2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DB122" w14:textId="77777777" w:rsidR="00793C85" w:rsidRDefault="00793C85" w:rsidP="00646EBA">
      <w:r>
        <w:separator/>
      </w:r>
    </w:p>
  </w:footnote>
  <w:footnote w:type="continuationSeparator" w:id="0">
    <w:p w14:paraId="20BEF271" w14:textId="77777777" w:rsidR="00793C85" w:rsidRDefault="00793C85" w:rsidP="00646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A2308" w14:textId="77777777" w:rsidR="00FB09B4" w:rsidRPr="00FB09B4" w:rsidRDefault="00FB09B4" w:rsidP="00FB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38160-04-18</w:t>
    </w:r>
    <w:r>
      <w:rPr>
        <w:rFonts w:ascii="David" w:hAnsi="David"/>
        <w:color w:val="000000"/>
        <w:sz w:val="22"/>
        <w:szCs w:val="22"/>
        <w:rtl/>
      </w:rPr>
      <w:tab/>
      <w:t xml:space="preserve"> מדינת ישראל נ' מוחמד סוב לבן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C26D7" w14:textId="77777777" w:rsidR="00FB09B4" w:rsidRPr="00FB09B4" w:rsidRDefault="00FB09B4" w:rsidP="00FB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38160-04-18</w:t>
    </w:r>
    <w:r>
      <w:rPr>
        <w:rFonts w:ascii="David" w:hAnsi="David"/>
        <w:color w:val="000000"/>
        <w:sz w:val="22"/>
        <w:szCs w:val="22"/>
        <w:rtl/>
      </w:rPr>
      <w:tab/>
      <w:t xml:space="preserve"> מדינת ישראל נ' מוחמד סוב לבן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D607B"/>
    <w:multiLevelType w:val="hybridMultilevel"/>
    <w:tmpl w:val="200CD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6286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462A"/>
    <w:rsid w:val="003E0B7D"/>
    <w:rsid w:val="0044208B"/>
    <w:rsid w:val="0045743B"/>
    <w:rsid w:val="005B7A37"/>
    <w:rsid w:val="005D75B0"/>
    <w:rsid w:val="00646EBA"/>
    <w:rsid w:val="0066462A"/>
    <w:rsid w:val="006F56F6"/>
    <w:rsid w:val="00793C85"/>
    <w:rsid w:val="00B520B5"/>
    <w:rsid w:val="00FB0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80095B2"/>
  <w15:chartTrackingRefBased/>
  <w15:docId w15:val="{97610CA0-92F1-4375-9142-C1194689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46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462A"/>
    <w:pPr>
      <w:tabs>
        <w:tab w:val="center" w:pos="4153"/>
        <w:tab w:val="right" w:pos="8306"/>
      </w:tabs>
    </w:pPr>
  </w:style>
  <w:style w:type="character" w:customStyle="1" w:styleId="a4">
    <w:name w:val="כותרת עליונה תו"/>
    <w:link w:val="a3"/>
    <w:rsid w:val="0066462A"/>
    <w:rPr>
      <w:rFonts w:ascii="Times New Roman" w:eastAsia="Times New Roman" w:hAnsi="Times New Roman" w:cs="David"/>
      <w:sz w:val="24"/>
      <w:szCs w:val="24"/>
    </w:rPr>
  </w:style>
  <w:style w:type="paragraph" w:styleId="a5">
    <w:name w:val="footer"/>
    <w:basedOn w:val="a"/>
    <w:link w:val="a6"/>
    <w:rsid w:val="0066462A"/>
    <w:pPr>
      <w:tabs>
        <w:tab w:val="center" w:pos="4153"/>
        <w:tab w:val="right" w:pos="8306"/>
      </w:tabs>
    </w:pPr>
  </w:style>
  <w:style w:type="character" w:customStyle="1" w:styleId="a6">
    <w:name w:val="כותרת תחתונה תו"/>
    <w:link w:val="a5"/>
    <w:rsid w:val="0066462A"/>
    <w:rPr>
      <w:rFonts w:ascii="Times New Roman" w:eastAsia="Times New Roman" w:hAnsi="Times New Roman" w:cs="David"/>
      <w:sz w:val="24"/>
      <w:szCs w:val="24"/>
    </w:rPr>
  </w:style>
  <w:style w:type="table" w:styleId="a7">
    <w:name w:val="Table Grid"/>
    <w:basedOn w:val="a1"/>
    <w:rsid w:val="006646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462A"/>
  </w:style>
  <w:style w:type="paragraph" w:styleId="a9">
    <w:name w:val="Balloon Text"/>
    <w:basedOn w:val="a"/>
    <w:link w:val="aa"/>
    <w:rsid w:val="0066462A"/>
    <w:rPr>
      <w:rFonts w:ascii="Tahoma" w:hAnsi="Tahoma" w:cs="Tahoma"/>
      <w:sz w:val="16"/>
      <w:szCs w:val="16"/>
    </w:rPr>
  </w:style>
  <w:style w:type="character" w:customStyle="1" w:styleId="aa">
    <w:name w:val="טקסט בלונים תו"/>
    <w:link w:val="a9"/>
    <w:rsid w:val="0066462A"/>
    <w:rPr>
      <w:rFonts w:ascii="Tahoma" w:eastAsia="Times New Roman" w:hAnsi="Tahoma" w:cs="Tahoma"/>
      <w:sz w:val="16"/>
      <w:szCs w:val="16"/>
    </w:rPr>
  </w:style>
  <w:style w:type="character" w:styleId="Hyperlink">
    <w:name w:val="Hyperlink"/>
    <w:rsid w:val="00FB0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5227/10a" TargetMode="External"/><Relationship Id="rId18" Type="http://schemas.openxmlformats.org/officeDocument/2006/relationships/hyperlink" Target="http://www.nevo.co.il/law/522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17932979"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20587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1472313" TargetMode="External"/><Relationship Id="rId28" Type="http://schemas.openxmlformats.org/officeDocument/2006/relationships/header" Target="header2.xml"/><Relationship Id="rId10" Type="http://schemas.openxmlformats.org/officeDocument/2006/relationships/hyperlink" Target="http://www.nevo.co.il/law/4216/13a"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a;19" TargetMode="External"/><Relationship Id="rId22" Type="http://schemas.openxmlformats.org/officeDocument/2006/relationships/hyperlink" Target="http://www.nevo.co.il/case/5726579"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1870</Words>
  <Characters>9350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11198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3473521</vt:i4>
      </vt:variant>
      <vt:variant>
        <vt:i4>48</vt:i4>
      </vt:variant>
      <vt:variant>
        <vt:i4>0</vt:i4>
      </vt:variant>
      <vt:variant>
        <vt:i4>5</vt:i4>
      </vt:variant>
      <vt:variant>
        <vt:lpwstr>http://www.nevo.co.il/case/21472313</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3997817</vt:i4>
      </vt:variant>
      <vt:variant>
        <vt:i4>42</vt:i4>
      </vt:variant>
      <vt:variant>
        <vt:i4>0</vt:i4>
      </vt:variant>
      <vt:variant>
        <vt:i4>5</vt:i4>
      </vt:variant>
      <vt:variant>
        <vt:lpwstr>http://www.nevo.co.il/case/17932979</vt:lpwstr>
      </vt:variant>
      <vt:variant>
        <vt:lpwstr/>
      </vt:variant>
      <vt:variant>
        <vt:i4>3276924</vt:i4>
      </vt:variant>
      <vt:variant>
        <vt:i4>39</vt:i4>
      </vt:variant>
      <vt:variant>
        <vt:i4>0</vt:i4>
      </vt:variant>
      <vt:variant>
        <vt:i4>5</vt:i4>
      </vt:variant>
      <vt:variant>
        <vt:lpwstr>http://www.nevo.co.il/case/20205876</vt:lpwstr>
      </vt:variant>
      <vt:variant>
        <vt:lpwstr/>
      </vt:variant>
      <vt:variant>
        <vt:i4>8257637</vt:i4>
      </vt:variant>
      <vt:variant>
        <vt:i4>36</vt:i4>
      </vt:variant>
      <vt:variant>
        <vt:i4>0</vt:i4>
      </vt:variant>
      <vt:variant>
        <vt:i4>5</vt:i4>
      </vt:variant>
      <vt:variant>
        <vt:lpwstr>http://www.nevo.co.il/law/4216</vt:lpwstr>
      </vt:variant>
      <vt:variant>
        <vt:lpwstr/>
      </vt:variant>
      <vt:variant>
        <vt:i4>8323175</vt:i4>
      </vt:variant>
      <vt:variant>
        <vt:i4>33</vt:i4>
      </vt:variant>
      <vt:variant>
        <vt:i4>0</vt:i4>
      </vt:variant>
      <vt:variant>
        <vt:i4>5</vt:i4>
      </vt:variant>
      <vt:variant>
        <vt:lpwstr>http://www.nevo.co.il/law/5227</vt:lpwstr>
      </vt:variant>
      <vt:variant>
        <vt:lpwstr/>
      </vt:variant>
      <vt:variant>
        <vt:i4>3080312</vt:i4>
      </vt:variant>
      <vt:variant>
        <vt:i4>30</vt:i4>
      </vt:variant>
      <vt:variant>
        <vt:i4>0</vt:i4>
      </vt:variant>
      <vt:variant>
        <vt:i4>5</vt:i4>
      </vt:variant>
      <vt:variant>
        <vt:lpwstr>http://www.nevo.co.il/law/5227/10a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2031682</vt:i4>
      </vt:variant>
      <vt:variant>
        <vt:i4>21</vt:i4>
      </vt:variant>
      <vt:variant>
        <vt:i4>0</vt:i4>
      </vt:variant>
      <vt:variant>
        <vt:i4>5</vt:i4>
      </vt:variant>
      <vt:variant>
        <vt:lpwstr>http://www.nevo.co.il/law/4216/13a;19</vt:lpwstr>
      </vt:variant>
      <vt:variant>
        <vt:lpwstr/>
      </vt:variant>
      <vt:variant>
        <vt:i4>3080312</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38160</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סוב לבן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20181010</vt:lpwstr>
  </property>
  <property fmtid="{D5CDD505-2E9C-101B-9397-08002B2CF9AE}" pid="13" name="TYPE_N_DATE">
    <vt:lpwstr>38020181010</vt:lpwstr>
  </property>
  <property fmtid="{D5CDD505-2E9C-101B-9397-08002B2CF9AE}" pid="14" name="CASESLISTTMP1">
    <vt:lpwstr>20205876;17932979;5726579;21472313</vt:lpwstr>
  </property>
  <property fmtid="{D5CDD505-2E9C-101B-9397-08002B2CF9AE}" pid="15" name="CASENOTES1">
    <vt:lpwstr>ProcID=235&amp;PartA=12&amp;PartC=24</vt:lpwstr>
  </property>
  <property fmtid="{D5CDD505-2E9C-101B-9397-08002B2CF9AE}" pid="16" name="WORDNUMPAGES">
    <vt:lpwstr>6</vt:lpwstr>
  </property>
  <property fmtid="{D5CDD505-2E9C-101B-9397-08002B2CF9AE}" pid="17" name="TYPE_ABS_DATE">
    <vt:lpwstr>380020181010</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4216/013a;019;007.a;007.c</vt:lpwstr>
  </property>
  <property fmtid="{D5CDD505-2E9C-101B-9397-08002B2CF9AE}" pid="38" name="LAWLISTTMP2">
    <vt:lpwstr>5227/010a</vt:lpwstr>
  </property>
</Properties>
</file>