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0465D4" w:rsidRPr="004E064D" w14:paraId="14425C42" w14:textId="77777777" w:rsidTr="00D71327">
        <w:trPr>
          <w:trHeight w:hRule="exact" w:val="418"/>
          <w:jc w:val="center"/>
        </w:trPr>
        <w:tc>
          <w:tcPr>
            <w:tcW w:w="8523" w:type="dxa"/>
            <w:gridSpan w:val="2"/>
          </w:tcPr>
          <w:p w14:paraId="4DB0D759" w14:textId="77777777" w:rsidR="000465D4" w:rsidRPr="004E064D" w:rsidRDefault="000465D4" w:rsidP="0007794C">
            <w:pPr>
              <w:pStyle w:val="a3"/>
              <w:jc w:val="center"/>
              <w:rPr>
                <w:rFonts w:ascii="Tahoma" w:hAnsi="Tahoma"/>
                <w:color w:val="000080"/>
                <w:sz w:val="32"/>
                <w:szCs w:val="32"/>
                <w:rtl/>
              </w:rPr>
            </w:pPr>
            <w:bookmarkStart w:id="0" w:name="LastJudge"/>
            <w:r w:rsidRPr="004E064D">
              <w:rPr>
                <w:rFonts w:ascii="Tahoma" w:hAnsi="Tahoma"/>
                <w:b/>
                <w:bCs/>
                <w:color w:val="000080"/>
                <w:sz w:val="32"/>
                <w:szCs w:val="32"/>
                <w:rtl/>
              </w:rPr>
              <w:t>בית משפט השלום בתל אביב - יפו</w:t>
            </w:r>
          </w:p>
        </w:tc>
      </w:tr>
      <w:tr w:rsidR="000465D4" w:rsidRPr="004E064D" w14:paraId="7B6E81B0" w14:textId="77777777" w:rsidTr="00D71327">
        <w:trPr>
          <w:trHeight w:val="337"/>
          <w:jc w:val="center"/>
        </w:trPr>
        <w:tc>
          <w:tcPr>
            <w:tcW w:w="4945" w:type="dxa"/>
          </w:tcPr>
          <w:p w14:paraId="50DA0B2B" w14:textId="77777777" w:rsidR="000465D4" w:rsidRPr="004E064D" w:rsidRDefault="000465D4" w:rsidP="0007794C">
            <w:pPr>
              <w:rPr>
                <w:sz w:val="26"/>
                <w:szCs w:val="26"/>
                <w:rtl/>
              </w:rPr>
            </w:pPr>
            <w:r w:rsidRPr="004E064D">
              <w:rPr>
                <w:sz w:val="26"/>
                <w:szCs w:val="26"/>
                <w:rtl/>
              </w:rPr>
              <w:t>ת"פ</w:t>
            </w:r>
            <w:r w:rsidRPr="004E064D">
              <w:rPr>
                <w:rFonts w:hint="cs"/>
                <w:sz w:val="26"/>
                <w:szCs w:val="26"/>
                <w:rtl/>
              </w:rPr>
              <w:t xml:space="preserve"> </w:t>
            </w:r>
            <w:r w:rsidRPr="004E064D">
              <w:rPr>
                <w:sz w:val="26"/>
                <w:szCs w:val="26"/>
                <w:rtl/>
              </w:rPr>
              <w:t>4867-04-18</w:t>
            </w:r>
            <w:r w:rsidRPr="004E064D">
              <w:rPr>
                <w:rFonts w:hint="cs"/>
                <w:sz w:val="26"/>
                <w:szCs w:val="26"/>
                <w:rtl/>
              </w:rPr>
              <w:t xml:space="preserve"> </w:t>
            </w:r>
            <w:r w:rsidRPr="004E064D">
              <w:rPr>
                <w:sz w:val="26"/>
                <w:szCs w:val="26"/>
                <w:rtl/>
              </w:rPr>
              <w:t>מדינת ישראל נ' סתרול</w:t>
            </w:r>
          </w:p>
        </w:tc>
        <w:tc>
          <w:tcPr>
            <w:tcW w:w="3578" w:type="dxa"/>
          </w:tcPr>
          <w:p w14:paraId="57EB5D7E" w14:textId="77777777" w:rsidR="000465D4" w:rsidRPr="004E064D" w:rsidRDefault="000465D4" w:rsidP="0007794C">
            <w:pPr>
              <w:pStyle w:val="a3"/>
              <w:jc w:val="right"/>
              <w:rPr>
                <w:rFonts w:cs="FrankRuehl"/>
                <w:sz w:val="28"/>
                <w:szCs w:val="28"/>
                <w:rtl/>
              </w:rPr>
            </w:pPr>
          </w:p>
        </w:tc>
      </w:tr>
    </w:tbl>
    <w:p w14:paraId="597231C0" w14:textId="77777777" w:rsidR="000465D4" w:rsidRPr="004E064D" w:rsidRDefault="000465D4" w:rsidP="000465D4">
      <w:pPr>
        <w:pStyle w:val="a3"/>
        <w:rPr>
          <w:rtl/>
        </w:rPr>
      </w:pPr>
      <w:r w:rsidRPr="004E064D">
        <w:rPr>
          <w:rFonts w:hint="cs"/>
          <w:rtl/>
        </w:rPr>
        <w:t xml:space="preserve"> </w:t>
      </w:r>
    </w:p>
    <w:p w14:paraId="0CEB737C" w14:textId="77777777" w:rsidR="000465D4" w:rsidRPr="004E064D" w:rsidRDefault="000465D4" w:rsidP="000465D4">
      <w:pPr>
        <w:rPr>
          <w:rtl/>
        </w:rPr>
      </w:pPr>
    </w:p>
    <w:p w14:paraId="3FBA22A1" w14:textId="77777777" w:rsidR="000465D4" w:rsidRPr="004E064D" w:rsidRDefault="000465D4" w:rsidP="000465D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06"/>
        <w:gridCol w:w="3383"/>
      </w:tblGrid>
      <w:tr w:rsidR="000465D4" w:rsidRPr="004E064D" w14:paraId="477E2534" w14:textId="77777777" w:rsidTr="000465D4">
        <w:trPr>
          <w:trHeight w:val="295"/>
          <w:jc w:val="center"/>
        </w:trPr>
        <w:tc>
          <w:tcPr>
            <w:tcW w:w="8820" w:type="dxa"/>
            <w:gridSpan w:val="3"/>
            <w:tcBorders>
              <w:top w:val="nil"/>
              <w:left w:val="nil"/>
              <w:bottom w:val="nil"/>
              <w:right w:val="nil"/>
            </w:tcBorders>
            <w:shd w:val="clear" w:color="auto" w:fill="auto"/>
          </w:tcPr>
          <w:p w14:paraId="62CF585F" w14:textId="77777777" w:rsidR="000465D4" w:rsidRPr="004E064D" w:rsidRDefault="000465D4" w:rsidP="000465D4">
            <w:pPr>
              <w:jc w:val="both"/>
              <w:rPr>
                <w:rFonts w:ascii="Arial" w:hAnsi="Arial"/>
                <w:bCs/>
                <w:sz w:val="26"/>
                <w:szCs w:val="26"/>
              </w:rPr>
            </w:pPr>
            <w:r w:rsidRPr="004E064D">
              <w:rPr>
                <w:rFonts w:ascii="Arial" w:hAnsi="Arial" w:hint="cs"/>
                <w:bCs/>
                <w:sz w:val="26"/>
                <w:szCs w:val="26"/>
                <w:rtl/>
              </w:rPr>
              <w:t>ל</w:t>
            </w:r>
            <w:r w:rsidRPr="004E064D">
              <w:rPr>
                <w:rFonts w:ascii="Arial" w:hAnsi="Arial"/>
                <w:bCs/>
                <w:sz w:val="26"/>
                <w:szCs w:val="26"/>
                <w:rtl/>
              </w:rPr>
              <w:t xml:space="preserve">פני </w:t>
            </w:r>
            <w:r w:rsidRPr="004E064D">
              <w:rPr>
                <w:rFonts w:ascii="Arial" w:hAnsi="Arial" w:hint="cs"/>
                <w:bCs/>
                <w:sz w:val="26"/>
                <w:szCs w:val="26"/>
                <w:rtl/>
              </w:rPr>
              <w:t>כבוד ה</w:t>
            </w:r>
            <w:r w:rsidRPr="004E064D">
              <w:rPr>
                <w:rFonts w:ascii="Arial" w:hAnsi="Arial"/>
                <w:bCs/>
                <w:sz w:val="26"/>
                <w:szCs w:val="26"/>
                <w:rtl/>
              </w:rPr>
              <w:t>שופטת</w:t>
            </w:r>
            <w:r w:rsidRPr="004E064D">
              <w:rPr>
                <w:rFonts w:ascii="Arial" w:hAnsi="Arial" w:hint="cs"/>
                <w:bCs/>
                <w:sz w:val="26"/>
                <w:szCs w:val="26"/>
                <w:rtl/>
              </w:rPr>
              <w:t xml:space="preserve">  </w:t>
            </w:r>
            <w:r w:rsidRPr="004E064D">
              <w:rPr>
                <w:rFonts w:ascii="Arial" w:hAnsi="Arial"/>
                <w:bCs/>
                <w:sz w:val="26"/>
                <w:szCs w:val="26"/>
                <w:rtl/>
              </w:rPr>
              <w:t>נעה תבור</w:t>
            </w:r>
          </w:p>
        </w:tc>
      </w:tr>
      <w:tr w:rsidR="000465D4" w:rsidRPr="004E064D" w14:paraId="7C9B0CC9" w14:textId="77777777" w:rsidTr="000465D4">
        <w:trPr>
          <w:trHeight w:val="355"/>
          <w:jc w:val="center"/>
        </w:trPr>
        <w:tc>
          <w:tcPr>
            <w:tcW w:w="885" w:type="dxa"/>
            <w:tcBorders>
              <w:top w:val="nil"/>
              <w:left w:val="nil"/>
              <w:bottom w:val="nil"/>
              <w:right w:val="nil"/>
            </w:tcBorders>
            <w:shd w:val="clear" w:color="auto" w:fill="auto"/>
          </w:tcPr>
          <w:p w14:paraId="4D661CEC" w14:textId="77777777" w:rsidR="000465D4" w:rsidRPr="004E064D" w:rsidRDefault="000465D4" w:rsidP="000465D4">
            <w:pPr>
              <w:jc w:val="both"/>
              <w:rPr>
                <w:rFonts w:ascii="Arial" w:hAnsi="Arial"/>
                <w:b/>
                <w:bCs/>
                <w:sz w:val="26"/>
                <w:szCs w:val="26"/>
              </w:rPr>
            </w:pPr>
            <w:bookmarkStart w:id="1" w:name="FirstAppellant"/>
            <w:bookmarkStart w:id="2" w:name="FirstLawyer"/>
            <w:r w:rsidRPr="004E064D">
              <w:rPr>
                <w:rFonts w:ascii="Arial" w:hAnsi="Arial" w:hint="cs"/>
                <w:b/>
                <w:bCs/>
                <w:sz w:val="26"/>
                <w:szCs w:val="26"/>
                <w:rtl/>
              </w:rPr>
              <w:t>ה</w:t>
            </w:r>
            <w:r w:rsidRPr="004E064D">
              <w:rPr>
                <w:rFonts w:ascii="Arial" w:hAnsi="Arial"/>
                <w:b/>
                <w:bCs/>
                <w:sz w:val="26"/>
                <w:szCs w:val="26"/>
                <w:rtl/>
              </w:rPr>
              <w:t>מאשימה</w:t>
            </w:r>
          </w:p>
        </w:tc>
        <w:tc>
          <w:tcPr>
            <w:tcW w:w="4384" w:type="dxa"/>
            <w:tcBorders>
              <w:top w:val="nil"/>
              <w:left w:val="nil"/>
              <w:bottom w:val="nil"/>
              <w:right w:val="nil"/>
            </w:tcBorders>
            <w:shd w:val="clear" w:color="auto" w:fill="auto"/>
          </w:tcPr>
          <w:p w14:paraId="61706C30" w14:textId="77777777" w:rsidR="000465D4" w:rsidRPr="004E064D" w:rsidRDefault="000465D4" w:rsidP="0007794C">
            <w:pPr>
              <w:rPr>
                <w:bCs/>
                <w:sz w:val="26"/>
                <w:szCs w:val="26"/>
                <w:rtl/>
              </w:rPr>
            </w:pPr>
            <w:r w:rsidRPr="004E064D">
              <w:rPr>
                <w:rFonts w:ascii="Arial" w:hAnsi="Arial"/>
                <w:bCs/>
                <w:sz w:val="26"/>
                <w:szCs w:val="26"/>
                <w:rtl/>
              </w:rPr>
              <w:t>מדינת ישראל</w:t>
            </w:r>
          </w:p>
          <w:p w14:paraId="30F36134" w14:textId="77777777" w:rsidR="000465D4" w:rsidRPr="004E064D" w:rsidRDefault="000465D4" w:rsidP="0007794C">
            <w:pPr>
              <w:rPr>
                <w:bCs/>
                <w:sz w:val="26"/>
                <w:szCs w:val="26"/>
              </w:rPr>
            </w:pPr>
            <w:r w:rsidRPr="004E064D">
              <w:rPr>
                <w:rFonts w:hint="cs"/>
                <w:bCs/>
                <w:sz w:val="26"/>
                <w:szCs w:val="26"/>
                <w:rtl/>
              </w:rPr>
              <w:t>ע"י ב"כ עו"ד שחר כץ</w:t>
            </w:r>
          </w:p>
        </w:tc>
        <w:tc>
          <w:tcPr>
            <w:tcW w:w="3551" w:type="dxa"/>
            <w:tcBorders>
              <w:top w:val="nil"/>
              <w:left w:val="nil"/>
              <w:bottom w:val="nil"/>
              <w:right w:val="nil"/>
            </w:tcBorders>
            <w:shd w:val="clear" w:color="auto" w:fill="auto"/>
          </w:tcPr>
          <w:p w14:paraId="03E4D3B9" w14:textId="77777777" w:rsidR="000465D4" w:rsidRPr="004E064D" w:rsidRDefault="000465D4" w:rsidP="000465D4">
            <w:pPr>
              <w:jc w:val="both"/>
              <w:rPr>
                <w:rFonts w:ascii="Arial" w:hAnsi="Arial"/>
                <w:sz w:val="26"/>
                <w:szCs w:val="26"/>
              </w:rPr>
            </w:pPr>
          </w:p>
        </w:tc>
      </w:tr>
      <w:bookmarkEnd w:id="1"/>
      <w:bookmarkEnd w:id="2"/>
      <w:tr w:rsidR="000465D4" w:rsidRPr="004E064D" w14:paraId="6D2C4707" w14:textId="77777777" w:rsidTr="000465D4">
        <w:trPr>
          <w:trHeight w:val="373"/>
          <w:jc w:val="center"/>
        </w:trPr>
        <w:tc>
          <w:tcPr>
            <w:tcW w:w="885" w:type="dxa"/>
            <w:tcBorders>
              <w:top w:val="nil"/>
              <w:left w:val="nil"/>
              <w:bottom w:val="nil"/>
              <w:right w:val="nil"/>
            </w:tcBorders>
            <w:shd w:val="clear" w:color="auto" w:fill="auto"/>
          </w:tcPr>
          <w:p w14:paraId="63467E24" w14:textId="77777777" w:rsidR="000465D4" w:rsidRPr="004E064D" w:rsidRDefault="000465D4" w:rsidP="000465D4">
            <w:pPr>
              <w:jc w:val="both"/>
              <w:rPr>
                <w:rFonts w:ascii="Arial" w:hAnsi="Arial"/>
                <w:b/>
                <w:bCs/>
                <w:sz w:val="26"/>
                <w:szCs w:val="26"/>
                <w:rtl/>
              </w:rPr>
            </w:pPr>
          </w:p>
        </w:tc>
        <w:tc>
          <w:tcPr>
            <w:tcW w:w="7935" w:type="dxa"/>
            <w:gridSpan w:val="2"/>
            <w:tcBorders>
              <w:top w:val="nil"/>
              <w:left w:val="nil"/>
              <w:bottom w:val="nil"/>
              <w:right w:val="nil"/>
            </w:tcBorders>
            <w:shd w:val="clear" w:color="auto" w:fill="auto"/>
          </w:tcPr>
          <w:p w14:paraId="2262267D" w14:textId="77777777" w:rsidR="000465D4" w:rsidRPr="004E064D" w:rsidRDefault="000465D4" w:rsidP="000465D4">
            <w:pPr>
              <w:jc w:val="center"/>
              <w:rPr>
                <w:rFonts w:ascii="Arial" w:hAnsi="Arial"/>
                <w:bCs/>
                <w:sz w:val="26"/>
                <w:szCs w:val="26"/>
                <w:rtl/>
              </w:rPr>
            </w:pPr>
          </w:p>
          <w:p w14:paraId="2A6B431B" w14:textId="77777777" w:rsidR="000465D4" w:rsidRPr="004E064D" w:rsidRDefault="000465D4" w:rsidP="000465D4">
            <w:pPr>
              <w:jc w:val="center"/>
              <w:rPr>
                <w:rFonts w:ascii="Arial" w:hAnsi="Arial"/>
                <w:bCs/>
                <w:sz w:val="26"/>
                <w:szCs w:val="26"/>
                <w:rtl/>
              </w:rPr>
            </w:pPr>
            <w:r w:rsidRPr="004E064D">
              <w:rPr>
                <w:rFonts w:ascii="Arial" w:hAnsi="Arial"/>
                <w:bCs/>
                <w:sz w:val="26"/>
                <w:szCs w:val="26"/>
                <w:rtl/>
              </w:rPr>
              <w:t>נגד</w:t>
            </w:r>
          </w:p>
          <w:p w14:paraId="6FFA3766" w14:textId="77777777" w:rsidR="000465D4" w:rsidRPr="004E064D" w:rsidRDefault="000465D4" w:rsidP="000465D4">
            <w:pPr>
              <w:jc w:val="both"/>
              <w:rPr>
                <w:rFonts w:ascii="Arial" w:hAnsi="Arial"/>
                <w:bCs/>
                <w:sz w:val="26"/>
                <w:szCs w:val="26"/>
              </w:rPr>
            </w:pPr>
          </w:p>
        </w:tc>
      </w:tr>
      <w:tr w:rsidR="000465D4" w:rsidRPr="004E064D" w14:paraId="126799DA" w14:textId="77777777" w:rsidTr="000465D4">
        <w:trPr>
          <w:trHeight w:val="355"/>
          <w:jc w:val="center"/>
        </w:trPr>
        <w:tc>
          <w:tcPr>
            <w:tcW w:w="885" w:type="dxa"/>
            <w:tcBorders>
              <w:top w:val="nil"/>
              <w:left w:val="nil"/>
              <w:bottom w:val="nil"/>
              <w:right w:val="nil"/>
            </w:tcBorders>
            <w:shd w:val="clear" w:color="auto" w:fill="auto"/>
          </w:tcPr>
          <w:p w14:paraId="56ADC4DD" w14:textId="77777777" w:rsidR="000465D4" w:rsidRPr="004E064D" w:rsidRDefault="000465D4" w:rsidP="0007794C">
            <w:pPr>
              <w:rPr>
                <w:rFonts w:ascii="Arial" w:hAnsi="Arial"/>
                <w:b/>
                <w:bCs/>
                <w:sz w:val="26"/>
                <w:szCs w:val="26"/>
                <w:rtl/>
              </w:rPr>
            </w:pPr>
            <w:r w:rsidRPr="004E064D">
              <w:rPr>
                <w:rFonts w:ascii="Arial" w:hAnsi="Arial" w:hint="cs"/>
                <w:b/>
                <w:bCs/>
                <w:sz w:val="26"/>
                <w:szCs w:val="26"/>
                <w:rtl/>
              </w:rPr>
              <w:t>ה</w:t>
            </w:r>
            <w:r w:rsidRPr="004E064D">
              <w:rPr>
                <w:rFonts w:ascii="Arial" w:hAnsi="Arial"/>
                <w:b/>
                <w:bCs/>
                <w:sz w:val="26"/>
                <w:szCs w:val="26"/>
                <w:rtl/>
              </w:rPr>
              <w:t>נאשם</w:t>
            </w:r>
          </w:p>
        </w:tc>
        <w:tc>
          <w:tcPr>
            <w:tcW w:w="4384" w:type="dxa"/>
            <w:tcBorders>
              <w:top w:val="nil"/>
              <w:left w:val="nil"/>
              <w:bottom w:val="nil"/>
              <w:right w:val="nil"/>
            </w:tcBorders>
            <w:shd w:val="clear" w:color="auto" w:fill="auto"/>
          </w:tcPr>
          <w:p w14:paraId="63662CB9" w14:textId="77777777" w:rsidR="000465D4" w:rsidRPr="004E064D" w:rsidRDefault="000465D4" w:rsidP="0007794C">
            <w:pPr>
              <w:rPr>
                <w:bCs/>
                <w:sz w:val="26"/>
                <w:szCs w:val="26"/>
                <w:rtl/>
              </w:rPr>
            </w:pPr>
            <w:r w:rsidRPr="004E064D">
              <w:rPr>
                <w:rFonts w:ascii="Arial" w:hAnsi="Arial"/>
                <w:bCs/>
                <w:sz w:val="26"/>
                <w:szCs w:val="26"/>
                <w:rtl/>
              </w:rPr>
              <w:t>אורי מנחם סתרול</w:t>
            </w:r>
          </w:p>
          <w:p w14:paraId="61CE9843" w14:textId="77777777" w:rsidR="000465D4" w:rsidRPr="004E064D" w:rsidRDefault="000465D4" w:rsidP="0007794C">
            <w:pPr>
              <w:rPr>
                <w:bCs/>
                <w:sz w:val="26"/>
                <w:szCs w:val="26"/>
                <w:rtl/>
              </w:rPr>
            </w:pPr>
            <w:r w:rsidRPr="004E064D">
              <w:rPr>
                <w:rFonts w:hint="cs"/>
                <w:bCs/>
                <w:sz w:val="26"/>
                <w:szCs w:val="26"/>
                <w:rtl/>
              </w:rPr>
              <w:t>ע"י ב"כ עו"ד מיכל הלבני</w:t>
            </w:r>
          </w:p>
        </w:tc>
        <w:tc>
          <w:tcPr>
            <w:tcW w:w="3551" w:type="dxa"/>
            <w:tcBorders>
              <w:top w:val="nil"/>
              <w:left w:val="nil"/>
              <w:bottom w:val="nil"/>
              <w:right w:val="nil"/>
            </w:tcBorders>
            <w:shd w:val="clear" w:color="auto" w:fill="auto"/>
          </w:tcPr>
          <w:p w14:paraId="4DB42120" w14:textId="77777777" w:rsidR="000465D4" w:rsidRPr="004E064D" w:rsidRDefault="000465D4" w:rsidP="000465D4">
            <w:pPr>
              <w:jc w:val="right"/>
              <w:rPr>
                <w:rFonts w:ascii="Arial" w:hAnsi="Arial"/>
                <w:sz w:val="26"/>
                <w:szCs w:val="26"/>
              </w:rPr>
            </w:pPr>
          </w:p>
        </w:tc>
      </w:tr>
    </w:tbl>
    <w:p w14:paraId="2B85EFC7" w14:textId="77777777" w:rsidR="00D71327" w:rsidRDefault="00D71327" w:rsidP="000465D4">
      <w:pPr>
        <w:rPr>
          <w:rtl/>
        </w:rPr>
      </w:pPr>
      <w:bookmarkStart w:id="3" w:name="LawTable"/>
      <w:bookmarkEnd w:id="3"/>
    </w:p>
    <w:p w14:paraId="4C4C65E1" w14:textId="77777777" w:rsidR="00D71327" w:rsidRPr="00D71327" w:rsidRDefault="00D71327" w:rsidP="00D71327">
      <w:pPr>
        <w:spacing w:after="120" w:line="240" w:lineRule="exact"/>
        <w:ind w:left="283" w:hanging="283"/>
        <w:jc w:val="both"/>
        <w:rPr>
          <w:rFonts w:ascii="FrankRuehl" w:hAnsi="FrankRuehl" w:cs="FrankRuehl"/>
          <w:rtl/>
        </w:rPr>
      </w:pPr>
    </w:p>
    <w:p w14:paraId="29ED589C" w14:textId="77777777" w:rsidR="00D71327" w:rsidRPr="00D71327" w:rsidRDefault="00D71327" w:rsidP="00D71327">
      <w:pPr>
        <w:spacing w:after="120" w:line="240" w:lineRule="exact"/>
        <w:ind w:left="283" w:hanging="283"/>
        <w:jc w:val="both"/>
        <w:rPr>
          <w:rFonts w:ascii="FrankRuehl" w:hAnsi="FrankRuehl" w:cs="FrankRuehl"/>
          <w:rtl/>
        </w:rPr>
      </w:pPr>
      <w:r w:rsidRPr="00D71327">
        <w:rPr>
          <w:rFonts w:ascii="FrankRuehl" w:hAnsi="FrankRuehl" w:cs="FrankRuehl"/>
          <w:rtl/>
        </w:rPr>
        <w:t xml:space="preserve">חקיקה שאוזכרה: </w:t>
      </w:r>
    </w:p>
    <w:p w14:paraId="116D136B" w14:textId="77777777" w:rsidR="00D71327" w:rsidRPr="00D71327" w:rsidRDefault="00D71327" w:rsidP="00D71327">
      <w:pPr>
        <w:spacing w:after="120" w:line="240" w:lineRule="exact"/>
        <w:ind w:left="283" w:hanging="283"/>
        <w:jc w:val="both"/>
        <w:rPr>
          <w:rFonts w:ascii="FrankRuehl" w:hAnsi="FrankRuehl" w:cs="FrankRuehl"/>
          <w:rtl/>
        </w:rPr>
      </w:pPr>
      <w:hyperlink r:id="rId7" w:history="1">
        <w:r w:rsidRPr="00D71327">
          <w:rPr>
            <w:rFonts w:ascii="FrankRuehl" w:hAnsi="FrankRuehl" w:cs="FrankRuehl"/>
            <w:color w:val="0000FF"/>
            <w:u w:val="single"/>
            <w:rtl/>
          </w:rPr>
          <w:t>פקודת הסמים המסוכנים [נוסח חדש], תשל"ג-1973</w:t>
        </w:r>
      </w:hyperlink>
      <w:r w:rsidRPr="00D71327">
        <w:rPr>
          <w:rFonts w:ascii="FrankRuehl" w:hAnsi="FrankRuehl" w:cs="FrankRuehl"/>
          <w:rtl/>
        </w:rPr>
        <w:t xml:space="preserve">: סע'  </w:t>
      </w:r>
      <w:hyperlink r:id="rId8" w:history="1">
        <w:r w:rsidRPr="00D71327">
          <w:rPr>
            <w:rFonts w:ascii="FrankRuehl" w:hAnsi="FrankRuehl" w:cs="FrankRuehl"/>
            <w:color w:val="0000FF"/>
            <w:u w:val="single"/>
            <w:rtl/>
          </w:rPr>
          <w:t>6</w:t>
        </w:r>
      </w:hyperlink>
    </w:p>
    <w:p w14:paraId="208EB2EF" w14:textId="77777777" w:rsidR="00D71327" w:rsidRPr="00D71327" w:rsidRDefault="00D71327" w:rsidP="00D71327">
      <w:pPr>
        <w:spacing w:after="120" w:line="240" w:lineRule="exact"/>
        <w:ind w:left="283" w:hanging="283"/>
        <w:jc w:val="both"/>
        <w:rPr>
          <w:rFonts w:ascii="FrankRuehl" w:hAnsi="FrankRuehl" w:cs="FrankRuehl"/>
          <w:rtl/>
        </w:rPr>
      </w:pPr>
    </w:p>
    <w:p w14:paraId="1D73441B" w14:textId="77777777" w:rsidR="00D71327" w:rsidRPr="00D71327" w:rsidRDefault="00D71327" w:rsidP="000465D4">
      <w:pPr>
        <w:rPr>
          <w:rtl/>
        </w:rPr>
      </w:pPr>
      <w:bookmarkStart w:id="4" w:name="LawTable_End"/>
      <w:bookmarkEnd w:id="4"/>
    </w:p>
    <w:p w14:paraId="6A088C02" w14:textId="77777777" w:rsidR="004E064D" w:rsidRPr="004E064D" w:rsidRDefault="004E064D" w:rsidP="000465D4">
      <w:pPr>
        <w:rPr>
          <w:rtl/>
        </w:rPr>
      </w:pPr>
    </w:p>
    <w:p w14:paraId="64F01E83" w14:textId="77777777" w:rsidR="004E064D" w:rsidRPr="004E064D" w:rsidRDefault="004E064D" w:rsidP="000465D4">
      <w:pPr>
        <w:rPr>
          <w:rtl/>
        </w:rPr>
      </w:pPr>
    </w:p>
    <w:p w14:paraId="6ACF761B" w14:textId="77777777" w:rsidR="000465D4" w:rsidRPr="004E064D" w:rsidRDefault="000465D4" w:rsidP="000465D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465D4" w14:paraId="744E4A73" w14:textId="77777777" w:rsidTr="000465D4">
        <w:trPr>
          <w:trHeight w:val="355"/>
          <w:jc w:val="center"/>
        </w:trPr>
        <w:tc>
          <w:tcPr>
            <w:tcW w:w="8820" w:type="dxa"/>
            <w:tcBorders>
              <w:top w:val="nil"/>
              <w:left w:val="nil"/>
              <w:bottom w:val="nil"/>
              <w:right w:val="nil"/>
            </w:tcBorders>
            <w:shd w:val="clear" w:color="auto" w:fill="auto"/>
          </w:tcPr>
          <w:p w14:paraId="33F2E6F1" w14:textId="77777777" w:rsidR="004E064D" w:rsidRPr="004E064D" w:rsidRDefault="004E064D" w:rsidP="004E064D">
            <w:pPr>
              <w:jc w:val="center"/>
              <w:rPr>
                <w:rFonts w:ascii="Arial" w:hAnsi="Arial"/>
                <w:b/>
                <w:bCs/>
                <w:sz w:val="28"/>
                <w:szCs w:val="28"/>
                <w:u w:val="single"/>
                <w:rtl/>
              </w:rPr>
            </w:pPr>
            <w:bookmarkStart w:id="5" w:name="PsakDin" w:colFirst="0" w:colLast="0"/>
            <w:bookmarkEnd w:id="0"/>
            <w:r w:rsidRPr="004E064D">
              <w:rPr>
                <w:rFonts w:ascii="Arial" w:hAnsi="Arial"/>
                <w:b/>
                <w:bCs/>
                <w:sz w:val="28"/>
                <w:szCs w:val="28"/>
                <w:u w:val="single"/>
                <w:rtl/>
              </w:rPr>
              <w:t>גזר - דין</w:t>
            </w:r>
          </w:p>
          <w:p w14:paraId="08926C38" w14:textId="77777777" w:rsidR="000465D4" w:rsidRPr="004E064D" w:rsidRDefault="000465D4" w:rsidP="004E064D">
            <w:pPr>
              <w:jc w:val="center"/>
              <w:rPr>
                <w:rFonts w:ascii="Arial" w:hAnsi="Arial"/>
                <w:bCs/>
                <w:sz w:val="28"/>
                <w:szCs w:val="28"/>
                <w:u w:val="single"/>
                <w:rtl/>
              </w:rPr>
            </w:pPr>
          </w:p>
        </w:tc>
      </w:tr>
    </w:tbl>
    <w:bookmarkEnd w:id="5"/>
    <w:p w14:paraId="7A8B2120" w14:textId="77777777" w:rsidR="000465D4" w:rsidRDefault="000465D4" w:rsidP="000465D4">
      <w:pPr>
        <w:pStyle w:val="2"/>
        <w:spacing w:line="360" w:lineRule="auto"/>
        <w:ind w:left="84"/>
        <w:jc w:val="both"/>
        <w:rPr>
          <w:rFonts w:cs="David"/>
          <w:b/>
          <w:bCs/>
          <w:color w:val="auto"/>
          <w:sz w:val="24"/>
          <w:szCs w:val="24"/>
        </w:rPr>
      </w:pPr>
      <w:r>
        <w:rPr>
          <w:rFonts w:cs="David"/>
          <w:b/>
          <w:bCs/>
          <w:color w:val="auto"/>
          <w:sz w:val="24"/>
          <w:szCs w:val="24"/>
          <w:rtl/>
        </w:rPr>
        <w:t>כללי</w:t>
      </w:r>
    </w:p>
    <w:p w14:paraId="4682B280" w14:textId="77777777" w:rsidR="000465D4" w:rsidRDefault="000465D4" w:rsidP="000465D4">
      <w:pPr>
        <w:pStyle w:val="a9"/>
        <w:numPr>
          <w:ilvl w:val="0"/>
          <w:numId w:val="1"/>
        </w:numPr>
        <w:spacing w:line="360" w:lineRule="auto"/>
        <w:ind w:left="368"/>
        <w:jc w:val="both"/>
        <w:rPr>
          <w:rFonts w:cs="David"/>
          <w:sz w:val="24"/>
          <w:szCs w:val="24"/>
          <w:rtl/>
        </w:rPr>
      </w:pPr>
      <w:bookmarkStart w:id="6" w:name="ABSTRACT_START"/>
      <w:bookmarkEnd w:id="6"/>
      <w:r>
        <w:rPr>
          <w:rFonts w:cs="David"/>
          <w:sz w:val="24"/>
          <w:szCs w:val="24"/>
          <w:rtl/>
        </w:rPr>
        <w:t xml:space="preserve">הנאשם, יליד 1992, הורשע על פי הודאתו במסגרת הסדר טיעון בעבירה של גידול, ייצור, הכנת סמים מסוכנים, עבירה לפי </w:t>
      </w:r>
      <w:hyperlink r:id="rId9" w:history="1">
        <w:r w:rsidR="00D71327" w:rsidRPr="00D71327">
          <w:rPr>
            <w:rFonts w:cs="David" w:hint="cs"/>
            <w:color w:val="0000FF"/>
            <w:sz w:val="24"/>
            <w:szCs w:val="24"/>
            <w:u w:val="single"/>
            <w:rtl/>
          </w:rPr>
          <w:t>סעיף</w:t>
        </w:r>
        <w:r w:rsidR="00D71327" w:rsidRPr="00D71327">
          <w:rPr>
            <w:rFonts w:cs="David"/>
            <w:color w:val="0000FF"/>
            <w:sz w:val="24"/>
            <w:szCs w:val="24"/>
            <w:u w:val="single"/>
            <w:rtl/>
          </w:rPr>
          <w:t xml:space="preserve"> 6</w:t>
        </w:r>
      </w:hyperlink>
      <w:r>
        <w:rPr>
          <w:rFonts w:cs="David"/>
          <w:sz w:val="24"/>
          <w:szCs w:val="24"/>
          <w:rtl/>
        </w:rPr>
        <w:t xml:space="preserve"> ל</w:t>
      </w:r>
      <w:hyperlink r:id="rId10" w:history="1">
        <w:r w:rsidR="004E064D" w:rsidRPr="004E064D">
          <w:rPr>
            <w:rFonts w:cs="David" w:hint="cs"/>
            <w:color w:val="0000FF"/>
            <w:sz w:val="24"/>
            <w:szCs w:val="24"/>
            <w:u w:val="single"/>
            <w:rtl/>
          </w:rPr>
          <w:t>פקודת</w:t>
        </w:r>
        <w:r w:rsidR="004E064D" w:rsidRPr="004E064D">
          <w:rPr>
            <w:rFonts w:cs="David"/>
            <w:color w:val="0000FF"/>
            <w:sz w:val="24"/>
            <w:szCs w:val="24"/>
            <w:u w:val="single"/>
            <w:rtl/>
          </w:rPr>
          <w:t xml:space="preserve"> </w:t>
        </w:r>
        <w:r w:rsidR="004E064D" w:rsidRPr="004E064D">
          <w:rPr>
            <w:rFonts w:cs="David" w:hint="cs"/>
            <w:color w:val="0000FF"/>
            <w:sz w:val="24"/>
            <w:szCs w:val="24"/>
            <w:u w:val="single"/>
            <w:rtl/>
          </w:rPr>
          <w:t>הסמים</w:t>
        </w:r>
        <w:r w:rsidR="004E064D" w:rsidRPr="004E064D">
          <w:rPr>
            <w:rFonts w:cs="David"/>
            <w:color w:val="0000FF"/>
            <w:sz w:val="24"/>
            <w:szCs w:val="24"/>
            <w:u w:val="single"/>
            <w:rtl/>
          </w:rPr>
          <w:t xml:space="preserve"> </w:t>
        </w:r>
        <w:r w:rsidR="004E064D" w:rsidRPr="004E064D">
          <w:rPr>
            <w:rFonts w:cs="David" w:hint="cs"/>
            <w:color w:val="0000FF"/>
            <w:sz w:val="24"/>
            <w:szCs w:val="24"/>
            <w:u w:val="single"/>
            <w:rtl/>
          </w:rPr>
          <w:t>המסוכנים</w:t>
        </w:r>
      </w:hyperlink>
      <w:r>
        <w:rPr>
          <w:rFonts w:cs="David"/>
          <w:sz w:val="24"/>
          <w:szCs w:val="24"/>
          <w:rtl/>
        </w:rPr>
        <w:t xml:space="preserve"> (נוסח חדש), תשל"ג-1973.</w:t>
      </w:r>
    </w:p>
    <w:p w14:paraId="1F06A54E" w14:textId="77777777" w:rsidR="000465D4" w:rsidRDefault="000465D4" w:rsidP="000465D4">
      <w:pPr>
        <w:pStyle w:val="a9"/>
        <w:spacing w:line="360" w:lineRule="auto"/>
        <w:ind w:left="368"/>
        <w:jc w:val="both"/>
        <w:rPr>
          <w:rFonts w:cs="David"/>
          <w:sz w:val="24"/>
          <w:szCs w:val="24"/>
        </w:rPr>
      </w:pPr>
      <w:bookmarkStart w:id="7" w:name="ABSTRACT_END"/>
      <w:bookmarkEnd w:id="7"/>
      <w:r>
        <w:rPr>
          <w:rFonts w:cs="David"/>
          <w:sz w:val="24"/>
          <w:szCs w:val="24"/>
          <w:rtl/>
        </w:rPr>
        <w:t xml:space="preserve">על פי עובדות כתב האישום המתוקן, בתאריך בלתי ידוע, כחודשיים וחצי עובר ליום 28.03.18 גידל הנאשם בדירה שכורה סם מסוג קנבוס במשקל כולל של 3 ק"ג נטו. הנאשם עשה שימוש במתלה כביסה ומעליו התקין תאורה. כן עשה שימוש בחומרי דישון ובעשר אדניות וערך טבלת מעקב אחרי גידול הסם. </w:t>
      </w:r>
    </w:p>
    <w:p w14:paraId="5D005BC7" w14:textId="77777777" w:rsidR="000465D4" w:rsidRDefault="000465D4" w:rsidP="000465D4">
      <w:pPr>
        <w:pStyle w:val="a9"/>
        <w:numPr>
          <w:ilvl w:val="0"/>
          <w:numId w:val="1"/>
        </w:numPr>
        <w:spacing w:line="360" w:lineRule="auto"/>
        <w:ind w:left="368"/>
        <w:jc w:val="both"/>
        <w:rPr>
          <w:rFonts w:cs="David"/>
          <w:sz w:val="24"/>
          <w:szCs w:val="24"/>
          <w:rtl/>
        </w:rPr>
      </w:pPr>
      <w:r>
        <w:rPr>
          <w:rFonts w:cs="David"/>
          <w:sz w:val="24"/>
          <w:szCs w:val="24"/>
          <w:rtl/>
        </w:rPr>
        <w:t xml:space="preserve">הצדדים הגיעו להסדר הטיעון לאחר שהחלה פרשת התביעה ובטרם סיומה. ההסדר לא כלל הסכמות עונשיות אלא רק הסכמה על כך שבטרם טיעונים לעונש יופנה הנאשם לשירות המבחן לצורך קבלת תסקיר. </w:t>
      </w:r>
    </w:p>
    <w:p w14:paraId="71CDD534" w14:textId="77777777" w:rsidR="000465D4" w:rsidRDefault="000465D4" w:rsidP="000465D4">
      <w:pPr>
        <w:pStyle w:val="2"/>
        <w:spacing w:line="360" w:lineRule="auto"/>
        <w:ind w:left="84"/>
        <w:jc w:val="both"/>
        <w:rPr>
          <w:rFonts w:cs="David"/>
          <w:b/>
          <w:bCs/>
          <w:color w:val="auto"/>
          <w:sz w:val="24"/>
          <w:szCs w:val="24"/>
        </w:rPr>
      </w:pPr>
      <w:r>
        <w:rPr>
          <w:rFonts w:cs="David"/>
          <w:b/>
          <w:bCs/>
          <w:color w:val="auto"/>
          <w:sz w:val="24"/>
          <w:szCs w:val="24"/>
          <w:rtl/>
        </w:rPr>
        <w:t xml:space="preserve">התסקיר </w:t>
      </w:r>
    </w:p>
    <w:p w14:paraId="00792C06" w14:textId="77777777" w:rsidR="000465D4" w:rsidRDefault="000465D4" w:rsidP="000465D4">
      <w:pPr>
        <w:pStyle w:val="a9"/>
        <w:numPr>
          <w:ilvl w:val="0"/>
          <w:numId w:val="1"/>
        </w:numPr>
        <w:spacing w:line="360" w:lineRule="auto"/>
        <w:ind w:left="368"/>
        <w:jc w:val="both"/>
        <w:rPr>
          <w:rFonts w:cs="David"/>
          <w:sz w:val="24"/>
          <w:szCs w:val="24"/>
          <w:rtl/>
        </w:rPr>
      </w:pPr>
      <w:r>
        <w:rPr>
          <w:rFonts w:cs="David"/>
          <w:sz w:val="24"/>
          <w:szCs w:val="24"/>
          <w:rtl/>
        </w:rPr>
        <w:t xml:space="preserve">בתסקירו מיום 07.07.09, התייחס שירות המבחן, כדרכו המקצועית, למכלול נסיבותיו האישיות של הנאשם. מדובר באדם בן 27, רווק, עברו נקי, מתגורר בבית הוריו ומזה כחצי שנה עובד בחנות לממכר אביזרי ספורט. שירות המבחן התרשם מרצף תעסוקתי לאורך השנים. הנאשם הציג לשירות המבחן אישור רישום ללימודי מדעי המחשב במכללת תל חי ועתיד להתחיל בלימודי מכינה לקראתם. </w:t>
      </w:r>
    </w:p>
    <w:p w14:paraId="439A86AB" w14:textId="77777777" w:rsidR="000465D4" w:rsidRDefault="000465D4" w:rsidP="000465D4">
      <w:pPr>
        <w:pStyle w:val="a9"/>
        <w:numPr>
          <w:ilvl w:val="0"/>
          <w:numId w:val="1"/>
        </w:numPr>
        <w:spacing w:line="360" w:lineRule="auto"/>
        <w:ind w:left="368"/>
        <w:jc w:val="both"/>
        <w:rPr>
          <w:rFonts w:cs="David"/>
          <w:sz w:val="24"/>
          <w:szCs w:val="24"/>
        </w:rPr>
      </w:pPr>
      <w:r>
        <w:rPr>
          <w:rFonts w:cs="David"/>
          <w:sz w:val="24"/>
          <w:szCs w:val="24"/>
          <w:rtl/>
        </w:rPr>
        <w:lastRenderedPageBreak/>
        <w:t xml:space="preserve">שירות המבחן התייחס לכך שהנאשם ביצע את העבירה על רקע צריכת סמים בשל קשיים רגשיים וקשיי שינה לנוכח תסמינים פוסט טראומטיים הנוגעים לאירוע קשה שעבר בהיותו נער ו"בריחה" לעולם הסמים. לדברי הנאשם גידל הסמים על מנת להימנע ממגע עם גורמים עברייניים. עם מעצרו החליט הנאשם להימנע לחלוטין משימוש בסם, פנה לרופא משפחה וכיום מטופל בטיפול תרופתי להתמודדות עם קשיי השינה. בנוסף שולב הנאשם בטיפול ייעודי בתחום הסמים במסגרת שירות המבחן ובמהלכו מסר באופן עקבי בדיקות שתן ביחידה העירונית לטיפול בהתמכרויות. כל הדגימות שנלקחו עד כה נמצאו נקיות משרידי סם. הגורם הטיפולי דיווח כי הנאשם מקפיד להגיע לכל המפגשים ומשתף פעולה באופן מלא. להתרשמותם מדובר באדם אחראי אשר מעד בשל כשל בשיקול הדעת וכיום מבין את הפסול במעשיו ומביע חרטה. </w:t>
      </w:r>
    </w:p>
    <w:p w14:paraId="1A2D3992" w14:textId="77777777" w:rsidR="000465D4" w:rsidRDefault="000465D4" w:rsidP="000465D4">
      <w:pPr>
        <w:pStyle w:val="a9"/>
        <w:numPr>
          <w:ilvl w:val="0"/>
          <w:numId w:val="1"/>
        </w:numPr>
        <w:spacing w:line="360" w:lineRule="auto"/>
        <w:ind w:left="368"/>
        <w:jc w:val="both"/>
        <w:rPr>
          <w:rFonts w:cs="David"/>
          <w:sz w:val="24"/>
          <w:szCs w:val="24"/>
        </w:rPr>
      </w:pPr>
      <w:r>
        <w:rPr>
          <w:rFonts w:cs="David"/>
          <w:sz w:val="24"/>
          <w:szCs w:val="24"/>
          <w:rtl/>
        </w:rPr>
        <w:t xml:space="preserve">שירות המבחן התרשם כי הנאשם אינו מאופיין בערכים אנטיסוציאליים ומצליח לשמור על יציבות ואחריות במסגרות החיים השונות כולל במישור התעסוקתי. משכך ובשים לב להליך הטיפולי האינטנסיבי והמוצלח שעבר בשנה האחרונה, המליץ לנקוט בענישה שיקומית בדמות עבודות של"צ בהיקף של 250 שעות בהתאם לתוכנית שגובשה עבורו. </w:t>
      </w:r>
    </w:p>
    <w:p w14:paraId="5406671C" w14:textId="77777777" w:rsidR="000465D4" w:rsidRDefault="000465D4" w:rsidP="000465D4">
      <w:pPr>
        <w:pStyle w:val="a9"/>
        <w:numPr>
          <w:ilvl w:val="0"/>
          <w:numId w:val="1"/>
        </w:numPr>
        <w:spacing w:line="360" w:lineRule="auto"/>
        <w:ind w:left="368"/>
        <w:jc w:val="both"/>
        <w:rPr>
          <w:rFonts w:cs="David"/>
          <w:sz w:val="24"/>
          <w:szCs w:val="24"/>
        </w:rPr>
      </w:pPr>
      <w:r>
        <w:rPr>
          <w:rFonts w:cs="David"/>
          <w:sz w:val="24"/>
          <w:szCs w:val="24"/>
          <w:rtl/>
        </w:rPr>
        <w:t>על רקע אותה התרשמות חיובית מהנאשם ובשל החשש שהרשעה בדין עלולה לפגוע בדימויו העצמי השביר, המליץ שירות המבחן לבטל את הרשעתו. כן ציין שירות המבחן חששו של הנאשם כי הותרת הרשעה עלולה לפגוע בסיכוייו להשתלב בעתיד בתעסוקה בתחום המחשבים.</w:t>
      </w:r>
    </w:p>
    <w:p w14:paraId="14AE8B8B" w14:textId="77777777" w:rsidR="000465D4" w:rsidRDefault="000465D4" w:rsidP="000465D4">
      <w:pPr>
        <w:pStyle w:val="2"/>
        <w:spacing w:line="360" w:lineRule="auto"/>
        <w:ind w:left="84"/>
        <w:jc w:val="both"/>
        <w:rPr>
          <w:rFonts w:cs="David"/>
          <w:b/>
          <w:bCs/>
          <w:color w:val="auto"/>
          <w:sz w:val="24"/>
          <w:szCs w:val="24"/>
        </w:rPr>
      </w:pPr>
      <w:r>
        <w:rPr>
          <w:rFonts w:cs="David"/>
          <w:b/>
          <w:bCs/>
          <w:color w:val="auto"/>
          <w:sz w:val="24"/>
          <w:szCs w:val="24"/>
          <w:rtl/>
        </w:rPr>
        <w:t>הראיות לעונש וטיעוני הצדדים</w:t>
      </w:r>
    </w:p>
    <w:p w14:paraId="072C1C55" w14:textId="77777777" w:rsidR="000465D4" w:rsidRDefault="000465D4" w:rsidP="000465D4">
      <w:pPr>
        <w:pStyle w:val="a9"/>
        <w:numPr>
          <w:ilvl w:val="0"/>
          <w:numId w:val="1"/>
        </w:numPr>
        <w:spacing w:line="360" w:lineRule="auto"/>
        <w:ind w:left="368"/>
        <w:jc w:val="both"/>
        <w:rPr>
          <w:rFonts w:cs="David"/>
          <w:sz w:val="24"/>
          <w:szCs w:val="24"/>
          <w:rtl/>
        </w:rPr>
      </w:pPr>
      <w:r>
        <w:rPr>
          <w:rFonts w:cs="David"/>
          <w:sz w:val="24"/>
          <w:szCs w:val="24"/>
          <w:rtl/>
        </w:rPr>
        <w:t>ב"כ המאשימה התייחסה בטיעוניה לנסיבות ביצוע עבירת גידול הסם במקרה זה כמפורט בכתב האישום המתוקן וכן לערכים המוגנים שנפגעו. ה</w:t>
      </w:r>
      <w:r>
        <w:rPr>
          <w:rFonts w:cs="David" w:hint="cs"/>
          <w:sz w:val="24"/>
          <w:szCs w:val="24"/>
          <w:rtl/>
        </w:rPr>
        <w:t>תובעת</w:t>
      </w:r>
      <w:r>
        <w:rPr>
          <w:rFonts w:cs="David"/>
          <w:sz w:val="24"/>
          <w:szCs w:val="24"/>
          <w:rtl/>
        </w:rPr>
        <w:t xml:space="preserve"> הדגישה כי אין לראות במדיניות אי ההפללה משום שיקול לקולה כאשר עסקינן בעבירות גידול סם. ב"כ המאשימה עתרה למתחם ענישה שבין 6 לבין 18 חודשי מאסר בפועל ולתמיכה הפנתה לפסיקה. בעניינו של הנאשם הסכימה התובעת כי אין המדובר במעבדה שהיא מן המשוכללות אך לצד זאת הפנתה לתכנון העבירה ולהצטיידות המקדימה שאפשרה ביצוע העבירה. ב"כ המאשימה ביקשה לדחות המלצת שירות המבחן באשר לביטול ההרשעה, שכן לא הוכח כל נזק קונקרטי ומהתסקיר עולה כי מדובר בחשש ערטילאי בלבד. לעניין העונש ציינה התובעת כי במרבית התיקים מסוג זה מדובר בנאשמים נורמטיביים אשר התסקירים בעניינם חיוביים מאוד ואין בנתונים אלו להצדיק ביטול הרשעה. עם זאת בשל אותם נתונים עתרה התובעת למקם את עונשו של הנאשם בתחתית מתחם הענישה והוסיפה כי עברו נקי וכי הודה והשתתף בהצלחה בהליך טיפולי בשירות המבחן. </w:t>
      </w:r>
      <w:r>
        <w:rPr>
          <w:rFonts w:cs="David" w:hint="cs"/>
          <w:sz w:val="24"/>
          <w:szCs w:val="24"/>
          <w:rtl/>
        </w:rPr>
        <w:t xml:space="preserve">לפיכך </w:t>
      </w:r>
      <w:r>
        <w:rPr>
          <w:rFonts w:cs="David"/>
          <w:sz w:val="24"/>
          <w:szCs w:val="24"/>
          <w:rtl/>
        </w:rPr>
        <w:t xml:space="preserve">ביקשה להשית על הנאשם שישה חודשי מאסר בעבודות שירות בנוסף למאסר מותנה, פסילה וקנס. </w:t>
      </w:r>
    </w:p>
    <w:p w14:paraId="42478B45" w14:textId="77777777" w:rsidR="000465D4" w:rsidRDefault="000465D4" w:rsidP="000465D4">
      <w:pPr>
        <w:pStyle w:val="a9"/>
        <w:numPr>
          <w:ilvl w:val="0"/>
          <w:numId w:val="1"/>
        </w:numPr>
        <w:spacing w:line="360" w:lineRule="auto"/>
        <w:ind w:left="368"/>
        <w:jc w:val="both"/>
        <w:rPr>
          <w:rFonts w:cs="David"/>
          <w:sz w:val="24"/>
          <w:szCs w:val="24"/>
        </w:rPr>
      </w:pPr>
      <w:r>
        <w:rPr>
          <w:rFonts w:cs="David"/>
          <w:sz w:val="24"/>
          <w:szCs w:val="24"/>
          <w:rtl/>
        </w:rPr>
        <w:t>ב"כ הנאשם ביקשה לאמץ את המלצות שירות המבחן ולבטל הרשעתו. לחלופין ביקשה ל</w:t>
      </w:r>
      <w:r>
        <w:rPr>
          <w:rFonts w:cs="David" w:hint="cs"/>
          <w:sz w:val="24"/>
          <w:szCs w:val="24"/>
          <w:rtl/>
        </w:rPr>
        <w:t>גזור</w:t>
      </w:r>
      <w:r>
        <w:rPr>
          <w:rFonts w:cs="David"/>
          <w:sz w:val="24"/>
          <w:szCs w:val="24"/>
          <w:rtl/>
        </w:rPr>
        <w:t xml:space="preserve"> עליו ענישה שאיננה כוללת עונש מאסר ולו בדרך של עבודות שירות. הסנגורית הדגישה בטיעוניה את נסיבות ביצוע עבירת הגידול וטענה כי זו מצויה ברף חומרה נמוך בהתחשב בציוד הדל והבסיסי שהנאשם השתמש בו ובמספרם הקטן של השתילים אשר מתיישב עם גידול לשם שימוש עצמי. על סמך פסיקה אליה הפנתה טענה הסנגורית כי מתחם הענישה </w:t>
      </w:r>
      <w:r>
        <w:rPr>
          <w:rFonts w:cs="David"/>
          <w:sz w:val="24"/>
          <w:szCs w:val="24"/>
          <w:rtl/>
        </w:rPr>
        <w:lastRenderedPageBreak/>
        <w:t xml:space="preserve">יכול שיתחיל ממאסר מותנה ולחילופין ביקשה לחרוג לקולה מטעמי שיקום. הסנגורית שמה דגש על נסיבותיו האישיות של הנאשם, על גילו הצעיר, ועל הליך השיקום המופלא שעבר ובסופו התרשמותו החיובית של שירות המבחן. כן ביקשה להתחשב במעצר הבית הממושך בו שהה הנאשם והעובדה שחזר להתגורר בבית הוריו בצפון הארץ והחל בדרך חדשה נורמטיבית ונקיה לחלוטין משימוש בסמים. הסנגורית הסכימה כי לא הוכח קיומו של נזק קונקרטי המהווה קריטריון לסיום הליך ללא הרשעה. משכך ביקשה לכל הפחות להסתפק בענישה צופה פני עתיד ולא לקטוע את הנתיב השיקומי עליו עלה הנאשם </w:t>
      </w:r>
      <w:r>
        <w:rPr>
          <w:rFonts w:cs="David" w:hint="cs"/>
          <w:sz w:val="24"/>
          <w:szCs w:val="24"/>
          <w:rtl/>
        </w:rPr>
        <w:t>מחשש</w:t>
      </w:r>
      <w:r>
        <w:rPr>
          <w:rFonts w:cs="David"/>
          <w:sz w:val="24"/>
          <w:szCs w:val="24"/>
          <w:rtl/>
        </w:rPr>
        <w:t xml:space="preserve"> </w:t>
      </w:r>
      <w:r>
        <w:rPr>
          <w:rFonts w:cs="David" w:hint="cs"/>
          <w:sz w:val="24"/>
          <w:szCs w:val="24"/>
          <w:rtl/>
        </w:rPr>
        <w:t>ש</w:t>
      </w:r>
      <w:r>
        <w:rPr>
          <w:rFonts w:cs="David"/>
          <w:sz w:val="24"/>
          <w:szCs w:val="24"/>
          <w:rtl/>
        </w:rPr>
        <w:t xml:space="preserve">ריצוי עבודות שירות </w:t>
      </w:r>
      <w:r>
        <w:rPr>
          <w:rFonts w:cs="David" w:hint="cs"/>
          <w:sz w:val="24"/>
          <w:szCs w:val="24"/>
          <w:rtl/>
        </w:rPr>
        <w:t>י</w:t>
      </w:r>
      <w:r>
        <w:rPr>
          <w:rFonts w:cs="David"/>
          <w:sz w:val="24"/>
          <w:szCs w:val="24"/>
          <w:rtl/>
        </w:rPr>
        <w:t xml:space="preserve">סיג מצבו לאחור. </w:t>
      </w:r>
    </w:p>
    <w:p w14:paraId="4DB6BE37" w14:textId="77777777" w:rsidR="000465D4" w:rsidRDefault="000465D4" w:rsidP="000465D4">
      <w:pPr>
        <w:pStyle w:val="a9"/>
        <w:numPr>
          <w:ilvl w:val="0"/>
          <w:numId w:val="1"/>
        </w:numPr>
        <w:spacing w:line="360" w:lineRule="auto"/>
        <w:ind w:left="368"/>
        <w:jc w:val="both"/>
        <w:rPr>
          <w:rFonts w:cs="David"/>
          <w:sz w:val="24"/>
          <w:szCs w:val="24"/>
        </w:rPr>
      </w:pPr>
      <w:r>
        <w:rPr>
          <w:rFonts w:cs="David"/>
          <w:sz w:val="24"/>
          <w:szCs w:val="24"/>
          <w:rtl/>
        </w:rPr>
        <w:t>הנאשם עצמו פנה לבית המשפט והביע בושה על הסיטואציה בה הוא נמצא</w:t>
      </w:r>
      <w:r>
        <w:rPr>
          <w:rFonts w:cs="David" w:hint="cs"/>
          <w:sz w:val="24"/>
          <w:szCs w:val="24"/>
          <w:rtl/>
        </w:rPr>
        <w:t>.</w:t>
      </w:r>
    </w:p>
    <w:p w14:paraId="76AC3040" w14:textId="77777777" w:rsidR="000465D4" w:rsidRDefault="000465D4" w:rsidP="000465D4">
      <w:pPr>
        <w:pStyle w:val="a9"/>
        <w:numPr>
          <w:ilvl w:val="0"/>
          <w:numId w:val="1"/>
        </w:numPr>
        <w:spacing w:line="360" w:lineRule="auto"/>
        <w:ind w:left="368"/>
        <w:jc w:val="both"/>
        <w:rPr>
          <w:rFonts w:cs="David"/>
          <w:sz w:val="24"/>
          <w:szCs w:val="24"/>
        </w:rPr>
      </w:pPr>
      <w:r>
        <w:rPr>
          <w:rFonts w:cs="David"/>
          <w:sz w:val="24"/>
          <w:szCs w:val="24"/>
          <w:rtl/>
        </w:rPr>
        <w:t xml:space="preserve">טרם מתן גזר הדין, על מנת לפרוש תמונה מלאה ומבלי לקבוע עמדה עונשית באותו שלב, מצאתי להפנות את הנאשם לממונה על עבודות השירות לבדיקת התאמה לריצוי מאסר בדרך זו. מחוות דעת שהתקבלה ביום 25.08.19 מצא הממונה את הנאשם כשיר לריצוי מאסר בדרך של עבודות שירות. </w:t>
      </w:r>
    </w:p>
    <w:p w14:paraId="46C3F326" w14:textId="77777777" w:rsidR="000465D4" w:rsidRDefault="000465D4" w:rsidP="000465D4">
      <w:pPr>
        <w:pStyle w:val="a9"/>
        <w:numPr>
          <w:ilvl w:val="0"/>
          <w:numId w:val="1"/>
        </w:numPr>
        <w:spacing w:line="360" w:lineRule="auto"/>
        <w:ind w:left="368"/>
        <w:jc w:val="both"/>
        <w:rPr>
          <w:rFonts w:cs="David"/>
          <w:sz w:val="24"/>
          <w:szCs w:val="24"/>
        </w:rPr>
      </w:pPr>
      <w:r>
        <w:rPr>
          <w:rFonts w:cs="David" w:hint="cs"/>
          <w:sz w:val="24"/>
          <w:szCs w:val="24"/>
          <w:rtl/>
        </w:rPr>
        <w:t xml:space="preserve">בדיון שהתקיים היום מסר הנאשם כי החל לימודיו במכינה לקראת השתלבותו בלימודים למדעי המחשב. </w:t>
      </w:r>
    </w:p>
    <w:p w14:paraId="6653C1DC" w14:textId="77777777" w:rsidR="000465D4" w:rsidRDefault="000465D4" w:rsidP="000465D4">
      <w:pPr>
        <w:pStyle w:val="2"/>
        <w:spacing w:line="360" w:lineRule="auto"/>
        <w:ind w:left="84"/>
        <w:jc w:val="both"/>
        <w:rPr>
          <w:rFonts w:cs="David"/>
          <w:b/>
          <w:bCs/>
          <w:color w:val="auto"/>
          <w:sz w:val="24"/>
          <w:szCs w:val="24"/>
        </w:rPr>
      </w:pPr>
      <w:r>
        <w:rPr>
          <w:rFonts w:cs="David"/>
          <w:b/>
          <w:bCs/>
          <w:color w:val="auto"/>
          <w:sz w:val="24"/>
          <w:szCs w:val="24"/>
          <w:rtl/>
        </w:rPr>
        <w:t>שאלת ביטול ההרשעה</w:t>
      </w:r>
    </w:p>
    <w:p w14:paraId="3640F295" w14:textId="77777777" w:rsidR="000465D4" w:rsidRDefault="000465D4" w:rsidP="000465D4">
      <w:pPr>
        <w:pStyle w:val="a9"/>
        <w:numPr>
          <w:ilvl w:val="0"/>
          <w:numId w:val="1"/>
        </w:numPr>
        <w:spacing w:line="360" w:lineRule="auto"/>
        <w:ind w:left="368"/>
        <w:jc w:val="both"/>
        <w:rPr>
          <w:rFonts w:cs="David"/>
          <w:sz w:val="24"/>
          <w:szCs w:val="24"/>
          <w:rtl/>
        </w:rPr>
      </w:pPr>
      <w:r>
        <w:rPr>
          <w:rFonts w:cs="David"/>
          <w:sz w:val="24"/>
          <w:szCs w:val="24"/>
          <w:rtl/>
        </w:rPr>
        <w:t>הכללים שנקבעו לפני כעשרים שנה בהלכת כתב עודם שרירים וקיימים ומתווים את הדרך (</w:t>
      </w:r>
      <w:hyperlink r:id="rId11" w:history="1">
        <w:r w:rsidR="004E064D" w:rsidRPr="004E064D">
          <w:rPr>
            <w:rFonts w:cs="David" w:hint="cs"/>
            <w:color w:val="0000FF"/>
            <w:sz w:val="24"/>
            <w:szCs w:val="24"/>
            <w:u w:val="single"/>
            <w:rtl/>
          </w:rPr>
          <w:t>ע</w:t>
        </w:r>
        <w:r w:rsidR="004E064D" w:rsidRPr="004E064D">
          <w:rPr>
            <w:rFonts w:cs="David"/>
            <w:color w:val="0000FF"/>
            <w:sz w:val="24"/>
            <w:szCs w:val="24"/>
            <w:u w:val="single"/>
            <w:rtl/>
          </w:rPr>
          <w:t>"</w:t>
        </w:r>
        <w:r w:rsidR="004E064D" w:rsidRPr="004E064D">
          <w:rPr>
            <w:rFonts w:cs="David" w:hint="cs"/>
            <w:color w:val="0000FF"/>
            <w:sz w:val="24"/>
            <w:szCs w:val="24"/>
            <w:u w:val="single"/>
            <w:rtl/>
          </w:rPr>
          <w:t>פ</w:t>
        </w:r>
        <w:r w:rsidR="004E064D" w:rsidRPr="004E064D">
          <w:rPr>
            <w:rFonts w:cs="David"/>
            <w:color w:val="0000FF"/>
            <w:sz w:val="24"/>
            <w:szCs w:val="24"/>
            <w:u w:val="single"/>
            <w:rtl/>
          </w:rPr>
          <w:t xml:space="preserve"> 2083/96 </w:t>
        </w:r>
        <w:r w:rsidR="004E064D" w:rsidRPr="004E064D">
          <w:rPr>
            <w:rFonts w:cs="David" w:hint="cs"/>
            <w:color w:val="0000FF"/>
            <w:sz w:val="24"/>
            <w:szCs w:val="24"/>
            <w:u w:val="single"/>
            <w:rtl/>
          </w:rPr>
          <w:t>כתב</w:t>
        </w:r>
        <w:r w:rsidR="004E064D" w:rsidRPr="004E064D">
          <w:rPr>
            <w:rFonts w:cs="David"/>
            <w:color w:val="0000FF"/>
            <w:sz w:val="24"/>
            <w:szCs w:val="24"/>
            <w:u w:val="single"/>
            <w:rtl/>
          </w:rPr>
          <w:t xml:space="preserve"> </w:t>
        </w:r>
        <w:r w:rsidR="004E064D" w:rsidRPr="004E064D">
          <w:rPr>
            <w:rFonts w:cs="David" w:hint="cs"/>
            <w:color w:val="0000FF"/>
            <w:sz w:val="24"/>
            <w:szCs w:val="24"/>
            <w:u w:val="single"/>
            <w:rtl/>
          </w:rPr>
          <w:t>נ</w:t>
        </w:r>
        <w:r w:rsidR="004E064D" w:rsidRPr="004E064D">
          <w:rPr>
            <w:rFonts w:cs="David"/>
            <w:color w:val="0000FF"/>
            <w:sz w:val="24"/>
            <w:szCs w:val="24"/>
            <w:u w:val="single"/>
            <w:rtl/>
          </w:rPr>
          <w:t xml:space="preserve">' </w:t>
        </w:r>
        <w:r w:rsidR="004E064D" w:rsidRPr="004E064D">
          <w:rPr>
            <w:rFonts w:cs="David" w:hint="cs"/>
            <w:color w:val="0000FF"/>
            <w:sz w:val="24"/>
            <w:szCs w:val="24"/>
            <w:u w:val="single"/>
            <w:rtl/>
          </w:rPr>
          <w:t>מדינת</w:t>
        </w:r>
        <w:r w:rsidR="004E064D" w:rsidRPr="004E064D">
          <w:rPr>
            <w:rFonts w:cs="David"/>
            <w:color w:val="0000FF"/>
            <w:sz w:val="24"/>
            <w:szCs w:val="24"/>
            <w:u w:val="single"/>
            <w:rtl/>
          </w:rPr>
          <w:t xml:space="preserve"> </w:t>
        </w:r>
        <w:r w:rsidR="004E064D" w:rsidRPr="004E064D">
          <w:rPr>
            <w:rFonts w:cs="David" w:hint="cs"/>
            <w:color w:val="0000FF"/>
            <w:sz w:val="24"/>
            <w:szCs w:val="24"/>
            <w:u w:val="single"/>
            <w:rtl/>
          </w:rPr>
          <w:t>ישראל</w:t>
        </w:r>
        <w:r w:rsidR="004E064D" w:rsidRPr="004E064D">
          <w:rPr>
            <w:rFonts w:cs="David"/>
            <w:color w:val="0000FF"/>
            <w:sz w:val="24"/>
            <w:szCs w:val="24"/>
            <w:u w:val="single"/>
            <w:rtl/>
          </w:rPr>
          <w:t xml:space="preserve"> </w:t>
        </w:r>
        <w:r w:rsidR="004E064D" w:rsidRPr="004E064D">
          <w:rPr>
            <w:rFonts w:cs="David" w:hint="cs"/>
            <w:color w:val="0000FF"/>
            <w:sz w:val="24"/>
            <w:szCs w:val="24"/>
            <w:u w:val="single"/>
            <w:rtl/>
          </w:rPr>
          <w:t>פ</w:t>
        </w:r>
        <w:r w:rsidR="004E064D" w:rsidRPr="004E064D">
          <w:rPr>
            <w:rFonts w:cs="David"/>
            <w:color w:val="0000FF"/>
            <w:sz w:val="24"/>
            <w:szCs w:val="24"/>
            <w:u w:val="single"/>
            <w:rtl/>
          </w:rPr>
          <w:t>"</w:t>
        </w:r>
        <w:r w:rsidR="004E064D" w:rsidRPr="004E064D">
          <w:rPr>
            <w:rFonts w:cs="David" w:hint="cs"/>
            <w:color w:val="0000FF"/>
            <w:sz w:val="24"/>
            <w:szCs w:val="24"/>
            <w:u w:val="single"/>
            <w:rtl/>
          </w:rPr>
          <w:t>ד</w:t>
        </w:r>
        <w:r w:rsidR="004E064D" w:rsidRPr="004E064D">
          <w:rPr>
            <w:rFonts w:cs="David"/>
            <w:color w:val="0000FF"/>
            <w:sz w:val="24"/>
            <w:szCs w:val="24"/>
            <w:u w:val="single"/>
            <w:rtl/>
          </w:rPr>
          <w:t xml:space="preserve"> </w:t>
        </w:r>
        <w:r w:rsidR="004E064D" w:rsidRPr="004E064D">
          <w:rPr>
            <w:rFonts w:cs="David" w:hint="cs"/>
            <w:color w:val="0000FF"/>
            <w:sz w:val="24"/>
            <w:szCs w:val="24"/>
            <w:u w:val="single"/>
            <w:rtl/>
          </w:rPr>
          <w:t>נב</w:t>
        </w:r>
      </w:hyperlink>
      <w:r>
        <w:rPr>
          <w:rFonts w:cs="David"/>
          <w:sz w:val="24"/>
          <w:szCs w:val="24"/>
          <w:rtl/>
        </w:rPr>
        <w:t xml:space="preserve">(3) 337). הרשעה היא הכלל. על מנת לחרוג מן הכלל ולבטל הרשעה יש לשכנע את בית המשפט כי הימנעות מהרשעה לא תהווה פגיעה גדולה מידי באינטרס הציבורי נוכח חומרת העבירה ובנוסף כי הרשעה תסב נזק קונקרטי ובלתי מידתי לנאשם ואף עלולה לפגוע בסיכויי שיקומו  </w:t>
      </w:r>
      <w:r>
        <w:rPr>
          <w:rFonts w:ascii="Arial" w:hAnsi="Arial" w:cs="David"/>
          <w:sz w:val="24"/>
          <w:szCs w:val="24"/>
          <w:rtl/>
        </w:rPr>
        <w:t xml:space="preserve">(ראו </w:t>
      </w:r>
      <w:hyperlink r:id="rId12" w:history="1">
        <w:r w:rsidR="004E064D" w:rsidRPr="004E064D">
          <w:rPr>
            <w:rFonts w:ascii="Arial" w:hAnsi="Arial" w:cs="David"/>
            <w:color w:val="0000FF"/>
            <w:sz w:val="24"/>
            <w:szCs w:val="24"/>
            <w:u w:val="single"/>
            <w:rtl/>
          </w:rPr>
          <w:t>רע"פ 8453/15</w:t>
        </w:r>
      </w:hyperlink>
      <w:r>
        <w:rPr>
          <w:rFonts w:ascii="Arial" w:hAnsi="Arial" w:cs="David"/>
          <w:sz w:val="24"/>
          <w:szCs w:val="24"/>
          <w:rtl/>
        </w:rPr>
        <w:t xml:space="preserve"> </w:t>
      </w:r>
      <w:r>
        <w:rPr>
          <w:rFonts w:ascii="Arial" w:hAnsi="Arial" w:cs="David"/>
          <w:b/>
          <w:bCs/>
          <w:sz w:val="24"/>
          <w:szCs w:val="24"/>
          <w:rtl/>
        </w:rPr>
        <w:t>פלוני</w:t>
      </w:r>
      <w:r>
        <w:rPr>
          <w:rFonts w:ascii="Arial" w:hAnsi="Arial" w:cs="David"/>
          <w:b/>
          <w:bCs/>
          <w:sz w:val="24"/>
          <w:szCs w:val="24"/>
        </w:rPr>
        <w:t xml:space="preserve"> </w:t>
      </w:r>
      <w:r>
        <w:rPr>
          <w:rFonts w:ascii="Arial" w:hAnsi="Arial" w:cs="David"/>
          <w:b/>
          <w:bCs/>
          <w:sz w:val="24"/>
          <w:szCs w:val="24"/>
          <w:rtl/>
        </w:rPr>
        <w:t>נ. מדינת</w:t>
      </w:r>
      <w:r>
        <w:rPr>
          <w:rFonts w:ascii="Arial" w:hAnsi="Arial" w:cs="David"/>
          <w:b/>
          <w:bCs/>
          <w:sz w:val="24"/>
          <w:szCs w:val="24"/>
        </w:rPr>
        <w:t xml:space="preserve"> </w:t>
      </w:r>
      <w:r>
        <w:rPr>
          <w:rFonts w:ascii="Arial" w:hAnsi="Arial" w:cs="David"/>
          <w:b/>
          <w:bCs/>
          <w:sz w:val="24"/>
          <w:szCs w:val="24"/>
          <w:rtl/>
        </w:rPr>
        <w:t>ישראל</w:t>
      </w:r>
      <w:r>
        <w:rPr>
          <w:rFonts w:cs="David"/>
          <w:sz w:val="24"/>
          <w:szCs w:val="24"/>
          <w:rtl/>
        </w:rPr>
        <w:t>,</w:t>
      </w:r>
      <w:r>
        <w:rPr>
          <w:rFonts w:ascii="Arial" w:hAnsi="Arial" w:cs="David"/>
          <w:sz w:val="24"/>
          <w:szCs w:val="24"/>
          <w:rtl/>
        </w:rPr>
        <w:t xml:space="preserve"> </w:t>
      </w:r>
      <w:hyperlink r:id="rId13" w:history="1">
        <w:r w:rsidR="004E064D" w:rsidRPr="004E064D">
          <w:rPr>
            <w:rFonts w:ascii="Arial" w:hAnsi="Arial" w:cs="David"/>
            <w:color w:val="0000FF"/>
            <w:sz w:val="24"/>
            <w:szCs w:val="24"/>
            <w:u w:val="single"/>
            <w:rtl/>
          </w:rPr>
          <w:t>רע"פ 8663/15</w:t>
        </w:r>
      </w:hyperlink>
      <w:r>
        <w:rPr>
          <w:rFonts w:ascii="Arial" w:hAnsi="Arial" w:cs="David"/>
          <w:sz w:val="24"/>
          <w:szCs w:val="24"/>
        </w:rPr>
        <w:t xml:space="preserve"> </w:t>
      </w:r>
      <w:r>
        <w:rPr>
          <w:rFonts w:ascii="Arial" w:hAnsi="Arial" w:cs="David"/>
          <w:b/>
          <w:bCs/>
          <w:sz w:val="24"/>
          <w:szCs w:val="24"/>
          <w:rtl/>
        </w:rPr>
        <w:t>‏לוזנאנו</w:t>
      </w:r>
      <w:r>
        <w:rPr>
          <w:rFonts w:ascii="Arial" w:hAnsi="Arial" w:cs="David"/>
          <w:b/>
          <w:bCs/>
          <w:sz w:val="24"/>
          <w:szCs w:val="24"/>
        </w:rPr>
        <w:t xml:space="preserve"> </w:t>
      </w:r>
      <w:r>
        <w:rPr>
          <w:rFonts w:ascii="Arial" w:hAnsi="Arial" w:cs="David"/>
          <w:b/>
          <w:bCs/>
          <w:sz w:val="24"/>
          <w:szCs w:val="24"/>
          <w:rtl/>
        </w:rPr>
        <w:t>נ' מדינת</w:t>
      </w:r>
      <w:r>
        <w:rPr>
          <w:rFonts w:ascii="Arial" w:hAnsi="Arial" w:cs="David"/>
          <w:b/>
          <w:bCs/>
          <w:sz w:val="24"/>
          <w:szCs w:val="24"/>
        </w:rPr>
        <w:t xml:space="preserve"> </w:t>
      </w:r>
      <w:r>
        <w:rPr>
          <w:rFonts w:ascii="Arial" w:hAnsi="Arial" w:cs="David"/>
          <w:b/>
          <w:bCs/>
          <w:sz w:val="24"/>
          <w:szCs w:val="24"/>
          <w:rtl/>
        </w:rPr>
        <w:t xml:space="preserve">ישראל </w:t>
      </w:r>
      <w:r>
        <w:rPr>
          <w:rFonts w:ascii="Arial" w:hAnsi="Arial" w:cs="David"/>
          <w:sz w:val="24"/>
          <w:szCs w:val="24"/>
          <w:rtl/>
        </w:rPr>
        <w:t xml:space="preserve">(22.12.15), </w:t>
      </w:r>
      <w:hyperlink r:id="rId14" w:history="1">
        <w:r w:rsidR="004E064D" w:rsidRPr="004E064D">
          <w:rPr>
            <w:rFonts w:ascii="Arial" w:hAnsi="Arial" w:cs="David"/>
            <w:color w:val="0000FF"/>
            <w:sz w:val="24"/>
            <w:szCs w:val="24"/>
            <w:u w:val="single"/>
            <w:rtl/>
          </w:rPr>
          <w:t>רע"פ 9118/12</w:t>
        </w:r>
      </w:hyperlink>
      <w:r>
        <w:rPr>
          <w:rFonts w:ascii="Arial" w:hAnsi="Arial" w:cs="David"/>
          <w:sz w:val="24"/>
          <w:szCs w:val="24"/>
          <w:rtl/>
        </w:rPr>
        <w:t xml:space="preserve">, </w:t>
      </w:r>
      <w:r>
        <w:rPr>
          <w:rFonts w:ascii="Arial" w:hAnsi="Arial" w:cs="David"/>
          <w:b/>
          <w:bCs/>
          <w:sz w:val="24"/>
          <w:szCs w:val="24"/>
          <w:rtl/>
        </w:rPr>
        <w:t>פריגין נ' מדינת ישראל</w:t>
      </w:r>
      <w:r>
        <w:rPr>
          <w:rFonts w:ascii="Arial" w:hAnsi="Arial" w:cs="David"/>
          <w:sz w:val="24"/>
          <w:szCs w:val="24"/>
          <w:rtl/>
        </w:rPr>
        <w:t>, (01.01.13). הרשעה נותנת ביטוי להיבט הנורמטיבי של ביצוע עבירה ו</w:t>
      </w:r>
      <w:r>
        <w:rPr>
          <w:rFonts w:ascii="Arial" w:hAnsi="Arial" w:cs="David" w:hint="cs"/>
          <w:sz w:val="24"/>
          <w:szCs w:val="24"/>
          <w:rtl/>
        </w:rPr>
        <w:t>כבר נפסק כי</w:t>
      </w:r>
      <w:r>
        <w:rPr>
          <w:rFonts w:ascii="Arial" w:hAnsi="Arial" w:cs="David"/>
          <w:sz w:val="24"/>
          <w:szCs w:val="24"/>
          <w:rtl/>
        </w:rPr>
        <w:t xml:space="preserve"> "מן הראוי שהיבט זה יכתיב את התוצאה" ראו פסקה 8 לפסק הדין ב</w:t>
      </w:r>
      <w:hyperlink r:id="rId15" w:history="1">
        <w:r w:rsidR="004E064D" w:rsidRPr="004E064D">
          <w:rPr>
            <w:rFonts w:ascii="David" w:hAnsi="David" w:cs="David"/>
            <w:color w:val="0000FF"/>
            <w:sz w:val="24"/>
            <w:szCs w:val="24"/>
            <w:u w:val="single"/>
            <w:rtl/>
          </w:rPr>
          <w:t>עפ"ג (מחוזי ת"א) 41723-11-14</w:t>
        </w:r>
      </w:hyperlink>
      <w:r>
        <w:rPr>
          <w:rFonts w:ascii="David" w:hAnsi="David" w:cs="David"/>
          <w:sz w:val="24"/>
          <w:szCs w:val="24"/>
          <w:rtl/>
        </w:rPr>
        <w:t xml:space="preserve"> </w:t>
      </w:r>
      <w:r>
        <w:rPr>
          <w:rFonts w:ascii="David" w:hAnsi="David" w:cs="David"/>
          <w:b/>
          <w:bCs/>
          <w:sz w:val="24"/>
          <w:szCs w:val="24"/>
          <w:rtl/>
        </w:rPr>
        <w:t>פודגורני נ' מדינת ישראל</w:t>
      </w:r>
      <w:r>
        <w:rPr>
          <w:rFonts w:ascii="David" w:hAnsi="David" w:cs="David"/>
          <w:sz w:val="24"/>
          <w:szCs w:val="24"/>
          <w:rtl/>
        </w:rPr>
        <w:t xml:space="preserve"> (7.10.15).</w:t>
      </w:r>
      <w:r>
        <w:rPr>
          <w:rFonts w:cs="David" w:hint="cs"/>
          <w:sz w:val="24"/>
          <w:szCs w:val="24"/>
        </w:rPr>
        <w:t xml:space="preserve"> </w:t>
      </w:r>
    </w:p>
    <w:p w14:paraId="74A719EA" w14:textId="77777777" w:rsidR="000465D4" w:rsidRDefault="000465D4" w:rsidP="000465D4">
      <w:pPr>
        <w:pStyle w:val="a9"/>
        <w:numPr>
          <w:ilvl w:val="0"/>
          <w:numId w:val="1"/>
        </w:numPr>
        <w:spacing w:line="360" w:lineRule="auto"/>
        <w:ind w:left="368"/>
        <w:jc w:val="both"/>
        <w:rPr>
          <w:rFonts w:ascii="David" w:hAnsi="David" w:cs="David"/>
          <w:sz w:val="24"/>
          <w:szCs w:val="24"/>
        </w:rPr>
      </w:pPr>
      <w:r>
        <w:rPr>
          <w:rFonts w:cs="David"/>
          <w:sz w:val="24"/>
          <w:szCs w:val="24"/>
          <w:rtl/>
        </w:rPr>
        <w:t xml:space="preserve">עניינו של כל נאשם נבחן בזהירות תוך הצבת נתוניו האישיים המיוחדים על שתי כפות המאזניים. על האחת מונח האינטרס הציבורי הכולל גם את החובה להבטיח אכיפה </w:t>
      </w:r>
      <w:r>
        <w:rPr>
          <w:rFonts w:cs="David"/>
          <w:b/>
          <w:bCs/>
          <w:sz w:val="24"/>
          <w:szCs w:val="24"/>
          <w:rtl/>
        </w:rPr>
        <w:t>שוויונית</w:t>
      </w:r>
      <w:r>
        <w:rPr>
          <w:rFonts w:cs="David"/>
          <w:sz w:val="24"/>
          <w:szCs w:val="24"/>
          <w:rtl/>
        </w:rPr>
        <w:t xml:space="preserve">. על השנייה מונחות נסיבותיו האישיות והייחודיות של הנאשם ובכללן העדר עבר פלילי, גילו והנזק הצפוי לו מהרשעה. </w:t>
      </w:r>
    </w:p>
    <w:p w14:paraId="499A1367" w14:textId="77777777" w:rsidR="000465D4" w:rsidRDefault="000465D4" w:rsidP="000465D4">
      <w:pPr>
        <w:pStyle w:val="a9"/>
        <w:numPr>
          <w:ilvl w:val="0"/>
          <w:numId w:val="1"/>
        </w:numPr>
        <w:spacing w:line="360" w:lineRule="auto"/>
        <w:ind w:left="368"/>
        <w:jc w:val="both"/>
        <w:rPr>
          <w:rFonts w:ascii="David" w:hAnsi="David" w:cs="David"/>
          <w:sz w:val="24"/>
          <w:szCs w:val="24"/>
        </w:rPr>
      </w:pPr>
      <w:r>
        <w:rPr>
          <w:rFonts w:cs="David"/>
          <w:sz w:val="24"/>
          <w:szCs w:val="24"/>
          <w:rtl/>
        </w:rPr>
        <w:t>שקלתי בכובד ראש עתירת הנאשם אך לא אוכל להיעתר לבקשה לביטול הרשעתו שכן אין הוא עומד בקריטריונים שקבעו בפסיקה. על חומרת העבירה ועל הצורך בשמירה על האינטרס הציבורי בדרך של ענישה הולמת ובכלל זה הרשעה אעמוד להלן בעת בחינת הערכים המוגנים העומדים בבסיס העבירה. בשלב זה די באי התקיימות התנאי בענין נזק קונקרטי מחמת ההרשעה. הנאשם נמצא בתחילת דרכו המקצועית עוד בטרם לימודי מקצוע ושאלת הנזק רחוקה מלהיות מוחשית. בעיתוי הנוכחי לא ברור האמנם תסב הרשעה נזק לעיסוקו של הנאשם והטענה אינה נשענת על עובדות אלא על חששות מן העתיד לבוא. בקשה דומה מאד בנסיבותיה הועלתה ונדחתה ב</w:t>
      </w:r>
      <w:hyperlink r:id="rId16" w:history="1">
        <w:r w:rsidR="004E064D" w:rsidRPr="004E064D">
          <w:rPr>
            <w:rFonts w:cs="David" w:hint="cs"/>
            <w:color w:val="0000FF"/>
            <w:sz w:val="24"/>
            <w:szCs w:val="24"/>
            <w:u w:val="single"/>
            <w:rtl/>
          </w:rPr>
          <w:t>רע</w:t>
        </w:r>
        <w:r w:rsidR="004E064D" w:rsidRPr="004E064D">
          <w:rPr>
            <w:rFonts w:cs="David"/>
            <w:color w:val="0000FF"/>
            <w:sz w:val="24"/>
            <w:szCs w:val="24"/>
            <w:u w:val="single"/>
            <w:rtl/>
          </w:rPr>
          <w:t>"</w:t>
        </w:r>
        <w:r w:rsidR="004E064D" w:rsidRPr="004E064D">
          <w:rPr>
            <w:rFonts w:cs="David" w:hint="cs"/>
            <w:color w:val="0000FF"/>
            <w:sz w:val="24"/>
            <w:szCs w:val="24"/>
            <w:u w:val="single"/>
            <w:rtl/>
          </w:rPr>
          <w:t>פ</w:t>
        </w:r>
        <w:r w:rsidR="004E064D" w:rsidRPr="004E064D">
          <w:rPr>
            <w:rFonts w:cs="David"/>
            <w:color w:val="0000FF"/>
            <w:sz w:val="24"/>
            <w:szCs w:val="24"/>
            <w:u w:val="single"/>
            <w:rtl/>
          </w:rPr>
          <w:t xml:space="preserve"> 5261/18</w:t>
        </w:r>
      </w:hyperlink>
      <w:r>
        <w:rPr>
          <w:rFonts w:cs="David"/>
          <w:sz w:val="24"/>
          <w:szCs w:val="24"/>
          <w:rtl/>
        </w:rPr>
        <w:t xml:space="preserve"> </w:t>
      </w:r>
      <w:r>
        <w:rPr>
          <w:rFonts w:cs="David"/>
          <w:b/>
          <w:bCs/>
          <w:sz w:val="24"/>
          <w:szCs w:val="24"/>
          <w:rtl/>
        </w:rPr>
        <w:t>דוידוף נ' מדינת ישראל</w:t>
      </w:r>
      <w:r>
        <w:rPr>
          <w:rFonts w:cs="David"/>
          <w:sz w:val="24"/>
          <w:szCs w:val="24"/>
          <w:rtl/>
        </w:rPr>
        <w:t xml:space="preserve"> (12.07.18</w:t>
      </w:r>
      <w:r>
        <w:rPr>
          <w:rFonts w:ascii="David" w:hAnsi="David" w:cs="David"/>
          <w:sz w:val="24"/>
          <w:szCs w:val="24"/>
          <w:rtl/>
        </w:rPr>
        <w:t xml:space="preserve">) מן הטעם שלא הוכח נזק קונקרטי. </w:t>
      </w:r>
    </w:p>
    <w:p w14:paraId="36E737C0" w14:textId="77777777" w:rsidR="000465D4" w:rsidRDefault="000465D4" w:rsidP="000465D4">
      <w:pPr>
        <w:pStyle w:val="a9"/>
        <w:numPr>
          <w:ilvl w:val="0"/>
          <w:numId w:val="1"/>
        </w:numPr>
        <w:spacing w:line="360" w:lineRule="auto"/>
        <w:ind w:left="368"/>
        <w:jc w:val="both"/>
        <w:rPr>
          <w:rFonts w:cs="David"/>
          <w:b/>
          <w:bCs/>
          <w:sz w:val="24"/>
          <w:szCs w:val="24"/>
        </w:rPr>
      </w:pPr>
      <w:r>
        <w:rPr>
          <w:rFonts w:cs="David"/>
          <w:sz w:val="24"/>
          <w:szCs w:val="24"/>
          <w:rtl/>
        </w:rPr>
        <w:t>אני דוחה את הבקשה לביטול הרשעה.</w:t>
      </w:r>
    </w:p>
    <w:p w14:paraId="5F5298B7" w14:textId="77777777" w:rsidR="000465D4" w:rsidRDefault="000465D4" w:rsidP="000465D4">
      <w:pPr>
        <w:spacing w:line="360" w:lineRule="auto"/>
        <w:ind w:left="8"/>
        <w:jc w:val="both"/>
        <w:rPr>
          <w:b/>
          <w:bCs/>
        </w:rPr>
      </w:pPr>
      <w:r>
        <w:rPr>
          <w:b/>
          <w:bCs/>
          <w:rtl/>
        </w:rPr>
        <w:t>מתחם העונש ההולם</w:t>
      </w:r>
    </w:p>
    <w:p w14:paraId="7EB987C2" w14:textId="77777777" w:rsidR="000465D4" w:rsidRDefault="000465D4" w:rsidP="000465D4">
      <w:pPr>
        <w:pStyle w:val="a9"/>
        <w:numPr>
          <w:ilvl w:val="0"/>
          <w:numId w:val="1"/>
        </w:numPr>
        <w:spacing w:after="0" w:line="360" w:lineRule="auto"/>
        <w:ind w:left="368"/>
        <w:jc w:val="both"/>
        <w:rPr>
          <w:rFonts w:eastAsia="Times New Roman" w:cs="David"/>
          <w:sz w:val="24"/>
          <w:szCs w:val="24"/>
          <w:rtl/>
        </w:rPr>
      </w:pPr>
      <w:r>
        <w:rPr>
          <w:rFonts w:ascii="Arial" w:hAnsi="Arial" w:cs="David"/>
          <w:b/>
          <w:bCs/>
          <w:sz w:val="24"/>
          <w:szCs w:val="24"/>
          <w:rtl/>
        </w:rPr>
        <w:t>הערכים</w:t>
      </w:r>
      <w:r>
        <w:rPr>
          <w:rFonts w:cs="David"/>
          <w:b/>
          <w:bCs/>
          <w:sz w:val="24"/>
          <w:szCs w:val="24"/>
          <w:rtl/>
        </w:rPr>
        <w:t xml:space="preserve"> המוגנים –</w:t>
      </w:r>
      <w:r>
        <w:rPr>
          <w:rFonts w:ascii="Arial" w:hAnsi="Arial" w:cs="David"/>
          <w:sz w:val="24"/>
          <w:szCs w:val="24"/>
          <w:rtl/>
        </w:rPr>
        <w:t xml:space="preserve"> </w:t>
      </w:r>
      <w:r>
        <w:rPr>
          <w:rFonts w:eastAsia="Times New Roman" w:cs="David"/>
          <w:sz w:val="24"/>
          <w:szCs w:val="24"/>
          <w:rtl/>
        </w:rPr>
        <w:t>בתי המשפט עמדו על נפיצותן של עבירות גידול הסמים עד כדי הגדרתן כ"מכת מדינה". כתבי האישום הרבים שמוגשים מגלים כמה נפוץ גידול סמים בדירות מגורים ולא אחת תוצרי הגידול הם סמים בכמויות גדולות. הצלחת הגידול והכמויות הגדולות עלולות להביא להגדלת מעגל המשתמשים ולהכנסה של סמים לשימוש צרכנים חדשים. החוק אינו מבחין בין גידול לשימוש עצמי לבין גידול למטרת סחר מתוך הבנה שהערכים המוגנים הטעונים הגנה הם אותם ערכים כלומר הצורך למנוע הוספת כמויות גדולות של סמים נגישים אשר בסופו של יום נמצא מי שמשתמש בהם. גידול סמים פוגע בערכים מוגנים בסיסיים של שמירה על בריאות הציבור והגנה עליו מפני תופעות הלוואי הנספחות להתמכרויות באשר הן. כצעד להגנה על ערכים אלו נקבע לצד עבירת הגידול עונש שכמוהו כעונש על סחר בסמים כלומר עד</w:t>
      </w:r>
      <w:r>
        <w:rPr>
          <w:rFonts w:cs="David"/>
          <w:sz w:val="24"/>
          <w:szCs w:val="24"/>
          <w:rtl/>
        </w:rPr>
        <w:t xml:space="preserve"> 20 שנות מאסר. </w:t>
      </w:r>
      <w:r>
        <w:rPr>
          <w:rFonts w:eastAsia="Times New Roman" w:cs="David"/>
          <w:sz w:val="24"/>
          <w:szCs w:val="24"/>
          <w:rtl/>
        </w:rPr>
        <w:t>ראו לדוגמא הדברים שנאמרו ב</w:t>
      </w:r>
      <w:hyperlink r:id="rId17" w:history="1">
        <w:r w:rsidR="004E064D" w:rsidRPr="004E064D">
          <w:rPr>
            <w:rFonts w:eastAsia="Times New Roman" w:cs="David" w:hint="eastAsia"/>
            <w:color w:val="0000FF"/>
            <w:sz w:val="24"/>
            <w:szCs w:val="24"/>
            <w:u w:val="single"/>
            <w:rtl/>
          </w:rPr>
          <w:t>עפ</w:t>
        </w:r>
        <w:r w:rsidR="004E064D" w:rsidRPr="004E064D">
          <w:rPr>
            <w:rFonts w:eastAsia="Times New Roman" w:cs="David"/>
            <w:color w:val="0000FF"/>
            <w:sz w:val="24"/>
            <w:szCs w:val="24"/>
            <w:u w:val="single"/>
            <w:rtl/>
          </w:rPr>
          <w:t>"</w:t>
        </w:r>
        <w:r w:rsidR="004E064D" w:rsidRPr="004E064D">
          <w:rPr>
            <w:rFonts w:eastAsia="Times New Roman" w:cs="David" w:hint="eastAsia"/>
            <w:color w:val="0000FF"/>
            <w:sz w:val="24"/>
            <w:szCs w:val="24"/>
            <w:u w:val="single"/>
            <w:rtl/>
          </w:rPr>
          <w:t>ג</w:t>
        </w:r>
        <w:r w:rsidR="004E064D" w:rsidRPr="004E064D">
          <w:rPr>
            <w:rFonts w:eastAsia="Times New Roman" w:cs="David"/>
            <w:color w:val="0000FF"/>
            <w:sz w:val="24"/>
            <w:szCs w:val="24"/>
            <w:u w:val="single"/>
            <w:rtl/>
          </w:rPr>
          <w:t xml:space="preserve"> 12819-11-15</w:t>
        </w:r>
      </w:hyperlink>
      <w:r>
        <w:rPr>
          <w:rFonts w:eastAsia="Times New Roman" w:cs="David"/>
          <w:sz w:val="24"/>
          <w:szCs w:val="24"/>
          <w:rtl/>
        </w:rPr>
        <w:t xml:space="preserve"> (מחוזי תל-אביב) </w:t>
      </w:r>
      <w:r>
        <w:rPr>
          <w:rFonts w:eastAsia="Times New Roman" w:cs="David"/>
          <w:b/>
          <w:bCs/>
          <w:sz w:val="24"/>
          <w:szCs w:val="24"/>
          <w:rtl/>
        </w:rPr>
        <w:t>מדינת ישראל נגד גיא בן צבי</w:t>
      </w:r>
      <w:r>
        <w:rPr>
          <w:rFonts w:eastAsia="Times New Roman" w:cs="David"/>
          <w:sz w:val="24"/>
          <w:szCs w:val="24"/>
          <w:rtl/>
        </w:rPr>
        <w:t xml:space="preserve"> (מיום 16.12.15) שם בפסקה 7:</w:t>
      </w:r>
    </w:p>
    <w:p w14:paraId="2E9A112B" w14:textId="77777777" w:rsidR="000465D4" w:rsidRDefault="000465D4" w:rsidP="000465D4">
      <w:pPr>
        <w:pStyle w:val="a9"/>
        <w:tabs>
          <w:tab w:val="left" w:pos="7739"/>
        </w:tabs>
        <w:spacing w:after="0" w:line="360" w:lineRule="auto"/>
        <w:ind w:left="935" w:right="709"/>
        <w:jc w:val="both"/>
        <w:rPr>
          <w:rFonts w:eastAsia="Times New Roman" w:cs="David"/>
          <w:sz w:val="24"/>
          <w:szCs w:val="24"/>
          <w:rtl/>
        </w:rPr>
      </w:pPr>
      <w:r>
        <w:rPr>
          <w:rFonts w:eastAsia="Times New Roman" w:cs="David"/>
          <w:b/>
          <w:bCs/>
          <w:sz w:val="24"/>
          <w:szCs w:val="24"/>
          <w:rtl/>
        </w:rPr>
        <w:t>"לצערנו, איננו יכולות לומר דברים שלא נאמרו מפינו כבר בתיקים קודמים בנושא זה, לרבות האמירה כי אין בתקופה האחרונה שבוע דיונים שבו אין ניצבות לפנינו לפחות שתיים–שלוש מעבדות סמים הממוקמות במקומות שונים שמפיקות כמויות סמים גדולות. אותן כמויות סמים עלולות למצוא את דרכן לשוק הסמים, על כל התוצאות הנובעות מכך. תופעת מעבדות הסמים הפכה לרעה חולה שמדינת ישראל כנראה לא מצאה עדיין את הכלים הנכונים להתמודד עמה, בוודאי לא במלוא היקפה. הדרך להקמת מעבדת סמים כנראה איננה מורכבת ומסובכת במיוחד, ושמא משום כך מעבדות צצות כפטריות אחרי הגשם והיו למכת מדינה."</w:t>
      </w:r>
    </w:p>
    <w:p w14:paraId="6791637A" w14:textId="77777777" w:rsidR="000465D4" w:rsidRDefault="000465D4" w:rsidP="000465D4">
      <w:pPr>
        <w:pStyle w:val="a9"/>
        <w:spacing w:after="0" w:line="360" w:lineRule="auto"/>
        <w:ind w:left="368"/>
        <w:jc w:val="both"/>
        <w:rPr>
          <w:rFonts w:eastAsia="Times New Roman" w:cs="David"/>
          <w:sz w:val="24"/>
          <w:szCs w:val="24"/>
          <w:rtl/>
        </w:rPr>
      </w:pPr>
      <w:r>
        <w:rPr>
          <w:rFonts w:eastAsia="Times New Roman" w:cs="David"/>
          <w:sz w:val="24"/>
          <w:szCs w:val="24"/>
          <w:rtl/>
        </w:rPr>
        <w:t>בית המשפט המחוזי חזר על הדברים גם לאחרונה</w:t>
      </w:r>
      <w:r>
        <w:rPr>
          <w:rFonts w:cs="David"/>
          <w:b/>
          <w:bCs/>
          <w:sz w:val="24"/>
          <w:szCs w:val="24"/>
          <w:u w:val="single"/>
          <w:rtl/>
        </w:rPr>
        <w:t xml:space="preserve"> ב</w:t>
      </w:r>
      <w:hyperlink r:id="rId18" w:history="1">
        <w:r w:rsidR="004E064D" w:rsidRPr="004E064D">
          <w:rPr>
            <w:rFonts w:cs="David" w:hint="cs"/>
            <w:b/>
            <w:bCs/>
            <w:color w:val="0000FF"/>
            <w:sz w:val="24"/>
            <w:szCs w:val="24"/>
            <w:u w:val="single"/>
            <w:rtl/>
          </w:rPr>
          <w:t>עפ</w:t>
        </w:r>
        <w:r w:rsidR="004E064D" w:rsidRPr="004E064D">
          <w:rPr>
            <w:rFonts w:cs="David"/>
            <w:b/>
            <w:bCs/>
            <w:color w:val="0000FF"/>
            <w:sz w:val="24"/>
            <w:szCs w:val="24"/>
            <w:u w:val="single"/>
            <w:rtl/>
          </w:rPr>
          <w:t>"</w:t>
        </w:r>
        <w:r w:rsidR="004E064D" w:rsidRPr="004E064D">
          <w:rPr>
            <w:rFonts w:cs="David" w:hint="cs"/>
            <w:b/>
            <w:bCs/>
            <w:color w:val="0000FF"/>
            <w:sz w:val="24"/>
            <w:szCs w:val="24"/>
            <w:u w:val="single"/>
            <w:rtl/>
          </w:rPr>
          <w:t>ג</w:t>
        </w:r>
        <w:r w:rsidR="004E064D" w:rsidRPr="004E064D">
          <w:rPr>
            <w:rFonts w:cs="David"/>
            <w:b/>
            <w:bCs/>
            <w:color w:val="0000FF"/>
            <w:sz w:val="24"/>
            <w:szCs w:val="24"/>
            <w:u w:val="single"/>
            <w:rtl/>
          </w:rPr>
          <w:t xml:space="preserve"> 68799-11-17</w:t>
        </w:r>
      </w:hyperlink>
      <w:r>
        <w:rPr>
          <w:rFonts w:cs="David"/>
          <w:b/>
          <w:bCs/>
          <w:sz w:val="24"/>
          <w:szCs w:val="24"/>
          <w:u w:val="single"/>
          <w:rtl/>
        </w:rPr>
        <w:t xml:space="preserve"> </w:t>
      </w:r>
      <w:r>
        <w:rPr>
          <w:rFonts w:cs="David"/>
          <w:b/>
          <w:bCs/>
          <w:sz w:val="24"/>
          <w:szCs w:val="24"/>
          <w:rtl/>
        </w:rPr>
        <w:t>מדינת ישראל נ' ויצמן</w:t>
      </w:r>
      <w:r>
        <w:rPr>
          <w:rFonts w:cs="David"/>
          <w:sz w:val="24"/>
          <w:szCs w:val="24"/>
          <w:rtl/>
        </w:rPr>
        <w:t xml:space="preserve"> (18.02.19 ופסק דין משלים מיום 03.06.19), אליו הפנתה הסנגורית ואליו אתייחס שוב בעת בחינת מדיניות הענישה ומתחם העונש ההולם. </w:t>
      </w:r>
    </w:p>
    <w:p w14:paraId="4FA23CC0" w14:textId="77777777" w:rsidR="000465D4" w:rsidRDefault="000465D4" w:rsidP="000465D4">
      <w:pPr>
        <w:pStyle w:val="a9"/>
        <w:numPr>
          <w:ilvl w:val="0"/>
          <w:numId w:val="1"/>
        </w:numPr>
        <w:spacing w:after="0" w:line="360" w:lineRule="auto"/>
        <w:ind w:left="368"/>
        <w:jc w:val="both"/>
        <w:rPr>
          <w:rFonts w:eastAsia="Times New Roman" w:cs="David"/>
          <w:sz w:val="24"/>
          <w:szCs w:val="24"/>
          <w:rtl/>
        </w:rPr>
      </w:pPr>
      <w:r>
        <w:rPr>
          <w:rFonts w:ascii="Arial" w:hAnsi="Arial" w:cs="David"/>
          <w:sz w:val="24"/>
          <w:szCs w:val="24"/>
          <w:rtl/>
        </w:rPr>
        <w:t xml:space="preserve">שאלת מטרת הגידול והכמות שהופקה בפועל אינה רלוונטית בעת בחינת הערכים המוגנים אך בעלת משמעות בשאלת </w:t>
      </w:r>
      <w:r>
        <w:rPr>
          <w:rFonts w:ascii="Arial" w:hAnsi="Arial" w:cs="David"/>
          <w:b/>
          <w:bCs/>
          <w:sz w:val="24"/>
          <w:szCs w:val="24"/>
          <w:rtl/>
        </w:rPr>
        <w:t xml:space="preserve">עוצמת הפגיעה באותם ערכים. </w:t>
      </w:r>
      <w:r>
        <w:rPr>
          <w:rFonts w:ascii="Arial" w:hAnsi="Arial" w:cs="David"/>
          <w:sz w:val="24"/>
          <w:szCs w:val="24"/>
          <w:rtl/>
        </w:rPr>
        <w:t>אין להתעלם מכך ש</w:t>
      </w:r>
      <w:r>
        <w:rPr>
          <w:rFonts w:cs="David"/>
          <w:sz w:val="24"/>
          <w:szCs w:val="24"/>
          <w:rtl/>
        </w:rPr>
        <w:t xml:space="preserve">לביצוע </w:t>
      </w:r>
      <w:r>
        <w:rPr>
          <w:rFonts w:ascii="Arial" w:hAnsi="Arial" w:cs="David"/>
          <w:sz w:val="24"/>
          <w:szCs w:val="24"/>
          <w:rtl/>
        </w:rPr>
        <w:t>העבירה</w:t>
      </w:r>
      <w:r>
        <w:rPr>
          <w:rFonts w:cs="David"/>
          <w:sz w:val="24"/>
          <w:szCs w:val="24"/>
          <w:rtl/>
        </w:rPr>
        <w:t xml:space="preserve"> קדם תכנון שכן הנאשם רכש ציוד גם אם ציוד בסיסי והלכה למעשה גידל מספר שתילים של סם מסוג קנבוס במשקל כולל של 3 ק"ג נטו.</w:t>
      </w:r>
      <w:r>
        <w:rPr>
          <w:rFonts w:ascii="Arial" w:hAnsi="Arial" w:cs="David"/>
          <w:b/>
          <w:bCs/>
          <w:sz w:val="24"/>
          <w:szCs w:val="24"/>
          <w:rtl/>
        </w:rPr>
        <w:t xml:space="preserve"> </w:t>
      </w:r>
      <w:r>
        <w:rPr>
          <w:rFonts w:ascii="Arial" w:hAnsi="Arial" w:cs="David"/>
          <w:sz w:val="24"/>
          <w:szCs w:val="24"/>
          <w:rtl/>
        </w:rPr>
        <w:t>עם זאת מוסכם על הצדדים כי בית הגידול אותו הקים הנאשם הוא בסיסי למדי ואינו מעבדה משוכללת.</w:t>
      </w:r>
      <w:r>
        <w:rPr>
          <w:rFonts w:ascii="Arial" w:hAnsi="Arial" w:cs="David"/>
          <w:b/>
          <w:bCs/>
          <w:sz w:val="24"/>
          <w:szCs w:val="24"/>
          <w:rtl/>
        </w:rPr>
        <w:t xml:space="preserve"> </w:t>
      </w:r>
      <w:r>
        <w:rPr>
          <w:rFonts w:cs="David"/>
          <w:sz w:val="24"/>
          <w:szCs w:val="24"/>
          <w:rtl/>
        </w:rPr>
        <w:t>מכלול הנסיבות בתיק זה מתיישב עם מסקנה שמטרת הגידול במקרה זה אכן נועדה לשימושו העצמי של הנאשם. כתב האישום המתוקן לא מייחס לנאשם החזקת סם שלא לצריכה עצמית, נמחק התואר 'מעבדה' ו</w:t>
      </w:r>
      <w:r>
        <w:rPr>
          <w:rFonts w:eastAsia="Times New Roman" w:cs="David"/>
          <w:sz w:val="24"/>
          <w:szCs w:val="24"/>
          <w:rtl/>
        </w:rPr>
        <w:t xml:space="preserve">במקום לא נמצאו כלים ייעודים לאריזת הסם ולהפצתו. בנוסף כמות השתילים והעובדה שהציוד אינו כזה המחייב השקעה כספית גדולה, אינם מלמדים בהכרח על הפצה. מבחינה זו חומרת מקרה זה נופלת מחומרת מקרים אחרים בהם הוקמו מעבדות המעידות על עצמן מניע של הפצת סם. בנסיבות אלה מידת הפגיעה בערכים המוגנים אינה ברף גבוה. </w:t>
      </w:r>
    </w:p>
    <w:p w14:paraId="1E016E24" w14:textId="77777777" w:rsidR="000465D4" w:rsidRDefault="000465D4" w:rsidP="000465D4">
      <w:pPr>
        <w:pStyle w:val="a9"/>
        <w:numPr>
          <w:ilvl w:val="0"/>
          <w:numId w:val="1"/>
        </w:numPr>
        <w:spacing w:line="360" w:lineRule="auto"/>
        <w:ind w:left="368"/>
        <w:jc w:val="both"/>
        <w:rPr>
          <w:rFonts w:cs="David"/>
          <w:sz w:val="24"/>
          <w:szCs w:val="24"/>
          <w:rtl/>
        </w:rPr>
      </w:pPr>
      <w:r>
        <w:rPr>
          <w:rFonts w:ascii="Arial" w:hAnsi="Arial" w:cs="David"/>
          <w:b/>
          <w:bCs/>
          <w:sz w:val="24"/>
          <w:szCs w:val="24"/>
          <w:rtl/>
        </w:rPr>
        <w:t>מדיניות הענישה –</w:t>
      </w:r>
      <w:r>
        <w:rPr>
          <w:rFonts w:cs="David"/>
          <w:sz w:val="24"/>
          <w:szCs w:val="24"/>
          <w:rtl/>
        </w:rPr>
        <w:t xml:space="preserve"> בעבירות גידול סמים מושתים על פי רוב עונשי מאסר בפועל שאורכם משתנה בהתאם לכמות הסם ולנסיבות ההחזקה והגידול.</w:t>
      </w:r>
    </w:p>
    <w:p w14:paraId="37EB0D22" w14:textId="77777777" w:rsidR="000465D4" w:rsidRDefault="004E064D" w:rsidP="000465D4">
      <w:pPr>
        <w:pStyle w:val="a9"/>
        <w:numPr>
          <w:ilvl w:val="0"/>
          <w:numId w:val="2"/>
        </w:numPr>
        <w:autoSpaceDE w:val="0"/>
        <w:autoSpaceDN w:val="0"/>
        <w:adjustRightInd w:val="0"/>
        <w:spacing w:before="100" w:after="100" w:line="360" w:lineRule="auto"/>
        <w:ind w:left="793" w:right="284"/>
        <w:jc w:val="both"/>
        <w:rPr>
          <w:rFonts w:eastAsia="Times New Roman" w:cs="David"/>
          <w:sz w:val="24"/>
          <w:szCs w:val="24"/>
        </w:rPr>
      </w:pPr>
      <w:hyperlink r:id="rId19" w:history="1">
        <w:r w:rsidRPr="004E064D">
          <w:rPr>
            <w:rFonts w:eastAsia="Times New Roman" w:cs="David" w:hint="eastAsia"/>
            <w:b/>
            <w:bCs/>
            <w:color w:val="0000FF"/>
            <w:sz w:val="24"/>
            <w:szCs w:val="24"/>
            <w:u w:val="single"/>
            <w:rtl/>
          </w:rPr>
          <w:t>רע</w:t>
        </w:r>
        <w:r w:rsidRPr="004E064D">
          <w:rPr>
            <w:rFonts w:eastAsia="Times New Roman" w:cs="David"/>
            <w:b/>
            <w:bCs/>
            <w:color w:val="0000FF"/>
            <w:sz w:val="24"/>
            <w:szCs w:val="24"/>
            <w:u w:val="single"/>
            <w:rtl/>
          </w:rPr>
          <w:t>"</w:t>
        </w:r>
        <w:r w:rsidRPr="004E064D">
          <w:rPr>
            <w:rFonts w:eastAsia="Times New Roman" w:cs="David" w:hint="eastAsia"/>
            <w:b/>
            <w:bCs/>
            <w:color w:val="0000FF"/>
            <w:sz w:val="24"/>
            <w:szCs w:val="24"/>
            <w:u w:val="single"/>
            <w:rtl/>
          </w:rPr>
          <w:t>פ</w:t>
        </w:r>
        <w:r w:rsidRPr="004E064D">
          <w:rPr>
            <w:rFonts w:eastAsia="Times New Roman" w:cs="David"/>
            <w:b/>
            <w:bCs/>
            <w:color w:val="0000FF"/>
            <w:sz w:val="24"/>
            <w:szCs w:val="24"/>
            <w:u w:val="single"/>
            <w:rtl/>
          </w:rPr>
          <w:t xml:space="preserve"> 314/16</w:t>
        </w:r>
      </w:hyperlink>
      <w:r w:rsidR="000465D4">
        <w:rPr>
          <w:rFonts w:eastAsia="Times New Roman" w:cs="David"/>
          <w:b/>
          <w:bCs/>
          <w:sz w:val="24"/>
          <w:szCs w:val="24"/>
          <w:u w:val="single"/>
          <w:rtl/>
        </w:rPr>
        <w:t xml:space="preserve"> גיא בן צבי נגד מדינת ישראל</w:t>
      </w:r>
      <w:r w:rsidR="000465D4">
        <w:rPr>
          <w:rFonts w:eastAsia="Times New Roman" w:cs="David"/>
          <w:b/>
          <w:bCs/>
          <w:sz w:val="24"/>
          <w:szCs w:val="24"/>
          <w:rtl/>
        </w:rPr>
        <w:t xml:space="preserve"> </w:t>
      </w:r>
      <w:r w:rsidR="000465D4">
        <w:rPr>
          <w:rFonts w:eastAsia="Times New Roman" w:cs="David"/>
          <w:sz w:val="24"/>
          <w:szCs w:val="24"/>
          <w:rtl/>
        </w:rPr>
        <w:t xml:space="preserve">(22.02.16) - המערער הודה והורשע בעבירה של גידול סם מסוכן. המבקש הקים מעבדה בה נמצאו למעלה מ- 200 אדניות וציוד הגידול היה בהיקף משמעותי. כתוצאה מגידול הסם החזיק הנאשם בקנבוס במשקל העולה על 2.5 ק"ג. בית משפט השלום גזר עליו 6 חודשי מאסר בדרך של עבודות שרות ועונשים נלווים. ערעור המדינה על קולת העונש התקבל בעיקר לנוכח היקף הפעילות והיות המעבדה מאובזרת ומשוכללת. בית המשפט המחוזי גזר עליו </w:t>
      </w:r>
      <w:r w:rsidR="000465D4">
        <w:rPr>
          <w:rFonts w:eastAsia="Times New Roman" w:cs="David"/>
          <w:b/>
          <w:bCs/>
          <w:sz w:val="24"/>
          <w:szCs w:val="24"/>
          <w:rtl/>
        </w:rPr>
        <w:t>10 חודשי מאסר בפועל</w:t>
      </w:r>
      <w:r w:rsidR="000465D4">
        <w:rPr>
          <w:rFonts w:eastAsia="Times New Roman" w:cs="David"/>
          <w:sz w:val="24"/>
          <w:szCs w:val="24"/>
          <w:rtl/>
        </w:rPr>
        <w:t>. בקשת רשות ערעור נדחתה. בהשוואה לעניננו, כמות הסמים קטנה יותר אך המעבדה משוכללת יותר והנאשם הודה בהחזקת הסם שלא לשימוש עצמי.</w:t>
      </w:r>
    </w:p>
    <w:p w14:paraId="4F6391B7" w14:textId="77777777" w:rsidR="000465D4" w:rsidRDefault="004E064D" w:rsidP="000465D4">
      <w:pPr>
        <w:pStyle w:val="a9"/>
        <w:numPr>
          <w:ilvl w:val="0"/>
          <w:numId w:val="2"/>
        </w:numPr>
        <w:autoSpaceDE w:val="0"/>
        <w:autoSpaceDN w:val="0"/>
        <w:adjustRightInd w:val="0"/>
        <w:spacing w:before="100" w:after="100" w:line="360" w:lineRule="auto"/>
        <w:ind w:left="793" w:right="284"/>
        <w:jc w:val="both"/>
        <w:rPr>
          <w:rFonts w:eastAsia="Times New Roman" w:cs="David"/>
          <w:sz w:val="24"/>
          <w:szCs w:val="24"/>
          <w:rtl/>
        </w:rPr>
      </w:pPr>
      <w:hyperlink r:id="rId20" w:history="1">
        <w:r w:rsidRPr="004E064D">
          <w:rPr>
            <w:rFonts w:eastAsia="Times New Roman" w:cs="David" w:hint="eastAsia"/>
            <w:b/>
            <w:bCs/>
            <w:color w:val="0000FF"/>
            <w:sz w:val="24"/>
            <w:szCs w:val="24"/>
            <w:u w:val="single"/>
            <w:rtl/>
          </w:rPr>
          <w:t>רע</w:t>
        </w:r>
        <w:r w:rsidRPr="004E064D">
          <w:rPr>
            <w:rFonts w:eastAsia="Times New Roman" w:cs="David"/>
            <w:b/>
            <w:bCs/>
            <w:color w:val="0000FF"/>
            <w:sz w:val="24"/>
            <w:szCs w:val="24"/>
            <w:u w:val="single"/>
            <w:rtl/>
          </w:rPr>
          <w:t>"</w:t>
        </w:r>
        <w:r w:rsidRPr="004E064D">
          <w:rPr>
            <w:rFonts w:eastAsia="Times New Roman" w:cs="David" w:hint="eastAsia"/>
            <w:b/>
            <w:bCs/>
            <w:color w:val="0000FF"/>
            <w:sz w:val="24"/>
            <w:szCs w:val="24"/>
            <w:u w:val="single"/>
            <w:rtl/>
          </w:rPr>
          <w:t>פ</w:t>
        </w:r>
        <w:r w:rsidRPr="004E064D">
          <w:rPr>
            <w:rFonts w:eastAsia="Times New Roman" w:cs="David"/>
            <w:b/>
            <w:bCs/>
            <w:color w:val="0000FF"/>
            <w:sz w:val="24"/>
            <w:szCs w:val="24"/>
            <w:u w:val="single"/>
            <w:rtl/>
          </w:rPr>
          <w:t xml:space="preserve"> 1787/15</w:t>
        </w:r>
      </w:hyperlink>
      <w:r w:rsidR="000465D4">
        <w:rPr>
          <w:rFonts w:eastAsia="Times New Roman" w:cs="David"/>
          <w:b/>
          <w:bCs/>
          <w:sz w:val="24"/>
          <w:szCs w:val="24"/>
          <w:u w:val="single"/>
          <w:rtl/>
        </w:rPr>
        <w:t xml:space="preserve"> עמר נגד מדינת ישראל</w:t>
      </w:r>
      <w:r w:rsidR="000465D4">
        <w:rPr>
          <w:rFonts w:eastAsia="Times New Roman" w:cs="David"/>
          <w:sz w:val="24"/>
          <w:szCs w:val="24"/>
          <w:rtl/>
        </w:rPr>
        <w:t xml:space="preserve"> (24.03.15) - המערער הודה והורשע בביצוע עבירות של גידול, הכנה וייצור סמים מסוכנים, החזקה ושימוש בסמים שלא לצריכה עצמית והחזקת כלים להכנת סם שלא לצריכה עצמית. המבקש החזיק בדירת מגוריו, 9 שתילי קנבוס במשקל כולל של 4.380 קילוגרם נטו. בנוסף החזיק המבקש בכלים המשמשים לגידול, הכנה וייצור סמים מסוכנים וכן נתפסו 45,600 ₪ וסכומי מט"ח. בית משפט השלום קבע מתחם עונש הנע בין 8 ל-20 חודשי מאסר בפועל ובשים לב להליך השיקומי מוצלח הציב את עונשו בתחתית המתחם וגזר עליו </w:t>
      </w:r>
      <w:r w:rsidR="000465D4">
        <w:rPr>
          <w:rFonts w:eastAsia="Times New Roman" w:cs="David"/>
          <w:b/>
          <w:bCs/>
          <w:sz w:val="24"/>
          <w:szCs w:val="24"/>
          <w:rtl/>
        </w:rPr>
        <w:t>8 חודשי מאסר בפועל</w:t>
      </w:r>
      <w:r w:rsidR="000465D4">
        <w:rPr>
          <w:rFonts w:eastAsia="Times New Roman" w:cs="David"/>
          <w:sz w:val="24"/>
          <w:szCs w:val="24"/>
          <w:rtl/>
        </w:rPr>
        <w:t xml:space="preserve"> ועונשים נלווים. ערעור על גזר הדין נדחה וכך גם בקשה לרשות ערעור.</w:t>
      </w:r>
    </w:p>
    <w:p w14:paraId="39D9F472" w14:textId="77777777" w:rsidR="000465D4" w:rsidRDefault="004E064D" w:rsidP="000465D4">
      <w:pPr>
        <w:pStyle w:val="a9"/>
        <w:numPr>
          <w:ilvl w:val="0"/>
          <w:numId w:val="2"/>
        </w:numPr>
        <w:autoSpaceDE w:val="0"/>
        <w:autoSpaceDN w:val="0"/>
        <w:adjustRightInd w:val="0"/>
        <w:spacing w:before="100" w:after="100" w:line="360" w:lineRule="auto"/>
        <w:ind w:left="793" w:right="284"/>
        <w:jc w:val="both"/>
        <w:rPr>
          <w:rFonts w:cs="David"/>
          <w:b/>
          <w:bCs/>
          <w:sz w:val="24"/>
          <w:szCs w:val="24"/>
          <w:u w:val="single"/>
          <w:rtl/>
        </w:rPr>
      </w:pPr>
      <w:hyperlink r:id="rId21" w:history="1">
        <w:r w:rsidRPr="004E064D">
          <w:rPr>
            <w:rFonts w:cs="David" w:hint="cs"/>
            <w:b/>
            <w:bCs/>
            <w:color w:val="0000FF"/>
            <w:sz w:val="24"/>
            <w:szCs w:val="24"/>
            <w:u w:val="single"/>
            <w:rtl/>
          </w:rPr>
          <w:t>עפ</w:t>
        </w:r>
        <w:r w:rsidRPr="004E064D">
          <w:rPr>
            <w:rFonts w:cs="David"/>
            <w:b/>
            <w:bCs/>
            <w:color w:val="0000FF"/>
            <w:sz w:val="24"/>
            <w:szCs w:val="24"/>
            <w:u w:val="single"/>
            <w:rtl/>
          </w:rPr>
          <w:t>"</w:t>
        </w:r>
        <w:r w:rsidRPr="004E064D">
          <w:rPr>
            <w:rFonts w:cs="David" w:hint="cs"/>
            <w:b/>
            <w:bCs/>
            <w:color w:val="0000FF"/>
            <w:sz w:val="24"/>
            <w:szCs w:val="24"/>
            <w:u w:val="single"/>
            <w:rtl/>
          </w:rPr>
          <w:t>ג</w:t>
        </w:r>
        <w:r w:rsidRPr="004E064D">
          <w:rPr>
            <w:rFonts w:cs="David"/>
            <w:b/>
            <w:bCs/>
            <w:color w:val="0000FF"/>
            <w:sz w:val="24"/>
            <w:szCs w:val="24"/>
            <w:u w:val="single"/>
            <w:rtl/>
          </w:rPr>
          <w:t xml:space="preserve"> 68799-11-17</w:t>
        </w:r>
      </w:hyperlink>
      <w:r w:rsidR="000465D4">
        <w:rPr>
          <w:rFonts w:cs="David"/>
          <w:b/>
          <w:bCs/>
          <w:sz w:val="24"/>
          <w:szCs w:val="24"/>
          <w:u w:val="single"/>
          <w:rtl/>
        </w:rPr>
        <w:t xml:space="preserve"> מדינת ישראל נ' וייצמן</w:t>
      </w:r>
      <w:r w:rsidR="000465D4">
        <w:rPr>
          <w:rFonts w:cs="David"/>
          <w:sz w:val="24"/>
          <w:szCs w:val="24"/>
          <w:rtl/>
        </w:rPr>
        <w:t xml:space="preserve"> ( 03.06.19) – אליו הפנתה הסנגורית, שם הודה הנאשם במסגרת הסדר טיעון בגידול וייצור סם וכן בהחזקת סמים שלא לצריכה עצמית. הנאשם הקים במעבדה משוכללת שכללה ציוד רב ושם גידל 46 שתילי קנביס במשקל 1.720 ק"ג נטו. כן נתפסו במקומות שונים בדירת הנאשם כמויות שונות של סם מסוג קנבוס ומשקלם הכולל עמד על למעלה מקילוגרם אחד. במיוחד בשים לב למצבו הבריאותי של הנאשם שעמד ברקע לביצוע העבירות ובשים לב להיותו סמנכ"ל בחברה העוסקת באבטחת מידע, החליט בית משפט קמא לקבל המלצת שירות המבחן וביטל הרשעתו. במסגרת הערעור התקבל תסקיר משלים שלא היה חיובי שכן הנאשם הפסיק לשתף פעולה בהליך הטיפולי. הן מטעם זה והן נוכח חומרת העבירות קיבל בית המשפט המחוזי את הערעור, הרשיע את הנאשם במיוחס לו והשית עליו </w:t>
      </w:r>
      <w:r w:rsidR="000465D4">
        <w:rPr>
          <w:rFonts w:cs="David"/>
          <w:b/>
          <w:bCs/>
          <w:sz w:val="24"/>
          <w:szCs w:val="24"/>
          <w:rtl/>
        </w:rPr>
        <w:t>4 חודשי מאסר בעבודות שירות.</w:t>
      </w:r>
      <w:r w:rsidR="000465D4">
        <w:rPr>
          <w:rFonts w:cs="David"/>
          <w:sz w:val="24"/>
          <w:szCs w:val="24"/>
          <w:rtl/>
        </w:rPr>
        <w:t xml:space="preserve"> </w:t>
      </w:r>
    </w:p>
    <w:p w14:paraId="79838085" w14:textId="77777777" w:rsidR="000465D4" w:rsidRDefault="004E064D" w:rsidP="000465D4">
      <w:pPr>
        <w:pStyle w:val="a9"/>
        <w:numPr>
          <w:ilvl w:val="0"/>
          <w:numId w:val="2"/>
        </w:numPr>
        <w:autoSpaceDE w:val="0"/>
        <w:autoSpaceDN w:val="0"/>
        <w:adjustRightInd w:val="0"/>
        <w:spacing w:before="100" w:after="100" w:line="360" w:lineRule="auto"/>
        <w:ind w:left="793" w:right="284"/>
        <w:jc w:val="both"/>
        <w:rPr>
          <w:rFonts w:cs="David"/>
          <w:b/>
          <w:bCs/>
          <w:sz w:val="24"/>
          <w:szCs w:val="24"/>
          <w:u w:val="single"/>
        </w:rPr>
      </w:pPr>
      <w:hyperlink r:id="rId22" w:history="1">
        <w:r w:rsidRPr="004E064D">
          <w:rPr>
            <w:rFonts w:cs="David" w:hint="cs"/>
            <w:b/>
            <w:bCs/>
            <w:color w:val="0000FF"/>
            <w:sz w:val="24"/>
            <w:szCs w:val="24"/>
            <w:u w:val="single"/>
            <w:rtl/>
          </w:rPr>
          <w:t>רע</w:t>
        </w:r>
        <w:r w:rsidRPr="004E064D">
          <w:rPr>
            <w:rFonts w:cs="David"/>
            <w:b/>
            <w:bCs/>
            <w:color w:val="0000FF"/>
            <w:sz w:val="24"/>
            <w:szCs w:val="24"/>
            <w:u w:val="single"/>
            <w:rtl/>
          </w:rPr>
          <w:t>"</w:t>
        </w:r>
        <w:r w:rsidRPr="004E064D">
          <w:rPr>
            <w:rFonts w:cs="David" w:hint="cs"/>
            <w:b/>
            <w:bCs/>
            <w:color w:val="0000FF"/>
            <w:sz w:val="24"/>
            <w:szCs w:val="24"/>
            <w:u w:val="single"/>
            <w:rtl/>
          </w:rPr>
          <w:t>פ</w:t>
        </w:r>
        <w:r w:rsidRPr="004E064D">
          <w:rPr>
            <w:rFonts w:cs="David"/>
            <w:b/>
            <w:bCs/>
            <w:color w:val="0000FF"/>
            <w:sz w:val="24"/>
            <w:szCs w:val="24"/>
            <w:u w:val="single"/>
            <w:rtl/>
          </w:rPr>
          <w:t xml:space="preserve"> 8146/17</w:t>
        </w:r>
      </w:hyperlink>
      <w:r w:rsidR="000465D4">
        <w:rPr>
          <w:rFonts w:cs="David"/>
          <w:b/>
          <w:bCs/>
          <w:sz w:val="24"/>
          <w:szCs w:val="24"/>
          <w:u w:val="single"/>
          <w:rtl/>
        </w:rPr>
        <w:t xml:space="preserve"> אבישלום נ' מדינת ישראל</w:t>
      </w:r>
      <w:r w:rsidR="000465D4">
        <w:rPr>
          <w:rFonts w:cs="David"/>
          <w:sz w:val="24"/>
          <w:szCs w:val="24"/>
          <w:rtl/>
        </w:rPr>
        <w:t xml:space="preserve"> (מיום 14.11.17) – שם הורשע המערער על פי הודאתו בכך שגידל מחוץ לקרוון שבו חי 9 שתילי קנבוס ועוד 8 שתילים בתוך הקרוון במשקל כולל של כ - 300 גרם נטו. בית משפט השלום השית על המערער, שלחובתו הרשעה ישנה ובלתי רלוונטית, חודשיים מאסר לריצוי בפועל (לאחר שנמצא לא כשיר לריצוי מאסר בעבודות שירות). בית המשפט המחוזי הקל מעט בעונשו בשל קבלת היתר לשימוש בקנביס רפואי והעמיד את עונשו </w:t>
      </w:r>
      <w:r w:rsidR="000465D4">
        <w:rPr>
          <w:rFonts w:cs="David"/>
          <w:b/>
          <w:bCs/>
          <w:sz w:val="24"/>
          <w:szCs w:val="24"/>
          <w:rtl/>
        </w:rPr>
        <w:t>על 50 ימי מאסר לריצוי בפועל</w:t>
      </w:r>
      <w:r w:rsidR="000465D4">
        <w:rPr>
          <w:rFonts w:cs="David"/>
          <w:sz w:val="24"/>
          <w:szCs w:val="24"/>
          <w:rtl/>
        </w:rPr>
        <w:t>. רשות ערעור לבית המשפט העליון נדחתה</w:t>
      </w:r>
      <w:r w:rsidR="000465D4">
        <w:rPr>
          <w:rFonts w:cs="David"/>
          <w:b/>
          <w:bCs/>
          <w:sz w:val="24"/>
          <w:szCs w:val="24"/>
          <w:rtl/>
        </w:rPr>
        <w:t>.</w:t>
      </w:r>
    </w:p>
    <w:p w14:paraId="44E6569E" w14:textId="77777777" w:rsidR="000465D4" w:rsidRDefault="004E064D" w:rsidP="000465D4">
      <w:pPr>
        <w:pStyle w:val="a9"/>
        <w:numPr>
          <w:ilvl w:val="0"/>
          <w:numId w:val="2"/>
        </w:numPr>
        <w:autoSpaceDE w:val="0"/>
        <w:autoSpaceDN w:val="0"/>
        <w:adjustRightInd w:val="0"/>
        <w:spacing w:before="100" w:after="100" w:line="360" w:lineRule="auto"/>
        <w:ind w:left="793" w:right="284"/>
        <w:jc w:val="both"/>
        <w:rPr>
          <w:rFonts w:eastAsia="Times New Roman" w:cs="David"/>
          <w:sz w:val="24"/>
          <w:szCs w:val="24"/>
        </w:rPr>
      </w:pPr>
      <w:hyperlink r:id="rId23" w:history="1">
        <w:r w:rsidRPr="004E064D">
          <w:rPr>
            <w:rFonts w:eastAsia="Times New Roman" w:cs="David" w:hint="eastAsia"/>
            <w:b/>
            <w:bCs/>
            <w:color w:val="0000FF"/>
            <w:sz w:val="24"/>
            <w:szCs w:val="24"/>
            <w:u w:val="single"/>
            <w:rtl/>
          </w:rPr>
          <w:t>עפ</w:t>
        </w:r>
        <w:r w:rsidRPr="004E064D">
          <w:rPr>
            <w:rFonts w:eastAsia="Times New Roman" w:cs="David"/>
            <w:b/>
            <w:bCs/>
            <w:color w:val="0000FF"/>
            <w:sz w:val="24"/>
            <w:szCs w:val="24"/>
            <w:u w:val="single"/>
            <w:rtl/>
          </w:rPr>
          <w:t>"</w:t>
        </w:r>
        <w:r w:rsidRPr="004E064D">
          <w:rPr>
            <w:rFonts w:eastAsia="Times New Roman" w:cs="David" w:hint="eastAsia"/>
            <w:b/>
            <w:bCs/>
            <w:color w:val="0000FF"/>
            <w:sz w:val="24"/>
            <w:szCs w:val="24"/>
            <w:u w:val="single"/>
            <w:rtl/>
          </w:rPr>
          <w:t>ג</w:t>
        </w:r>
        <w:r w:rsidRPr="004E064D">
          <w:rPr>
            <w:rFonts w:eastAsia="Times New Roman" w:cs="David"/>
            <w:b/>
            <w:bCs/>
            <w:color w:val="0000FF"/>
            <w:sz w:val="24"/>
            <w:szCs w:val="24"/>
            <w:u w:val="single"/>
            <w:rtl/>
          </w:rPr>
          <w:t xml:space="preserve"> (</w:t>
        </w:r>
        <w:r w:rsidRPr="004E064D">
          <w:rPr>
            <w:rFonts w:eastAsia="Times New Roman" w:cs="David" w:hint="eastAsia"/>
            <w:b/>
            <w:bCs/>
            <w:color w:val="0000FF"/>
            <w:sz w:val="24"/>
            <w:szCs w:val="24"/>
            <w:u w:val="single"/>
            <w:rtl/>
          </w:rPr>
          <w:t>מחוזי</w:t>
        </w:r>
        <w:r w:rsidRPr="004E064D">
          <w:rPr>
            <w:rFonts w:eastAsia="Times New Roman" w:cs="David"/>
            <w:b/>
            <w:bCs/>
            <w:color w:val="0000FF"/>
            <w:sz w:val="24"/>
            <w:szCs w:val="24"/>
            <w:u w:val="single"/>
            <w:rtl/>
          </w:rPr>
          <w:t xml:space="preserve"> </w:t>
        </w:r>
        <w:r w:rsidRPr="004E064D">
          <w:rPr>
            <w:rFonts w:eastAsia="Times New Roman" w:cs="David" w:hint="eastAsia"/>
            <w:b/>
            <w:bCs/>
            <w:color w:val="0000FF"/>
            <w:sz w:val="24"/>
            <w:szCs w:val="24"/>
            <w:u w:val="single"/>
            <w:rtl/>
          </w:rPr>
          <w:t>ת</w:t>
        </w:r>
        <w:r w:rsidRPr="004E064D">
          <w:rPr>
            <w:rFonts w:eastAsia="Times New Roman" w:cs="David"/>
            <w:b/>
            <w:bCs/>
            <w:color w:val="0000FF"/>
            <w:sz w:val="24"/>
            <w:szCs w:val="24"/>
            <w:u w:val="single"/>
            <w:rtl/>
          </w:rPr>
          <w:t>"</w:t>
        </w:r>
        <w:r w:rsidRPr="004E064D">
          <w:rPr>
            <w:rFonts w:eastAsia="Times New Roman" w:cs="David" w:hint="eastAsia"/>
            <w:b/>
            <w:bCs/>
            <w:color w:val="0000FF"/>
            <w:sz w:val="24"/>
            <w:szCs w:val="24"/>
            <w:u w:val="single"/>
            <w:rtl/>
          </w:rPr>
          <w:t>א</w:t>
        </w:r>
        <w:r w:rsidRPr="004E064D">
          <w:rPr>
            <w:rFonts w:eastAsia="Times New Roman" w:cs="David"/>
            <w:b/>
            <w:bCs/>
            <w:color w:val="0000FF"/>
            <w:sz w:val="24"/>
            <w:szCs w:val="24"/>
            <w:u w:val="single"/>
            <w:rtl/>
          </w:rPr>
          <w:t>) 31126-05-14</w:t>
        </w:r>
      </w:hyperlink>
      <w:r w:rsidR="000465D4">
        <w:rPr>
          <w:rFonts w:eastAsia="Times New Roman" w:cs="David"/>
          <w:b/>
          <w:bCs/>
          <w:sz w:val="24"/>
          <w:szCs w:val="24"/>
          <w:u w:val="single"/>
          <w:rtl/>
        </w:rPr>
        <w:t>, מדינת ישראל נגד יהודה חריט</w:t>
      </w:r>
      <w:r w:rsidR="000465D4">
        <w:rPr>
          <w:rFonts w:eastAsia="Times New Roman" w:cs="David"/>
          <w:sz w:val="24"/>
          <w:szCs w:val="24"/>
          <w:rtl/>
        </w:rPr>
        <w:t xml:space="preserve"> (12.01.15) - המשיב הורשע בגידול 50 שתילי סם מסוג קנאביס במשקל של 763 גרם ונתפסו כלים המהווים מעבדה לגידול סם. בית המשפט קמא הטיל על הנאשם של"צ, 6 חודשי מאסר על תנאי וקנס, ונמנע מהטלת רכיב מאסר בפועל כלשהו. בית המשפט המחוזי קיבל את ערעור המדינה והשית עליו </w:t>
      </w:r>
      <w:r w:rsidR="000465D4">
        <w:rPr>
          <w:rFonts w:eastAsia="Times New Roman" w:cs="David"/>
          <w:b/>
          <w:bCs/>
          <w:sz w:val="24"/>
          <w:szCs w:val="24"/>
          <w:rtl/>
        </w:rPr>
        <w:t>6 חודשי מאסר לריצוי בדרך של עבודות שרות</w:t>
      </w:r>
      <w:r w:rsidR="000465D4">
        <w:rPr>
          <w:rFonts w:eastAsia="Times New Roman" w:cs="David"/>
          <w:sz w:val="24"/>
          <w:szCs w:val="24"/>
          <w:rtl/>
        </w:rPr>
        <w:t>, ביטל את השל"צ והותיר את יתר רכיבי גזר הדין על כנם.</w:t>
      </w:r>
    </w:p>
    <w:p w14:paraId="5395BF3E" w14:textId="77777777" w:rsidR="000465D4" w:rsidRDefault="004E064D" w:rsidP="000465D4">
      <w:pPr>
        <w:pStyle w:val="a9"/>
        <w:numPr>
          <w:ilvl w:val="0"/>
          <w:numId w:val="2"/>
        </w:numPr>
        <w:autoSpaceDE w:val="0"/>
        <w:autoSpaceDN w:val="0"/>
        <w:adjustRightInd w:val="0"/>
        <w:spacing w:before="100" w:after="100" w:line="360" w:lineRule="auto"/>
        <w:ind w:left="793" w:right="284"/>
        <w:jc w:val="both"/>
        <w:rPr>
          <w:rFonts w:cs="David"/>
          <w:sz w:val="24"/>
          <w:szCs w:val="24"/>
        </w:rPr>
      </w:pPr>
      <w:hyperlink r:id="rId24" w:history="1">
        <w:r w:rsidRPr="004E064D">
          <w:rPr>
            <w:rFonts w:cs="David" w:hint="cs"/>
            <w:b/>
            <w:bCs/>
            <w:color w:val="0000FF"/>
            <w:sz w:val="24"/>
            <w:szCs w:val="24"/>
            <w:u w:val="single"/>
            <w:rtl/>
          </w:rPr>
          <w:t>עפ</w:t>
        </w:r>
        <w:r w:rsidRPr="004E064D">
          <w:rPr>
            <w:rFonts w:cs="David"/>
            <w:b/>
            <w:bCs/>
            <w:color w:val="0000FF"/>
            <w:sz w:val="24"/>
            <w:szCs w:val="24"/>
            <w:u w:val="single"/>
            <w:rtl/>
          </w:rPr>
          <w:t>"</w:t>
        </w:r>
        <w:r w:rsidRPr="004E064D">
          <w:rPr>
            <w:rFonts w:cs="David" w:hint="cs"/>
            <w:b/>
            <w:bCs/>
            <w:color w:val="0000FF"/>
            <w:sz w:val="24"/>
            <w:szCs w:val="24"/>
            <w:u w:val="single"/>
            <w:rtl/>
          </w:rPr>
          <w:t>ג</w:t>
        </w:r>
        <w:r w:rsidRPr="004E064D">
          <w:rPr>
            <w:rFonts w:cs="David"/>
            <w:b/>
            <w:bCs/>
            <w:color w:val="0000FF"/>
            <w:sz w:val="24"/>
            <w:szCs w:val="24"/>
            <w:u w:val="single"/>
            <w:rtl/>
          </w:rPr>
          <w:t xml:space="preserve"> (</w:t>
        </w:r>
        <w:r w:rsidRPr="004E064D">
          <w:rPr>
            <w:rFonts w:cs="David" w:hint="cs"/>
            <w:b/>
            <w:bCs/>
            <w:color w:val="0000FF"/>
            <w:sz w:val="24"/>
            <w:szCs w:val="24"/>
            <w:u w:val="single"/>
            <w:rtl/>
          </w:rPr>
          <w:t>מחוזי</w:t>
        </w:r>
        <w:r w:rsidRPr="004E064D">
          <w:rPr>
            <w:rFonts w:cs="David"/>
            <w:b/>
            <w:bCs/>
            <w:color w:val="0000FF"/>
            <w:sz w:val="24"/>
            <w:szCs w:val="24"/>
            <w:u w:val="single"/>
            <w:rtl/>
          </w:rPr>
          <w:t xml:space="preserve"> </w:t>
        </w:r>
        <w:r w:rsidRPr="004E064D">
          <w:rPr>
            <w:rFonts w:cs="David" w:hint="cs"/>
            <w:b/>
            <w:bCs/>
            <w:color w:val="0000FF"/>
            <w:sz w:val="24"/>
            <w:szCs w:val="24"/>
            <w:u w:val="single"/>
            <w:rtl/>
          </w:rPr>
          <w:t>מרכז</w:t>
        </w:r>
        <w:r w:rsidRPr="004E064D">
          <w:rPr>
            <w:rFonts w:cs="David"/>
            <w:b/>
            <w:bCs/>
            <w:color w:val="0000FF"/>
            <w:sz w:val="24"/>
            <w:szCs w:val="24"/>
            <w:u w:val="single"/>
            <w:rtl/>
          </w:rPr>
          <w:t>) 19714-08-17</w:t>
        </w:r>
      </w:hyperlink>
      <w:r w:rsidR="000465D4">
        <w:rPr>
          <w:rFonts w:cs="David"/>
          <w:b/>
          <w:bCs/>
          <w:sz w:val="24"/>
          <w:szCs w:val="24"/>
          <w:u w:val="single"/>
          <w:rtl/>
        </w:rPr>
        <w:t xml:space="preserve"> אבוטבול נ' מדינת ישראל</w:t>
      </w:r>
      <w:r w:rsidR="000465D4">
        <w:rPr>
          <w:rFonts w:cs="David"/>
          <w:sz w:val="24"/>
          <w:szCs w:val="24"/>
          <w:rtl/>
        </w:rPr>
        <w:t xml:space="preserve"> (11.02.18) – הורשע המערער על פי הודאתו בעבירות של גידול, החזקת כלים להכנת סם שלא לצריכה עצמית וכן החזקת סם שלא לצריכה עצמית. בביתו נתפסו שקית ובה 1,566 גרם וכן 28 שתילים של סם מסוג </w:t>
      </w:r>
      <w:r w:rsidR="000465D4">
        <w:rPr>
          <w:rFonts w:eastAsia="Times New Roman" w:cs="David"/>
          <w:sz w:val="24"/>
          <w:szCs w:val="24"/>
          <w:rtl/>
        </w:rPr>
        <w:t>קנבוס</w:t>
      </w:r>
      <w:r w:rsidR="000465D4">
        <w:rPr>
          <w:rFonts w:cs="David"/>
          <w:sz w:val="24"/>
          <w:szCs w:val="24"/>
          <w:rtl/>
        </w:rPr>
        <w:t xml:space="preserve"> במשקל של 33.98 גרם. שירות המבחן המליץ להטיל עליו צו של"צ בהיקף של 200 שעות. בית המשפט קמא קבע כי המתחם נע ממספר חודשי מאסר שירוצו בעבדות שירות ועד ל-12 חודשי מאסר בפועל. על הנאשם נגזרו </w:t>
      </w:r>
      <w:r w:rsidR="000465D4">
        <w:rPr>
          <w:rFonts w:cs="David"/>
          <w:b/>
          <w:bCs/>
          <w:sz w:val="24"/>
          <w:szCs w:val="24"/>
          <w:rtl/>
        </w:rPr>
        <w:t>3 חודשי מאסר שיכול וירוצו בעבודות שירות</w:t>
      </w:r>
      <w:r w:rsidR="000465D4">
        <w:rPr>
          <w:rFonts w:cs="David"/>
          <w:sz w:val="24"/>
          <w:szCs w:val="24"/>
          <w:rtl/>
        </w:rPr>
        <w:t xml:space="preserve"> ועונשים נלווים. ערעורו על חומרת העונש נדחה. </w:t>
      </w:r>
    </w:p>
    <w:p w14:paraId="32D6912E" w14:textId="77777777" w:rsidR="000465D4" w:rsidRDefault="000465D4" w:rsidP="000465D4">
      <w:pPr>
        <w:pStyle w:val="a9"/>
        <w:numPr>
          <w:ilvl w:val="0"/>
          <w:numId w:val="1"/>
        </w:numPr>
        <w:spacing w:line="360" w:lineRule="auto"/>
        <w:ind w:left="368"/>
        <w:jc w:val="both"/>
        <w:rPr>
          <w:rFonts w:cs="David"/>
          <w:b/>
          <w:bCs/>
          <w:sz w:val="24"/>
          <w:szCs w:val="24"/>
        </w:rPr>
      </w:pPr>
      <w:r>
        <w:rPr>
          <w:rFonts w:cs="David"/>
          <w:sz w:val="24"/>
          <w:szCs w:val="24"/>
          <w:rtl/>
        </w:rPr>
        <w:t xml:space="preserve">עיינתי בפסקי הדין אליהם הפנתה הסנגורית ולא שוכנעתי שניתן לגזור מהם גזירה שווה למקרה שלפני וכי יש מקום על סמך האמור בהם לקבוע מתחם המתחיל במאסר מותנה בלבד. בחלק מהמקרים שוכנע בית המשפט כי ניתן לסיים את ההליך ללא הרשעה, מה שאין כן במקרה זה (ראו </w:t>
      </w:r>
      <w:hyperlink r:id="rId25" w:history="1">
        <w:r w:rsidR="004E064D" w:rsidRPr="004E064D">
          <w:rPr>
            <w:rFonts w:cs="David" w:hint="cs"/>
            <w:color w:val="0000FF"/>
            <w:sz w:val="24"/>
            <w:szCs w:val="24"/>
            <w:u w:val="single"/>
            <w:rtl/>
          </w:rPr>
          <w:t>ת</w:t>
        </w:r>
        <w:r w:rsidR="004E064D" w:rsidRPr="004E064D">
          <w:rPr>
            <w:rFonts w:cs="David"/>
            <w:color w:val="0000FF"/>
            <w:sz w:val="24"/>
            <w:szCs w:val="24"/>
            <w:u w:val="single"/>
            <w:rtl/>
          </w:rPr>
          <w:t>"</w:t>
        </w:r>
        <w:r w:rsidR="004E064D" w:rsidRPr="004E064D">
          <w:rPr>
            <w:rFonts w:cs="David" w:hint="cs"/>
            <w:color w:val="0000FF"/>
            <w:sz w:val="24"/>
            <w:szCs w:val="24"/>
            <w:u w:val="single"/>
            <w:rtl/>
          </w:rPr>
          <w:t>פ</w:t>
        </w:r>
        <w:r w:rsidR="004E064D" w:rsidRPr="004E064D">
          <w:rPr>
            <w:rFonts w:cs="David"/>
            <w:color w:val="0000FF"/>
            <w:sz w:val="24"/>
            <w:szCs w:val="24"/>
            <w:u w:val="single"/>
            <w:rtl/>
          </w:rPr>
          <w:t xml:space="preserve"> (</w:t>
        </w:r>
        <w:r w:rsidR="004E064D" w:rsidRPr="004E064D">
          <w:rPr>
            <w:rFonts w:cs="David" w:hint="cs"/>
            <w:color w:val="0000FF"/>
            <w:sz w:val="24"/>
            <w:szCs w:val="24"/>
            <w:u w:val="single"/>
            <w:rtl/>
          </w:rPr>
          <w:t>י</w:t>
        </w:r>
        <w:r w:rsidR="004E064D" w:rsidRPr="004E064D">
          <w:rPr>
            <w:rFonts w:cs="David"/>
            <w:color w:val="0000FF"/>
            <w:sz w:val="24"/>
            <w:szCs w:val="24"/>
            <w:u w:val="single"/>
            <w:rtl/>
          </w:rPr>
          <w:t>-</w:t>
        </w:r>
        <w:r w:rsidR="004E064D" w:rsidRPr="004E064D">
          <w:rPr>
            <w:rFonts w:cs="David" w:hint="cs"/>
            <w:color w:val="0000FF"/>
            <w:sz w:val="24"/>
            <w:szCs w:val="24"/>
            <w:u w:val="single"/>
            <w:rtl/>
          </w:rPr>
          <w:t>ם</w:t>
        </w:r>
        <w:r w:rsidR="004E064D" w:rsidRPr="004E064D">
          <w:rPr>
            <w:rFonts w:cs="David"/>
            <w:color w:val="0000FF"/>
            <w:sz w:val="24"/>
            <w:szCs w:val="24"/>
            <w:u w:val="single"/>
            <w:rtl/>
          </w:rPr>
          <w:t>) 48512-04-15</w:t>
        </w:r>
      </w:hyperlink>
      <w:r>
        <w:rPr>
          <w:rFonts w:cs="David"/>
          <w:sz w:val="24"/>
          <w:szCs w:val="24"/>
          <w:rtl/>
        </w:rPr>
        <w:t xml:space="preserve">, </w:t>
      </w:r>
      <w:hyperlink r:id="rId26" w:history="1">
        <w:r w:rsidR="004E064D" w:rsidRPr="004E064D">
          <w:rPr>
            <w:rFonts w:cs="David" w:hint="cs"/>
            <w:color w:val="0000FF"/>
            <w:sz w:val="24"/>
            <w:szCs w:val="24"/>
            <w:u w:val="single"/>
            <w:rtl/>
          </w:rPr>
          <w:t>ת</w:t>
        </w:r>
        <w:r w:rsidR="004E064D" w:rsidRPr="004E064D">
          <w:rPr>
            <w:rFonts w:cs="David"/>
            <w:color w:val="0000FF"/>
            <w:sz w:val="24"/>
            <w:szCs w:val="24"/>
            <w:u w:val="single"/>
            <w:rtl/>
          </w:rPr>
          <w:t>"</w:t>
        </w:r>
        <w:r w:rsidR="004E064D" w:rsidRPr="004E064D">
          <w:rPr>
            <w:rFonts w:cs="David" w:hint="cs"/>
            <w:color w:val="0000FF"/>
            <w:sz w:val="24"/>
            <w:szCs w:val="24"/>
            <w:u w:val="single"/>
            <w:rtl/>
          </w:rPr>
          <w:t>פ</w:t>
        </w:r>
        <w:r w:rsidR="004E064D" w:rsidRPr="004E064D">
          <w:rPr>
            <w:rFonts w:cs="David"/>
            <w:color w:val="0000FF"/>
            <w:sz w:val="24"/>
            <w:szCs w:val="24"/>
            <w:u w:val="single"/>
            <w:rtl/>
          </w:rPr>
          <w:t xml:space="preserve"> (</w:t>
        </w:r>
        <w:r w:rsidR="004E064D" w:rsidRPr="004E064D">
          <w:rPr>
            <w:rFonts w:cs="David" w:hint="cs"/>
            <w:color w:val="0000FF"/>
            <w:sz w:val="24"/>
            <w:szCs w:val="24"/>
            <w:u w:val="single"/>
            <w:rtl/>
          </w:rPr>
          <w:t>פ</w:t>
        </w:r>
        <w:r w:rsidR="004E064D" w:rsidRPr="004E064D">
          <w:rPr>
            <w:rFonts w:cs="David"/>
            <w:color w:val="0000FF"/>
            <w:sz w:val="24"/>
            <w:szCs w:val="24"/>
            <w:u w:val="single"/>
            <w:rtl/>
          </w:rPr>
          <w:t>"</w:t>
        </w:r>
        <w:r w:rsidR="004E064D" w:rsidRPr="004E064D">
          <w:rPr>
            <w:rFonts w:cs="David" w:hint="cs"/>
            <w:color w:val="0000FF"/>
            <w:sz w:val="24"/>
            <w:szCs w:val="24"/>
            <w:u w:val="single"/>
            <w:rtl/>
          </w:rPr>
          <w:t>ת</w:t>
        </w:r>
        <w:r w:rsidR="004E064D" w:rsidRPr="004E064D">
          <w:rPr>
            <w:rFonts w:cs="David"/>
            <w:color w:val="0000FF"/>
            <w:sz w:val="24"/>
            <w:szCs w:val="24"/>
            <w:u w:val="single"/>
            <w:rtl/>
          </w:rPr>
          <w:t>) 9748-10-13</w:t>
        </w:r>
      </w:hyperlink>
      <w:r>
        <w:rPr>
          <w:rFonts w:cs="David"/>
          <w:sz w:val="24"/>
          <w:szCs w:val="24"/>
          <w:rtl/>
        </w:rPr>
        <w:t xml:space="preserve">, </w:t>
      </w:r>
      <w:hyperlink r:id="rId27" w:history="1">
        <w:r w:rsidR="004E064D" w:rsidRPr="004E064D">
          <w:rPr>
            <w:rFonts w:cs="David" w:hint="cs"/>
            <w:color w:val="0000FF"/>
            <w:sz w:val="24"/>
            <w:szCs w:val="24"/>
            <w:u w:val="single"/>
            <w:rtl/>
          </w:rPr>
          <w:t>ת</w:t>
        </w:r>
        <w:r w:rsidR="004E064D" w:rsidRPr="004E064D">
          <w:rPr>
            <w:rFonts w:cs="David"/>
            <w:color w:val="0000FF"/>
            <w:sz w:val="24"/>
            <w:szCs w:val="24"/>
            <w:u w:val="single"/>
            <w:rtl/>
          </w:rPr>
          <w:t>"</w:t>
        </w:r>
        <w:r w:rsidR="004E064D" w:rsidRPr="004E064D">
          <w:rPr>
            <w:rFonts w:cs="David" w:hint="cs"/>
            <w:color w:val="0000FF"/>
            <w:sz w:val="24"/>
            <w:szCs w:val="24"/>
            <w:u w:val="single"/>
            <w:rtl/>
          </w:rPr>
          <w:t>פ</w:t>
        </w:r>
        <w:r w:rsidR="004E064D" w:rsidRPr="004E064D">
          <w:rPr>
            <w:rFonts w:cs="David"/>
            <w:color w:val="0000FF"/>
            <w:sz w:val="24"/>
            <w:szCs w:val="24"/>
            <w:u w:val="single"/>
            <w:rtl/>
          </w:rPr>
          <w:t xml:space="preserve"> (</w:t>
        </w:r>
        <w:r w:rsidR="004E064D" w:rsidRPr="004E064D">
          <w:rPr>
            <w:rFonts w:cs="David" w:hint="cs"/>
            <w:color w:val="0000FF"/>
            <w:sz w:val="24"/>
            <w:szCs w:val="24"/>
            <w:u w:val="single"/>
            <w:rtl/>
          </w:rPr>
          <w:t>ת</w:t>
        </w:r>
        <w:r w:rsidR="004E064D" w:rsidRPr="004E064D">
          <w:rPr>
            <w:rFonts w:cs="David"/>
            <w:color w:val="0000FF"/>
            <w:sz w:val="24"/>
            <w:szCs w:val="24"/>
            <w:u w:val="single"/>
            <w:rtl/>
          </w:rPr>
          <w:t>"</w:t>
        </w:r>
        <w:r w:rsidR="004E064D" w:rsidRPr="004E064D">
          <w:rPr>
            <w:rFonts w:cs="David" w:hint="cs"/>
            <w:color w:val="0000FF"/>
            <w:sz w:val="24"/>
            <w:szCs w:val="24"/>
            <w:u w:val="single"/>
            <w:rtl/>
          </w:rPr>
          <w:t>א</w:t>
        </w:r>
        <w:r w:rsidR="004E064D" w:rsidRPr="004E064D">
          <w:rPr>
            <w:rFonts w:cs="David"/>
            <w:color w:val="0000FF"/>
            <w:sz w:val="24"/>
            <w:szCs w:val="24"/>
            <w:u w:val="single"/>
            <w:rtl/>
          </w:rPr>
          <w:t>) 23797-03-14</w:t>
        </w:r>
      </w:hyperlink>
      <w:r>
        <w:rPr>
          <w:rFonts w:cs="David"/>
          <w:sz w:val="24"/>
          <w:szCs w:val="24"/>
          <w:rtl/>
        </w:rPr>
        <w:t xml:space="preserve">, </w:t>
      </w:r>
      <w:hyperlink r:id="rId28" w:history="1">
        <w:r w:rsidR="004E064D" w:rsidRPr="004E064D">
          <w:rPr>
            <w:rFonts w:cs="David" w:hint="cs"/>
            <w:color w:val="0000FF"/>
            <w:sz w:val="24"/>
            <w:szCs w:val="24"/>
            <w:u w:val="single"/>
            <w:rtl/>
          </w:rPr>
          <w:t>עפ</w:t>
        </w:r>
        <w:r w:rsidR="004E064D" w:rsidRPr="004E064D">
          <w:rPr>
            <w:rFonts w:cs="David"/>
            <w:color w:val="0000FF"/>
            <w:sz w:val="24"/>
            <w:szCs w:val="24"/>
            <w:u w:val="single"/>
            <w:rtl/>
          </w:rPr>
          <w:t>"</w:t>
        </w:r>
        <w:r w:rsidR="004E064D" w:rsidRPr="004E064D">
          <w:rPr>
            <w:rFonts w:cs="David" w:hint="cs"/>
            <w:color w:val="0000FF"/>
            <w:sz w:val="24"/>
            <w:szCs w:val="24"/>
            <w:u w:val="single"/>
            <w:rtl/>
          </w:rPr>
          <w:t>ג</w:t>
        </w:r>
        <w:r w:rsidR="004E064D" w:rsidRPr="004E064D">
          <w:rPr>
            <w:rFonts w:cs="David"/>
            <w:color w:val="0000FF"/>
            <w:sz w:val="24"/>
            <w:szCs w:val="24"/>
            <w:u w:val="single"/>
            <w:rtl/>
          </w:rPr>
          <w:t xml:space="preserve"> (</w:t>
        </w:r>
        <w:r w:rsidR="004E064D" w:rsidRPr="004E064D">
          <w:rPr>
            <w:rFonts w:cs="David" w:hint="cs"/>
            <w:color w:val="0000FF"/>
            <w:sz w:val="24"/>
            <w:szCs w:val="24"/>
            <w:u w:val="single"/>
            <w:rtl/>
          </w:rPr>
          <w:t>מח</w:t>
        </w:r>
        <w:r w:rsidR="004E064D" w:rsidRPr="004E064D">
          <w:rPr>
            <w:rFonts w:cs="David"/>
            <w:color w:val="0000FF"/>
            <w:sz w:val="24"/>
            <w:szCs w:val="24"/>
            <w:u w:val="single"/>
            <w:rtl/>
          </w:rPr>
          <w:t>-</w:t>
        </w:r>
        <w:r w:rsidR="004E064D" w:rsidRPr="004E064D">
          <w:rPr>
            <w:rFonts w:cs="David" w:hint="cs"/>
            <w:color w:val="0000FF"/>
            <w:sz w:val="24"/>
            <w:szCs w:val="24"/>
            <w:u w:val="single"/>
            <w:rtl/>
          </w:rPr>
          <w:t>חיפה</w:t>
        </w:r>
        <w:r w:rsidR="004E064D" w:rsidRPr="004E064D">
          <w:rPr>
            <w:rFonts w:cs="David"/>
            <w:color w:val="0000FF"/>
            <w:sz w:val="24"/>
            <w:szCs w:val="24"/>
            <w:u w:val="single"/>
            <w:rtl/>
          </w:rPr>
          <w:t>) 28110-10-15</w:t>
        </w:r>
      </w:hyperlink>
      <w:r>
        <w:rPr>
          <w:rFonts w:cs="David"/>
          <w:sz w:val="24"/>
          <w:szCs w:val="24"/>
          <w:rtl/>
        </w:rPr>
        <w:t>. ב</w:t>
      </w:r>
      <w:hyperlink r:id="rId29" w:history="1">
        <w:r w:rsidR="004E064D" w:rsidRPr="004E064D">
          <w:rPr>
            <w:rFonts w:cs="David" w:hint="cs"/>
            <w:color w:val="0000FF"/>
            <w:sz w:val="24"/>
            <w:szCs w:val="24"/>
            <w:u w:val="single"/>
            <w:rtl/>
          </w:rPr>
          <w:t>ת</w:t>
        </w:r>
        <w:r w:rsidR="004E064D" w:rsidRPr="004E064D">
          <w:rPr>
            <w:rFonts w:cs="David"/>
            <w:color w:val="0000FF"/>
            <w:sz w:val="24"/>
            <w:szCs w:val="24"/>
            <w:u w:val="single"/>
            <w:rtl/>
          </w:rPr>
          <w:t>"</w:t>
        </w:r>
        <w:r w:rsidR="004E064D" w:rsidRPr="004E064D">
          <w:rPr>
            <w:rFonts w:cs="David" w:hint="cs"/>
            <w:color w:val="0000FF"/>
            <w:sz w:val="24"/>
            <w:szCs w:val="24"/>
            <w:u w:val="single"/>
            <w:rtl/>
          </w:rPr>
          <w:t>פ</w:t>
        </w:r>
        <w:r w:rsidR="004E064D" w:rsidRPr="004E064D">
          <w:rPr>
            <w:rFonts w:cs="David"/>
            <w:color w:val="0000FF"/>
            <w:sz w:val="24"/>
            <w:szCs w:val="24"/>
            <w:u w:val="single"/>
            <w:rtl/>
          </w:rPr>
          <w:t xml:space="preserve"> (</w:t>
        </w:r>
        <w:r w:rsidR="004E064D" w:rsidRPr="004E064D">
          <w:rPr>
            <w:rFonts w:cs="David" w:hint="cs"/>
            <w:color w:val="0000FF"/>
            <w:sz w:val="24"/>
            <w:szCs w:val="24"/>
            <w:u w:val="single"/>
            <w:rtl/>
          </w:rPr>
          <w:t>רחובות</w:t>
        </w:r>
        <w:r w:rsidR="004E064D" w:rsidRPr="004E064D">
          <w:rPr>
            <w:rFonts w:cs="David"/>
            <w:color w:val="0000FF"/>
            <w:sz w:val="24"/>
            <w:szCs w:val="24"/>
            <w:u w:val="single"/>
            <w:rtl/>
          </w:rPr>
          <w:t>) 27126-08-17</w:t>
        </w:r>
      </w:hyperlink>
      <w:r>
        <w:rPr>
          <w:rFonts w:cs="David"/>
          <w:sz w:val="24"/>
          <w:szCs w:val="24"/>
          <w:rtl/>
        </w:rPr>
        <w:t xml:space="preserve"> הצדדים הגיעו להסכמות עונשיות במסגרת הסדר טיעון תוך שבית המשפט ציין כי ההסכמה חורגת לקולה מרמת הענישה הנוהגת. ב</w:t>
      </w:r>
      <w:hyperlink r:id="rId30" w:history="1">
        <w:r w:rsidR="004E064D" w:rsidRPr="004E064D">
          <w:rPr>
            <w:rFonts w:cs="David" w:hint="cs"/>
            <w:color w:val="0000FF"/>
            <w:sz w:val="24"/>
            <w:szCs w:val="24"/>
            <w:u w:val="single"/>
            <w:rtl/>
          </w:rPr>
          <w:t>ת</w:t>
        </w:r>
        <w:r w:rsidR="004E064D" w:rsidRPr="004E064D">
          <w:rPr>
            <w:rFonts w:cs="David"/>
            <w:color w:val="0000FF"/>
            <w:sz w:val="24"/>
            <w:szCs w:val="24"/>
            <w:u w:val="single"/>
            <w:rtl/>
          </w:rPr>
          <w:t>"</w:t>
        </w:r>
        <w:r w:rsidR="004E064D" w:rsidRPr="004E064D">
          <w:rPr>
            <w:rFonts w:cs="David" w:hint="cs"/>
            <w:color w:val="0000FF"/>
            <w:sz w:val="24"/>
            <w:szCs w:val="24"/>
            <w:u w:val="single"/>
            <w:rtl/>
          </w:rPr>
          <w:t>פ</w:t>
        </w:r>
        <w:r w:rsidR="004E064D" w:rsidRPr="004E064D">
          <w:rPr>
            <w:rFonts w:cs="David"/>
            <w:color w:val="0000FF"/>
            <w:sz w:val="24"/>
            <w:szCs w:val="24"/>
            <w:u w:val="single"/>
            <w:rtl/>
          </w:rPr>
          <w:t xml:space="preserve"> (</w:t>
        </w:r>
        <w:r w:rsidR="004E064D" w:rsidRPr="004E064D">
          <w:rPr>
            <w:rFonts w:cs="David" w:hint="cs"/>
            <w:color w:val="0000FF"/>
            <w:sz w:val="24"/>
            <w:szCs w:val="24"/>
            <w:u w:val="single"/>
            <w:rtl/>
          </w:rPr>
          <w:t>רחובות</w:t>
        </w:r>
        <w:r w:rsidR="004E064D" w:rsidRPr="004E064D">
          <w:rPr>
            <w:rFonts w:cs="David"/>
            <w:color w:val="0000FF"/>
            <w:sz w:val="24"/>
            <w:szCs w:val="24"/>
            <w:u w:val="single"/>
            <w:rtl/>
          </w:rPr>
          <w:t>) 41968-09-17</w:t>
        </w:r>
      </w:hyperlink>
      <w:r>
        <w:rPr>
          <w:rFonts w:cs="David"/>
          <w:sz w:val="24"/>
          <w:szCs w:val="24"/>
          <w:rtl/>
        </w:rPr>
        <w:t xml:space="preserve"> נקבע מתחם המתחיל במאסר מותנה לגבי החזקת קנ</w:t>
      </w:r>
      <w:r>
        <w:rPr>
          <w:rFonts w:cs="David" w:hint="cs"/>
          <w:sz w:val="24"/>
          <w:szCs w:val="24"/>
          <w:rtl/>
        </w:rPr>
        <w:t>ב</w:t>
      </w:r>
      <w:r>
        <w:rPr>
          <w:rFonts w:cs="David"/>
          <w:sz w:val="24"/>
          <w:szCs w:val="24"/>
          <w:rtl/>
        </w:rPr>
        <w:t>וס לצריכה עצמית במשקל של 1.174 גרם וגידולם של 7 שתילי קנבוס במשקל לא ידוע (שונה מאד משתילים במשקל 3 ק"ג). ב</w:t>
      </w:r>
      <w:hyperlink r:id="rId31" w:history="1">
        <w:r w:rsidR="004E064D" w:rsidRPr="004E064D">
          <w:rPr>
            <w:rFonts w:cs="David" w:hint="cs"/>
            <w:color w:val="0000FF"/>
            <w:sz w:val="24"/>
            <w:szCs w:val="24"/>
            <w:u w:val="single"/>
            <w:rtl/>
          </w:rPr>
          <w:t>ת</w:t>
        </w:r>
        <w:r w:rsidR="004E064D" w:rsidRPr="004E064D">
          <w:rPr>
            <w:rFonts w:cs="David"/>
            <w:color w:val="0000FF"/>
            <w:sz w:val="24"/>
            <w:szCs w:val="24"/>
            <w:u w:val="single"/>
            <w:rtl/>
          </w:rPr>
          <w:t>"</w:t>
        </w:r>
        <w:r w:rsidR="004E064D" w:rsidRPr="004E064D">
          <w:rPr>
            <w:rFonts w:cs="David" w:hint="cs"/>
            <w:color w:val="0000FF"/>
            <w:sz w:val="24"/>
            <w:szCs w:val="24"/>
            <w:u w:val="single"/>
            <w:rtl/>
          </w:rPr>
          <w:t>פ</w:t>
        </w:r>
        <w:r w:rsidR="004E064D" w:rsidRPr="004E064D">
          <w:rPr>
            <w:rFonts w:cs="David"/>
            <w:color w:val="0000FF"/>
            <w:sz w:val="24"/>
            <w:szCs w:val="24"/>
            <w:u w:val="single"/>
            <w:rtl/>
          </w:rPr>
          <w:t xml:space="preserve"> (</w:t>
        </w:r>
        <w:r w:rsidR="004E064D" w:rsidRPr="004E064D">
          <w:rPr>
            <w:rFonts w:cs="David" w:hint="cs"/>
            <w:color w:val="0000FF"/>
            <w:sz w:val="24"/>
            <w:szCs w:val="24"/>
            <w:u w:val="single"/>
            <w:rtl/>
          </w:rPr>
          <w:t>רחובות</w:t>
        </w:r>
        <w:r w:rsidR="004E064D" w:rsidRPr="004E064D">
          <w:rPr>
            <w:rFonts w:cs="David"/>
            <w:color w:val="0000FF"/>
            <w:sz w:val="24"/>
            <w:szCs w:val="24"/>
            <w:u w:val="single"/>
            <w:rtl/>
          </w:rPr>
          <w:t>) 28551-08-14</w:t>
        </w:r>
      </w:hyperlink>
      <w:r>
        <w:rPr>
          <w:rFonts w:cs="David"/>
          <w:sz w:val="24"/>
          <w:szCs w:val="24"/>
          <w:rtl/>
        </w:rPr>
        <w:t xml:space="preserve"> נדון נאשם שגידל קנבוס בכמות דומה אך בחצר ביתו ללא אביזרים. אמנם נקבע מתחם שתחילתו מאסר מותנה אך זאת לאחר שבית המשפט ציין כי הנאשם חרש-אילם, דל ביכולותיו השכליות וגידל את הסמים לטיפול בכאבים מהם סבל. בנסיבות חריגות אלה הבנת הפסול מוגבלת ועל כן נקבע מתחם מקל מהרגיל. ב</w:t>
      </w:r>
      <w:hyperlink r:id="rId32" w:history="1">
        <w:r w:rsidR="004E064D" w:rsidRPr="004E064D">
          <w:rPr>
            <w:rFonts w:cs="David" w:hint="cs"/>
            <w:color w:val="0000FF"/>
            <w:sz w:val="24"/>
            <w:szCs w:val="24"/>
            <w:u w:val="single"/>
            <w:rtl/>
          </w:rPr>
          <w:t>ת</w:t>
        </w:r>
        <w:r w:rsidR="004E064D" w:rsidRPr="004E064D">
          <w:rPr>
            <w:rFonts w:cs="David"/>
            <w:color w:val="0000FF"/>
            <w:sz w:val="24"/>
            <w:szCs w:val="24"/>
            <w:u w:val="single"/>
            <w:rtl/>
          </w:rPr>
          <w:t>"</w:t>
        </w:r>
        <w:r w:rsidR="004E064D" w:rsidRPr="004E064D">
          <w:rPr>
            <w:rFonts w:cs="David" w:hint="cs"/>
            <w:color w:val="0000FF"/>
            <w:sz w:val="24"/>
            <w:szCs w:val="24"/>
            <w:u w:val="single"/>
            <w:rtl/>
          </w:rPr>
          <w:t>פ</w:t>
        </w:r>
        <w:r w:rsidR="004E064D" w:rsidRPr="004E064D">
          <w:rPr>
            <w:rFonts w:cs="David"/>
            <w:color w:val="0000FF"/>
            <w:sz w:val="24"/>
            <w:szCs w:val="24"/>
            <w:u w:val="single"/>
            <w:rtl/>
          </w:rPr>
          <w:t xml:space="preserve"> (</w:t>
        </w:r>
        <w:r w:rsidR="004E064D" w:rsidRPr="004E064D">
          <w:rPr>
            <w:rFonts w:cs="David" w:hint="cs"/>
            <w:color w:val="0000FF"/>
            <w:sz w:val="24"/>
            <w:szCs w:val="24"/>
            <w:u w:val="single"/>
            <w:rtl/>
          </w:rPr>
          <w:t>רחובות</w:t>
        </w:r>
        <w:r w:rsidR="004E064D" w:rsidRPr="004E064D">
          <w:rPr>
            <w:rFonts w:cs="David"/>
            <w:color w:val="0000FF"/>
            <w:sz w:val="24"/>
            <w:szCs w:val="24"/>
            <w:u w:val="single"/>
            <w:rtl/>
          </w:rPr>
          <w:t>) 51025-04-15</w:t>
        </w:r>
      </w:hyperlink>
      <w:r>
        <w:rPr>
          <w:rFonts w:cs="David"/>
          <w:sz w:val="24"/>
          <w:szCs w:val="24"/>
          <w:rtl/>
        </w:rPr>
        <w:t xml:space="preserve"> דובר על הנאשם שגידל 3 שתילים ללא כל אביזרים ליד קיר הבית. ב</w:t>
      </w:r>
      <w:hyperlink r:id="rId33" w:history="1">
        <w:r w:rsidR="004E064D" w:rsidRPr="004E064D">
          <w:rPr>
            <w:rFonts w:cs="David" w:hint="cs"/>
            <w:color w:val="0000FF"/>
            <w:sz w:val="24"/>
            <w:szCs w:val="24"/>
            <w:u w:val="single"/>
            <w:rtl/>
          </w:rPr>
          <w:t>רע</w:t>
        </w:r>
        <w:r w:rsidR="004E064D" w:rsidRPr="004E064D">
          <w:rPr>
            <w:rFonts w:cs="David"/>
            <w:color w:val="0000FF"/>
            <w:sz w:val="24"/>
            <w:szCs w:val="24"/>
            <w:u w:val="single"/>
            <w:rtl/>
          </w:rPr>
          <w:t>"</w:t>
        </w:r>
        <w:r w:rsidR="004E064D" w:rsidRPr="004E064D">
          <w:rPr>
            <w:rFonts w:cs="David" w:hint="cs"/>
            <w:color w:val="0000FF"/>
            <w:sz w:val="24"/>
            <w:szCs w:val="24"/>
            <w:u w:val="single"/>
            <w:rtl/>
          </w:rPr>
          <w:t>פ</w:t>
        </w:r>
        <w:r w:rsidR="004E064D" w:rsidRPr="004E064D">
          <w:rPr>
            <w:rFonts w:cs="David"/>
            <w:color w:val="0000FF"/>
            <w:sz w:val="24"/>
            <w:szCs w:val="24"/>
            <w:u w:val="single"/>
            <w:rtl/>
          </w:rPr>
          <w:t xml:space="preserve"> 5261/18</w:t>
        </w:r>
      </w:hyperlink>
      <w:r>
        <w:rPr>
          <w:rFonts w:cs="David"/>
          <w:sz w:val="24"/>
          <w:szCs w:val="24"/>
          <w:rtl/>
        </w:rPr>
        <w:t xml:space="preserve"> </w:t>
      </w:r>
      <w:r>
        <w:rPr>
          <w:rFonts w:cs="David"/>
          <w:b/>
          <w:bCs/>
          <w:sz w:val="24"/>
          <w:szCs w:val="24"/>
          <w:rtl/>
        </w:rPr>
        <w:t>דוידוף נ' מדינת ישראל</w:t>
      </w:r>
      <w:r>
        <w:rPr>
          <w:rFonts w:cs="David"/>
          <w:sz w:val="24"/>
          <w:szCs w:val="24"/>
          <w:rtl/>
        </w:rPr>
        <w:t xml:space="preserve"> (12.07.18) נדון אמנם נאשם למאסר מותנה לאחר שהורשע בגידול 16 שתילי קנבוס במשקל כולל של כ-1,900 גרם נטו. עם זאת יש להדגיש כי הדיון בערעור הן בבית המשפט העליון והן בבית המשפט המחוזי נסוב כל כולו על עצם הותרת ההרשעה על כנה. בפסק הדין של בית המשפט המחוזי ע"פ (ת"א) 34243-02-19 אף נפסק כי "חסד נעשה עם המערער בכך שבית המשפט הסתפק במקרה זה בענישה המינימליסטית שאותה הטיל..." ובהמשך אף הוסיף שהיה נמנע מלהתערב בעונשו של הנאשם גם אם היה נשלח לריצוי מאסר בדרך של עבודות שירות.</w:t>
      </w:r>
      <w:r>
        <w:rPr>
          <w:rFonts w:cs="David"/>
          <w:b/>
          <w:bCs/>
          <w:sz w:val="24"/>
          <w:szCs w:val="24"/>
          <w:rtl/>
        </w:rPr>
        <w:t xml:space="preserve"> </w:t>
      </w:r>
      <w:r>
        <w:rPr>
          <w:rFonts w:cs="David"/>
          <w:sz w:val="24"/>
          <w:szCs w:val="24"/>
          <w:rtl/>
        </w:rPr>
        <w:t>קיימים פה ושם פסקי דין אחרים אך אלו היוצאים מן הכלל המעידים על הכלל. עיון בפסיקה הרבה שהוגשה על ידי שני הצדדים מלמד בבירור על מדיניות ענישה עקבית שהתחתית בה מספר חודשי מאסר.</w:t>
      </w:r>
    </w:p>
    <w:p w14:paraId="6C8C5B83" w14:textId="77777777" w:rsidR="000465D4" w:rsidRDefault="000465D4" w:rsidP="000465D4">
      <w:pPr>
        <w:pStyle w:val="a9"/>
        <w:numPr>
          <w:ilvl w:val="0"/>
          <w:numId w:val="1"/>
        </w:numPr>
        <w:spacing w:line="360" w:lineRule="auto"/>
        <w:ind w:left="368"/>
        <w:jc w:val="both"/>
        <w:rPr>
          <w:rFonts w:cs="David"/>
          <w:b/>
          <w:bCs/>
          <w:sz w:val="24"/>
          <w:szCs w:val="24"/>
        </w:rPr>
      </w:pPr>
      <w:r>
        <w:rPr>
          <w:rFonts w:ascii="Arial" w:hAnsi="Arial" w:cs="David"/>
          <w:sz w:val="24"/>
          <w:szCs w:val="24"/>
          <w:rtl/>
        </w:rPr>
        <w:t>על יסוד כל אלו</w:t>
      </w:r>
      <w:r>
        <w:rPr>
          <w:rFonts w:cs="David"/>
          <w:sz w:val="24"/>
          <w:szCs w:val="24"/>
          <w:rtl/>
        </w:rPr>
        <w:t xml:space="preserve"> אני קובעת </w:t>
      </w:r>
      <w:r>
        <w:rPr>
          <w:rFonts w:cs="David"/>
          <w:b/>
          <w:bCs/>
          <w:sz w:val="24"/>
          <w:szCs w:val="24"/>
          <w:rtl/>
        </w:rPr>
        <w:t>שמתחם הענישה ההולם</w:t>
      </w:r>
      <w:r>
        <w:rPr>
          <w:rFonts w:cs="David"/>
          <w:sz w:val="24"/>
          <w:szCs w:val="24"/>
          <w:rtl/>
        </w:rPr>
        <w:t xml:space="preserve"> בגין העבירה בהה הורשע הנאשם  נע בין </w:t>
      </w:r>
      <w:r>
        <w:rPr>
          <w:rFonts w:cs="David"/>
          <w:b/>
          <w:bCs/>
          <w:sz w:val="24"/>
          <w:szCs w:val="24"/>
          <w:rtl/>
        </w:rPr>
        <w:t>מספר חודשי מאסר שיכול וירוצו בעבודות שירות ועד 18 חודשי מאסר בפועל.</w:t>
      </w:r>
    </w:p>
    <w:p w14:paraId="5F9FAD92" w14:textId="77777777" w:rsidR="000465D4" w:rsidRDefault="000465D4" w:rsidP="000465D4">
      <w:pPr>
        <w:pStyle w:val="2"/>
        <w:spacing w:line="360" w:lineRule="auto"/>
        <w:ind w:left="84"/>
        <w:jc w:val="both"/>
        <w:rPr>
          <w:rFonts w:cs="David"/>
          <w:b/>
          <w:bCs/>
          <w:color w:val="auto"/>
          <w:sz w:val="24"/>
          <w:szCs w:val="24"/>
        </w:rPr>
      </w:pPr>
      <w:r>
        <w:rPr>
          <w:rFonts w:cs="David"/>
          <w:b/>
          <w:bCs/>
          <w:color w:val="auto"/>
          <w:sz w:val="24"/>
          <w:szCs w:val="24"/>
          <w:rtl/>
        </w:rPr>
        <w:t xml:space="preserve">העונש המתאים לנאשם  </w:t>
      </w:r>
    </w:p>
    <w:p w14:paraId="0BD292FC" w14:textId="77777777" w:rsidR="000465D4" w:rsidRDefault="000465D4" w:rsidP="000465D4">
      <w:pPr>
        <w:pStyle w:val="a9"/>
        <w:numPr>
          <w:ilvl w:val="0"/>
          <w:numId w:val="1"/>
        </w:numPr>
        <w:spacing w:line="360" w:lineRule="auto"/>
        <w:ind w:left="368"/>
        <w:jc w:val="both"/>
        <w:rPr>
          <w:rFonts w:cs="David"/>
          <w:b/>
          <w:bCs/>
          <w:sz w:val="24"/>
          <w:szCs w:val="24"/>
          <w:rtl/>
        </w:rPr>
      </w:pPr>
      <w:r>
        <w:rPr>
          <w:rFonts w:cs="David"/>
          <w:sz w:val="24"/>
          <w:szCs w:val="24"/>
          <w:rtl/>
        </w:rPr>
        <w:t>מתסקיר שירות המבחן עולה כי הנאשם אינו מאופיין בערכים אנטיסוציאליים וכי השימוש בסמים הוא תוצאה של אירוע פוסט טראומטי שמפאת צנעת הפרט לא אפרט. עוד עולה כי לא מדובר במי שאוחז בדפוסים התמכרותיים וכי השימוש בסמים היה בעיקר מענה הרגעתי. מאז מעצרו החל טיפול ביחידה העירונית, הגיע לכל המפגשים ושמר על נקיון מסמים. שירות המבחן התרשם כי מדובר במי שמביע חרטה כנה ואף רצון ויכולת לבנות את חייו ממקום אחראי ובטוח יותר. בנסיבות חריגות אלו של תחילת השימוש בסמים על רקע אירוע קשה שחווה בגיל צעיר מצאתי לסטות לקולה ממתחם העונש ההולם. שקלתי השינוי החיובי שערך הנאשם בשנה האחרונה התמדתו בהליך הטיפולי ומציאת פתרונות חוקיים לקשייו שעמדו בבסיס ביצוע העבירה. תיקים רבים בעבירות גידול סם מגיעים לקו הגמר כאשר מתברר שהנאשמים מקיימים אורח חיים נורמטיבי והתסקירים בעניינם חיוביים ומצביעים על שיתוף פעולה, שינוי וחרטה. הנאשם במקרה זה נבדל מאחרים בנקודת המוצא בה היה בעצמו קורבן עבירה. לכך יש להוסיף כי בשל נסיבות הגידול</w:t>
      </w:r>
      <w:r>
        <w:rPr>
          <w:rFonts w:cs="David" w:hint="cs"/>
          <w:sz w:val="24"/>
          <w:szCs w:val="24"/>
          <w:rtl/>
        </w:rPr>
        <w:t>,</w:t>
      </w:r>
      <w:r>
        <w:rPr>
          <w:rFonts w:cs="David"/>
          <w:sz w:val="24"/>
          <w:szCs w:val="24"/>
          <w:rtl/>
        </w:rPr>
        <w:t xml:space="preserve"> שכאמור אינן ברף </w:t>
      </w:r>
      <w:r>
        <w:rPr>
          <w:rFonts w:cs="David" w:hint="cs"/>
          <w:sz w:val="24"/>
          <w:szCs w:val="24"/>
          <w:rtl/>
        </w:rPr>
        <w:t xml:space="preserve">חומרה </w:t>
      </w:r>
      <w:r>
        <w:rPr>
          <w:rFonts w:cs="David"/>
          <w:sz w:val="24"/>
          <w:szCs w:val="24"/>
          <w:rtl/>
        </w:rPr>
        <w:t>גבוה</w:t>
      </w:r>
      <w:r>
        <w:rPr>
          <w:rFonts w:cs="David" w:hint="cs"/>
          <w:sz w:val="24"/>
          <w:szCs w:val="24"/>
          <w:rtl/>
        </w:rPr>
        <w:t>,</w:t>
      </w:r>
      <w:r>
        <w:rPr>
          <w:rFonts w:cs="David"/>
          <w:sz w:val="24"/>
          <w:szCs w:val="24"/>
          <w:rtl/>
        </w:rPr>
        <w:t xml:space="preserve"> לא מדובר בסטיה גדולה ממתחם העונש ההולם אלא מעבר בין תקופה קצרה בעבודות שירות לתקופה דומה בדרך של ריצוי עבודות לתועלת הציבור. </w:t>
      </w:r>
      <w:r>
        <w:rPr>
          <w:rFonts w:cs="David" w:hint="cs"/>
          <w:sz w:val="24"/>
          <w:szCs w:val="24"/>
          <w:rtl/>
        </w:rPr>
        <w:t xml:space="preserve">לאלו מצטרף חשש כי </w:t>
      </w:r>
      <w:r>
        <w:rPr>
          <w:rFonts w:cs="David"/>
          <w:sz w:val="24"/>
          <w:szCs w:val="24"/>
          <w:rtl/>
        </w:rPr>
        <w:t xml:space="preserve">ריצוי מאסר בדרך של עבודות שירות </w:t>
      </w:r>
      <w:r>
        <w:rPr>
          <w:rFonts w:cs="David" w:hint="cs"/>
          <w:sz w:val="24"/>
          <w:szCs w:val="24"/>
          <w:rtl/>
        </w:rPr>
        <w:t>יחבל</w:t>
      </w:r>
      <w:r>
        <w:rPr>
          <w:rFonts w:cs="David"/>
          <w:sz w:val="24"/>
          <w:szCs w:val="24"/>
          <w:rtl/>
        </w:rPr>
        <w:t xml:space="preserve"> בלימודיו של הנאשם.  </w:t>
      </w:r>
    </w:p>
    <w:p w14:paraId="285D71F7" w14:textId="77777777" w:rsidR="000465D4" w:rsidRDefault="000465D4" w:rsidP="000465D4">
      <w:pPr>
        <w:pStyle w:val="a9"/>
        <w:numPr>
          <w:ilvl w:val="0"/>
          <w:numId w:val="1"/>
        </w:numPr>
        <w:spacing w:line="360" w:lineRule="auto"/>
        <w:ind w:left="368"/>
        <w:jc w:val="both"/>
        <w:rPr>
          <w:rFonts w:cs="David"/>
          <w:sz w:val="24"/>
          <w:szCs w:val="24"/>
        </w:rPr>
      </w:pPr>
      <w:r>
        <w:rPr>
          <w:rFonts w:cs="David"/>
          <w:sz w:val="24"/>
          <w:szCs w:val="24"/>
          <w:rtl/>
        </w:rPr>
        <w:t>בקביעת העונש המתאים לנאשם שקלתי המלצת שירות המבחן, קבלת אחריות על ידי הנאשם, תיקון כתב האישום לקולה, גילו הצעיר של הנאשם, העדר כל עבר פלילי מכל מין וסוג שהוא ו</w:t>
      </w:r>
      <w:r>
        <w:rPr>
          <w:rFonts w:cs="David" w:hint="cs"/>
          <w:sz w:val="24"/>
          <w:szCs w:val="24"/>
          <w:rtl/>
        </w:rPr>
        <w:t>כמובן</w:t>
      </w:r>
      <w:r>
        <w:rPr>
          <w:rFonts w:cs="David"/>
          <w:sz w:val="24"/>
          <w:szCs w:val="24"/>
          <w:rtl/>
        </w:rPr>
        <w:t xml:space="preserve"> את ההליך הטיפולי והמוצלח שעבר במסגרת שירות המבחן. כן שקלתי הודייתו והחיסכון בזמן השיפוטי ומכלול נסיבותיו האישיות.  </w:t>
      </w:r>
    </w:p>
    <w:p w14:paraId="23E9CED9" w14:textId="77777777" w:rsidR="000465D4" w:rsidRPr="006648E2" w:rsidRDefault="000465D4" w:rsidP="000465D4">
      <w:pPr>
        <w:pStyle w:val="2"/>
        <w:spacing w:line="360" w:lineRule="auto"/>
        <w:ind w:left="84"/>
        <w:jc w:val="both"/>
        <w:rPr>
          <w:rFonts w:cs="David"/>
          <w:color w:val="auto"/>
          <w:sz w:val="24"/>
          <w:szCs w:val="24"/>
          <w:u w:val="double"/>
          <w:rtl/>
        </w:rPr>
      </w:pPr>
      <w:r w:rsidRPr="006648E2">
        <w:rPr>
          <w:rFonts w:cs="David"/>
          <w:b/>
          <w:bCs/>
          <w:color w:val="auto"/>
          <w:sz w:val="24"/>
          <w:szCs w:val="24"/>
          <w:u w:val="double"/>
          <w:rtl/>
        </w:rPr>
        <w:t>סוף</w:t>
      </w:r>
      <w:r w:rsidRPr="006648E2">
        <w:rPr>
          <w:rFonts w:cs="David"/>
          <w:color w:val="auto"/>
          <w:sz w:val="24"/>
          <w:szCs w:val="24"/>
          <w:u w:val="double"/>
          <w:rtl/>
        </w:rPr>
        <w:t xml:space="preserve"> </w:t>
      </w:r>
      <w:r w:rsidRPr="006648E2">
        <w:rPr>
          <w:rFonts w:cs="David"/>
          <w:b/>
          <w:bCs/>
          <w:color w:val="auto"/>
          <w:sz w:val="24"/>
          <w:szCs w:val="24"/>
          <w:u w:val="double"/>
          <w:rtl/>
        </w:rPr>
        <w:t>דבר</w:t>
      </w:r>
      <w:r w:rsidRPr="006648E2">
        <w:rPr>
          <w:rFonts w:cs="David"/>
          <w:color w:val="auto"/>
          <w:sz w:val="24"/>
          <w:szCs w:val="24"/>
          <w:u w:val="double"/>
          <w:rtl/>
        </w:rPr>
        <w:t xml:space="preserve"> </w:t>
      </w:r>
      <w:r w:rsidRPr="006648E2">
        <w:rPr>
          <w:rFonts w:cs="David" w:hint="cs"/>
          <w:color w:val="auto"/>
          <w:sz w:val="24"/>
          <w:szCs w:val="24"/>
          <w:u w:val="double"/>
          <w:rtl/>
        </w:rPr>
        <w:t xml:space="preserve">- </w:t>
      </w:r>
      <w:r w:rsidRPr="006648E2">
        <w:rPr>
          <w:rFonts w:cs="David"/>
          <w:b/>
          <w:bCs/>
          <w:color w:val="auto"/>
          <w:sz w:val="24"/>
          <w:szCs w:val="24"/>
          <w:u w:val="double"/>
          <w:rtl/>
        </w:rPr>
        <w:t>אני גוזרת על הנאשם את העונשים הבאים:</w:t>
      </w:r>
    </w:p>
    <w:p w14:paraId="5BB1248F" w14:textId="77777777" w:rsidR="000465D4" w:rsidRDefault="000465D4" w:rsidP="000465D4">
      <w:pPr>
        <w:pStyle w:val="a9"/>
        <w:numPr>
          <w:ilvl w:val="0"/>
          <w:numId w:val="3"/>
        </w:numPr>
        <w:spacing w:after="0" w:line="360" w:lineRule="auto"/>
        <w:jc w:val="both"/>
        <w:rPr>
          <w:rFonts w:ascii="David" w:hAnsi="David" w:cs="David"/>
          <w:b/>
          <w:bCs/>
          <w:sz w:val="24"/>
          <w:szCs w:val="24"/>
        </w:rPr>
      </w:pPr>
      <w:r w:rsidRPr="006648E2">
        <w:rPr>
          <w:rFonts w:cs="David"/>
          <w:sz w:val="24"/>
          <w:szCs w:val="24"/>
          <w:rtl/>
        </w:rPr>
        <w:t>הנאשם</w:t>
      </w:r>
      <w:r>
        <w:rPr>
          <w:rFonts w:ascii="Times New Roman" w:eastAsia="Times New Roman" w:hAnsi="Times New Roman" w:cs="David"/>
          <w:sz w:val="24"/>
          <w:szCs w:val="24"/>
          <w:rtl/>
        </w:rPr>
        <w:t xml:space="preserve"> יבצע </w:t>
      </w:r>
      <w:r w:rsidRPr="006648E2">
        <w:rPr>
          <w:rFonts w:ascii="Times New Roman" w:eastAsia="Times New Roman" w:hAnsi="Times New Roman" w:cs="David"/>
          <w:b/>
          <w:bCs/>
          <w:sz w:val="24"/>
          <w:szCs w:val="24"/>
          <w:rtl/>
        </w:rPr>
        <w:t xml:space="preserve">250 שעות לתועלת הציבור </w:t>
      </w:r>
      <w:r>
        <w:rPr>
          <w:rFonts w:ascii="Times New Roman" w:eastAsia="Times New Roman" w:hAnsi="Times New Roman" w:cs="David"/>
          <w:sz w:val="24"/>
          <w:szCs w:val="24"/>
          <w:rtl/>
        </w:rPr>
        <w:t xml:space="preserve">על פי תכנית שגובשה בשירות המבחן. הנאשם יתחיל בביצוע העבודות בתוך חודש ויסיימן בתוך שנה מהיום. </w:t>
      </w:r>
      <w:r>
        <w:rPr>
          <w:rFonts w:ascii="David" w:hAnsi="David" w:cs="David"/>
          <w:b/>
          <w:bCs/>
          <w:sz w:val="24"/>
          <w:szCs w:val="24"/>
          <w:rtl/>
        </w:rPr>
        <w:t>הנאשם מוזהר כי אם לא ימלא אחר הצו, רשאי בית המשפט לבטל את צו השירות ולגזור עליו עונש על העבירה שבגללה ניתן צו השירות.</w:t>
      </w:r>
    </w:p>
    <w:p w14:paraId="35D477F6" w14:textId="77777777" w:rsidR="000465D4" w:rsidRDefault="000465D4" w:rsidP="000465D4">
      <w:pPr>
        <w:pStyle w:val="a9"/>
        <w:numPr>
          <w:ilvl w:val="0"/>
          <w:numId w:val="3"/>
        </w:numPr>
        <w:spacing w:after="0" w:line="360" w:lineRule="auto"/>
        <w:jc w:val="both"/>
        <w:rPr>
          <w:rFonts w:cs="David"/>
          <w:sz w:val="24"/>
          <w:szCs w:val="24"/>
          <w:rtl/>
        </w:rPr>
      </w:pPr>
      <w:r w:rsidRPr="006648E2">
        <w:rPr>
          <w:rFonts w:cs="David"/>
          <w:b/>
          <w:bCs/>
          <w:sz w:val="24"/>
          <w:szCs w:val="24"/>
          <w:rtl/>
        </w:rPr>
        <w:t>8  חודשי מאסר על תנאי</w:t>
      </w:r>
      <w:r>
        <w:rPr>
          <w:rFonts w:cs="David"/>
          <w:sz w:val="24"/>
          <w:szCs w:val="24"/>
          <w:rtl/>
        </w:rPr>
        <w:t xml:space="preserve"> והתנאי הוא שבמשך שלוש שנים מהיום לא יעבור עבירה מסוג </w:t>
      </w:r>
      <w:r w:rsidRPr="006648E2">
        <w:rPr>
          <w:rFonts w:cs="David"/>
          <w:b/>
          <w:bCs/>
          <w:sz w:val="24"/>
          <w:szCs w:val="24"/>
          <w:rtl/>
        </w:rPr>
        <w:t>פשע</w:t>
      </w:r>
      <w:r>
        <w:rPr>
          <w:rFonts w:cs="David"/>
          <w:sz w:val="24"/>
          <w:szCs w:val="24"/>
          <w:rtl/>
        </w:rPr>
        <w:t xml:space="preserve"> על </w:t>
      </w:r>
      <w:hyperlink r:id="rId34" w:history="1">
        <w:r w:rsidR="004E064D" w:rsidRPr="004E064D">
          <w:rPr>
            <w:rFonts w:cs="David" w:hint="cs"/>
            <w:color w:val="0000FF"/>
            <w:sz w:val="24"/>
            <w:szCs w:val="24"/>
            <w:u w:val="single"/>
            <w:rtl/>
          </w:rPr>
          <w:t>פקודת</w:t>
        </w:r>
        <w:r w:rsidR="004E064D" w:rsidRPr="004E064D">
          <w:rPr>
            <w:rFonts w:cs="David"/>
            <w:color w:val="0000FF"/>
            <w:sz w:val="24"/>
            <w:szCs w:val="24"/>
            <w:u w:val="single"/>
            <w:rtl/>
          </w:rPr>
          <w:t xml:space="preserve"> </w:t>
        </w:r>
        <w:r w:rsidR="004E064D" w:rsidRPr="004E064D">
          <w:rPr>
            <w:rFonts w:cs="David" w:hint="cs"/>
            <w:color w:val="0000FF"/>
            <w:sz w:val="24"/>
            <w:szCs w:val="24"/>
            <w:u w:val="single"/>
            <w:rtl/>
          </w:rPr>
          <w:t>הסמים</w:t>
        </w:r>
        <w:r w:rsidR="004E064D" w:rsidRPr="004E064D">
          <w:rPr>
            <w:rFonts w:cs="David"/>
            <w:color w:val="0000FF"/>
            <w:sz w:val="24"/>
            <w:szCs w:val="24"/>
            <w:u w:val="single"/>
            <w:rtl/>
          </w:rPr>
          <w:t xml:space="preserve"> </w:t>
        </w:r>
        <w:r w:rsidR="004E064D" w:rsidRPr="004E064D">
          <w:rPr>
            <w:rFonts w:cs="David" w:hint="cs"/>
            <w:color w:val="0000FF"/>
            <w:sz w:val="24"/>
            <w:szCs w:val="24"/>
            <w:u w:val="single"/>
            <w:rtl/>
          </w:rPr>
          <w:t>המסוכנים</w:t>
        </w:r>
      </w:hyperlink>
      <w:r>
        <w:rPr>
          <w:rFonts w:cs="David"/>
          <w:sz w:val="24"/>
          <w:szCs w:val="24"/>
          <w:rtl/>
        </w:rPr>
        <w:t xml:space="preserve">. </w:t>
      </w:r>
    </w:p>
    <w:p w14:paraId="330AF56E" w14:textId="77777777" w:rsidR="000465D4" w:rsidRDefault="000465D4" w:rsidP="000465D4">
      <w:pPr>
        <w:pStyle w:val="a9"/>
        <w:numPr>
          <w:ilvl w:val="0"/>
          <w:numId w:val="3"/>
        </w:numPr>
        <w:spacing w:after="0" w:line="360" w:lineRule="auto"/>
        <w:jc w:val="both"/>
        <w:rPr>
          <w:rFonts w:cs="David"/>
          <w:sz w:val="24"/>
          <w:szCs w:val="24"/>
        </w:rPr>
      </w:pPr>
      <w:r w:rsidRPr="006648E2">
        <w:rPr>
          <w:rFonts w:cs="David"/>
          <w:b/>
          <w:bCs/>
          <w:sz w:val="24"/>
          <w:szCs w:val="24"/>
          <w:rtl/>
        </w:rPr>
        <w:t xml:space="preserve">5 חודשי מאסר על תנאי </w:t>
      </w:r>
      <w:r>
        <w:rPr>
          <w:rFonts w:cs="David"/>
          <w:sz w:val="24"/>
          <w:szCs w:val="24"/>
          <w:rtl/>
        </w:rPr>
        <w:t xml:space="preserve">והתנאי הוא שבמשך שלוש שנים מהיום לא יעבור עבירה מסוג </w:t>
      </w:r>
      <w:r w:rsidRPr="006648E2">
        <w:rPr>
          <w:rFonts w:cs="David"/>
          <w:b/>
          <w:bCs/>
          <w:sz w:val="24"/>
          <w:szCs w:val="24"/>
          <w:rtl/>
        </w:rPr>
        <w:t>עוון</w:t>
      </w:r>
      <w:r>
        <w:rPr>
          <w:rFonts w:cs="David"/>
          <w:sz w:val="24"/>
          <w:szCs w:val="24"/>
          <w:rtl/>
        </w:rPr>
        <w:t xml:space="preserve"> על </w:t>
      </w:r>
      <w:hyperlink r:id="rId35" w:history="1">
        <w:r w:rsidR="004E064D" w:rsidRPr="004E064D">
          <w:rPr>
            <w:rFonts w:cs="David" w:hint="cs"/>
            <w:color w:val="0000FF"/>
            <w:sz w:val="24"/>
            <w:szCs w:val="24"/>
            <w:u w:val="single"/>
            <w:rtl/>
          </w:rPr>
          <w:t>פקודת</w:t>
        </w:r>
        <w:r w:rsidR="004E064D" w:rsidRPr="004E064D">
          <w:rPr>
            <w:rFonts w:cs="David"/>
            <w:color w:val="0000FF"/>
            <w:sz w:val="24"/>
            <w:szCs w:val="24"/>
            <w:u w:val="single"/>
            <w:rtl/>
          </w:rPr>
          <w:t xml:space="preserve"> </w:t>
        </w:r>
        <w:r w:rsidR="004E064D" w:rsidRPr="004E064D">
          <w:rPr>
            <w:rFonts w:cs="David" w:hint="cs"/>
            <w:color w:val="0000FF"/>
            <w:sz w:val="24"/>
            <w:szCs w:val="24"/>
            <w:u w:val="single"/>
            <w:rtl/>
          </w:rPr>
          <w:t>הסמים</w:t>
        </w:r>
        <w:r w:rsidR="004E064D" w:rsidRPr="004E064D">
          <w:rPr>
            <w:rFonts w:cs="David"/>
            <w:color w:val="0000FF"/>
            <w:sz w:val="24"/>
            <w:szCs w:val="24"/>
            <w:u w:val="single"/>
            <w:rtl/>
          </w:rPr>
          <w:t xml:space="preserve"> </w:t>
        </w:r>
        <w:r w:rsidR="004E064D" w:rsidRPr="004E064D">
          <w:rPr>
            <w:rFonts w:cs="David" w:hint="cs"/>
            <w:color w:val="0000FF"/>
            <w:sz w:val="24"/>
            <w:szCs w:val="24"/>
            <w:u w:val="single"/>
            <w:rtl/>
          </w:rPr>
          <w:t>המסוכנים</w:t>
        </w:r>
      </w:hyperlink>
      <w:r>
        <w:rPr>
          <w:rFonts w:cs="David"/>
          <w:sz w:val="24"/>
          <w:szCs w:val="24"/>
          <w:rtl/>
        </w:rPr>
        <w:t>.</w:t>
      </w:r>
    </w:p>
    <w:p w14:paraId="4676475D" w14:textId="77777777" w:rsidR="000465D4" w:rsidRDefault="000465D4" w:rsidP="000465D4">
      <w:pPr>
        <w:pStyle w:val="a9"/>
        <w:numPr>
          <w:ilvl w:val="0"/>
          <w:numId w:val="3"/>
        </w:numPr>
        <w:spacing w:after="0" w:line="360" w:lineRule="auto"/>
        <w:jc w:val="both"/>
        <w:rPr>
          <w:rFonts w:cs="David"/>
          <w:sz w:val="24"/>
          <w:szCs w:val="24"/>
        </w:rPr>
      </w:pPr>
      <w:r w:rsidRPr="006648E2">
        <w:rPr>
          <w:rFonts w:cs="David"/>
          <w:b/>
          <w:bCs/>
          <w:sz w:val="24"/>
          <w:szCs w:val="24"/>
          <w:rtl/>
        </w:rPr>
        <w:t>6  חודשי פסילה על תנאי</w:t>
      </w:r>
      <w:r>
        <w:rPr>
          <w:rFonts w:cs="David"/>
          <w:sz w:val="24"/>
          <w:szCs w:val="24"/>
          <w:rtl/>
        </w:rPr>
        <w:t xml:space="preserve"> לקבל או להחזיק ברישיון נהיגה והתנאי הוא שהנאשם לא יעבור במשך שנתיים מהיום כל עבירה לפי פקודת הסמים.  </w:t>
      </w:r>
    </w:p>
    <w:p w14:paraId="429CA2C9" w14:textId="77777777" w:rsidR="000465D4" w:rsidRDefault="000465D4" w:rsidP="000465D4">
      <w:pPr>
        <w:pStyle w:val="a9"/>
        <w:numPr>
          <w:ilvl w:val="0"/>
          <w:numId w:val="3"/>
        </w:numPr>
        <w:spacing w:after="0" w:line="360" w:lineRule="auto"/>
        <w:jc w:val="both"/>
        <w:rPr>
          <w:rFonts w:cs="David"/>
          <w:sz w:val="24"/>
          <w:szCs w:val="24"/>
        </w:rPr>
      </w:pPr>
      <w:r w:rsidRPr="006648E2">
        <w:rPr>
          <w:rFonts w:cs="David"/>
          <w:b/>
          <w:bCs/>
          <w:sz w:val="24"/>
          <w:szCs w:val="24"/>
          <w:rtl/>
        </w:rPr>
        <w:t xml:space="preserve">קנס בסך 6,000 ₪ </w:t>
      </w:r>
      <w:r>
        <w:rPr>
          <w:rFonts w:cs="David"/>
          <w:sz w:val="24"/>
          <w:szCs w:val="24"/>
          <w:rtl/>
        </w:rPr>
        <w:t xml:space="preserve">או 30 ימי מאסר תמורתם. הקנס ישולם ב- 4 תשלומים חודשיים שווים ורצופים שהראשון בהם ביום 1.10.19 והבאים בכל 1 לחודש שלאחר מכן. לא ישולם תשלום במועדו תעמוד יתרת הקנס לפרעון מידי. </w:t>
      </w:r>
    </w:p>
    <w:p w14:paraId="0E1DD75C" w14:textId="77777777" w:rsidR="000465D4" w:rsidRDefault="000465D4" w:rsidP="000465D4">
      <w:pPr>
        <w:pStyle w:val="a9"/>
        <w:numPr>
          <w:ilvl w:val="0"/>
          <w:numId w:val="3"/>
        </w:numPr>
        <w:spacing w:after="0" w:line="360" w:lineRule="auto"/>
        <w:jc w:val="both"/>
        <w:rPr>
          <w:rFonts w:cs="David"/>
          <w:sz w:val="24"/>
          <w:szCs w:val="24"/>
        </w:rPr>
      </w:pPr>
      <w:r>
        <w:rPr>
          <w:rFonts w:ascii="Times New Roman" w:eastAsia="Times New Roman" w:hAnsi="Times New Roman" w:cs="David"/>
          <w:sz w:val="24"/>
          <w:szCs w:val="24"/>
          <w:rtl/>
        </w:rPr>
        <w:t xml:space="preserve">אני מעמידה את הנאשם </w:t>
      </w:r>
      <w:r w:rsidRPr="004E0996">
        <w:rPr>
          <w:rFonts w:ascii="Times New Roman" w:eastAsia="Times New Roman" w:hAnsi="Times New Roman" w:cs="David"/>
          <w:b/>
          <w:bCs/>
          <w:sz w:val="24"/>
          <w:szCs w:val="24"/>
          <w:rtl/>
        </w:rPr>
        <w:t>בצו מבחן לתקופה של 12 חודשים</w:t>
      </w:r>
      <w:r>
        <w:rPr>
          <w:rFonts w:ascii="Times New Roman" w:eastAsia="Times New Roman" w:hAnsi="Times New Roman" w:cs="David"/>
          <w:sz w:val="24"/>
          <w:szCs w:val="24"/>
          <w:rtl/>
        </w:rPr>
        <w:t xml:space="preserve">. </w:t>
      </w:r>
      <w:r w:rsidRPr="004E0996">
        <w:rPr>
          <w:rFonts w:cs="David"/>
          <w:sz w:val="24"/>
          <w:szCs w:val="24"/>
          <w:rtl/>
        </w:rPr>
        <w:t>בית המשפט מסביר לנאשם ומזהיר אותו, שאם לא ימלא אחר צו המבחן או יעבור עבירה נוספת, יוכל בית משפט להפקיע את הצו ולשפוט אותו בשנית. הנאשם הביע נכונות למלא אחר הוראות צו המבחן</w:t>
      </w:r>
      <w:r>
        <w:rPr>
          <w:rFonts w:cs="David"/>
          <w:b/>
          <w:bCs/>
          <w:sz w:val="24"/>
          <w:szCs w:val="24"/>
          <w:rtl/>
        </w:rPr>
        <w:t>.</w:t>
      </w:r>
    </w:p>
    <w:p w14:paraId="29DB8BD6" w14:textId="77777777" w:rsidR="000465D4" w:rsidRDefault="000465D4" w:rsidP="000465D4">
      <w:pPr>
        <w:spacing w:before="120" w:after="120" w:line="360" w:lineRule="auto"/>
        <w:ind w:left="368"/>
        <w:jc w:val="both"/>
        <w:rPr>
          <w:b/>
          <w:bCs/>
        </w:rPr>
      </w:pPr>
      <w:r w:rsidRPr="006648E2">
        <w:rPr>
          <w:b/>
          <w:bCs/>
          <w:sz w:val="30"/>
          <w:szCs w:val="30"/>
          <w:u w:val="double"/>
          <w:rtl/>
        </w:rPr>
        <w:t>המזכירות</w:t>
      </w:r>
      <w:r>
        <w:rPr>
          <w:b/>
          <w:bCs/>
          <w:rtl/>
        </w:rPr>
        <w:t xml:space="preserve"> תעביר העתק גזר הדין לשירות המבחן.</w:t>
      </w:r>
    </w:p>
    <w:p w14:paraId="6690590C" w14:textId="77777777" w:rsidR="000465D4" w:rsidRPr="000465D4" w:rsidRDefault="000465D4" w:rsidP="000465D4">
      <w:pPr>
        <w:spacing w:line="360" w:lineRule="auto"/>
        <w:ind w:left="368"/>
        <w:jc w:val="both"/>
        <w:rPr>
          <w:rFonts w:ascii="Calibri" w:eastAsia="Calibri" w:hAnsi="Calibri"/>
          <w:b/>
          <w:bCs/>
        </w:rPr>
      </w:pPr>
      <w:r>
        <w:rPr>
          <w:b/>
          <w:bCs/>
          <w:rtl/>
        </w:rPr>
        <w:t>הסמים יושמדו.</w:t>
      </w:r>
    </w:p>
    <w:p w14:paraId="4AB50610" w14:textId="77777777" w:rsidR="000465D4" w:rsidRDefault="000465D4" w:rsidP="000465D4">
      <w:pPr>
        <w:spacing w:line="360" w:lineRule="auto"/>
        <w:ind w:left="368"/>
        <w:jc w:val="both"/>
        <w:rPr>
          <w:b/>
          <w:bCs/>
          <w:rtl/>
        </w:rPr>
      </w:pPr>
      <w:r>
        <w:rPr>
          <w:b/>
          <w:bCs/>
          <w:rtl/>
        </w:rPr>
        <w:t>ניתן צו כללי למוצגים לפי שיקול דעת קצין משטרה.</w:t>
      </w:r>
    </w:p>
    <w:p w14:paraId="1DB67273" w14:textId="77777777" w:rsidR="000465D4" w:rsidRDefault="000465D4" w:rsidP="000465D4">
      <w:pPr>
        <w:spacing w:before="120" w:after="120" w:line="360" w:lineRule="auto"/>
        <w:ind w:left="368"/>
        <w:jc w:val="both"/>
        <w:rPr>
          <w:b/>
          <w:bCs/>
          <w:rtl/>
        </w:rPr>
      </w:pPr>
      <w:r>
        <w:rPr>
          <w:b/>
          <w:bCs/>
          <w:rtl/>
        </w:rPr>
        <w:t xml:space="preserve">ככל שהופקד פיקדון בתיק על ידי הנאשם, ובהיעדר מניעה על פי דין, יש להחזירו לידיו או לידי גורם אחר לפי בקשת הנאשם. </w:t>
      </w:r>
      <w:r>
        <w:rPr>
          <w:rFonts w:hint="cs"/>
          <w:b/>
          <w:bCs/>
          <w:rtl/>
        </w:rPr>
        <w:t xml:space="preserve">לבקשת הנאשם סכום כסף שנמצא בפיקדון בתיק זה או בתיק קשור אליו ישמש לצורך עמידה בתשלום הקנס. </w:t>
      </w:r>
    </w:p>
    <w:p w14:paraId="7B51690F" w14:textId="77777777" w:rsidR="000465D4" w:rsidRPr="000465D4" w:rsidRDefault="000465D4" w:rsidP="000465D4">
      <w:pPr>
        <w:spacing w:before="120" w:after="120" w:line="360" w:lineRule="auto"/>
        <w:ind w:left="368"/>
        <w:jc w:val="both"/>
        <w:rPr>
          <w:rFonts w:ascii="Calibri" w:eastAsia="Calibri" w:hAnsi="Calibri"/>
          <w:b/>
          <w:bCs/>
        </w:rPr>
      </w:pPr>
      <w:r>
        <w:rPr>
          <w:b/>
          <w:bCs/>
          <w:rtl/>
        </w:rPr>
        <w:t>זכות ערעור לבית המשפט המחוזי בתוך 45 יום.</w:t>
      </w:r>
    </w:p>
    <w:p w14:paraId="7D3868FE" w14:textId="77777777" w:rsidR="000465D4" w:rsidRPr="004E064D" w:rsidRDefault="004E064D" w:rsidP="000465D4">
      <w:pPr>
        <w:rPr>
          <w:color w:val="FFFFFF"/>
          <w:sz w:val="2"/>
          <w:szCs w:val="2"/>
          <w:rtl/>
        </w:rPr>
      </w:pPr>
      <w:r w:rsidRPr="004E064D">
        <w:rPr>
          <w:color w:val="FFFFFF"/>
          <w:sz w:val="2"/>
          <w:szCs w:val="2"/>
          <w:rtl/>
        </w:rPr>
        <w:t>5129371</w:t>
      </w:r>
    </w:p>
    <w:p w14:paraId="7820E4E9" w14:textId="77777777" w:rsidR="000465D4" w:rsidRPr="00250B83" w:rsidRDefault="004E064D" w:rsidP="000465D4">
      <w:pPr>
        <w:rPr>
          <w:rtl/>
        </w:rPr>
      </w:pPr>
      <w:bookmarkStart w:id="8" w:name="Nitan"/>
      <w:r w:rsidRPr="004E064D">
        <w:rPr>
          <w:rFonts w:ascii="Arial" w:hAnsi="Arial"/>
          <w:b/>
          <w:bCs/>
          <w:color w:val="FFFFFF"/>
          <w:sz w:val="2"/>
          <w:szCs w:val="2"/>
          <w:rtl/>
        </w:rPr>
        <w:t>54678313</w:t>
      </w:r>
      <w:r>
        <w:rPr>
          <w:rFonts w:ascii="Arial" w:hAnsi="Arial"/>
          <w:b/>
          <w:bCs/>
          <w:rtl/>
        </w:rPr>
        <w:t xml:space="preserve">ניתן היום,  י"ט אלול תשע"ט, 19 ספטמבר 2019, במעמד הצדדים. </w:t>
      </w:r>
      <w:bookmarkEnd w:id="8"/>
    </w:p>
    <w:p w14:paraId="20FABC9A" w14:textId="77777777" w:rsidR="000465D4" w:rsidRPr="00250B83" w:rsidRDefault="000465D4" w:rsidP="004E064D">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4E222075" w14:textId="77777777" w:rsidR="000465D4" w:rsidRPr="00250B83" w:rsidRDefault="000465D4" w:rsidP="000465D4">
      <w:pPr>
        <w:jc w:val="center"/>
        <w:rPr>
          <w:rFonts w:ascii="Arial" w:hAnsi="Arial"/>
          <w:rtl/>
        </w:rPr>
      </w:pPr>
    </w:p>
    <w:p w14:paraId="0E441168" w14:textId="77777777" w:rsidR="000465D4" w:rsidRPr="00250B83" w:rsidRDefault="000465D4" w:rsidP="000465D4">
      <w:pPr>
        <w:rPr>
          <w:rtl/>
        </w:rPr>
      </w:pPr>
    </w:p>
    <w:p w14:paraId="645C81A5" w14:textId="77777777" w:rsidR="000465D4" w:rsidRDefault="000465D4" w:rsidP="000465D4">
      <w:pPr>
        <w:pStyle w:val="a3"/>
        <w:jc w:val="center"/>
        <w:rPr>
          <w:rtl/>
        </w:rPr>
      </w:pPr>
    </w:p>
    <w:p w14:paraId="4BE67FFE" w14:textId="77777777" w:rsidR="00241E71" w:rsidRPr="004E064D" w:rsidRDefault="00241E71" w:rsidP="004E064D">
      <w:pPr>
        <w:keepNext/>
        <w:rPr>
          <w:rFonts w:ascii="David" w:hAnsi="David"/>
          <w:color w:val="000000"/>
          <w:sz w:val="22"/>
          <w:szCs w:val="22"/>
          <w:rtl/>
        </w:rPr>
      </w:pPr>
    </w:p>
    <w:p w14:paraId="64C90013" w14:textId="77777777" w:rsidR="004E064D" w:rsidRPr="004E064D" w:rsidRDefault="004E064D" w:rsidP="004E064D">
      <w:pPr>
        <w:keepNext/>
        <w:rPr>
          <w:rFonts w:ascii="David" w:hAnsi="David"/>
          <w:color w:val="000000"/>
          <w:sz w:val="22"/>
          <w:szCs w:val="22"/>
          <w:rtl/>
        </w:rPr>
      </w:pPr>
      <w:r w:rsidRPr="004E064D">
        <w:rPr>
          <w:rFonts w:ascii="David" w:hAnsi="David"/>
          <w:color w:val="000000"/>
          <w:sz w:val="22"/>
          <w:szCs w:val="22"/>
          <w:rtl/>
        </w:rPr>
        <w:t>נעה תבור 54678313</w:t>
      </w:r>
    </w:p>
    <w:p w14:paraId="0E14B9B7" w14:textId="77777777" w:rsidR="004E064D" w:rsidRDefault="004E064D" w:rsidP="004E064D">
      <w:r w:rsidRPr="004E064D">
        <w:rPr>
          <w:color w:val="000000"/>
          <w:rtl/>
        </w:rPr>
        <w:t>נוסח מסמך זה כפוף לשינויי ניסוח ועריכה</w:t>
      </w:r>
    </w:p>
    <w:p w14:paraId="4C2548AB" w14:textId="77777777" w:rsidR="004E064D" w:rsidRDefault="004E064D" w:rsidP="004E064D">
      <w:pPr>
        <w:rPr>
          <w:rtl/>
        </w:rPr>
      </w:pPr>
    </w:p>
    <w:p w14:paraId="4D61A1E2" w14:textId="77777777" w:rsidR="004E064D" w:rsidRDefault="004E064D" w:rsidP="004E064D">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358C4C2B" w14:textId="77777777" w:rsidR="004E064D" w:rsidRPr="004E064D" w:rsidRDefault="004E064D" w:rsidP="004E064D">
      <w:pPr>
        <w:jc w:val="center"/>
        <w:rPr>
          <w:color w:val="0000FF"/>
          <w:u w:val="single"/>
        </w:rPr>
      </w:pPr>
    </w:p>
    <w:sectPr w:rsidR="004E064D" w:rsidRPr="004E064D" w:rsidSect="004E064D">
      <w:headerReference w:type="even" r:id="rId37"/>
      <w:headerReference w:type="default" r:id="rId38"/>
      <w:footerReference w:type="even" r:id="rId39"/>
      <w:footerReference w:type="default" r:id="rId40"/>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DDB3A9" w14:textId="77777777" w:rsidR="00422688" w:rsidRDefault="00422688" w:rsidP="00AE124F">
      <w:r>
        <w:separator/>
      </w:r>
    </w:p>
  </w:endnote>
  <w:endnote w:type="continuationSeparator" w:id="0">
    <w:p w14:paraId="7F2AAD50" w14:textId="77777777" w:rsidR="00422688" w:rsidRDefault="00422688" w:rsidP="00AE1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458EB" w14:textId="77777777" w:rsidR="004E064D" w:rsidRDefault="004E064D" w:rsidP="004E064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0240F94" w14:textId="77777777" w:rsidR="0007794C" w:rsidRPr="004E064D" w:rsidRDefault="004E064D" w:rsidP="004E064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7CEFA" w14:textId="77777777" w:rsidR="004E064D" w:rsidRDefault="004E064D" w:rsidP="004E064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F1CA1">
      <w:rPr>
        <w:rFonts w:ascii="FrankRuehl" w:hAnsi="FrankRuehl" w:cs="FrankRuehl"/>
        <w:noProof/>
        <w:rtl/>
      </w:rPr>
      <w:t>1</w:t>
    </w:r>
    <w:r>
      <w:rPr>
        <w:rFonts w:ascii="FrankRuehl" w:hAnsi="FrankRuehl" w:cs="FrankRuehl"/>
        <w:rtl/>
      </w:rPr>
      <w:fldChar w:fldCharType="end"/>
    </w:r>
  </w:p>
  <w:p w14:paraId="45EC3AE4" w14:textId="77777777" w:rsidR="0007794C" w:rsidRPr="004E064D" w:rsidRDefault="004E064D" w:rsidP="004E064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5C59B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34534" w14:textId="77777777" w:rsidR="00422688" w:rsidRDefault="00422688" w:rsidP="00AE124F">
      <w:r>
        <w:separator/>
      </w:r>
    </w:p>
  </w:footnote>
  <w:footnote w:type="continuationSeparator" w:id="0">
    <w:p w14:paraId="767D4AD6" w14:textId="77777777" w:rsidR="00422688" w:rsidRDefault="00422688" w:rsidP="00AE12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E6C89" w14:textId="77777777" w:rsidR="004E064D" w:rsidRPr="004E064D" w:rsidRDefault="004E064D" w:rsidP="004E064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4867-04-18</w:t>
    </w:r>
    <w:r>
      <w:rPr>
        <w:rFonts w:ascii="David" w:hAnsi="David"/>
        <w:color w:val="000000"/>
        <w:sz w:val="22"/>
        <w:szCs w:val="22"/>
        <w:rtl/>
      </w:rPr>
      <w:tab/>
      <w:t xml:space="preserve"> מדינת ישראל נ' אורי מנחם סתרול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4340B" w14:textId="77777777" w:rsidR="004E064D" w:rsidRPr="004E064D" w:rsidRDefault="004E064D" w:rsidP="004E064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4867-04-18</w:t>
    </w:r>
    <w:r>
      <w:rPr>
        <w:rFonts w:ascii="David" w:hAnsi="David"/>
        <w:color w:val="000000"/>
        <w:sz w:val="22"/>
        <w:szCs w:val="22"/>
        <w:rtl/>
      </w:rPr>
      <w:tab/>
      <w:t xml:space="preserve"> מדינת ישראל נ' אורי מנחם סתרול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F65B0"/>
    <w:multiLevelType w:val="hybridMultilevel"/>
    <w:tmpl w:val="826CE15A"/>
    <w:lvl w:ilvl="0" w:tplc="B55ADE40">
      <w:start w:val="1"/>
      <w:numFmt w:val="hebrew1"/>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8145BE0"/>
    <w:multiLevelType w:val="hybridMultilevel"/>
    <w:tmpl w:val="E020C598"/>
    <w:lvl w:ilvl="0" w:tplc="4DAE9B58">
      <w:start w:val="1"/>
      <w:numFmt w:val="decimal"/>
      <w:lvlText w:val="%1."/>
      <w:lvlJc w:val="left"/>
      <w:pPr>
        <w:ind w:left="720" w:hanging="360"/>
      </w:pPr>
      <w:rPr>
        <w:rFonts w:cs="David"/>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0A34CE1"/>
    <w:multiLevelType w:val="hybridMultilevel"/>
    <w:tmpl w:val="88C69EF0"/>
    <w:lvl w:ilvl="0" w:tplc="E4B6A984">
      <w:start w:val="1"/>
      <w:numFmt w:val="hebrew1"/>
      <w:lvlText w:val="%1."/>
      <w:lvlJc w:val="left"/>
      <w:pPr>
        <w:ind w:left="1080" w:hanging="360"/>
      </w:pPr>
      <w:rPr>
        <w:b w:val="0"/>
        <w:bCs w:val="0"/>
        <w:strike w:val="0"/>
        <w:dstrike w:val="0"/>
        <w:u w:val="none"/>
        <w:effect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1130829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8847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346076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465D4"/>
    <w:rsid w:val="000465D4"/>
    <w:rsid w:val="0007794C"/>
    <w:rsid w:val="000C0875"/>
    <w:rsid w:val="00155800"/>
    <w:rsid w:val="00241E71"/>
    <w:rsid w:val="00381020"/>
    <w:rsid w:val="00422688"/>
    <w:rsid w:val="004E064D"/>
    <w:rsid w:val="00AE124F"/>
    <w:rsid w:val="00BF1CA1"/>
    <w:rsid w:val="00D713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186C47"/>
  <w15:chartTrackingRefBased/>
  <w15:docId w15:val="{38329233-AAF3-44D0-A9D5-9941C45A8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65D4"/>
    <w:pPr>
      <w:bidi/>
    </w:pPr>
    <w:rPr>
      <w:rFonts w:ascii="Times New Roman" w:eastAsia="Times New Roman" w:hAnsi="Times New Roman" w:cs="David"/>
      <w:sz w:val="24"/>
      <w:szCs w:val="24"/>
    </w:rPr>
  </w:style>
  <w:style w:type="paragraph" w:styleId="2">
    <w:name w:val="heading 2"/>
    <w:basedOn w:val="a"/>
    <w:next w:val="a"/>
    <w:link w:val="20"/>
    <w:qFormat/>
    <w:rsid w:val="000465D4"/>
    <w:pPr>
      <w:keepNext/>
      <w:keepLines/>
      <w:spacing w:before="40" w:line="256" w:lineRule="auto"/>
      <w:outlineLvl w:val="1"/>
    </w:pPr>
    <w:rPr>
      <w:rFonts w:ascii="Calibri Light" w:hAnsi="Calibri Light" w:cs="Times New Roman"/>
      <w:color w:val="2E74B5"/>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link w:val="2"/>
    <w:rsid w:val="000465D4"/>
    <w:rPr>
      <w:rFonts w:ascii="Calibri Light" w:eastAsia="Times New Roman" w:hAnsi="Calibri Light" w:cs="Times New Roman"/>
      <w:color w:val="2E74B5"/>
      <w:sz w:val="26"/>
      <w:szCs w:val="26"/>
    </w:rPr>
  </w:style>
  <w:style w:type="paragraph" w:styleId="a3">
    <w:name w:val="header"/>
    <w:basedOn w:val="a"/>
    <w:link w:val="a4"/>
    <w:rsid w:val="000465D4"/>
    <w:pPr>
      <w:tabs>
        <w:tab w:val="center" w:pos="4153"/>
        <w:tab w:val="right" w:pos="8306"/>
      </w:tabs>
    </w:pPr>
  </w:style>
  <w:style w:type="character" w:customStyle="1" w:styleId="a4">
    <w:name w:val="כותרת עליונה תו"/>
    <w:link w:val="a3"/>
    <w:rsid w:val="000465D4"/>
    <w:rPr>
      <w:rFonts w:ascii="Times New Roman" w:eastAsia="Times New Roman" w:hAnsi="Times New Roman" w:cs="David"/>
      <w:sz w:val="24"/>
      <w:szCs w:val="24"/>
    </w:rPr>
  </w:style>
  <w:style w:type="paragraph" w:styleId="a5">
    <w:name w:val="footer"/>
    <w:basedOn w:val="a"/>
    <w:link w:val="a6"/>
    <w:rsid w:val="000465D4"/>
    <w:pPr>
      <w:tabs>
        <w:tab w:val="center" w:pos="4153"/>
        <w:tab w:val="right" w:pos="8306"/>
      </w:tabs>
    </w:pPr>
  </w:style>
  <w:style w:type="character" w:customStyle="1" w:styleId="a6">
    <w:name w:val="כותרת תחתונה תו"/>
    <w:link w:val="a5"/>
    <w:rsid w:val="000465D4"/>
    <w:rPr>
      <w:rFonts w:ascii="Times New Roman" w:eastAsia="Times New Roman" w:hAnsi="Times New Roman" w:cs="David"/>
      <w:sz w:val="24"/>
      <w:szCs w:val="24"/>
    </w:rPr>
  </w:style>
  <w:style w:type="table" w:styleId="a7">
    <w:name w:val="Table Grid"/>
    <w:basedOn w:val="a1"/>
    <w:rsid w:val="000465D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465D4"/>
  </w:style>
  <w:style w:type="paragraph" w:styleId="a9">
    <w:name w:val="List Paragraph"/>
    <w:basedOn w:val="a"/>
    <w:qFormat/>
    <w:rsid w:val="000465D4"/>
    <w:pPr>
      <w:spacing w:after="160" w:line="256" w:lineRule="auto"/>
      <w:ind w:left="720"/>
      <w:contextualSpacing/>
    </w:pPr>
    <w:rPr>
      <w:rFonts w:ascii="Calibri" w:eastAsia="Calibri" w:hAnsi="Calibri" w:cs="Arial"/>
      <w:sz w:val="22"/>
      <w:szCs w:val="22"/>
    </w:rPr>
  </w:style>
  <w:style w:type="character" w:styleId="Hyperlink">
    <w:name w:val="Hyperlink"/>
    <w:rsid w:val="000465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0798645" TargetMode="External"/><Relationship Id="rId18" Type="http://schemas.openxmlformats.org/officeDocument/2006/relationships/hyperlink" Target="http://www.nevo.co.il/case/23299070" TargetMode="External"/><Relationship Id="rId26" Type="http://schemas.openxmlformats.org/officeDocument/2006/relationships/hyperlink" Target="http://www.nevo.co.il/case/8261799" TargetMode="External"/><Relationship Id="rId39" Type="http://schemas.openxmlformats.org/officeDocument/2006/relationships/footer" Target="footer1.xml"/><Relationship Id="rId21" Type="http://schemas.openxmlformats.org/officeDocument/2006/relationships/hyperlink" Target="http://www.nevo.co.il/case/23299070" TargetMode="External"/><Relationship Id="rId34" Type="http://schemas.openxmlformats.org/officeDocument/2006/relationships/hyperlink" Target="http://www.nevo.co.il/law/4216"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4492956" TargetMode="External"/><Relationship Id="rId20" Type="http://schemas.openxmlformats.org/officeDocument/2006/relationships/hyperlink" Target="http://www.nevo.co.il/case/20111708" TargetMode="External"/><Relationship Id="rId29" Type="http://schemas.openxmlformats.org/officeDocument/2006/relationships/hyperlink" Target="http://www.nevo.co.il/case/22914696"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810781" TargetMode="External"/><Relationship Id="rId24" Type="http://schemas.openxmlformats.org/officeDocument/2006/relationships/hyperlink" Target="http://www.nevo.co.il/case/22907202" TargetMode="External"/><Relationship Id="rId32" Type="http://schemas.openxmlformats.org/officeDocument/2006/relationships/hyperlink" Target="http://www.nevo.co.il/case/20228235"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18170423" TargetMode="External"/><Relationship Id="rId23" Type="http://schemas.openxmlformats.org/officeDocument/2006/relationships/hyperlink" Target="http://www.nevo.co.il/case/16938303" TargetMode="External"/><Relationship Id="rId28" Type="http://schemas.openxmlformats.org/officeDocument/2006/relationships/hyperlink" Target="http://www.nevo.co.il/case/20632055"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 TargetMode="External"/><Relationship Id="rId19" Type="http://schemas.openxmlformats.org/officeDocument/2006/relationships/hyperlink" Target="http://www.nevo.co.il/case/20881083" TargetMode="External"/><Relationship Id="rId31" Type="http://schemas.openxmlformats.org/officeDocument/2006/relationships/hyperlink" Target="http://www.nevo.co.il/case/17975992" TargetMode="Externa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case/5611948" TargetMode="External"/><Relationship Id="rId22" Type="http://schemas.openxmlformats.org/officeDocument/2006/relationships/hyperlink" Target="http://www.nevo.co.il/case/23226226" TargetMode="External"/><Relationship Id="rId27" Type="http://schemas.openxmlformats.org/officeDocument/2006/relationships/hyperlink" Target="http://www.nevo.co.il/case/13049328" TargetMode="External"/><Relationship Id="rId30" Type="http://schemas.openxmlformats.org/officeDocument/2006/relationships/hyperlink" Target="http://www.nevo.co.il/case/23001288" TargetMode="External"/><Relationship Id="rId35" Type="http://schemas.openxmlformats.org/officeDocument/2006/relationships/hyperlink" Target="http://www.nevo.co.il/law/4216" TargetMode="Externa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case/20930831" TargetMode="External"/><Relationship Id="rId17" Type="http://schemas.openxmlformats.org/officeDocument/2006/relationships/hyperlink" Target="http://www.nevo.co.il/case/20705570" TargetMode="External"/><Relationship Id="rId25" Type="http://schemas.openxmlformats.org/officeDocument/2006/relationships/hyperlink" Target="http://www.nevo.co.il/case/20236668" TargetMode="External"/><Relationship Id="rId33" Type="http://schemas.openxmlformats.org/officeDocument/2006/relationships/hyperlink" Target="http://www.nevo.co.il/case/24492956"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3112</Words>
  <Characters>15561</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18636</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8257637</vt:i4>
      </vt:variant>
      <vt:variant>
        <vt:i4>84</vt:i4>
      </vt:variant>
      <vt:variant>
        <vt:i4>0</vt:i4>
      </vt:variant>
      <vt:variant>
        <vt:i4>5</vt:i4>
      </vt:variant>
      <vt:variant>
        <vt:lpwstr>http://www.nevo.co.il/law/4216</vt:lpwstr>
      </vt:variant>
      <vt:variant>
        <vt:lpwstr/>
      </vt:variant>
      <vt:variant>
        <vt:i4>8257637</vt:i4>
      </vt:variant>
      <vt:variant>
        <vt:i4>81</vt:i4>
      </vt:variant>
      <vt:variant>
        <vt:i4>0</vt:i4>
      </vt:variant>
      <vt:variant>
        <vt:i4>5</vt:i4>
      </vt:variant>
      <vt:variant>
        <vt:lpwstr>http://www.nevo.co.il/law/4216</vt:lpwstr>
      </vt:variant>
      <vt:variant>
        <vt:lpwstr/>
      </vt:variant>
      <vt:variant>
        <vt:i4>3211376</vt:i4>
      </vt:variant>
      <vt:variant>
        <vt:i4>78</vt:i4>
      </vt:variant>
      <vt:variant>
        <vt:i4>0</vt:i4>
      </vt:variant>
      <vt:variant>
        <vt:i4>5</vt:i4>
      </vt:variant>
      <vt:variant>
        <vt:lpwstr>http://www.nevo.co.il/case/24492956</vt:lpwstr>
      </vt:variant>
      <vt:variant>
        <vt:lpwstr/>
      </vt:variant>
      <vt:variant>
        <vt:i4>3866740</vt:i4>
      </vt:variant>
      <vt:variant>
        <vt:i4>75</vt:i4>
      </vt:variant>
      <vt:variant>
        <vt:i4>0</vt:i4>
      </vt:variant>
      <vt:variant>
        <vt:i4>5</vt:i4>
      </vt:variant>
      <vt:variant>
        <vt:lpwstr>http://www.nevo.co.il/case/20228235</vt:lpwstr>
      </vt:variant>
      <vt:variant>
        <vt:lpwstr/>
      </vt:variant>
      <vt:variant>
        <vt:i4>3407997</vt:i4>
      </vt:variant>
      <vt:variant>
        <vt:i4>72</vt:i4>
      </vt:variant>
      <vt:variant>
        <vt:i4>0</vt:i4>
      </vt:variant>
      <vt:variant>
        <vt:i4>5</vt:i4>
      </vt:variant>
      <vt:variant>
        <vt:lpwstr>http://www.nevo.co.il/case/17975992</vt:lpwstr>
      </vt:variant>
      <vt:variant>
        <vt:lpwstr/>
      </vt:variant>
      <vt:variant>
        <vt:i4>3866741</vt:i4>
      </vt:variant>
      <vt:variant>
        <vt:i4>69</vt:i4>
      </vt:variant>
      <vt:variant>
        <vt:i4>0</vt:i4>
      </vt:variant>
      <vt:variant>
        <vt:i4>5</vt:i4>
      </vt:variant>
      <vt:variant>
        <vt:lpwstr>http://www.nevo.co.il/case/23001288</vt:lpwstr>
      </vt:variant>
      <vt:variant>
        <vt:lpwstr/>
      </vt:variant>
      <vt:variant>
        <vt:i4>3539057</vt:i4>
      </vt:variant>
      <vt:variant>
        <vt:i4>66</vt:i4>
      </vt:variant>
      <vt:variant>
        <vt:i4>0</vt:i4>
      </vt:variant>
      <vt:variant>
        <vt:i4>5</vt:i4>
      </vt:variant>
      <vt:variant>
        <vt:lpwstr>http://www.nevo.co.il/case/22914696</vt:lpwstr>
      </vt:variant>
      <vt:variant>
        <vt:lpwstr/>
      </vt:variant>
      <vt:variant>
        <vt:i4>3342455</vt:i4>
      </vt:variant>
      <vt:variant>
        <vt:i4>63</vt:i4>
      </vt:variant>
      <vt:variant>
        <vt:i4>0</vt:i4>
      </vt:variant>
      <vt:variant>
        <vt:i4>5</vt:i4>
      </vt:variant>
      <vt:variant>
        <vt:lpwstr>http://www.nevo.co.il/case/20632055</vt:lpwstr>
      </vt:variant>
      <vt:variant>
        <vt:lpwstr/>
      </vt:variant>
      <vt:variant>
        <vt:i4>3801200</vt:i4>
      </vt:variant>
      <vt:variant>
        <vt:i4>60</vt:i4>
      </vt:variant>
      <vt:variant>
        <vt:i4>0</vt:i4>
      </vt:variant>
      <vt:variant>
        <vt:i4>5</vt:i4>
      </vt:variant>
      <vt:variant>
        <vt:lpwstr>http://www.nevo.co.il/case/13049328</vt:lpwstr>
      </vt:variant>
      <vt:variant>
        <vt:lpwstr/>
      </vt:variant>
      <vt:variant>
        <vt:i4>3145854</vt:i4>
      </vt:variant>
      <vt:variant>
        <vt:i4>57</vt:i4>
      </vt:variant>
      <vt:variant>
        <vt:i4>0</vt:i4>
      </vt:variant>
      <vt:variant>
        <vt:i4>5</vt:i4>
      </vt:variant>
      <vt:variant>
        <vt:lpwstr>http://www.nevo.co.il/case/8261799</vt:lpwstr>
      </vt:variant>
      <vt:variant>
        <vt:lpwstr/>
      </vt:variant>
      <vt:variant>
        <vt:i4>3145841</vt:i4>
      </vt:variant>
      <vt:variant>
        <vt:i4>54</vt:i4>
      </vt:variant>
      <vt:variant>
        <vt:i4>0</vt:i4>
      </vt:variant>
      <vt:variant>
        <vt:i4>5</vt:i4>
      </vt:variant>
      <vt:variant>
        <vt:lpwstr>http://www.nevo.co.il/case/20236668</vt:lpwstr>
      </vt:variant>
      <vt:variant>
        <vt:lpwstr/>
      </vt:variant>
      <vt:variant>
        <vt:i4>3932276</vt:i4>
      </vt:variant>
      <vt:variant>
        <vt:i4>51</vt:i4>
      </vt:variant>
      <vt:variant>
        <vt:i4>0</vt:i4>
      </vt:variant>
      <vt:variant>
        <vt:i4>5</vt:i4>
      </vt:variant>
      <vt:variant>
        <vt:lpwstr>http://www.nevo.co.il/case/22907202</vt:lpwstr>
      </vt:variant>
      <vt:variant>
        <vt:lpwstr/>
      </vt:variant>
      <vt:variant>
        <vt:i4>3145842</vt:i4>
      </vt:variant>
      <vt:variant>
        <vt:i4>48</vt:i4>
      </vt:variant>
      <vt:variant>
        <vt:i4>0</vt:i4>
      </vt:variant>
      <vt:variant>
        <vt:i4>5</vt:i4>
      </vt:variant>
      <vt:variant>
        <vt:lpwstr>http://www.nevo.co.il/case/16938303</vt:lpwstr>
      </vt:variant>
      <vt:variant>
        <vt:lpwstr/>
      </vt:variant>
      <vt:variant>
        <vt:i4>3407991</vt:i4>
      </vt:variant>
      <vt:variant>
        <vt:i4>45</vt:i4>
      </vt:variant>
      <vt:variant>
        <vt:i4>0</vt:i4>
      </vt:variant>
      <vt:variant>
        <vt:i4>5</vt:i4>
      </vt:variant>
      <vt:variant>
        <vt:lpwstr>http://www.nevo.co.il/case/23226226</vt:lpwstr>
      </vt:variant>
      <vt:variant>
        <vt:lpwstr/>
      </vt:variant>
      <vt:variant>
        <vt:i4>4063358</vt:i4>
      </vt:variant>
      <vt:variant>
        <vt:i4>42</vt:i4>
      </vt:variant>
      <vt:variant>
        <vt:i4>0</vt:i4>
      </vt:variant>
      <vt:variant>
        <vt:i4>5</vt:i4>
      </vt:variant>
      <vt:variant>
        <vt:lpwstr>http://www.nevo.co.il/case/23299070</vt:lpwstr>
      </vt:variant>
      <vt:variant>
        <vt:lpwstr/>
      </vt:variant>
      <vt:variant>
        <vt:i4>3276914</vt:i4>
      </vt:variant>
      <vt:variant>
        <vt:i4>39</vt:i4>
      </vt:variant>
      <vt:variant>
        <vt:i4>0</vt:i4>
      </vt:variant>
      <vt:variant>
        <vt:i4>5</vt:i4>
      </vt:variant>
      <vt:variant>
        <vt:lpwstr>http://www.nevo.co.il/case/20111708</vt:lpwstr>
      </vt:variant>
      <vt:variant>
        <vt:lpwstr/>
      </vt:variant>
      <vt:variant>
        <vt:i4>3342460</vt:i4>
      </vt:variant>
      <vt:variant>
        <vt:i4>36</vt:i4>
      </vt:variant>
      <vt:variant>
        <vt:i4>0</vt:i4>
      </vt:variant>
      <vt:variant>
        <vt:i4>5</vt:i4>
      </vt:variant>
      <vt:variant>
        <vt:lpwstr>http://www.nevo.co.il/case/20881083</vt:lpwstr>
      </vt:variant>
      <vt:variant>
        <vt:lpwstr/>
      </vt:variant>
      <vt:variant>
        <vt:i4>4063358</vt:i4>
      </vt:variant>
      <vt:variant>
        <vt:i4>33</vt:i4>
      </vt:variant>
      <vt:variant>
        <vt:i4>0</vt:i4>
      </vt:variant>
      <vt:variant>
        <vt:i4>5</vt:i4>
      </vt:variant>
      <vt:variant>
        <vt:lpwstr>http://www.nevo.co.il/case/23299070</vt:lpwstr>
      </vt:variant>
      <vt:variant>
        <vt:lpwstr/>
      </vt:variant>
      <vt:variant>
        <vt:i4>3604593</vt:i4>
      </vt:variant>
      <vt:variant>
        <vt:i4>30</vt:i4>
      </vt:variant>
      <vt:variant>
        <vt:i4>0</vt:i4>
      </vt:variant>
      <vt:variant>
        <vt:i4>5</vt:i4>
      </vt:variant>
      <vt:variant>
        <vt:lpwstr>http://www.nevo.co.il/case/20705570</vt:lpwstr>
      </vt:variant>
      <vt:variant>
        <vt:lpwstr/>
      </vt:variant>
      <vt:variant>
        <vt:i4>3211376</vt:i4>
      </vt:variant>
      <vt:variant>
        <vt:i4>27</vt:i4>
      </vt:variant>
      <vt:variant>
        <vt:i4>0</vt:i4>
      </vt:variant>
      <vt:variant>
        <vt:i4>5</vt:i4>
      </vt:variant>
      <vt:variant>
        <vt:lpwstr>http://www.nevo.co.il/case/24492956</vt:lpwstr>
      </vt:variant>
      <vt:variant>
        <vt:lpwstr/>
      </vt:variant>
      <vt:variant>
        <vt:i4>3276927</vt:i4>
      </vt:variant>
      <vt:variant>
        <vt:i4>24</vt:i4>
      </vt:variant>
      <vt:variant>
        <vt:i4>0</vt:i4>
      </vt:variant>
      <vt:variant>
        <vt:i4>5</vt:i4>
      </vt:variant>
      <vt:variant>
        <vt:lpwstr>http://www.nevo.co.il/case/18170423</vt:lpwstr>
      </vt:variant>
      <vt:variant>
        <vt:lpwstr/>
      </vt:variant>
      <vt:variant>
        <vt:i4>3473527</vt:i4>
      </vt:variant>
      <vt:variant>
        <vt:i4>21</vt:i4>
      </vt:variant>
      <vt:variant>
        <vt:i4>0</vt:i4>
      </vt:variant>
      <vt:variant>
        <vt:i4>5</vt:i4>
      </vt:variant>
      <vt:variant>
        <vt:lpwstr>http://www.nevo.co.il/case/5611948</vt:lpwstr>
      </vt:variant>
      <vt:variant>
        <vt:lpwstr/>
      </vt:variant>
      <vt:variant>
        <vt:i4>3735675</vt:i4>
      </vt:variant>
      <vt:variant>
        <vt:i4>18</vt:i4>
      </vt:variant>
      <vt:variant>
        <vt:i4>0</vt:i4>
      </vt:variant>
      <vt:variant>
        <vt:i4>5</vt:i4>
      </vt:variant>
      <vt:variant>
        <vt:lpwstr>http://www.nevo.co.il/case/20798645</vt:lpwstr>
      </vt:variant>
      <vt:variant>
        <vt:lpwstr/>
      </vt:variant>
      <vt:variant>
        <vt:i4>3670143</vt:i4>
      </vt:variant>
      <vt:variant>
        <vt:i4>15</vt:i4>
      </vt:variant>
      <vt:variant>
        <vt:i4>0</vt:i4>
      </vt:variant>
      <vt:variant>
        <vt:i4>5</vt:i4>
      </vt:variant>
      <vt:variant>
        <vt:lpwstr>http://www.nevo.co.il/case/20930831</vt:lpwstr>
      </vt:variant>
      <vt:variant>
        <vt:lpwstr/>
      </vt:variant>
      <vt:variant>
        <vt:i4>3276916</vt:i4>
      </vt:variant>
      <vt:variant>
        <vt:i4>12</vt:i4>
      </vt:variant>
      <vt:variant>
        <vt:i4>0</vt:i4>
      </vt:variant>
      <vt:variant>
        <vt:i4>5</vt:i4>
      </vt:variant>
      <vt:variant>
        <vt:lpwstr>http://www.nevo.co.il/case/5810781</vt:lpwstr>
      </vt:variant>
      <vt:variant>
        <vt:lpwstr/>
      </vt:variant>
      <vt:variant>
        <vt:i4>8257637</vt:i4>
      </vt:variant>
      <vt:variant>
        <vt:i4>9</vt:i4>
      </vt:variant>
      <vt:variant>
        <vt:i4>0</vt:i4>
      </vt:variant>
      <vt:variant>
        <vt:i4>5</vt:i4>
      </vt:variant>
      <vt:variant>
        <vt:lpwstr>http://www.nevo.co.il/law/4216</vt:lpwstr>
      </vt:variant>
      <vt:variant>
        <vt:lpwstr/>
      </vt:variant>
      <vt:variant>
        <vt:i4>4718666</vt:i4>
      </vt:variant>
      <vt:variant>
        <vt:i4>6</vt:i4>
      </vt:variant>
      <vt:variant>
        <vt:i4>0</vt:i4>
      </vt:variant>
      <vt:variant>
        <vt:i4>5</vt:i4>
      </vt:variant>
      <vt:variant>
        <vt:lpwstr>http://www.nevo.co.il/law/4216/6</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2025-04-22T23:45:00Z</dcterms:created>
  <dcterms:modified xsi:type="dcterms:W3CDTF">2025-04-22T23:45:00Z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4867</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אורי מנחם סתרול</vt:lpwstr>
  </property>
  <property fmtid="{D5CDD505-2E9C-101B-9397-08002B2CF9AE}" pid="10" name="LAWYER">
    <vt:lpwstr>שחר כץ;מיכל הלבני</vt:lpwstr>
  </property>
  <property fmtid="{D5CDD505-2E9C-101B-9397-08002B2CF9AE}" pid="11" name="JUDGE">
    <vt:lpwstr>נעה תבור</vt:lpwstr>
  </property>
  <property fmtid="{D5CDD505-2E9C-101B-9397-08002B2CF9AE}" pid="12" name="CITY">
    <vt:lpwstr>ת"א</vt:lpwstr>
  </property>
  <property fmtid="{D5CDD505-2E9C-101B-9397-08002B2CF9AE}" pid="13" name="DATE">
    <vt:lpwstr>20190919</vt:lpwstr>
  </property>
  <property fmtid="{D5CDD505-2E9C-101B-9397-08002B2CF9AE}" pid="14" name="TYPE_N_DATE">
    <vt:lpwstr>38020190919</vt:lpwstr>
  </property>
  <property fmtid="{D5CDD505-2E9C-101B-9397-08002B2CF9AE}" pid="15" name="CASESLISTTMP1">
    <vt:lpwstr>5810781;20930831;20798645;5611948;18170423;24492956:2;20705570;23299070:2;20881083;20111708;23226226;16938303;22907202;20236668;8261799;13049328;20632055;22914696;23001288;17975992;20228235</vt:lpwstr>
  </property>
  <property fmtid="{D5CDD505-2E9C-101B-9397-08002B2CF9AE}" pid="16" name="CASENOTES1">
    <vt:lpwstr>ProcID=133;209&amp;PartA=34243&amp;PartB=02&amp;PartC=19</vt:lpwstr>
  </property>
  <property fmtid="{D5CDD505-2E9C-101B-9397-08002B2CF9AE}" pid="17" name="CASENOTES2">
    <vt:lpwstr>ProcID=165&amp;PartA=28551&amp;PartB=08&amp;PartC=14</vt:lpwstr>
  </property>
  <property fmtid="{D5CDD505-2E9C-101B-9397-08002B2CF9AE}" pid="18" name="WORDNUMPAGES">
    <vt:lpwstr>8</vt:lpwstr>
  </property>
  <property fmtid="{D5CDD505-2E9C-101B-9397-08002B2CF9AE}" pid="19" name="TYPE_ABS_DATE">
    <vt:lpwstr>380020190919</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4216/006</vt:lpwstr>
  </property>
</Properties>
</file>