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C2E12" w:rsidRPr="001F5180" w14:paraId="0807A207" w14:textId="77777777" w:rsidTr="0018593B">
        <w:trPr>
          <w:trHeight w:hRule="exact" w:val="418"/>
          <w:jc w:val="center"/>
        </w:trPr>
        <w:tc>
          <w:tcPr>
            <w:tcW w:w="8721" w:type="dxa"/>
            <w:gridSpan w:val="2"/>
          </w:tcPr>
          <w:p w14:paraId="5B7A9088" w14:textId="77777777" w:rsidR="006C2E12" w:rsidRPr="001F5180" w:rsidRDefault="006C2E12" w:rsidP="00B577D1">
            <w:pPr>
              <w:pStyle w:val="a3"/>
              <w:jc w:val="center"/>
              <w:rPr>
                <w:rFonts w:ascii="Tahoma" w:hAnsi="Tahoma" w:cs="Tahoma"/>
                <w:color w:val="000080"/>
                <w:rtl/>
              </w:rPr>
            </w:pPr>
            <w:r w:rsidRPr="001F5180">
              <w:rPr>
                <w:rFonts w:ascii="Tahoma" w:hAnsi="Tahoma" w:cs="Tahoma"/>
                <w:b/>
                <w:bCs/>
                <w:color w:val="000080"/>
                <w:rtl/>
              </w:rPr>
              <w:t>בית משפט השלום ברחובות</w:t>
            </w:r>
          </w:p>
        </w:tc>
      </w:tr>
      <w:tr w:rsidR="006C2E12" w:rsidRPr="001F5180" w14:paraId="05E3164F" w14:textId="77777777" w:rsidTr="0018593B">
        <w:trPr>
          <w:trHeight w:val="337"/>
          <w:jc w:val="center"/>
        </w:trPr>
        <w:tc>
          <w:tcPr>
            <w:tcW w:w="5054" w:type="dxa"/>
          </w:tcPr>
          <w:p w14:paraId="27DF9A3F" w14:textId="77777777" w:rsidR="006C2E12" w:rsidRPr="001F5180" w:rsidRDefault="006C2E12" w:rsidP="00B577D1">
            <w:pPr>
              <w:rPr>
                <w:rFonts w:cs="FrankRuehl"/>
                <w:sz w:val="28"/>
                <w:szCs w:val="28"/>
                <w:rtl/>
              </w:rPr>
            </w:pPr>
            <w:r w:rsidRPr="001F5180">
              <w:rPr>
                <w:rFonts w:cs="FrankRuehl"/>
                <w:sz w:val="28"/>
                <w:szCs w:val="28"/>
                <w:rtl/>
              </w:rPr>
              <w:t>ת"פ</w:t>
            </w:r>
            <w:r w:rsidRPr="001F5180">
              <w:rPr>
                <w:rFonts w:cs="FrankRuehl" w:hint="cs"/>
                <w:sz w:val="28"/>
                <w:szCs w:val="28"/>
                <w:rtl/>
              </w:rPr>
              <w:t xml:space="preserve"> </w:t>
            </w:r>
            <w:r w:rsidRPr="001F5180">
              <w:rPr>
                <w:rFonts w:cs="FrankRuehl"/>
                <w:sz w:val="28"/>
                <w:szCs w:val="28"/>
                <w:rtl/>
              </w:rPr>
              <w:t>899-04-18</w:t>
            </w:r>
            <w:r w:rsidRPr="001F5180">
              <w:rPr>
                <w:rFonts w:cs="FrankRuehl" w:hint="cs"/>
                <w:sz w:val="28"/>
                <w:szCs w:val="28"/>
                <w:rtl/>
              </w:rPr>
              <w:t xml:space="preserve"> </w:t>
            </w:r>
            <w:r w:rsidRPr="001F5180">
              <w:rPr>
                <w:rFonts w:cs="FrankRuehl"/>
                <w:sz w:val="28"/>
                <w:szCs w:val="28"/>
                <w:rtl/>
              </w:rPr>
              <w:t>מדינת ישראל נ' יפרח</w:t>
            </w:r>
          </w:p>
          <w:p w14:paraId="482D231A" w14:textId="77777777" w:rsidR="006C2E12" w:rsidRPr="001F5180" w:rsidRDefault="006C2E12" w:rsidP="00B577D1">
            <w:pPr>
              <w:pStyle w:val="a3"/>
              <w:rPr>
                <w:rFonts w:cs="FrankRuehl"/>
                <w:sz w:val="28"/>
                <w:szCs w:val="28"/>
                <w:rtl/>
              </w:rPr>
            </w:pPr>
          </w:p>
        </w:tc>
        <w:tc>
          <w:tcPr>
            <w:tcW w:w="3667" w:type="dxa"/>
          </w:tcPr>
          <w:p w14:paraId="06A8697A" w14:textId="77777777" w:rsidR="006C2E12" w:rsidRPr="001F5180" w:rsidRDefault="006C2E12" w:rsidP="00B577D1">
            <w:pPr>
              <w:pStyle w:val="a3"/>
              <w:jc w:val="right"/>
              <w:rPr>
                <w:rFonts w:cs="FrankRuehl"/>
                <w:sz w:val="28"/>
                <w:szCs w:val="28"/>
                <w:rtl/>
              </w:rPr>
            </w:pPr>
          </w:p>
        </w:tc>
      </w:tr>
    </w:tbl>
    <w:p w14:paraId="73DB95E2" w14:textId="77777777" w:rsidR="006C2E12" w:rsidRPr="001F5180" w:rsidRDefault="006C2E12" w:rsidP="006C2E12">
      <w:pPr>
        <w:pStyle w:val="a3"/>
        <w:rPr>
          <w:rtl/>
        </w:rPr>
      </w:pPr>
      <w:r w:rsidRPr="001F5180">
        <w:rPr>
          <w:rFonts w:hint="cs"/>
          <w:rtl/>
        </w:rPr>
        <w:t xml:space="preserve"> </w:t>
      </w:r>
    </w:p>
    <w:p w14:paraId="4A12005A" w14:textId="77777777" w:rsidR="006C2E12" w:rsidRPr="001F5180" w:rsidRDefault="006C2E12" w:rsidP="006C2E12">
      <w:pPr>
        <w:rPr>
          <w:rtl/>
        </w:rPr>
      </w:pPr>
    </w:p>
    <w:p w14:paraId="2FA46346" w14:textId="77777777" w:rsidR="006C2E12" w:rsidRPr="001F5180" w:rsidRDefault="006C2E12" w:rsidP="006C2E1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C2E12" w:rsidRPr="001F5180" w14:paraId="56131BEE" w14:textId="77777777" w:rsidTr="006C2E12">
        <w:trPr>
          <w:trHeight w:val="295"/>
          <w:jc w:val="center"/>
        </w:trPr>
        <w:tc>
          <w:tcPr>
            <w:tcW w:w="923" w:type="dxa"/>
            <w:tcBorders>
              <w:top w:val="nil"/>
              <w:left w:val="nil"/>
              <w:bottom w:val="nil"/>
              <w:right w:val="nil"/>
            </w:tcBorders>
            <w:shd w:val="clear" w:color="auto" w:fill="auto"/>
          </w:tcPr>
          <w:p w14:paraId="50814175" w14:textId="77777777" w:rsidR="006C2E12" w:rsidRPr="001F5180" w:rsidRDefault="006C2E12" w:rsidP="006C2E12">
            <w:pPr>
              <w:jc w:val="both"/>
              <w:rPr>
                <w:rFonts w:ascii="David" w:hAnsi="David"/>
                <w:b/>
                <w:bCs/>
                <w:sz w:val="28"/>
                <w:szCs w:val="28"/>
              </w:rPr>
            </w:pPr>
            <w:r w:rsidRPr="001F5180">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09B8F4DB" w14:textId="77777777" w:rsidR="006C2E12" w:rsidRPr="001F5180" w:rsidRDefault="006C2E12" w:rsidP="00B577D1">
            <w:pPr>
              <w:rPr>
                <w:rFonts w:ascii="David" w:hAnsi="David"/>
                <w:b/>
                <w:bCs/>
                <w:rtl/>
              </w:rPr>
            </w:pPr>
            <w:r w:rsidRPr="001F5180">
              <w:rPr>
                <w:rFonts w:ascii="David" w:hAnsi="David"/>
                <w:b/>
                <w:bCs/>
                <w:rtl/>
              </w:rPr>
              <w:t>כבוד השופטת, סגנית הנשיאה  אפרת פינק</w:t>
            </w:r>
          </w:p>
          <w:p w14:paraId="179636C0" w14:textId="77777777" w:rsidR="006C2E12" w:rsidRPr="001F5180" w:rsidRDefault="006C2E12" w:rsidP="00B577D1">
            <w:pPr>
              <w:rPr>
                <w:rFonts w:ascii="David" w:hAnsi="David"/>
                <w:b/>
                <w:bCs/>
                <w:rtl/>
              </w:rPr>
            </w:pPr>
          </w:p>
          <w:p w14:paraId="78BF1846" w14:textId="77777777" w:rsidR="006C2E12" w:rsidRPr="001F5180" w:rsidRDefault="006C2E12" w:rsidP="006C2E12">
            <w:pPr>
              <w:jc w:val="both"/>
              <w:rPr>
                <w:rFonts w:ascii="David" w:hAnsi="David"/>
                <w:b/>
                <w:bCs/>
                <w:sz w:val="28"/>
                <w:szCs w:val="28"/>
              </w:rPr>
            </w:pPr>
          </w:p>
        </w:tc>
      </w:tr>
      <w:tr w:rsidR="006C2E12" w:rsidRPr="001F5180" w14:paraId="7456B663" w14:textId="77777777" w:rsidTr="006C2E12">
        <w:trPr>
          <w:trHeight w:val="355"/>
          <w:jc w:val="center"/>
        </w:trPr>
        <w:tc>
          <w:tcPr>
            <w:tcW w:w="923" w:type="dxa"/>
            <w:tcBorders>
              <w:top w:val="nil"/>
              <w:left w:val="nil"/>
              <w:bottom w:val="nil"/>
              <w:right w:val="nil"/>
            </w:tcBorders>
            <w:shd w:val="clear" w:color="auto" w:fill="auto"/>
          </w:tcPr>
          <w:p w14:paraId="362365E2" w14:textId="77777777" w:rsidR="006C2E12" w:rsidRPr="001F5180" w:rsidRDefault="006C2E12" w:rsidP="006C2E12">
            <w:pPr>
              <w:jc w:val="both"/>
              <w:rPr>
                <w:rFonts w:ascii="David" w:hAnsi="David"/>
                <w:b/>
                <w:bCs/>
                <w:sz w:val="28"/>
                <w:szCs w:val="28"/>
              </w:rPr>
            </w:pPr>
            <w:bookmarkStart w:id="0" w:name="FirstAppellant"/>
            <w:bookmarkStart w:id="1" w:name="LastJudge"/>
            <w:bookmarkEnd w:id="1"/>
            <w:r w:rsidRPr="001F5180">
              <w:rPr>
                <w:rFonts w:ascii="David" w:hAnsi="David"/>
                <w:b/>
                <w:bCs/>
                <w:sz w:val="28"/>
                <w:szCs w:val="28"/>
                <w:rtl/>
              </w:rPr>
              <w:t>בעניין:</w:t>
            </w:r>
          </w:p>
        </w:tc>
        <w:tc>
          <w:tcPr>
            <w:tcW w:w="4126" w:type="dxa"/>
            <w:tcBorders>
              <w:top w:val="nil"/>
              <w:left w:val="nil"/>
              <w:bottom w:val="nil"/>
              <w:right w:val="nil"/>
            </w:tcBorders>
            <w:shd w:val="clear" w:color="auto" w:fill="auto"/>
          </w:tcPr>
          <w:p w14:paraId="07086293" w14:textId="77777777" w:rsidR="006C2E12" w:rsidRPr="001F5180" w:rsidRDefault="006C2E12" w:rsidP="00B577D1">
            <w:pPr>
              <w:rPr>
                <w:rFonts w:ascii="David" w:hAnsi="David"/>
                <w:b/>
                <w:bCs/>
              </w:rPr>
            </w:pPr>
            <w:r w:rsidRPr="001F5180">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7BA6237" w14:textId="77777777" w:rsidR="006C2E12" w:rsidRPr="001F5180" w:rsidRDefault="006C2E12" w:rsidP="006C2E12">
            <w:pPr>
              <w:jc w:val="both"/>
              <w:rPr>
                <w:rFonts w:ascii="David" w:hAnsi="David"/>
                <w:b/>
                <w:bCs/>
                <w:sz w:val="28"/>
                <w:szCs w:val="28"/>
              </w:rPr>
            </w:pPr>
          </w:p>
        </w:tc>
      </w:tr>
      <w:bookmarkEnd w:id="0"/>
      <w:tr w:rsidR="006C2E12" w:rsidRPr="001F5180" w14:paraId="5280B48B" w14:textId="77777777" w:rsidTr="006C2E12">
        <w:trPr>
          <w:trHeight w:val="355"/>
          <w:jc w:val="center"/>
        </w:trPr>
        <w:tc>
          <w:tcPr>
            <w:tcW w:w="923" w:type="dxa"/>
            <w:tcBorders>
              <w:top w:val="nil"/>
              <w:left w:val="nil"/>
              <w:bottom w:val="nil"/>
              <w:right w:val="nil"/>
            </w:tcBorders>
            <w:shd w:val="clear" w:color="auto" w:fill="auto"/>
          </w:tcPr>
          <w:p w14:paraId="3D9FEF13" w14:textId="77777777" w:rsidR="006C2E12" w:rsidRPr="001F5180" w:rsidRDefault="006C2E12" w:rsidP="006C2E12">
            <w:pPr>
              <w:jc w:val="both"/>
              <w:rPr>
                <w:rFonts w:ascii="David" w:hAnsi="David"/>
                <w:b/>
                <w:bCs/>
                <w:sz w:val="28"/>
                <w:szCs w:val="28"/>
                <w:rtl/>
              </w:rPr>
            </w:pPr>
          </w:p>
        </w:tc>
        <w:tc>
          <w:tcPr>
            <w:tcW w:w="4126" w:type="dxa"/>
            <w:tcBorders>
              <w:top w:val="nil"/>
              <w:left w:val="nil"/>
              <w:bottom w:val="nil"/>
              <w:right w:val="nil"/>
            </w:tcBorders>
            <w:shd w:val="clear" w:color="auto" w:fill="auto"/>
          </w:tcPr>
          <w:p w14:paraId="3BA3702A" w14:textId="77777777" w:rsidR="006C2E12" w:rsidRPr="001F5180" w:rsidRDefault="006C2E12" w:rsidP="006C2E12">
            <w:pPr>
              <w:jc w:val="both"/>
              <w:rPr>
                <w:rFonts w:ascii="David" w:hAnsi="David"/>
                <w:b/>
                <w:bCs/>
                <w:rtl/>
              </w:rPr>
            </w:pPr>
          </w:p>
        </w:tc>
        <w:tc>
          <w:tcPr>
            <w:tcW w:w="3771" w:type="dxa"/>
            <w:tcBorders>
              <w:top w:val="nil"/>
              <w:left w:val="nil"/>
              <w:bottom w:val="nil"/>
              <w:right w:val="nil"/>
            </w:tcBorders>
            <w:shd w:val="clear" w:color="auto" w:fill="auto"/>
          </w:tcPr>
          <w:p w14:paraId="0812C0F2" w14:textId="77777777" w:rsidR="006C2E12" w:rsidRPr="001F5180" w:rsidRDefault="006C2E12" w:rsidP="006C2E12">
            <w:pPr>
              <w:jc w:val="right"/>
              <w:rPr>
                <w:rFonts w:ascii="David" w:hAnsi="David"/>
                <w:b/>
                <w:bCs/>
                <w:sz w:val="28"/>
                <w:szCs w:val="28"/>
                <w:rtl/>
              </w:rPr>
            </w:pPr>
            <w:r w:rsidRPr="001F5180">
              <w:rPr>
                <w:rFonts w:ascii="David" w:hAnsi="David"/>
                <w:b/>
                <w:bCs/>
                <w:sz w:val="28"/>
                <w:szCs w:val="28"/>
                <w:rtl/>
              </w:rPr>
              <w:t>המאשימה</w:t>
            </w:r>
          </w:p>
        </w:tc>
      </w:tr>
      <w:tr w:rsidR="006C2E12" w:rsidRPr="001F5180" w14:paraId="0FFD3E24" w14:textId="77777777" w:rsidTr="006C2E12">
        <w:trPr>
          <w:trHeight w:val="355"/>
          <w:jc w:val="center"/>
        </w:trPr>
        <w:tc>
          <w:tcPr>
            <w:tcW w:w="923" w:type="dxa"/>
            <w:tcBorders>
              <w:top w:val="nil"/>
              <w:left w:val="nil"/>
              <w:bottom w:val="nil"/>
              <w:right w:val="nil"/>
            </w:tcBorders>
            <w:shd w:val="clear" w:color="auto" w:fill="auto"/>
          </w:tcPr>
          <w:p w14:paraId="2E9B0DEA" w14:textId="77777777" w:rsidR="006C2E12" w:rsidRPr="001F5180" w:rsidRDefault="006C2E12" w:rsidP="006C2E12">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0D71A68C" w14:textId="77777777" w:rsidR="006C2E12" w:rsidRPr="001F5180" w:rsidRDefault="006C2E12" w:rsidP="006C2E12">
            <w:pPr>
              <w:jc w:val="center"/>
              <w:rPr>
                <w:rFonts w:ascii="David" w:hAnsi="David"/>
                <w:b/>
                <w:bCs/>
                <w:sz w:val="28"/>
                <w:szCs w:val="28"/>
                <w:rtl/>
              </w:rPr>
            </w:pPr>
          </w:p>
          <w:p w14:paraId="5C0F08D9" w14:textId="77777777" w:rsidR="006C2E12" w:rsidRPr="001F5180" w:rsidRDefault="006C2E12" w:rsidP="006C2E12">
            <w:pPr>
              <w:jc w:val="center"/>
              <w:rPr>
                <w:rFonts w:ascii="David" w:hAnsi="David"/>
                <w:b/>
                <w:bCs/>
                <w:sz w:val="28"/>
                <w:szCs w:val="28"/>
                <w:rtl/>
              </w:rPr>
            </w:pPr>
            <w:r w:rsidRPr="001F5180">
              <w:rPr>
                <w:rFonts w:ascii="David" w:hAnsi="David"/>
                <w:b/>
                <w:bCs/>
                <w:sz w:val="28"/>
                <w:szCs w:val="28"/>
                <w:rtl/>
              </w:rPr>
              <w:t>נגד</w:t>
            </w:r>
          </w:p>
          <w:p w14:paraId="47D34B51" w14:textId="77777777" w:rsidR="006C2E12" w:rsidRPr="001F5180" w:rsidRDefault="006C2E12" w:rsidP="006C2E12">
            <w:pPr>
              <w:jc w:val="both"/>
              <w:rPr>
                <w:rFonts w:ascii="David" w:hAnsi="David"/>
                <w:b/>
                <w:bCs/>
                <w:sz w:val="28"/>
                <w:szCs w:val="28"/>
              </w:rPr>
            </w:pPr>
          </w:p>
        </w:tc>
      </w:tr>
      <w:tr w:rsidR="006C2E12" w:rsidRPr="001F5180" w14:paraId="4186F1E7" w14:textId="77777777" w:rsidTr="006C2E12">
        <w:trPr>
          <w:trHeight w:val="355"/>
          <w:jc w:val="center"/>
        </w:trPr>
        <w:tc>
          <w:tcPr>
            <w:tcW w:w="923" w:type="dxa"/>
            <w:tcBorders>
              <w:top w:val="nil"/>
              <w:left w:val="nil"/>
              <w:bottom w:val="nil"/>
              <w:right w:val="nil"/>
            </w:tcBorders>
            <w:shd w:val="clear" w:color="auto" w:fill="auto"/>
          </w:tcPr>
          <w:p w14:paraId="0145AB25" w14:textId="77777777" w:rsidR="006C2E12" w:rsidRPr="001F5180" w:rsidRDefault="006C2E12" w:rsidP="00B577D1">
            <w:pPr>
              <w:rPr>
                <w:rFonts w:ascii="David" w:hAnsi="David"/>
                <w:b/>
                <w:bCs/>
                <w:sz w:val="28"/>
                <w:szCs w:val="28"/>
                <w:rtl/>
              </w:rPr>
            </w:pPr>
          </w:p>
        </w:tc>
        <w:tc>
          <w:tcPr>
            <w:tcW w:w="4126" w:type="dxa"/>
            <w:tcBorders>
              <w:top w:val="nil"/>
              <w:left w:val="nil"/>
              <w:bottom w:val="nil"/>
              <w:right w:val="nil"/>
            </w:tcBorders>
            <w:shd w:val="clear" w:color="auto" w:fill="auto"/>
          </w:tcPr>
          <w:p w14:paraId="68C36987" w14:textId="77777777" w:rsidR="006C2E12" w:rsidRPr="001F5180" w:rsidRDefault="006C2E12" w:rsidP="00B577D1">
            <w:pPr>
              <w:rPr>
                <w:rFonts w:ascii="David" w:hAnsi="David"/>
                <w:b/>
                <w:bCs/>
                <w:rtl/>
              </w:rPr>
            </w:pPr>
            <w:r w:rsidRPr="001F5180">
              <w:rPr>
                <w:rFonts w:ascii="David" w:hAnsi="David"/>
                <w:b/>
                <w:bCs/>
                <w:sz w:val="28"/>
                <w:szCs w:val="28"/>
                <w:rtl/>
              </w:rPr>
              <w:t>אדגר יפרח</w:t>
            </w:r>
          </w:p>
        </w:tc>
        <w:tc>
          <w:tcPr>
            <w:tcW w:w="3771" w:type="dxa"/>
            <w:tcBorders>
              <w:top w:val="nil"/>
              <w:left w:val="nil"/>
              <w:bottom w:val="nil"/>
              <w:right w:val="nil"/>
            </w:tcBorders>
            <w:shd w:val="clear" w:color="auto" w:fill="auto"/>
          </w:tcPr>
          <w:p w14:paraId="2BB45E00" w14:textId="77777777" w:rsidR="006C2E12" w:rsidRPr="001F5180" w:rsidRDefault="006C2E12" w:rsidP="006C2E12">
            <w:pPr>
              <w:jc w:val="right"/>
              <w:rPr>
                <w:rFonts w:ascii="David" w:hAnsi="David"/>
                <w:b/>
                <w:bCs/>
                <w:sz w:val="28"/>
                <w:szCs w:val="28"/>
              </w:rPr>
            </w:pPr>
          </w:p>
        </w:tc>
      </w:tr>
      <w:tr w:rsidR="006C2E12" w:rsidRPr="001F5180" w14:paraId="2E011377" w14:textId="77777777" w:rsidTr="006C2E12">
        <w:trPr>
          <w:trHeight w:val="355"/>
          <w:jc w:val="center"/>
        </w:trPr>
        <w:tc>
          <w:tcPr>
            <w:tcW w:w="923" w:type="dxa"/>
            <w:tcBorders>
              <w:top w:val="nil"/>
              <w:left w:val="nil"/>
              <w:bottom w:val="nil"/>
              <w:right w:val="nil"/>
            </w:tcBorders>
            <w:shd w:val="clear" w:color="auto" w:fill="auto"/>
          </w:tcPr>
          <w:p w14:paraId="70FB04D4" w14:textId="77777777" w:rsidR="006C2E12" w:rsidRPr="001F5180" w:rsidRDefault="006C2E12" w:rsidP="006C2E12">
            <w:pPr>
              <w:jc w:val="both"/>
              <w:rPr>
                <w:rFonts w:ascii="David" w:hAnsi="David"/>
                <w:b/>
                <w:bCs/>
                <w:sz w:val="28"/>
                <w:szCs w:val="28"/>
                <w:rtl/>
              </w:rPr>
            </w:pPr>
          </w:p>
        </w:tc>
        <w:tc>
          <w:tcPr>
            <w:tcW w:w="4126" w:type="dxa"/>
            <w:tcBorders>
              <w:top w:val="nil"/>
              <w:left w:val="nil"/>
              <w:bottom w:val="nil"/>
              <w:right w:val="nil"/>
            </w:tcBorders>
            <w:shd w:val="clear" w:color="auto" w:fill="auto"/>
          </w:tcPr>
          <w:p w14:paraId="68F53804" w14:textId="77777777" w:rsidR="006C2E12" w:rsidRPr="001F5180" w:rsidRDefault="006C2E12" w:rsidP="006C2E12">
            <w:pPr>
              <w:jc w:val="both"/>
              <w:rPr>
                <w:rFonts w:ascii="David" w:hAnsi="David"/>
                <w:b/>
                <w:bCs/>
                <w:rtl/>
              </w:rPr>
            </w:pPr>
          </w:p>
        </w:tc>
        <w:tc>
          <w:tcPr>
            <w:tcW w:w="3771" w:type="dxa"/>
            <w:tcBorders>
              <w:top w:val="nil"/>
              <w:left w:val="nil"/>
              <w:bottom w:val="nil"/>
              <w:right w:val="nil"/>
            </w:tcBorders>
            <w:shd w:val="clear" w:color="auto" w:fill="auto"/>
          </w:tcPr>
          <w:p w14:paraId="2272ED29" w14:textId="77777777" w:rsidR="006C2E12" w:rsidRPr="001F5180" w:rsidRDefault="006C2E12" w:rsidP="006C2E12">
            <w:pPr>
              <w:jc w:val="right"/>
              <w:rPr>
                <w:rFonts w:ascii="David" w:hAnsi="David"/>
                <w:b/>
                <w:bCs/>
                <w:sz w:val="28"/>
                <w:szCs w:val="28"/>
              </w:rPr>
            </w:pPr>
            <w:r w:rsidRPr="001F5180">
              <w:rPr>
                <w:rFonts w:ascii="David" w:hAnsi="David"/>
                <w:b/>
                <w:bCs/>
                <w:sz w:val="28"/>
                <w:szCs w:val="28"/>
                <w:rtl/>
              </w:rPr>
              <w:t>הנאשם</w:t>
            </w:r>
          </w:p>
        </w:tc>
      </w:tr>
    </w:tbl>
    <w:p w14:paraId="7A548056" w14:textId="77777777" w:rsidR="0018593B" w:rsidRDefault="0018593B" w:rsidP="001F5180">
      <w:pPr>
        <w:rPr>
          <w:rtl/>
        </w:rPr>
      </w:pPr>
      <w:bookmarkStart w:id="2" w:name="LawTable"/>
      <w:bookmarkEnd w:id="2"/>
    </w:p>
    <w:p w14:paraId="16CC67B8" w14:textId="77777777" w:rsidR="0018593B" w:rsidRPr="0018593B" w:rsidRDefault="0018593B" w:rsidP="0018593B">
      <w:pPr>
        <w:spacing w:after="120" w:line="240" w:lineRule="exact"/>
        <w:ind w:left="283" w:hanging="283"/>
        <w:jc w:val="both"/>
        <w:rPr>
          <w:rFonts w:ascii="FrankRuehl" w:hAnsi="FrankRuehl" w:cs="FrankRuehl"/>
          <w:rtl/>
        </w:rPr>
      </w:pPr>
    </w:p>
    <w:p w14:paraId="3AB3B6B7" w14:textId="77777777" w:rsidR="0018593B" w:rsidRPr="0018593B" w:rsidRDefault="0018593B" w:rsidP="0018593B">
      <w:pPr>
        <w:spacing w:after="120" w:line="240" w:lineRule="exact"/>
        <w:ind w:left="283" w:hanging="283"/>
        <w:jc w:val="both"/>
        <w:rPr>
          <w:rFonts w:ascii="FrankRuehl" w:hAnsi="FrankRuehl" w:cs="FrankRuehl"/>
          <w:rtl/>
        </w:rPr>
      </w:pPr>
      <w:r w:rsidRPr="0018593B">
        <w:rPr>
          <w:rFonts w:ascii="FrankRuehl" w:hAnsi="FrankRuehl" w:cs="FrankRuehl"/>
          <w:rtl/>
        </w:rPr>
        <w:t xml:space="preserve">חקיקה שאוזכרה: </w:t>
      </w:r>
    </w:p>
    <w:p w14:paraId="1B755F27" w14:textId="77777777" w:rsidR="0018593B" w:rsidRPr="0018593B" w:rsidRDefault="0018593B" w:rsidP="0018593B">
      <w:pPr>
        <w:spacing w:after="120" w:line="240" w:lineRule="exact"/>
        <w:ind w:left="283" w:hanging="283"/>
        <w:jc w:val="both"/>
        <w:rPr>
          <w:rFonts w:ascii="FrankRuehl" w:hAnsi="FrankRuehl" w:cs="FrankRuehl"/>
          <w:color w:val="0000FF"/>
          <w:u w:val="single"/>
          <w:rtl/>
        </w:rPr>
      </w:pPr>
      <w:hyperlink r:id="rId7" w:history="1">
        <w:r w:rsidRPr="0018593B">
          <w:rPr>
            <w:rStyle w:val="Hyperlink"/>
            <w:rFonts w:ascii="FrankRuehl" w:hAnsi="FrankRuehl" w:cs="FrankRuehl"/>
            <w:rtl/>
          </w:rPr>
          <w:t>פקודת הסמים המסוכנים [נוסח חדש], תשל"ג-1973</w:t>
        </w:r>
      </w:hyperlink>
      <w:r w:rsidRPr="0018593B">
        <w:rPr>
          <w:rFonts w:ascii="FrankRuehl" w:hAnsi="FrankRuehl" w:cs="FrankRuehl"/>
          <w:color w:val="0000FF"/>
          <w:u w:val="single"/>
          <w:rtl/>
        </w:rPr>
        <w:t xml:space="preserve">: סע'  </w:t>
      </w:r>
      <w:hyperlink r:id="rId8" w:history="1">
        <w:r w:rsidRPr="0018593B">
          <w:rPr>
            <w:rStyle w:val="Hyperlink"/>
            <w:rFonts w:ascii="FrankRuehl" w:hAnsi="FrankRuehl" w:cs="FrankRuehl"/>
          </w:rPr>
          <w:t>7(</w:t>
        </w:r>
        <w:r w:rsidRPr="0018593B">
          <w:rPr>
            <w:rStyle w:val="Hyperlink"/>
            <w:rFonts w:ascii="FrankRuehl" w:hAnsi="FrankRuehl" w:cs="FrankRuehl"/>
            <w:rtl/>
          </w:rPr>
          <w:t>א</w:t>
        </w:r>
        <w:r w:rsidRPr="0018593B">
          <w:rPr>
            <w:rStyle w:val="Hyperlink"/>
            <w:rFonts w:ascii="FrankRuehl" w:hAnsi="FrankRuehl" w:cs="FrankRuehl"/>
          </w:rPr>
          <w:t>)</w:t>
        </w:r>
      </w:hyperlink>
      <w:r w:rsidRPr="0018593B">
        <w:rPr>
          <w:rFonts w:ascii="FrankRuehl" w:hAnsi="FrankRuehl" w:cs="FrankRuehl"/>
          <w:color w:val="0000FF"/>
          <w:u w:val="single"/>
          <w:rtl/>
        </w:rPr>
        <w:t xml:space="preserve">, </w:t>
      </w:r>
      <w:hyperlink r:id="rId9" w:history="1">
        <w:r w:rsidRPr="0018593B">
          <w:rPr>
            <w:rStyle w:val="Hyperlink"/>
            <w:rFonts w:ascii="FrankRuehl" w:hAnsi="FrankRuehl" w:cs="FrankRuehl"/>
          </w:rPr>
          <w:t>7(</w:t>
        </w:r>
        <w:r w:rsidRPr="0018593B">
          <w:rPr>
            <w:rStyle w:val="Hyperlink"/>
            <w:rFonts w:ascii="FrankRuehl" w:hAnsi="FrankRuehl" w:cs="FrankRuehl"/>
            <w:rtl/>
          </w:rPr>
          <w:t>ג</w:t>
        </w:r>
        <w:r w:rsidRPr="0018593B">
          <w:rPr>
            <w:rStyle w:val="Hyperlink"/>
            <w:rFonts w:ascii="FrankRuehl" w:hAnsi="FrankRuehl" w:cs="FrankRuehl"/>
          </w:rPr>
          <w:t>)</w:t>
        </w:r>
      </w:hyperlink>
    </w:p>
    <w:p w14:paraId="00D01863" w14:textId="77777777" w:rsidR="0018593B" w:rsidRPr="0018593B" w:rsidRDefault="0018593B" w:rsidP="0018593B">
      <w:pPr>
        <w:spacing w:after="120" w:line="240" w:lineRule="exact"/>
        <w:ind w:left="283" w:hanging="283"/>
        <w:jc w:val="both"/>
        <w:rPr>
          <w:rFonts w:ascii="FrankRuehl" w:hAnsi="FrankRuehl" w:cs="FrankRuehl"/>
          <w:rtl/>
        </w:rPr>
      </w:pPr>
    </w:p>
    <w:p w14:paraId="4A4450CD" w14:textId="77777777" w:rsidR="0018593B" w:rsidRPr="0018593B" w:rsidRDefault="0018593B" w:rsidP="001F5180">
      <w:pPr>
        <w:rPr>
          <w:rtl/>
        </w:rPr>
      </w:pPr>
      <w:bookmarkStart w:id="3" w:name="LawTable_End"/>
      <w:bookmarkEnd w:id="3"/>
    </w:p>
    <w:p w14:paraId="39DCA336" w14:textId="77777777" w:rsidR="001F5180" w:rsidRPr="001F5180" w:rsidRDefault="001F5180" w:rsidP="001F5180">
      <w:pPr>
        <w:rPr>
          <w:rtl/>
        </w:rPr>
      </w:pPr>
    </w:p>
    <w:p w14:paraId="606E32A5" w14:textId="77777777" w:rsidR="006C2E12" w:rsidRPr="001F5180" w:rsidRDefault="006C2E12" w:rsidP="006C2E1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2E12" w14:paraId="5CE90989" w14:textId="77777777" w:rsidTr="006C2E12">
        <w:trPr>
          <w:trHeight w:val="355"/>
          <w:jc w:val="center"/>
        </w:trPr>
        <w:tc>
          <w:tcPr>
            <w:tcW w:w="8820" w:type="dxa"/>
            <w:tcBorders>
              <w:top w:val="nil"/>
              <w:left w:val="nil"/>
              <w:bottom w:val="nil"/>
              <w:right w:val="nil"/>
            </w:tcBorders>
            <w:shd w:val="clear" w:color="auto" w:fill="auto"/>
          </w:tcPr>
          <w:p w14:paraId="7E99D095" w14:textId="77777777" w:rsidR="001F5180" w:rsidRPr="001F5180" w:rsidRDefault="001F5180" w:rsidP="001F5180">
            <w:pPr>
              <w:jc w:val="center"/>
              <w:rPr>
                <w:rFonts w:ascii="David" w:hAnsi="David"/>
                <w:b/>
                <w:bCs/>
                <w:sz w:val="32"/>
                <w:szCs w:val="32"/>
                <w:u w:val="single"/>
                <w:rtl/>
              </w:rPr>
            </w:pPr>
            <w:bookmarkStart w:id="4" w:name="PsakDin" w:colFirst="0" w:colLast="0"/>
            <w:r w:rsidRPr="001F5180">
              <w:rPr>
                <w:rFonts w:ascii="David" w:hAnsi="David"/>
                <w:b/>
                <w:bCs/>
                <w:sz w:val="32"/>
                <w:szCs w:val="32"/>
                <w:u w:val="single"/>
                <w:rtl/>
              </w:rPr>
              <w:t>גזר דין</w:t>
            </w:r>
          </w:p>
          <w:p w14:paraId="6DE3F2DD" w14:textId="77777777" w:rsidR="006C2E12" w:rsidRPr="001F5180" w:rsidRDefault="006C2E12" w:rsidP="001F5180">
            <w:pPr>
              <w:jc w:val="center"/>
              <w:rPr>
                <w:rFonts w:ascii="David" w:hAnsi="David"/>
                <w:bCs/>
                <w:sz w:val="32"/>
                <w:szCs w:val="32"/>
                <w:u w:val="single"/>
                <w:rtl/>
              </w:rPr>
            </w:pPr>
          </w:p>
        </w:tc>
      </w:tr>
      <w:bookmarkEnd w:id="4"/>
    </w:tbl>
    <w:p w14:paraId="731FB358" w14:textId="77777777" w:rsidR="006C2E12" w:rsidRPr="00B05847" w:rsidRDefault="006C2E12" w:rsidP="006C2E12">
      <w:pPr>
        <w:rPr>
          <w:rFonts w:ascii="Arial" w:hAnsi="Arial"/>
          <w:rtl/>
        </w:rPr>
      </w:pPr>
    </w:p>
    <w:p w14:paraId="22302A5C" w14:textId="77777777" w:rsidR="006C2E12" w:rsidRPr="00B05847" w:rsidRDefault="006C2E12" w:rsidP="006C2E12">
      <w:pPr>
        <w:rPr>
          <w:rFonts w:ascii="Arial" w:hAnsi="Arial"/>
          <w:rtl/>
        </w:rPr>
      </w:pPr>
    </w:p>
    <w:p w14:paraId="2CD5DAC6" w14:textId="77777777" w:rsidR="006C2E12" w:rsidRDefault="006C2E12" w:rsidP="006C2E12">
      <w:pPr>
        <w:spacing w:line="360" w:lineRule="auto"/>
        <w:jc w:val="both"/>
        <w:rPr>
          <w:rFonts w:ascii="David" w:hAnsi="David"/>
          <w:b/>
          <w:bCs/>
          <w:u w:val="single"/>
          <w:rtl/>
        </w:rPr>
      </w:pPr>
      <w:r>
        <w:rPr>
          <w:rFonts w:ascii="David" w:hAnsi="David"/>
          <w:b/>
          <w:bCs/>
          <w:u w:val="single"/>
          <w:rtl/>
        </w:rPr>
        <w:t>מבוא</w:t>
      </w:r>
    </w:p>
    <w:p w14:paraId="23369F1F" w14:textId="77777777" w:rsidR="006C2E12" w:rsidRDefault="006C2E12" w:rsidP="006C2E12">
      <w:pPr>
        <w:pStyle w:val="aa"/>
        <w:numPr>
          <w:ilvl w:val="0"/>
          <w:numId w:val="1"/>
        </w:numPr>
        <w:spacing w:after="0" w:line="360" w:lineRule="auto"/>
        <w:ind w:left="509" w:hanging="509"/>
        <w:jc w:val="both"/>
        <w:rPr>
          <w:rFonts w:ascii="David" w:hAnsi="David" w:cs="David"/>
          <w:sz w:val="24"/>
          <w:szCs w:val="24"/>
          <w:rtl/>
        </w:rPr>
      </w:pPr>
      <w:bookmarkStart w:id="5" w:name="ABSTRACT_START"/>
      <w:bookmarkEnd w:id="5"/>
      <w:r>
        <w:rPr>
          <w:rFonts w:ascii="David" w:hAnsi="David" w:cs="David"/>
          <w:sz w:val="24"/>
          <w:szCs w:val="24"/>
          <w:rtl/>
        </w:rPr>
        <w:t xml:space="preserve">בהכרעת דין מיום 23.5.18 הורשע הנאשם לפי הודאתו בעובדות כתב האישום המתוקן, בעבירה של החזקת סם מסוכן שלא לצריכה עצמית, לפי </w:t>
      </w:r>
      <w:hyperlink r:id="rId10" w:history="1">
        <w:r w:rsidR="0018593B" w:rsidRPr="0018593B">
          <w:rPr>
            <w:rStyle w:val="Hyperlink"/>
            <w:rFonts w:ascii="David" w:hAnsi="David" w:cs="David"/>
            <w:color w:val="0000FF"/>
            <w:sz w:val="24"/>
            <w:szCs w:val="24"/>
            <w:rtl/>
          </w:rPr>
          <w:t>סעיף 7(א)</w:t>
        </w:r>
      </w:hyperlink>
      <w:r>
        <w:rPr>
          <w:rFonts w:ascii="David" w:hAnsi="David" w:cs="David"/>
          <w:sz w:val="24"/>
          <w:szCs w:val="24"/>
          <w:rtl/>
        </w:rPr>
        <w:t xml:space="preserve"> יחד עם </w:t>
      </w:r>
      <w:hyperlink r:id="rId11" w:history="1">
        <w:r w:rsidR="0018593B" w:rsidRPr="0018593B">
          <w:rPr>
            <w:rStyle w:val="Hyperlink"/>
            <w:rFonts w:ascii="David" w:hAnsi="David" w:cs="David"/>
            <w:color w:val="0000FF"/>
            <w:sz w:val="24"/>
            <w:szCs w:val="24"/>
            <w:rtl/>
          </w:rPr>
          <w:t>סעיף 7(ג)</w:t>
        </w:r>
      </w:hyperlink>
      <w:r>
        <w:rPr>
          <w:rFonts w:ascii="David" w:hAnsi="David" w:cs="David"/>
          <w:sz w:val="24"/>
          <w:szCs w:val="24"/>
          <w:rtl/>
        </w:rPr>
        <w:t xml:space="preserve"> רישא ל</w:t>
      </w:r>
      <w:hyperlink r:id="rId12" w:history="1">
        <w:r w:rsidR="001F5180" w:rsidRPr="001F5180">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 - 1973. </w:t>
      </w:r>
    </w:p>
    <w:p w14:paraId="01831CCA" w14:textId="77777777" w:rsidR="006C2E12" w:rsidRDefault="006C2E12" w:rsidP="006C2E12">
      <w:pPr>
        <w:pStyle w:val="aa"/>
        <w:spacing w:after="0" w:line="360" w:lineRule="auto"/>
        <w:ind w:left="509"/>
        <w:jc w:val="both"/>
        <w:rPr>
          <w:rFonts w:ascii="David" w:hAnsi="David" w:cs="David"/>
          <w:sz w:val="24"/>
          <w:szCs w:val="24"/>
          <w:rtl/>
        </w:rPr>
      </w:pPr>
      <w:r>
        <w:rPr>
          <w:rFonts w:ascii="David" w:hAnsi="David" w:cs="David"/>
          <w:sz w:val="24"/>
          <w:szCs w:val="24"/>
          <w:rtl/>
        </w:rPr>
        <w:t xml:space="preserve">לפי כתב האישום המתוקן, בערב יום 27.3.18 הנאשם ואחר נפגשו עם שניים נוספים אשר העבירו לידי הנאשם שקית גדולה. הנאשם והאחר נכנסו למונית ונסעו מהמקום. בסמוך לאחר מכן נעצרה המונית על ידי השוטרים. בנסיבות אלה, החזיק הנאשם בתיק: סם מסוג קנבוס במשקל של 495.50 גרם נטו; פלטת סם מסוג חשיש במשקל של 98.30 גרם נטו; 5 פלטות עטופות בנייר כסף ובבד לבן מסוג חשיש במשקל של 491.40 גרם נטו.  </w:t>
      </w:r>
    </w:p>
    <w:p w14:paraId="1DF43186" w14:textId="77777777" w:rsidR="006C2E12" w:rsidRDefault="006C2E12" w:rsidP="006C2E12">
      <w:pPr>
        <w:pStyle w:val="aa"/>
        <w:numPr>
          <w:ilvl w:val="0"/>
          <w:numId w:val="1"/>
        </w:numPr>
        <w:spacing w:after="0" w:line="360" w:lineRule="auto"/>
        <w:ind w:left="509" w:hanging="509"/>
        <w:jc w:val="both"/>
        <w:rPr>
          <w:rFonts w:ascii="David" w:hAnsi="David" w:cs="David"/>
          <w:sz w:val="24"/>
          <w:szCs w:val="24"/>
          <w:rtl/>
        </w:rPr>
      </w:pPr>
      <w:bookmarkStart w:id="6" w:name="ABSTRACT_END"/>
      <w:bookmarkEnd w:id="6"/>
      <w:r>
        <w:rPr>
          <w:rFonts w:ascii="David" w:hAnsi="David" w:cs="David"/>
          <w:sz w:val="24"/>
          <w:szCs w:val="24"/>
          <w:rtl/>
        </w:rPr>
        <w:t>ביום 22.5.19 נשמעו טיעונים לעונש ויתן גזר דין באולם בית המשפט. בגזר הדין קבעתי, כי מתחם העונש ההולם נע בין מאסר קצר ובין מאסר לתקופה של 10 חודשים. עוד קבעתי, כי יש להטיל על הנאשם "</w:t>
      </w:r>
      <w:r>
        <w:rPr>
          <w:rFonts w:ascii="David" w:hAnsi="David" w:cs="David"/>
          <w:b/>
          <w:bCs/>
          <w:sz w:val="24"/>
          <w:szCs w:val="24"/>
          <w:rtl/>
        </w:rPr>
        <w:t>עונש שהוא בתחתית המתחם</w:t>
      </w:r>
      <w:r>
        <w:rPr>
          <w:rFonts w:ascii="David" w:hAnsi="David" w:cs="David"/>
          <w:sz w:val="24"/>
          <w:szCs w:val="24"/>
          <w:rtl/>
        </w:rPr>
        <w:t xml:space="preserve">" הכולל מאסר על תנאי, צו שירות לתועלת </w:t>
      </w:r>
      <w:r>
        <w:rPr>
          <w:rFonts w:ascii="David" w:hAnsi="David" w:cs="David"/>
          <w:sz w:val="24"/>
          <w:szCs w:val="24"/>
          <w:rtl/>
        </w:rPr>
        <w:lastRenderedPageBreak/>
        <w:t>הציבור בהיקף של 100 שעות, צו מבחן, קנס בסכום של 1,000 ₪ ופסילת רישיון על תנאי. כן חולט הכסף שנתפס.</w:t>
      </w:r>
    </w:p>
    <w:p w14:paraId="3C1CA7BD" w14:textId="77777777" w:rsidR="006C2E12" w:rsidRDefault="006C2E12" w:rsidP="006C2E12">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המדינה הגישה ערעור על קלות העונש (להלן – "</w:t>
      </w:r>
      <w:r>
        <w:rPr>
          <w:rFonts w:ascii="David" w:hAnsi="David" w:cs="David"/>
          <w:b/>
          <w:bCs/>
          <w:sz w:val="24"/>
          <w:szCs w:val="24"/>
          <w:rtl/>
        </w:rPr>
        <w:t>גזר הדין הראשון</w:t>
      </w:r>
      <w:r>
        <w:rPr>
          <w:rFonts w:ascii="David" w:hAnsi="David" w:cs="David"/>
          <w:sz w:val="24"/>
          <w:szCs w:val="24"/>
          <w:rtl/>
        </w:rPr>
        <w:t xml:space="preserve">"). </w:t>
      </w:r>
    </w:p>
    <w:p w14:paraId="325BDCA2" w14:textId="77777777" w:rsidR="006C2E12" w:rsidRDefault="006C2E12" w:rsidP="006C2E12">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לאחר הגשת הערעור, ביום 1.7.19, התברר כי נפלה טעות קולמוס בגזר הדין, וכי במקום בו נכתב "</w:t>
      </w:r>
      <w:r>
        <w:rPr>
          <w:rFonts w:ascii="David" w:hAnsi="David" w:cs="David"/>
          <w:b/>
          <w:bCs/>
          <w:sz w:val="24"/>
          <w:szCs w:val="24"/>
          <w:rtl/>
        </w:rPr>
        <w:t>שהוא בתחתית המתחם</w:t>
      </w:r>
      <w:r>
        <w:rPr>
          <w:rFonts w:ascii="David" w:hAnsi="David" w:cs="David"/>
          <w:sz w:val="24"/>
          <w:szCs w:val="24"/>
          <w:rtl/>
        </w:rPr>
        <w:t>" יש לכתוב "</w:t>
      </w:r>
      <w:r>
        <w:rPr>
          <w:rFonts w:ascii="David" w:hAnsi="David" w:cs="David"/>
          <w:b/>
          <w:bCs/>
          <w:sz w:val="24"/>
          <w:szCs w:val="24"/>
          <w:rtl/>
        </w:rPr>
        <w:t>שהוא חורג מתחתית המתחם</w:t>
      </w:r>
      <w:r>
        <w:rPr>
          <w:rFonts w:ascii="David" w:hAnsi="David" w:cs="David"/>
          <w:sz w:val="24"/>
          <w:szCs w:val="24"/>
          <w:rtl/>
        </w:rPr>
        <w:t>". פניתי לצדדים בבקשה לתקן את טעות הקולמוס, אולם התביעה התנגדה לכך, בטענה שערכאת הערעור תידון בערעור בכללותו.</w:t>
      </w:r>
    </w:p>
    <w:p w14:paraId="092C0247" w14:textId="77777777" w:rsidR="006C2E12" w:rsidRDefault="006C2E12" w:rsidP="006C2E12">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בית המשפט המחוזי, בפסק דינו מיום 2.12.19 ב</w:t>
      </w:r>
      <w:hyperlink r:id="rId13" w:history="1">
        <w:r w:rsidR="001F5180" w:rsidRPr="001F5180">
          <w:rPr>
            <w:rFonts w:ascii="David" w:hAnsi="David" w:cs="David"/>
            <w:color w:val="0000FF"/>
            <w:sz w:val="24"/>
            <w:szCs w:val="24"/>
            <w:u w:val="single"/>
            <w:rtl/>
          </w:rPr>
          <w:t>עפ"ג (מרכז) 1586-07-19</w:t>
        </w:r>
      </w:hyperlink>
      <w:r>
        <w:rPr>
          <w:rFonts w:ascii="David" w:hAnsi="David" w:cs="David"/>
          <w:sz w:val="24"/>
          <w:szCs w:val="24"/>
          <w:rtl/>
        </w:rPr>
        <w:t>, קבע כי נוכח החלטת בית המשפט שמדובר בטעות קולמוס ועל מנת שבית המשפט יבהיר וינמק את גזר דינו, יבוטל גזר הדין והתיק יוחזר לבית משפט השלום רחובות.</w:t>
      </w:r>
    </w:p>
    <w:p w14:paraId="786025F2" w14:textId="77777777" w:rsidR="006C2E12" w:rsidRDefault="006C2E12" w:rsidP="006C2E12">
      <w:pPr>
        <w:pStyle w:val="aa"/>
        <w:spacing w:after="0" w:line="360" w:lineRule="auto"/>
        <w:ind w:left="509"/>
        <w:jc w:val="both"/>
        <w:rPr>
          <w:rFonts w:ascii="David" w:hAnsi="David" w:cs="David"/>
          <w:sz w:val="24"/>
          <w:szCs w:val="24"/>
        </w:rPr>
      </w:pPr>
    </w:p>
    <w:p w14:paraId="1B9CB20C" w14:textId="77777777" w:rsidR="006C2E12" w:rsidRDefault="006C2E12" w:rsidP="006C2E12">
      <w:pPr>
        <w:pStyle w:val="aa"/>
        <w:spacing w:after="0" w:line="360" w:lineRule="auto"/>
        <w:ind w:left="0"/>
        <w:jc w:val="both"/>
        <w:rPr>
          <w:rFonts w:ascii="David" w:hAnsi="David" w:cs="David"/>
          <w:b/>
          <w:bCs/>
          <w:sz w:val="24"/>
          <w:szCs w:val="24"/>
          <w:u w:val="single"/>
        </w:rPr>
      </w:pPr>
      <w:r>
        <w:rPr>
          <w:rFonts w:ascii="David" w:hAnsi="David" w:cs="David"/>
          <w:b/>
          <w:bCs/>
          <w:sz w:val="24"/>
          <w:szCs w:val="24"/>
          <w:u w:val="single"/>
          <w:rtl/>
        </w:rPr>
        <w:t>טענות הצדדים לעונש</w:t>
      </w:r>
    </w:p>
    <w:p w14:paraId="65673705"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בטיעוניה לעונש מיום 22.5.19 - קודם למתן גזר הדין הראשון - טענה התביעה, כי מתחם העונש ההולם נע בין מאסר לתקופה של 6 חודשים ובין מאסר לתקופה של 12 חודשים. עוד טענה בדיון זה, כי יש להטיל על הנאשם עונש הכולל מאסר לתקופה של 6 חודשים שיבוצע בדרך של עבודות שירות, מאסר על תנאי, קנס, פסילת רישיון ולחלט סכום הכסף שנתפס. לאחר שהתיק הוחזר מבית המשפט המחוזי חזרה על עתירתה.</w:t>
      </w:r>
    </w:p>
    <w:p w14:paraId="43B6B1A7"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בא כוח הנאשם טען, לעומת זאת, בטיעוניו לעונש מיום 22.5.19, כי המתחם נע בין מאסר לתקופה של מספר חודשים בדרך של עבודות שירות ובין מאסר לתקופה של 6 חודשים. עוד עתר, לחרוג ממתחם העונש ההולם ולהטיל על הנאשם מאסר על תנאי, צו שירות לתועלת הציבור וצו מבחן, כהמלצת שירות המבחן. לאחר שהתיק הוחזר מבית המשפט המחוזי, הוסיף בא כוח הנאשם, כי מאז גזר הדין הראשון הנאשם המשיך בהליך הטיפולי, משתף פעולה באופן מלא עם שירות המבחן ולא נמצאו שרידי סם בבדיקות שנערכו לו. הנאשם גם נוטל, לטענתו, חלק בפגישות </w:t>
      </w:r>
      <w:r>
        <w:rPr>
          <w:rFonts w:ascii="David" w:hAnsi="David" w:cs="David"/>
          <w:sz w:val="24"/>
          <w:szCs w:val="24"/>
        </w:rPr>
        <w:t>NA</w:t>
      </w:r>
      <w:r>
        <w:rPr>
          <w:rFonts w:ascii="David" w:hAnsi="David" w:cs="David"/>
          <w:sz w:val="24"/>
          <w:szCs w:val="24"/>
          <w:rtl/>
        </w:rPr>
        <w:t xml:space="preserve"> (ענ/1). מכאן, עתר בא כוח הנאשם להשאיר את גזר הדין על כנו ולתקן את טעות הסופר.</w:t>
      </w:r>
    </w:p>
    <w:p w14:paraId="52CA30A7" w14:textId="77777777" w:rsidR="006C2E12" w:rsidRDefault="006C2E12" w:rsidP="006C2E12">
      <w:pPr>
        <w:spacing w:before="120" w:after="120"/>
        <w:ind w:left="-58"/>
        <w:jc w:val="both"/>
        <w:rPr>
          <w:rFonts w:ascii="David" w:hAnsi="David"/>
        </w:rPr>
      </w:pPr>
    </w:p>
    <w:p w14:paraId="31B96078" w14:textId="77777777" w:rsidR="006C2E12" w:rsidRDefault="006C2E12" w:rsidP="006C2E12">
      <w:pPr>
        <w:spacing w:before="120" w:after="120"/>
        <w:ind w:left="-58"/>
        <w:jc w:val="both"/>
        <w:rPr>
          <w:rFonts w:ascii="David" w:hAnsi="David"/>
          <w:b/>
          <w:bCs/>
          <w:u w:val="single"/>
          <w:rtl/>
        </w:rPr>
      </w:pPr>
      <w:r>
        <w:rPr>
          <w:rFonts w:ascii="David" w:hAnsi="David"/>
          <w:b/>
          <w:bCs/>
          <w:u w:val="single"/>
          <w:rtl/>
        </w:rPr>
        <w:t>דיון והכרעה</w:t>
      </w:r>
    </w:p>
    <w:p w14:paraId="2FB6A15A" w14:textId="77777777" w:rsidR="006C2E12" w:rsidRDefault="006C2E12" w:rsidP="006C2E12">
      <w:pPr>
        <w:spacing w:before="120" w:after="120"/>
        <w:ind w:left="-58"/>
        <w:jc w:val="both"/>
        <w:rPr>
          <w:rFonts w:ascii="David" w:hAnsi="David"/>
          <w:u w:val="single"/>
          <w:rtl/>
        </w:rPr>
      </w:pPr>
      <w:r>
        <w:rPr>
          <w:rFonts w:ascii="David" w:hAnsi="David"/>
          <w:u w:val="single"/>
          <w:rtl/>
        </w:rPr>
        <w:t>קביעת מתחם הענישה</w:t>
      </w:r>
    </w:p>
    <w:p w14:paraId="0C58D7A9"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כבר תיארתי בגזר הדין הראשון, כי במעשיו פגע הנאשם בערכים החברתיים של הגנה על בריאותו ושלומו הפיזי והנפשי של הציבור מפני נזקים הנגרמים כתוצאה מהשימוש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w:t>
      </w:r>
      <w:hyperlink r:id="rId14" w:history="1">
        <w:r w:rsidR="001F5180" w:rsidRPr="001F5180">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(4.7.12); </w:t>
      </w:r>
      <w:hyperlink r:id="rId15" w:history="1">
        <w:r w:rsidR="001F5180" w:rsidRPr="001F5180">
          <w:rPr>
            <w:rFonts w:ascii="David" w:hAnsi="David" w:cs="David"/>
            <w:color w:val="0000FF"/>
            <w:sz w:val="24"/>
            <w:szCs w:val="24"/>
            <w:u w:val="single"/>
            <w:rtl/>
          </w:rPr>
          <w:t>ע"פ 6029/03 מדינת ישראל נ' שמאי, פ"ד נח</w:t>
        </w:r>
      </w:hyperlink>
      <w:r>
        <w:rPr>
          <w:rFonts w:ascii="David" w:hAnsi="David" w:cs="David"/>
          <w:sz w:val="24"/>
          <w:szCs w:val="24"/>
          <w:rtl/>
        </w:rPr>
        <w:t xml:space="preserve"> (2) 734 (9.2.04)). עוד הדגשתי, כי הפגיעה בערכים המוגנים כתוצאה מביצוע עבירה היא בינונית הואיל והנאשם החזיק כ-1 ק"ג סמים מסוג חשיש וקנבוס.</w:t>
      </w:r>
    </w:p>
    <w:p w14:paraId="47561954" w14:textId="77777777" w:rsidR="006C2E12" w:rsidRDefault="006C2E12" w:rsidP="006C2E12">
      <w:pPr>
        <w:pStyle w:val="aa"/>
        <w:numPr>
          <w:ilvl w:val="0"/>
          <w:numId w:val="1"/>
        </w:numPr>
        <w:spacing w:before="120" w:after="120" w:line="360" w:lineRule="auto"/>
        <w:ind w:left="509" w:hanging="567"/>
        <w:jc w:val="both"/>
        <w:rPr>
          <w:rFonts w:ascii="David" w:hAnsi="David" w:cs="David"/>
          <w:b/>
          <w:bCs/>
          <w:sz w:val="24"/>
          <w:szCs w:val="24"/>
        </w:rPr>
      </w:pPr>
      <w:r>
        <w:rPr>
          <w:rFonts w:ascii="David" w:hAnsi="David" w:cs="David"/>
          <w:sz w:val="24"/>
          <w:szCs w:val="24"/>
          <w:rtl/>
        </w:rPr>
        <w:lastRenderedPageBreak/>
        <w:t>מדיניות הענישה המקובלת והנוהגת בעבירה של החזקת סמים מסוג קנבוס במשקל 1 ק"ג נע</w:t>
      </w:r>
      <w:r>
        <w:rPr>
          <w:rFonts w:ascii="David" w:hAnsi="David" w:cs="David" w:hint="cs"/>
          <w:sz w:val="24"/>
          <w:szCs w:val="24"/>
          <w:rtl/>
        </w:rPr>
        <w:t>ה</w:t>
      </w:r>
      <w:r>
        <w:rPr>
          <w:rFonts w:ascii="David" w:hAnsi="David" w:cs="David"/>
          <w:sz w:val="24"/>
          <w:szCs w:val="24"/>
          <w:rtl/>
        </w:rPr>
        <w:t xml:space="preserve"> בין מאסר קצר שיכול ויבוצע בדרך של עבודות שירות ובין מאסר לתקופה של 10 חודשים, לצד מאסר על תנאי, ענישה כלכלית וחילוט (ראו, למשל: רע"פ 6490/12 </w:t>
      </w:r>
      <w:r>
        <w:rPr>
          <w:rFonts w:ascii="David" w:hAnsi="David" w:cs="David"/>
          <w:b/>
          <w:bCs/>
          <w:sz w:val="24"/>
          <w:szCs w:val="24"/>
          <w:rtl/>
        </w:rPr>
        <w:t>אבורמד נ' מדינת ישראל</w:t>
      </w:r>
      <w:r>
        <w:rPr>
          <w:rFonts w:ascii="David" w:hAnsi="David" w:cs="David"/>
          <w:sz w:val="24"/>
          <w:szCs w:val="24"/>
          <w:rtl/>
        </w:rPr>
        <w:t xml:space="preserve"> (15.11.12); </w:t>
      </w:r>
      <w:hyperlink r:id="rId16" w:history="1">
        <w:r w:rsidR="001F5180" w:rsidRPr="001F5180">
          <w:rPr>
            <w:rFonts w:ascii="David" w:hAnsi="David" w:cs="David"/>
            <w:color w:val="0000FF"/>
            <w:sz w:val="24"/>
            <w:szCs w:val="24"/>
            <w:u w:val="single"/>
            <w:rtl/>
          </w:rPr>
          <w:t>רע"פ 10423/09</w:t>
        </w:r>
      </w:hyperlink>
      <w:r>
        <w:rPr>
          <w:rFonts w:ascii="David" w:hAnsi="David" w:cs="David"/>
          <w:b/>
          <w:bCs/>
          <w:sz w:val="24"/>
          <w:szCs w:val="24"/>
          <w:rtl/>
        </w:rPr>
        <w:t xml:space="preserve"> שורר נ' מדינת ישראל</w:t>
      </w:r>
      <w:r>
        <w:rPr>
          <w:rFonts w:ascii="David" w:hAnsi="David" w:cs="David"/>
          <w:sz w:val="24"/>
          <w:szCs w:val="24"/>
          <w:rtl/>
        </w:rPr>
        <w:t xml:space="preserve"> (26.4.10); </w:t>
      </w:r>
      <w:hyperlink r:id="rId17" w:history="1">
        <w:r w:rsidR="001F5180" w:rsidRPr="001F5180">
          <w:rPr>
            <w:rFonts w:ascii="David" w:hAnsi="David" w:cs="David"/>
            <w:color w:val="0000FF"/>
            <w:sz w:val="24"/>
            <w:szCs w:val="24"/>
            <w:u w:val="single"/>
            <w:rtl/>
          </w:rPr>
          <w:t>עפ"ג (ב"ש) 24043-04-17</w:t>
        </w:r>
      </w:hyperlink>
      <w:r>
        <w:rPr>
          <w:rFonts w:ascii="David" w:hAnsi="David" w:cs="David"/>
          <w:b/>
          <w:bCs/>
          <w:sz w:val="24"/>
          <w:szCs w:val="24"/>
          <w:rtl/>
        </w:rPr>
        <w:t xml:space="preserve"> אל קשכר נ' מדינת ישראל</w:t>
      </w:r>
      <w:r>
        <w:rPr>
          <w:rFonts w:ascii="David" w:hAnsi="David" w:cs="David"/>
          <w:sz w:val="24"/>
          <w:szCs w:val="24"/>
          <w:rtl/>
        </w:rPr>
        <w:t xml:space="preserve"> (15.6.17); </w:t>
      </w:r>
      <w:hyperlink r:id="rId18" w:history="1">
        <w:r w:rsidR="001F5180" w:rsidRPr="001F5180">
          <w:rPr>
            <w:rFonts w:ascii="David" w:hAnsi="David" w:cs="David"/>
            <w:color w:val="0000FF"/>
            <w:sz w:val="24"/>
            <w:szCs w:val="24"/>
            <w:u w:val="single"/>
            <w:rtl/>
          </w:rPr>
          <w:t>ת"פ (רמ') 54134-05-18</w:t>
        </w:r>
      </w:hyperlink>
      <w:r>
        <w:rPr>
          <w:rFonts w:ascii="David" w:hAnsi="David" w:cs="David"/>
          <w:b/>
          <w:bCs/>
          <w:sz w:val="24"/>
          <w:szCs w:val="24"/>
          <w:rtl/>
        </w:rPr>
        <w:t xml:space="preserve"> מדינת ישראל נ' אבו לבן</w:t>
      </w:r>
      <w:r>
        <w:rPr>
          <w:rFonts w:ascii="David" w:hAnsi="David" w:cs="David"/>
          <w:sz w:val="24"/>
          <w:szCs w:val="24"/>
          <w:rtl/>
        </w:rPr>
        <w:t xml:space="preserve"> (9.1.19); </w:t>
      </w:r>
      <w:hyperlink r:id="rId19" w:history="1">
        <w:r w:rsidR="001F5180" w:rsidRPr="001F5180">
          <w:rPr>
            <w:rFonts w:ascii="David" w:hAnsi="David" w:cs="David"/>
            <w:color w:val="0000FF"/>
            <w:sz w:val="24"/>
            <w:szCs w:val="24"/>
            <w:u w:val="single"/>
            <w:rtl/>
          </w:rPr>
          <w:t>ת"פ (רח') 63976-07-17</w:t>
        </w:r>
      </w:hyperlink>
      <w:r>
        <w:rPr>
          <w:rFonts w:ascii="David" w:hAnsi="David" w:cs="David"/>
          <w:sz w:val="24"/>
          <w:szCs w:val="24"/>
          <w:rtl/>
        </w:rPr>
        <w:t xml:space="preserve"> </w:t>
      </w:r>
      <w:r>
        <w:rPr>
          <w:rFonts w:ascii="David" w:hAnsi="David" w:cs="David"/>
          <w:b/>
          <w:bCs/>
          <w:sz w:val="24"/>
          <w:szCs w:val="24"/>
          <w:rtl/>
        </w:rPr>
        <w:t xml:space="preserve">מדינת ישראל נ' אבו קרינאת </w:t>
      </w:r>
      <w:r>
        <w:rPr>
          <w:rFonts w:ascii="David" w:hAnsi="David" w:cs="David"/>
          <w:sz w:val="24"/>
          <w:szCs w:val="24"/>
          <w:rtl/>
        </w:rPr>
        <w:t xml:space="preserve">(15.10.18); </w:t>
      </w:r>
      <w:hyperlink r:id="rId20" w:history="1">
        <w:r w:rsidR="001F5180" w:rsidRPr="001F5180">
          <w:rPr>
            <w:rFonts w:ascii="David" w:hAnsi="David" w:cs="David"/>
            <w:color w:val="0000FF"/>
            <w:sz w:val="24"/>
            <w:szCs w:val="24"/>
            <w:u w:val="single"/>
            <w:rtl/>
          </w:rPr>
          <w:t>ת"פ (אש') 10901-10-17</w:t>
        </w:r>
      </w:hyperlink>
      <w:r>
        <w:rPr>
          <w:rFonts w:ascii="David" w:hAnsi="David" w:cs="David"/>
          <w:sz w:val="24"/>
          <w:szCs w:val="24"/>
          <w:rtl/>
        </w:rPr>
        <w:t xml:space="preserve"> </w:t>
      </w:r>
      <w:r>
        <w:rPr>
          <w:rFonts w:ascii="David" w:hAnsi="David" w:cs="David"/>
          <w:b/>
          <w:bCs/>
          <w:sz w:val="24"/>
          <w:szCs w:val="24"/>
          <w:rtl/>
        </w:rPr>
        <w:t xml:space="preserve">מדינת ישראל נ' אבן חמוד </w:t>
      </w:r>
      <w:r>
        <w:rPr>
          <w:rFonts w:ascii="David" w:hAnsi="David" w:cs="David"/>
          <w:sz w:val="24"/>
          <w:szCs w:val="24"/>
          <w:rtl/>
        </w:rPr>
        <w:t xml:space="preserve">(4.6.18)).  </w:t>
      </w:r>
    </w:p>
    <w:p w14:paraId="4D16886D"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מכאן שמתחם העונש ההולם את העבירה מושא כתב האישום, כפי שכבר קבעתי בגזר הדין הראשון, נע בין מאסר קצר שיכול ויבוצע בדרך של בעבודות שירות ובין מאסר לתקופה של 10 חודשים, לצד ענישה נלווית.</w:t>
      </w:r>
    </w:p>
    <w:p w14:paraId="747CA06D" w14:textId="77777777" w:rsidR="006C2E12" w:rsidRDefault="006C2E12" w:rsidP="006C2E12">
      <w:pPr>
        <w:spacing w:before="120" w:after="120"/>
        <w:jc w:val="both"/>
        <w:rPr>
          <w:rFonts w:ascii="David" w:hAnsi="David"/>
        </w:rPr>
      </w:pPr>
      <w:r>
        <w:rPr>
          <w:rFonts w:ascii="David" w:hAnsi="David"/>
          <w:u w:val="single"/>
          <w:rtl/>
        </w:rPr>
        <w:t>העונש ההולם</w:t>
      </w:r>
      <w:r>
        <w:rPr>
          <w:rFonts w:ascii="David" w:hAnsi="David"/>
          <w:rtl/>
        </w:rPr>
        <w:t xml:space="preserve"> </w:t>
      </w:r>
    </w:p>
    <w:p w14:paraId="6C2365D6"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נסיבותיו האישיות של הנאשם מצדיקות חריגה ממתחם העונש ההולם: </w:t>
      </w:r>
    </w:p>
    <w:p w14:paraId="2506C6D8" w14:textId="77777777" w:rsidR="006C2E12" w:rsidRDefault="006C2E12" w:rsidP="006C2E12">
      <w:pPr>
        <w:pStyle w:val="aa"/>
        <w:spacing w:before="120" w:after="120" w:line="360" w:lineRule="auto"/>
        <w:ind w:left="509"/>
        <w:jc w:val="both"/>
        <w:rPr>
          <w:rFonts w:ascii="David" w:hAnsi="David" w:cs="David"/>
          <w:sz w:val="24"/>
          <w:szCs w:val="24"/>
        </w:rPr>
      </w:pPr>
      <w:r>
        <w:rPr>
          <w:rFonts w:ascii="David" w:hAnsi="David" w:cs="David"/>
          <w:sz w:val="24"/>
          <w:szCs w:val="24"/>
          <w:rtl/>
        </w:rPr>
        <w:t>אמנם, לחובתו של הנאשם עומד עברו הפלילי, הכולל שתי הרשעות בעבירות איומים, היזק לרכוש, העלבת עובד ציבור ותגרה. עם זאת אין מדובר בעבר מכביד.</w:t>
      </w:r>
    </w:p>
    <w:p w14:paraId="100708F0" w14:textId="77777777" w:rsidR="006C2E12" w:rsidRDefault="006C2E12" w:rsidP="006C2E12">
      <w:pPr>
        <w:pStyle w:val="aa"/>
        <w:spacing w:before="120" w:after="120" w:line="360" w:lineRule="auto"/>
        <w:ind w:left="509"/>
        <w:jc w:val="both"/>
        <w:rPr>
          <w:rFonts w:ascii="David" w:hAnsi="David" w:cs="David"/>
          <w:sz w:val="24"/>
          <w:szCs w:val="24"/>
          <w:rtl/>
        </w:rPr>
      </w:pPr>
      <w:r>
        <w:rPr>
          <w:rFonts w:ascii="David" w:hAnsi="David" w:cs="David"/>
          <w:sz w:val="24"/>
          <w:szCs w:val="24"/>
          <w:rtl/>
        </w:rPr>
        <w:t>לזכותו של הנאשם עומדת הודאתו במיוחס לו בהזדמנות הראשונה ונטילת אחריות על מעשיו; הנאשם אף העיד נגד אחרים ובכך הוביל להפללתם;</w:t>
      </w:r>
    </w:p>
    <w:p w14:paraId="78EEA910" w14:textId="77777777" w:rsidR="006C2E12" w:rsidRDefault="006C2E12" w:rsidP="006C2E12">
      <w:pPr>
        <w:pStyle w:val="aa"/>
        <w:spacing w:before="120" w:after="120" w:line="360" w:lineRule="auto"/>
        <w:ind w:left="509"/>
        <w:jc w:val="both"/>
        <w:rPr>
          <w:rFonts w:ascii="David" w:hAnsi="David" w:cs="David"/>
          <w:sz w:val="24"/>
          <w:szCs w:val="24"/>
        </w:rPr>
      </w:pPr>
      <w:r>
        <w:rPr>
          <w:rFonts w:ascii="David" w:hAnsi="David" w:cs="David"/>
          <w:sz w:val="24"/>
          <w:szCs w:val="24"/>
          <w:rtl/>
        </w:rPr>
        <w:t>תסקירי שירות המבחן מלמדים על הליך השיקום החיובי שעבר הנאשם במשך תקופה ממושכת המצדיק חריגה מהמתחם.</w:t>
      </w:r>
    </w:p>
    <w:p w14:paraId="76D8CEC2"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בתסקירו מיום 24.10.18 ציין שירות המבחן, כי הנאשם סיים 10 שנות לימוד בלבד בעקבות קשיים התנהגותיים ולימודיים ואבחונו כדיסלקט. הוריו של הנאשם התגרשו בהיותו בן 4, והנאשם תיאר קשרים מורכבים עם אמו. בשל מעורבותו בפלילים גם לא גויס הנאשם לצה"ל. הנאשם החל להתנסות בסמים מסוג חשיש וגראס, תחילה בתדירות נמוכה ובהמשך החל לעשות שימוש יומיומי מאסיבי. הנאשם הביע רצון להשתלב בתעסוקה ובטיפול.</w:t>
      </w:r>
    </w:p>
    <w:p w14:paraId="7680E3BB" w14:textId="77777777" w:rsidR="006C2E12" w:rsidRDefault="006C2E12" w:rsidP="006C2E12">
      <w:pPr>
        <w:pStyle w:val="aa"/>
        <w:spacing w:after="0" w:line="360" w:lineRule="auto"/>
        <w:ind w:left="509"/>
        <w:jc w:val="both"/>
        <w:rPr>
          <w:rFonts w:ascii="David" w:hAnsi="David" w:cs="David"/>
          <w:sz w:val="24"/>
          <w:szCs w:val="24"/>
        </w:rPr>
      </w:pPr>
      <w:r>
        <w:rPr>
          <w:rFonts w:ascii="David" w:hAnsi="David" w:cs="David"/>
          <w:sz w:val="24"/>
          <w:szCs w:val="24"/>
          <w:rtl/>
        </w:rPr>
        <w:t>שירות המבחן התרשם, כי לנאשם שאיפות לניהול אורח חיים נורמטיבי ויצרני וכי ההליך המשפטי מהווה גורם הרתעתי. מכאן, שבאותה העת המליץ שירות המבחן על דחייה לצורך שילובו של הנאשם בטיפול.</w:t>
      </w:r>
    </w:p>
    <w:p w14:paraId="49AD757E" w14:textId="77777777" w:rsidR="006C2E12" w:rsidRDefault="006C2E12" w:rsidP="006C2E12">
      <w:pPr>
        <w:pStyle w:val="aa"/>
        <w:spacing w:after="0" w:line="360" w:lineRule="auto"/>
        <w:ind w:left="509"/>
        <w:jc w:val="both"/>
        <w:rPr>
          <w:rFonts w:ascii="David" w:hAnsi="David" w:cs="David"/>
          <w:sz w:val="24"/>
          <w:szCs w:val="24"/>
          <w:rtl/>
        </w:rPr>
      </w:pPr>
      <w:r>
        <w:rPr>
          <w:rFonts w:ascii="David" w:hAnsi="David" w:cs="David"/>
          <w:sz w:val="24"/>
          <w:szCs w:val="24"/>
          <w:rtl/>
        </w:rPr>
        <w:t>בתסקיר משלים מיום 20.1.19 הוסיף שירות המבחן, כי הנאשם שולב ביחידה להתמכרויות בעיר מגוריו, מסר בדיקות שתן ללא שרידי סם, למעט בדיקה אחת, ונמצא בטיפול פרטני מידי שבוע. הנאשם ממשיך לעבוד בעבודה מאומצת מידי יום ומשלם חובותיו המצטברים. גורמי הטיפול ביחידה להתמכרויות מסרו, כי הנאשם מתמיד בהגעתו, משתף פעולה, חושף מעולמו הפנימי, פתוח לשינוי אורחות חייו ומצוי בתחילתו של תהליך טיפולי משמעותי. מכאן, ששירות המבחן ביקש דחייה נוספת.</w:t>
      </w:r>
    </w:p>
    <w:p w14:paraId="1E8146A8" w14:textId="77777777" w:rsidR="006C2E12" w:rsidRDefault="006C2E12" w:rsidP="006C2E12">
      <w:pPr>
        <w:pStyle w:val="aa"/>
        <w:spacing w:after="0" w:line="360" w:lineRule="auto"/>
        <w:ind w:left="509"/>
        <w:jc w:val="both"/>
        <w:rPr>
          <w:rFonts w:ascii="David" w:hAnsi="David" w:cs="David"/>
          <w:sz w:val="24"/>
          <w:szCs w:val="24"/>
        </w:rPr>
      </w:pPr>
      <w:r>
        <w:rPr>
          <w:rFonts w:ascii="David" w:hAnsi="David" w:cs="David"/>
          <w:sz w:val="24"/>
          <w:szCs w:val="24"/>
          <w:rtl/>
        </w:rPr>
        <w:t>בתסקיר נוסף מיום 18.3.19 מסרו גורמי הטיפול, כי הנאשם ממשיך בטיפול הפרטני מדי שבוע במסגרת היחידה להתמכרויות, מוסר בדיקות שתן שנמצאו ללא שרידי סם, משתף בעולמו הפנימי, מבין את חומרת ביצוע העבירה, ועורך שינוי משמעותי בחייו. בנוסף, השתלב הנאשם בקבוצת מכורים אנונימיים בעיר מגוריו, ממשיך לשמור על יציבות תעסוקתית ומצוי בזוגיות מטיבה וממתנת. מכאן, המליץ שירות המבחן להטיל על הנאשם צו שירות לתועלת הציבור בהיקף 60 שעות, צו מבחן למשך שנה ומאסר על תנאי.</w:t>
      </w:r>
    </w:p>
    <w:p w14:paraId="60805360"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בטרם מתן גזר דין זה, ולאור הזמן הממושך שחלף מאז התסקיר האחרון שהוגש לפני גזר הדין הראשון, שלחתי את הנאשם לתסקיר נוסף. </w:t>
      </w:r>
    </w:p>
    <w:p w14:paraId="360B7A7E" w14:textId="77777777" w:rsidR="006C2E12" w:rsidRDefault="006C2E12" w:rsidP="006C2E12">
      <w:pPr>
        <w:pStyle w:val="aa"/>
        <w:spacing w:before="120" w:after="120" w:line="360" w:lineRule="auto"/>
        <w:ind w:left="509"/>
        <w:jc w:val="both"/>
        <w:rPr>
          <w:rFonts w:ascii="David" w:hAnsi="David" w:cs="David"/>
          <w:sz w:val="24"/>
          <w:szCs w:val="24"/>
        </w:rPr>
      </w:pPr>
      <w:r>
        <w:rPr>
          <w:rFonts w:ascii="David" w:hAnsi="David" w:cs="David"/>
          <w:sz w:val="24"/>
          <w:szCs w:val="24"/>
          <w:rtl/>
        </w:rPr>
        <w:t>בתסקיר מיום 18.3.20 הוסיף שירות המבחן, כי הנאשם עובד בתחום השיפוץ ומרוצה מעבודתו. הנאשם משולב במשך למעלה משנה בטיפול ביחידה להתמכרויות, מגיע מידי שבוע לשיחה פרטנית ומוסר בדיקת שתן שנמצאו ללא שרידי סם. כן משתתף הנאשם אחת לשבוע בקבוצת מכורים אנונימיים. הנאשם התקדם באופן משמעותי בחייו ומביע שאיפה לניהול אורח חיים נורמטיבי. כן נמצא הנאשם בזוגיות יציבה אשר תורמת לניהול אורח חיים נורמטיבי. גורמי הטיפול ביחידה להתמכרויות מסרו, כי הנאשם מגיע אחת לשבוע למפגש פרטני ומוסר בדיקות שתן שנמצאו ללא שרידי סם. להתרשמותם הנאשם עבר הליך משמעותי, מבין את הנזק הרב בשימוש בסמים ומצוי בהליך התפתחות אישי, תעסוקתי, כלכלי וזוגי. מכאן, ששירות המבחן חזר על המלצתו להטיל על הנאשם צו מבחן למשך חצי שנה וצו שירות לתועלת הציבור בהיקף של 100 שעות.</w:t>
      </w:r>
    </w:p>
    <w:p w14:paraId="71670DD6"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בשל מגפת הקורונה ודחיית הדיונים הוגש תסקיר נוסף ואחרון ביום 27.4.20. שירות המבחן הוסיף, כי הנאשם עובד כחצי שנה בעבודות שיפוצים, מרוצה מעבודתו וחש נתרם ממנה. הנאשם המשיך להתייצב ביחידה להתמכרויות ונוטל חלק בשיחות פרטניות ומפגשים קבוצתיים. בכל בדיקות השתן שנערכו לו לא נמצאו שרידי סם. עוד ציין שירות המבחן, כי הנאשם הוציא רישיון נהיגה ובוחן אפשרות להירשם ללימודי מקצוע בתחום המזגנים.</w:t>
      </w:r>
    </w:p>
    <w:p w14:paraId="198AB152" w14:textId="77777777" w:rsidR="006C2E12" w:rsidRDefault="006C2E12" w:rsidP="006C2E12">
      <w:pPr>
        <w:pStyle w:val="aa"/>
        <w:spacing w:before="120" w:after="120" w:line="360" w:lineRule="auto"/>
        <w:ind w:left="509"/>
        <w:jc w:val="both"/>
        <w:rPr>
          <w:rFonts w:ascii="David" w:hAnsi="David" w:cs="David"/>
          <w:sz w:val="24"/>
          <w:szCs w:val="24"/>
        </w:rPr>
      </w:pPr>
      <w:r>
        <w:rPr>
          <w:rFonts w:ascii="David" w:hAnsi="David" w:cs="David"/>
          <w:sz w:val="24"/>
          <w:szCs w:val="24"/>
          <w:rtl/>
        </w:rPr>
        <w:t>להתרשמות גורמי הטיפול, הנאשם עבר שינוי משמעותי ביחס לשימוש בסמים, מבין את הנזק הנגרם כתוצאה משימוש בסמים ונמצא בהליך התפתחות חיובי במישור האישי, התעסוקתי, הכלכלי והזוגי. מכאן חזר שירות המבחן על המלצתו מיום 18.3.20.</w:t>
      </w:r>
    </w:p>
    <w:p w14:paraId="78C163E3"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הנה כי כן, תסקירי שירות המבחן הרבים מלמדים על הליך שיקומי ממושך בו נוטל הנאשם חלק בהצלחה מרובה במשך למעלה משנה. לא זו בלבד שהנאשם משתף פעולה באופן מיטבי עם ההליך הטיפולי והפסיק לחלוטין את השימוש בסמים, אלא שהוא גם עובד למחייתו, משלם חובותיו ונמצא בזוגיות מטיבה המעודדת אותו לנהל אורח חיים נורמטיבי.</w:t>
      </w:r>
    </w:p>
    <w:p w14:paraId="2E21F826"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הטלת מאסר, ולו בדרך של עבודות שירות, עלולה לגדוע את ההליך הטיפולי ובכך לפגוע לא רק באינטרס השיקומי של הנאשם אלא גם באינטרס הציבורי שבמניעת עבריינות והפיכת הנאשם לאזרח יצרני. לפיכך, מצאתי מקום לאמץ את המלצת שירות המבחן, לחרוג מהמתחם ולהטיל על הנאשם מאסר על תנאי, צו שירות לתועלת הציבור וצו מבחן. על מנת לאזן בין רכיבי הענישה לצד המאסר על תנאי וענישה שיקומי</w:t>
      </w:r>
      <w:r>
        <w:rPr>
          <w:rFonts w:ascii="David" w:hAnsi="David" w:cs="David" w:hint="cs"/>
          <w:sz w:val="24"/>
          <w:szCs w:val="24"/>
          <w:rtl/>
        </w:rPr>
        <w:t>ת</w:t>
      </w:r>
      <w:r>
        <w:rPr>
          <w:rFonts w:ascii="David" w:hAnsi="David" w:cs="David"/>
          <w:sz w:val="24"/>
          <w:szCs w:val="24"/>
          <w:rtl/>
        </w:rPr>
        <w:t xml:space="preserve"> יוטלו גם רכיבים כלכליים ופסילת רישיון על תנאי.</w:t>
      </w:r>
    </w:p>
    <w:p w14:paraId="683986DE" w14:textId="77777777" w:rsidR="006C2E12" w:rsidRDefault="006C2E12" w:rsidP="006C2E12">
      <w:pPr>
        <w:pStyle w:val="aa"/>
        <w:spacing w:before="120" w:after="120" w:line="360" w:lineRule="auto"/>
        <w:ind w:left="509"/>
        <w:jc w:val="both"/>
        <w:rPr>
          <w:rFonts w:ascii="David" w:hAnsi="David" w:cs="David"/>
          <w:sz w:val="24"/>
          <w:szCs w:val="24"/>
        </w:rPr>
      </w:pPr>
    </w:p>
    <w:p w14:paraId="01F7F447" w14:textId="77777777" w:rsidR="006C2E12" w:rsidRDefault="006C2E12" w:rsidP="006C2E12">
      <w:pPr>
        <w:spacing w:before="120" w:after="120" w:line="360" w:lineRule="auto"/>
        <w:jc w:val="both"/>
        <w:rPr>
          <w:rFonts w:ascii="David" w:hAnsi="David"/>
          <w:b/>
          <w:bCs/>
          <w:u w:val="single"/>
        </w:rPr>
      </w:pPr>
      <w:r>
        <w:rPr>
          <w:rFonts w:ascii="David" w:hAnsi="David"/>
          <w:b/>
          <w:bCs/>
          <w:u w:val="single"/>
          <w:rtl/>
        </w:rPr>
        <w:t xml:space="preserve">סוף דבר </w:t>
      </w:r>
    </w:p>
    <w:p w14:paraId="2063046A" w14:textId="77777777" w:rsidR="006C2E12" w:rsidRDefault="006C2E12" w:rsidP="006C2E12">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לפיכך, </w:t>
      </w:r>
      <w:r>
        <w:rPr>
          <w:rFonts w:ascii="David" w:hAnsi="David" w:cs="David"/>
          <w:b/>
          <w:bCs/>
          <w:sz w:val="24"/>
          <w:szCs w:val="24"/>
          <w:rtl/>
        </w:rPr>
        <w:t>אני גוזרת על הנאשם את העונשים הבאים</w:t>
      </w:r>
      <w:r>
        <w:rPr>
          <w:rFonts w:ascii="David" w:hAnsi="David" w:cs="David"/>
          <w:sz w:val="24"/>
          <w:szCs w:val="24"/>
          <w:rtl/>
        </w:rPr>
        <w:t>:</w:t>
      </w:r>
    </w:p>
    <w:p w14:paraId="11AD07F7" w14:textId="77777777" w:rsidR="006C2E12" w:rsidRDefault="006C2E12" w:rsidP="006C2E12">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מאסר על תנאי לתקופה של 3 חודשים, והתנאי הוא שבמשך 3 שנים מהיום לא יעבור כל עבירה מסוג בה הורשע בתיק זה;</w:t>
      </w:r>
    </w:p>
    <w:p w14:paraId="361754B7" w14:textId="77777777" w:rsidR="006C2E12" w:rsidRDefault="006C2E12" w:rsidP="006C2E12">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צו מבחן למשך חצי שנה.</w:t>
      </w:r>
    </w:p>
    <w:p w14:paraId="3819BCFC" w14:textId="77777777" w:rsidR="006C2E12" w:rsidRDefault="006C2E12" w:rsidP="006C2E12">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צו שירות לתועלת הציבור בהיקף של 100 שעות, הצו יבוצע בהתאם לתסקיר שירות מבחן מיום 27.4.20.</w:t>
      </w:r>
    </w:p>
    <w:p w14:paraId="4E73D47B" w14:textId="77777777" w:rsidR="006C2E12" w:rsidRDefault="006C2E12" w:rsidP="006C2E12">
      <w:pPr>
        <w:pStyle w:val="aa"/>
        <w:spacing w:before="120" w:after="120" w:line="360" w:lineRule="auto"/>
        <w:ind w:left="869"/>
        <w:jc w:val="both"/>
        <w:rPr>
          <w:rFonts w:ascii="David" w:hAnsi="David" w:cs="David"/>
          <w:sz w:val="24"/>
          <w:szCs w:val="24"/>
        </w:rPr>
      </w:pPr>
      <w:r>
        <w:rPr>
          <w:rFonts w:ascii="David" w:hAnsi="David" w:cs="David"/>
          <w:sz w:val="24"/>
          <w:szCs w:val="24"/>
          <w:rtl/>
        </w:rPr>
        <w:t>רשמתי לפני נכונות הנאשם לבצע את צו המבחן וצו השירות לתועלת הציבור. מובהר בזאת, כי כל חריגה מהוראות שירות המבחן עלולה להוביל לביטול גזר דינו וגזירת דינו מחדש;</w:t>
      </w:r>
    </w:p>
    <w:p w14:paraId="4CAB50B8" w14:textId="77777777" w:rsidR="006C2E12" w:rsidRDefault="006C2E12" w:rsidP="006C2E12">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קנס בסכום של 1,000 ₪ או 10 ימי מאסר תמורתו, הנאשם ישלם את הקנס ב-4 תשלומים שווים ורצופים, הראשון לא יאוחר מיום 1.6.20 והיתרה עד ה-1 לכל חודש קלנדרי שלאחר מכן;</w:t>
      </w:r>
    </w:p>
    <w:p w14:paraId="63447B1C" w14:textId="77777777" w:rsidR="006C2E12" w:rsidRDefault="006C2E12" w:rsidP="006C2E12">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5533B9F6" w14:textId="77777777" w:rsidR="006C2E12" w:rsidRDefault="006C2E12" w:rsidP="006C2E12">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הסכום שנתפס – יחולט לטובת אוצר המדינה.</w:t>
      </w:r>
    </w:p>
    <w:p w14:paraId="3C71F593" w14:textId="77777777" w:rsidR="006C2E12" w:rsidRDefault="006C2E12" w:rsidP="006C2E12">
      <w:pPr>
        <w:spacing w:before="120" w:after="120" w:line="360" w:lineRule="auto"/>
        <w:jc w:val="both"/>
        <w:rPr>
          <w:rFonts w:ascii="David" w:hAnsi="David"/>
          <w:b/>
          <w:bCs/>
        </w:rPr>
      </w:pPr>
    </w:p>
    <w:p w14:paraId="7AE6CEC2" w14:textId="77777777" w:rsidR="006C2E12" w:rsidRDefault="006C2E12" w:rsidP="006C2E12">
      <w:pPr>
        <w:spacing w:before="120" w:after="120" w:line="360" w:lineRule="auto"/>
        <w:jc w:val="both"/>
        <w:rPr>
          <w:rFonts w:ascii="David" w:hAnsi="David"/>
          <w:b/>
          <w:bCs/>
          <w:rtl/>
        </w:rPr>
      </w:pPr>
      <w:r>
        <w:rPr>
          <w:rFonts w:ascii="David" w:hAnsi="David"/>
          <w:b/>
          <w:bCs/>
          <w:rtl/>
        </w:rPr>
        <w:t>ניתן צו להשמדת הסמים.</w:t>
      </w:r>
    </w:p>
    <w:p w14:paraId="0396D7D3" w14:textId="77777777" w:rsidR="006C2E12" w:rsidRDefault="006C2E12" w:rsidP="006C2E12">
      <w:pPr>
        <w:spacing w:before="120" w:after="120"/>
        <w:ind w:left="509" w:hanging="567"/>
        <w:contextualSpacing/>
        <w:jc w:val="both"/>
        <w:rPr>
          <w:rFonts w:ascii="David" w:hAnsi="David"/>
          <w:b/>
          <w:bCs/>
          <w:rtl/>
        </w:rPr>
      </w:pPr>
      <w:r>
        <w:rPr>
          <w:rFonts w:ascii="David" w:hAnsi="David"/>
          <w:b/>
          <w:bCs/>
          <w:rtl/>
        </w:rPr>
        <w:t>עותק גזר הדין יועבר לשירות המבחן.</w:t>
      </w:r>
    </w:p>
    <w:p w14:paraId="4CE26A21" w14:textId="77777777" w:rsidR="006C2E12" w:rsidRDefault="006C2E12" w:rsidP="006C2E12">
      <w:pPr>
        <w:spacing w:before="120" w:after="120"/>
        <w:ind w:left="509" w:hanging="567"/>
        <w:contextualSpacing/>
        <w:jc w:val="both"/>
        <w:rPr>
          <w:rFonts w:ascii="David" w:hAnsi="David"/>
          <w:b/>
          <w:bCs/>
          <w:rtl/>
        </w:rPr>
      </w:pPr>
    </w:p>
    <w:p w14:paraId="250E61D6" w14:textId="77777777" w:rsidR="006C2E12" w:rsidRDefault="006C2E12" w:rsidP="006C2E12">
      <w:pPr>
        <w:spacing w:before="120" w:after="120"/>
        <w:ind w:left="-58"/>
        <w:jc w:val="both"/>
        <w:rPr>
          <w:rFonts w:ascii="David" w:hAnsi="David"/>
          <w:b/>
          <w:bCs/>
          <w:rtl/>
        </w:rPr>
      </w:pPr>
      <w:r>
        <w:rPr>
          <w:rFonts w:ascii="David" w:hAnsi="David"/>
          <w:b/>
          <w:bCs/>
          <w:rtl/>
        </w:rPr>
        <w:t>זכות ערעור כחוק תוך 45 ימים.</w:t>
      </w:r>
    </w:p>
    <w:p w14:paraId="33CC0D29" w14:textId="77777777" w:rsidR="006C2E12" w:rsidRDefault="006C2E12" w:rsidP="006C2E12">
      <w:pPr>
        <w:pStyle w:val="aa"/>
        <w:spacing w:after="0" w:line="360" w:lineRule="auto"/>
        <w:ind w:left="509"/>
        <w:jc w:val="both"/>
        <w:rPr>
          <w:rFonts w:ascii="David" w:hAnsi="David" w:cs="David"/>
          <w:sz w:val="24"/>
          <w:szCs w:val="24"/>
          <w:rtl/>
        </w:rPr>
      </w:pPr>
    </w:p>
    <w:p w14:paraId="36219D23" w14:textId="77777777" w:rsidR="006C2E12" w:rsidRPr="00B05847" w:rsidRDefault="006C2E12" w:rsidP="006C2E12">
      <w:pPr>
        <w:rPr>
          <w:rtl/>
        </w:rPr>
      </w:pPr>
    </w:p>
    <w:p w14:paraId="429606E1" w14:textId="77777777" w:rsidR="006C2E12" w:rsidRPr="00B05847" w:rsidRDefault="006C2E12" w:rsidP="006C2E12">
      <w:pPr>
        <w:rPr>
          <w:rtl/>
        </w:rPr>
      </w:pPr>
    </w:p>
    <w:p w14:paraId="1092C44D" w14:textId="77777777" w:rsidR="006C2E12" w:rsidRPr="00B05847" w:rsidRDefault="006C2E12" w:rsidP="006C2E12">
      <w:pPr>
        <w:rPr>
          <w:rtl/>
        </w:rPr>
      </w:pPr>
    </w:p>
    <w:p w14:paraId="69817A4A" w14:textId="77777777" w:rsidR="006C2E12" w:rsidRPr="00B05847" w:rsidRDefault="006C2E12" w:rsidP="006C2E12">
      <w:pPr>
        <w:rPr>
          <w:rtl/>
        </w:rPr>
      </w:pPr>
    </w:p>
    <w:p w14:paraId="273D4B31" w14:textId="77777777" w:rsidR="006C2E12" w:rsidRPr="00B05847" w:rsidRDefault="006C2E12" w:rsidP="006C2E12">
      <w:pPr>
        <w:rPr>
          <w:rtl/>
        </w:rPr>
      </w:pPr>
    </w:p>
    <w:p w14:paraId="757A5643" w14:textId="77777777" w:rsidR="006C2E12" w:rsidRPr="00B05847" w:rsidRDefault="006C2E12" w:rsidP="006C2E12">
      <w:pPr>
        <w:rPr>
          <w:rtl/>
        </w:rPr>
      </w:pPr>
    </w:p>
    <w:p w14:paraId="714C42C5" w14:textId="77777777" w:rsidR="006C2E12" w:rsidRPr="001F5180" w:rsidRDefault="001F5180" w:rsidP="006C2E12">
      <w:pPr>
        <w:rPr>
          <w:color w:val="FFFFFF"/>
          <w:sz w:val="2"/>
          <w:szCs w:val="2"/>
          <w:rtl/>
        </w:rPr>
      </w:pPr>
      <w:r w:rsidRPr="001F5180">
        <w:rPr>
          <w:color w:val="FFFFFF"/>
          <w:sz w:val="2"/>
          <w:szCs w:val="2"/>
          <w:rtl/>
        </w:rPr>
        <w:t>5129371</w:t>
      </w:r>
    </w:p>
    <w:p w14:paraId="15AA7847" w14:textId="77777777" w:rsidR="006C2E12" w:rsidRDefault="001F5180" w:rsidP="006C2E12">
      <w:pPr>
        <w:rPr>
          <w:rFonts w:cs="FrankRuehl"/>
          <w:sz w:val="28"/>
          <w:szCs w:val="28"/>
          <w:rtl/>
        </w:rPr>
      </w:pPr>
      <w:bookmarkStart w:id="7" w:name="Nitan"/>
      <w:r w:rsidRPr="001F5180">
        <w:rPr>
          <w:rFonts w:ascii="Arial" w:hAnsi="Arial"/>
          <w:color w:val="FFFFFF"/>
          <w:sz w:val="2"/>
          <w:szCs w:val="2"/>
          <w:rtl/>
        </w:rPr>
        <w:t>54678313</w:t>
      </w:r>
      <w:r>
        <w:rPr>
          <w:rFonts w:ascii="Arial" w:hAnsi="Arial"/>
          <w:rtl/>
        </w:rPr>
        <w:t xml:space="preserve">ניתן היום,  י' אייר תש"פ, 04 מאי 2020, בהעדר הצדדים. </w:t>
      </w:r>
      <w:bookmarkEnd w:id="7"/>
    </w:p>
    <w:p w14:paraId="47D5073F" w14:textId="77777777" w:rsidR="006C2E12" w:rsidRDefault="006C2E12" w:rsidP="001F518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83D25A" w14:textId="77777777" w:rsidR="006C2E12" w:rsidRDefault="006C2E12" w:rsidP="006C2E12">
      <w:pPr>
        <w:jc w:val="center"/>
        <w:rPr>
          <w:rFonts w:ascii="Arial" w:hAnsi="Arial" w:cs="FrankRuehl"/>
          <w:sz w:val="28"/>
          <w:szCs w:val="28"/>
          <w:rtl/>
        </w:rPr>
      </w:pPr>
    </w:p>
    <w:p w14:paraId="2629B810" w14:textId="77777777" w:rsidR="006C2E12" w:rsidRDefault="006C2E12" w:rsidP="006C2E12">
      <w:pPr>
        <w:rPr>
          <w:rFonts w:cs="FrankRuehl"/>
          <w:sz w:val="28"/>
          <w:szCs w:val="28"/>
          <w:rtl/>
        </w:rPr>
      </w:pPr>
    </w:p>
    <w:p w14:paraId="298710D6" w14:textId="77777777" w:rsidR="006C2E12" w:rsidRPr="0018593B" w:rsidRDefault="0018593B" w:rsidP="006C2E12">
      <w:pPr>
        <w:pStyle w:val="a3"/>
        <w:jc w:val="center"/>
        <w:rPr>
          <w:color w:val="FFFFFF"/>
          <w:sz w:val="2"/>
          <w:szCs w:val="2"/>
          <w:rtl/>
        </w:rPr>
      </w:pPr>
      <w:r w:rsidRPr="0018593B">
        <w:rPr>
          <w:color w:val="FFFFFF"/>
          <w:sz w:val="2"/>
          <w:szCs w:val="2"/>
          <w:rtl/>
        </w:rPr>
        <w:t>5129371</w:t>
      </w:r>
    </w:p>
    <w:p w14:paraId="3D9D9F1C" w14:textId="77777777" w:rsidR="000570D1" w:rsidRPr="0018593B" w:rsidRDefault="0018593B" w:rsidP="001F5180">
      <w:pPr>
        <w:keepNext/>
        <w:rPr>
          <w:rFonts w:ascii="David" w:hAnsi="David"/>
          <w:color w:val="FFFFFF"/>
          <w:sz w:val="2"/>
          <w:szCs w:val="2"/>
          <w:rtl/>
        </w:rPr>
      </w:pPr>
      <w:r w:rsidRPr="0018593B">
        <w:rPr>
          <w:rFonts w:ascii="David" w:hAnsi="David"/>
          <w:color w:val="FFFFFF"/>
          <w:sz w:val="2"/>
          <w:szCs w:val="2"/>
          <w:rtl/>
        </w:rPr>
        <w:t>54678313</w:t>
      </w:r>
    </w:p>
    <w:p w14:paraId="62EDC5F1" w14:textId="77777777" w:rsidR="001F5180" w:rsidRDefault="001F5180" w:rsidP="001F5180">
      <w:pPr>
        <w:rPr>
          <w:rtl/>
        </w:rPr>
      </w:pPr>
    </w:p>
    <w:p w14:paraId="56CFA769" w14:textId="77777777" w:rsidR="001F5180" w:rsidRDefault="001F5180" w:rsidP="001F518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7564075" w14:textId="77777777" w:rsidR="0018593B" w:rsidRPr="0018593B" w:rsidRDefault="0018593B" w:rsidP="0018593B">
      <w:pPr>
        <w:keepNext/>
        <w:rPr>
          <w:rFonts w:ascii="David" w:hAnsi="David"/>
          <w:color w:val="000000"/>
          <w:sz w:val="22"/>
          <w:szCs w:val="22"/>
          <w:rtl/>
        </w:rPr>
      </w:pPr>
    </w:p>
    <w:p w14:paraId="42F3B620" w14:textId="77777777" w:rsidR="0018593B" w:rsidRPr="0018593B" w:rsidRDefault="0018593B" w:rsidP="0018593B">
      <w:pPr>
        <w:keepNext/>
        <w:rPr>
          <w:rFonts w:ascii="David" w:hAnsi="David"/>
          <w:color w:val="000000"/>
          <w:sz w:val="22"/>
          <w:szCs w:val="22"/>
          <w:rtl/>
        </w:rPr>
      </w:pPr>
      <w:r w:rsidRPr="0018593B">
        <w:rPr>
          <w:rFonts w:ascii="David" w:hAnsi="David"/>
          <w:color w:val="000000"/>
          <w:sz w:val="22"/>
          <w:szCs w:val="22"/>
          <w:rtl/>
        </w:rPr>
        <w:t>אפרת פינק 54678313-/</w:t>
      </w:r>
    </w:p>
    <w:p w14:paraId="1A9EB993" w14:textId="77777777" w:rsidR="001F5180" w:rsidRPr="001F5180" w:rsidRDefault="0018593B" w:rsidP="0018593B">
      <w:pPr>
        <w:rPr>
          <w:color w:val="0000FF"/>
          <w:u w:val="single"/>
        </w:rPr>
      </w:pPr>
      <w:r w:rsidRPr="0018593B">
        <w:rPr>
          <w:color w:val="000000"/>
          <w:u w:val="single"/>
          <w:rtl/>
        </w:rPr>
        <w:t>נוסח מסמך זה כפוף לשינויי ניסוח ועריכה</w:t>
      </w:r>
    </w:p>
    <w:sectPr w:rsidR="001F5180" w:rsidRPr="001F5180" w:rsidSect="0018593B">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4BA7B" w14:textId="77777777" w:rsidR="0002657B" w:rsidRDefault="0002657B" w:rsidP="00404CA6">
      <w:r>
        <w:separator/>
      </w:r>
    </w:p>
  </w:endnote>
  <w:endnote w:type="continuationSeparator" w:id="0">
    <w:p w14:paraId="6E489CF3" w14:textId="77777777" w:rsidR="0002657B" w:rsidRDefault="0002657B" w:rsidP="0040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54A1A" w14:textId="77777777" w:rsidR="0018593B" w:rsidRDefault="0018593B" w:rsidP="001859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389718" w14:textId="77777777" w:rsidR="00B577D1" w:rsidRPr="0018593B" w:rsidRDefault="0018593B" w:rsidP="0018593B">
    <w:pPr>
      <w:pStyle w:val="a5"/>
      <w:pBdr>
        <w:top w:val="single" w:sz="4" w:space="1" w:color="auto"/>
        <w:between w:val="single" w:sz="4" w:space="0" w:color="auto"/>
      </w:pBdr>
      <w:spacing w:after="60"/>
      <w:jc w:val="center"/>
      <w:rPr>
        <w:rFonts w:ascii="FrankRuehl" w:hAnsi="FrankRuehl" w:cs="FrankRuehl"/>
        <w:color w:val="000000"/>
      </w:rPr>
    </w:pPr>
    <w:r w:rsidRPr="001859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D310" w14:textId="77777777" w:rsidR="0018593B" w:rsidRDefault="0018593B" w:rsidP="0018593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392B">
      <w:rPr>
        <w:rFonts w:ascii="FrankRuehl" w:hAnsi="FrankRuehl" w:cs="FrankRuehl"/>
        <w:noProof/>
        <w:rtl/>
      </w:rPr>
      <w:t>1</w:t>
    </w:r>
    <w:r>
      <w:rPr>
        <w:rFonts w:ascii="FrankRuehl" w:hAnsi="FrankRuehl" w:cs="FrankRuehl"/>
        <w:rtl/>
      </w:rPr>
      <w:fldChar w:fldCharType="end"/>
    </w:r>
  </w:p>
  <w:p w14:paraId="0AE9CE74" w14:textId="77777777" w:rsidR="00B577D1" w:rsidRPr="0018593B" w:rsidRDefault="0018593B" w:rsidP="0018593B">
    <w:pPr>
      <w:pStyle w:val="a5"/>
      <w:pBdr>
        <w:top w:val="single" w:sz="4" w:space="1" w:color="auto"/>
        <w:between w:val="single" w:sz="4" w:space="0" w:color="auto"/>
      </w:pBdr>
      <w:spacing w:after="60"/>
      <w:jc w:val="center"/>
      <w:rPr>
        <w:rFonts w:ascii="FrankRuehl" w:hAnsi="FrankRuehl" w:cs="FrankRuehl"/>
        <w:color w:val="000000"/>
      </w:rPr>
    </w:pPr>
    <w:r w:rsidRPr="0018593B">
      <w:rPr>
        <w:rFonts w:ascii="FrankRuehl" w:hAnsi="FrankRuehl" w:cs="FrankRuehl"/>
        <w:color w:val="000000"/>
      </w:rPr>
      <w:pict w14:anchorId="0F4D0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546BE" w14:textId="77777777" w:rsidR="0002657B" w:rsidRDefault="0002657B" w:rsidP="00404CA6">
      <w:r>
        <w:separator/>
      </w:r>
    </w:p>
  </w:footnote>
  <w:footnote w:type="continuationSeparator" w:id="0">
    <w:p w14:paraId="2407B725" w14:textId="77777777" w:rsidR="0002657B" w:rsidRDefault="0002657B" w:rsidP="0040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86FB" w14:textId="77777777" w:rsidR="001F5180" w:rsidRPr="0018593B" w:rsidRDefault="0018593B" w:rsidP="001859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899-04-18</w:t>
    </w:r>
    <w:r>
      <w:rPr>
        <w:rFonts w:ascii="David" w:hAnsi="David"/>
        <w:color w:val="000000"/>
        <w:sz w:val="22"/>
        <w:szCs w:val="22"/>
        <w:rtl/>
      </w:rPr>
      <w:tab/>
      <w:t xml:space="preserve"> מדינת ישראל נ' אדגר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26831" w14:textId="77777777" w:rsidR="001F5180" w:rsidRPr="0018593B" w:rsidRDefault="0018593B" w:rsidP="001859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899-04-18</w:t>
    </w:r>
    <w:r>
      <w:rPr>
        <w:rFonts w:ascii="David" w:hAnsi="David"/>
        <w:color w:val="000000"/>
        <w:sz w:val="22"/>
        <w:szCs w:val="22"/>
        <w:rtl/>
      </w:rPr>
      <w:tab/>
      <w:t xml:space="preserve"> מדינת ישראל נ' אדגר יפרח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335958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5366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2E12"/>
    <w:rsid w:val="0002657B"/>
    <w:rsid w:val="000570D1"/>
    <w:rsid w:val="0018593B"/>
    <w:rsid w:val="001F5180"/>
    <w:rsid w:val="00404CA6"/>
    <w:rsid w:val="006C2E12"/>
    <w:rsid w:val="0092392B"/>
    <w:rsid w:val="009A4BF0"/>
    <w:rsid w:val="00B577D1"/>
    <w:rsid w:val="00C501AB"/>
    <w:rsid w:val="00CB2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C4B6D5"/>
  <w15:chartTrackingRefBased/>
  <w15:docId w15:val="{17F18D26-A589-4B06-8A2E-2703F57E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2E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2E12"/>
    <w:pPr>
      <w:tabs>
        <w:tab w:val="center" w:pos="4153"/>
        <w:tab w:val="right" w:pos="8306"/>
      </w:tabs>
    </w:pPr>
  </w:style>
  <w:style w:type="character" w:customStyle="1" w:styleId="a4">
    <w:name w:val="כותרת עליונה תו"/>
    <w:link w:val="a3"/>
    <w:rsid w:val="006C2E12"/>
    <w:rPr>
      <w:rFonts w:ascii="Times New Roman" w:eastAsia="Times New Roman" w:hAnsi="Times New Roman" w:cs="David"/>
      <w:sz w:val="24"/>
      <w:szCs w:val="24"/>
    </w:rPr>
  </w:style>
  <w:style w:type="paragraph" w:styleId="a5">
    <w:name w:val="footer"/>
    <w:basedOn w:val="a"/>
    <w:link w:val="a6"/>
    <w:rsid w:val="006C2E12"/>
    <w:pPr>
      <w:tabs>
        <w:tab w:val="center" w:pos="4153"/>
        <w:tab w:val="right" w:pos="8306"/>
      </w:tabs>
    </w:pPr>
  </w:style>
  <w:style w:type="character" w:customStyle="1" w:styleId="a6">
    <w:name w:val="כותרת תחתונה תו"/>
    <w:link w:val="a5"/>
    <w:rsid w:val="006C2E12"/>
    <w:rPr>
      <w:rFonts w:ascii="Times New Roman" w:eastAsia="Times New Roman" w:hAnsi="Times New Roman" w:cs="David"/>
      <w:sz w:val="24"/>
      <w:szCs w:val="24"/>
    </w:rPr>
  </w:style>
  <w:style w:type="table" w:styleId="a7">
    <w:name w:val="Table Grid"/>
    <w:basedOn w:val="a1"/>
    <w:rsid w:val="006C2E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2E12"/>
  </w:style>
  <w:style w:type="character" w:customStyle="1" w:styleId="a9">
    <w:name w:val="פיסקת רשימה תו"/>
    <w:link w:val="aa"/>
    <w:locked/>
    <w:rsid w:val="006C2E12"/>
  </w:style>
  <w:style w:type="paragraph" w:styleId="aa">
    <w:name w:val="List Paragraph"/>
    <w:basedOn w:val="a"/>
    <w:link w:val="a9"/>
    <w:qFormat/>
    <w:rsid w:val="006C2E12"/>
    <w:pPr>
      <w:spacing w:after="160" w:line="256" w:lineRule="auto"/>
      <w:ind w:left="720"/>
      <w:contextualSpacing/>
    </w:pPr>
    <w:rPr>
      <w:rFonts w:ascii="Calibri" w:eastAsia="Calibri" w:hAnsi="Calibri" w:cs="Arial"/>
      <w:sz w:val="22"/>
      <w:szCs w:val="22"/>
    </w:rPr>
  </w:style>
  <w:style w:type="character" w:styleId="Hyperlink">
    <w:name w:val="Hyperlink"/>
    <w:rsid w:val="001F51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5826626" TargetMode="External"/><Relationship Id="rId18" Type="http://schemas.openxmlformats.org/officeDocument/2006/relationships/hyperlink" Target="http://www.nevo.co.il/case/2420682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53515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169989" TargetMode="External"/><Relationship Id="rId20" Type="http://schemas.openxmlformats.org/officeDocument/2006/relationships/hyperlink" Target="http://www.nevo.co.il/case/231271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286593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9784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3604596</vt:i4>
      </vt:variant>
      <vt:variant>
        <vt:i4>39</vt:i4>
      </vt:variant>
      <vt:variant>
        <vt:i4>0</vt:i4>
      </vt:variant>
      <vt:variant>
        <vt:i4>5</vt:i4>
      </vt:variant>
      <vt:variant>
        <vt:lpwstr>http://www.nevo.co.il/case/23127132</vt:lpwstr>
      </vt:variant>
      <vt:variant>
        <vt:lpwstr/>
      </vt:variant>
      <vt:variant>
        <vt:i4>3932281</vt:i4>
      </vt:variant>
      <vt:variant>
        <vt:i4>36</vt:i4>
      </vt:variant>
      <vt:variant>
        <vt:i4>0</vt:i4>
      </vt:variant>
      <vt:variant>
        <vt:i4>5</vt:i4>
      </vt:variant>
      <vt:variant>
        <vt:lpwstr>http://www.nevo.co.il/case/22865930</vt:lpwstr>
      </vt:variant>
      <vt:variant>
        <vt:lpwstr/>
      </vt:variant>
      <vt:variant>
        <vt:i4>3407992</vt:i4>
      </vt:variant>
      <vt:variant>
        <vt:i4>33</vt:i4>
      </vt:variant>
      <vt:variant>
        <vt:i4>0</vt:i4>
      </vt:variant>
      <vt:variant>
        <vt:i4>5</vt:i4>
      </vt:variant>
      <vt:variant>
        <vt:lpwstr>http://www.nevo.co.il/case/24206827</vt:lpwstr>
      </vt:variant>
      <vt:variant>
        <vt:lpwstr/>
      </vt:variant>
      <vt:variant>
        <vt:i4>3604596</vt:i4>
      </vt:variant>
      <vt:variant>
        <vt:i4>30</vt:i4>
      </vt:variant>
      <vt:variant>
        <vt:i4>0</vt:i4>
      </vt:variant>
      <vt:variant>
        <vt:i4>5</vt:i4>
      </vt:variant>
      <vt:variant>
        <vt:lpwstr>http://www.nevo.co.il/case/22535152</vt:lpwstr>
      </vt:variant>
      <vt:variant>
        <vt:lpwstr/>
      </vt:variant>
      <vt:variant>
        <vt:i4>3145844</vt:i4>
      </vt:variant>
      <vt:variant>
        <vt:i4>27</vt:i4>
      </vt:variant>
      <vt:variant>
        <vt:i4>0</vt:i4>
      </vt:variant>
      <vt:variant>
        <vt:i4>5</vt:i4>
      </vt:variant>
      <vt:variant>
        <vt:lpwstr>http://www.nevo.co.il/case/6169989</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4063349</vt:i4>
      </vt:variant>
      <vt:variant>
        <vt:i4>18</vt:i4>
      </vt:variant>
      <vt:variant>
        <vt:i4>0</vt:i4>
      </vt:variant>
      <vt:variant>
        <vt:i4>5</vt:i4>
      </vt:variant>
      <vt:variant>
        <vt:lpwstr>http://www.nevo.co.il/case/25826626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899</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אדגר יפרח</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20200504</vt:lpwstr>
  </property>
  <property fmtid="{D5CDD505-2E9C-101B-9397-08002B2CF9AE}" pid="13" name="TYPE_N_DATE">
    <vt:lpwstr>38020200504</vt:lpwstr>
  </property>
  <property fmtid="{D5CDD505-2E9C-101B-9397-08002B2CF9AE}" pid="14" name="CASESLISTTMP1">
    <vt:lpwstr>25826626;5738608;5786821;6169989;22535152;24206827;22865930;23127132</vt:lpwstr>
  </property>
  <property fmtid="{D5CDD505-2E9C-101B-9397-08002B2CF9AE}" pid="15" name="CASENOTES1">
    <vt:lpwstr>ProcID=174&amp;PartA=6490&amp;PartC=12</vt:lpwstr>
  </property>
  <property fmtid="{D5CDD505-2E9C-101B-9397-08002B2CF9AE}" pid="16" name="CASENOTES2">
    <vt:lpwstr>ProcID=6;213&amp;PartA=15.10.18); ת"פ (אש') 10901&amp;PartB=10&amp;PartC=17</vt:lpwstr>
  </property>
  <property fmtid="{D5CDD505-2E9C-101B-9397-08002B2CF9AE}" pid="17" name="WORDNUMPAGES">
    <vt:lpwstr>5</vt:lpwstr>
  </property>
  <property fmtid="{D5CDD505-2E9C-101B-9397-08002B2CF9AE}" pid="18" name="TYPE_ABS_DATE">
    <vt:lpwstr>380020200504</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vt:lpwstr>
  </property>
</Properties>
</file>